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自媒体收益项目分析评价报告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一、项目基本情况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7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_Toc16767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9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_Toc6099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9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_Toc31269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二、自媒体收益项目概论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(一)、自媒体收益项目概述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(二)、自媒体收益项目总投资及资金构成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(四)、自媒体收益项目预期经济效益规划目标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(五)、自媒体收益项目建设进度规划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三、事故原因分析及事故后果预测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3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2" w:history="1">
        <w:r>
          <w:rPr>
            <w:rFonts w:ascii="仿宋" w:eastAsia="仿宋" w:hAnsi="仿宋" w:cs="仿宋" w:hint="eastAsia"/>
            <w:lang w:eastAsia="zh-CN"/>
          </w:rPr>
          <w:t>四、人力资源管理</w:t>
        </w:r>
        <w:r>
          <w:tab/>
        </w:r>
        <w:r>
          <w:fldChar w:fldCharType="begin"/>
        </w:r>
        <w:r>
          <w:instrText xml:space="preserve"> PAGEREF _Toc5922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(一)、自媒体收益项目绩效与薪酬管理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2" w:history="1">
        <w:r>
          <w:rPr>
            <w:rFonts w:ascii="仿宋" w:eastAsia="仿宋" w:hAnsi="仿宋" w:cs="仿宋" w:hint="eastAsia"/>
            <w:lang w:eastAsia="zh-CN"/>
          </w:rPr>
          <w:t>(二)、自媒体收益项目组织与管理</w:t>
        </w:r>
        <w:r>
          <w:tab/>
        </w:r>
        <w:r>
          <w:fldChar w:fldCharType="begin"/>
        </w:r>
        <w:r>
          <w:instrText xml:space="preserve"> PAGEREF _Toc10112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eastAsia="zh-CN"/>
          </w:rPr>
          <w:t>(三)、自媒体收益项目人力资源管理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五、自媒体收益项目工艺分析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(一)、自媒体收益项目建设期原辅材料供应情况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(二)、自媒体收益项目运营期原辅材料采购及管理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1" w:history="1">
        <w:r>
          <w:rPr>
            <w:rFonts w:ascii="仿宋" w:eastAsia="仿宋" w:hAnsi="仿宋" w:cs="仿宋" w:hint="eastAsia"/>
            <w:lang w:eastAsia="zh-CN"/>
          </w:rPr>
          <w:t>(四)、自媒体收益项目工艺技术设计方案</w:t>
        </w:r>
        <w:r>
          <w:tab/>
        </w:r>
        <w:r>
          <w:fldChar w:fldCharType="begin"/>
        </w:r>
        <w:r>
          <w:instrText xml:space="preserve"> PAGEREF _Toc10701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六、建设用地征地拆迁及移民安置分析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eastAsia="zh-CN"/>
          </w:rPr>
          <w:t>(一)、自媒体收益项目选址及用地方案</w:t>
        </w:r>
        <w:r>
          <w:tab/>
        </w:r>
        <w:r>
          <w:fldChar w:fldCharType="begin"/>
        </w:r>
        <w:r>
          <w:instrText xml:space="preserve"> PAGEREF _Toc12445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七、建设规模分析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3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_Toc7153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" w:history="1">
        <w:r>
          <w:rPr>
            <w:rFonts w:ascii="仿宋" w:eastAsia="仿宋" w:hAnsi="仿宋" w:cs="仿宋" w:hint="eastAsia"/>
            <w:lang w:eastAsia="zh-CN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(一)、自媒体收益项目风险分析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(二)、自媒体收益项目风险对策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" w:history="1">
        <w:r>
          <w:rPr>
            <w:rFonts w:ascii="仿宋" w:eastAsia="仿宋" w:hAnsi="仿宋" w:cs="仿宋" w:hint="eastAsia"/>
            <w:lang w:eastAsia="zh-CN"/>
          </w:rPr>
          <w:t>九、风险管理与应急预案</w:t>
        </w:r>
        <w:r>
          <w:tab/>
        </w:r>
        <w:r>
          <w:fldChar w:fldCharType="begin"/>
        </w:r>
        <w:r>
          <w:instrText xml:space="preserve"> PAGEREF _Toc393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3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_Toc553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6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_Toc14986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5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_Toc5475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十一、节能方案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(一)、自媒体收益项目节能概述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(三)、自媒体收益项目节能措施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十二、信息安全与数据管理方案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9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_Toc24829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十三、风险因素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_Toc3895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_Toc1261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9" w:history="1">
        <w:r>
          <w:rPr>
            <w:rFonts w:ascii="仿宋" w:eastAsia="仿宋" w:hAnsi="仿宋" w:cs="仿宋" w:hint="eastAsia"/>
            <w:lang w:eastAsia="zh-CN"/>
          </w:rPr>
          <w:t>十四、自媒体收益行业竞争对选址的影响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0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_Toc32350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十五、市场反馈与迭代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十六、节能方案分析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4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_Toc23814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十七、战略钟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十八、供应链与物流管理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8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_Toc17338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_Toc21019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2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_Toc30812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3" w:history="1">
        <w:r>
          <w:rPr>
            <w:rFonts w:ascii="仿宋" w:eastAsia="仿宋" w:hAnsi="仿宋" w:cs="仿宋" w:hint="eastAsia"/>
            <w:lang w:eastAsia="zh-CN"/>
          </w:rPr>
          <w:t>十九、战略风险的识别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(一)、自媒体收益行业企业在确定愿景及使命时的风险识别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(二)、制定自媒体收益行业企业战略目标的风险识别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7" w:history="1">
        <w:r>
          <w:rPr>
            <w:rFonts w:ascii="仿宋" w:eastAsia="仿宋" w:hAnsi="仿宋" w:cs="仿宋" w:hint="eastAsia"/>
            <w:lang w:eastAsia="zh-CN"/>
          </w:rPr>
          <w:t>(三)、自媒体收益行业企业战略分析的风险识别</w:t>
        </w:r>
        <w:r>
          <w:tab/>
        </w:r>
        <w:r>
          <w:fldChar w:fldCharType="begin"/>
        </w:r>
        <w:r>
          <w:instrText xml:space="preserve"> PAGEREF _Toc3467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eastAsia="zh-CN"/>
          </w:rPr>
          <w:t>(四)、自媒体收益行业企业战略选择的风险识别</w:t>
        </w:r>
        <w:r>
          <w:tab/>
        </w:r>
        <w:r>
          <w:fldChar w:fldCharType="begin"/>
        </w:r>
        <w:r>
          <w:instrText xml:space="preserve"> PAGEREF _Toc1651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(五)、自媒体收益行业企业战略实施的风险识别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二十、自媒体收益项目工程方案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3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_Toc14613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61"/>
      <w:r>
        <w:rPr>
          <w:rFonts w:ascii="仿宋" w:eastAsia="仿宋" w:hAnsi="仿宋" w:cs="仿宋" w:hint="eastAsia"/>
          <w:sz w:val="28"/>
          <w:lang w:eastAsia="zh-CN"/>
        </w:rPr>
        <w:t>一、项目基本情况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48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本项目属于扩建项目，旨在进一步提升公司的产能和服务质量，以满足市场需求并促进企业的可持续发展。项目的主要建设性质包括：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生产线扩建：对现有生产线进行扩展和升级，引入先进的生产设备和技术，提高生产效率和产品质量。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设施增设：增加生产和办公场所，以适应业务规模的扩大，提供更舒适和先进的工作环境。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技术创新：进行相关技术研发，引入新技术、新工艺，提高产品的竞争力和附加值。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https://d.book118.com/927116104053006052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自媒体收益项目分析评价报告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自媒体收益项目分析评价报告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自媒体收益项目分析评价报告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自媒体收益项目分析评价报告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自媒体收益项目分析评价报告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016983"/>
    <w:rsid w:val="4593521B"/>
    <w:rsid w:val="6501698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116104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2024-03-13T00:21:00Z</dcterms:created>
  <dcterms:modified xsi:type="dcterms:W3CDTF">2024-03-13T00:22:17Z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D22A3DCA10EF49B89FD1AB28B3773E1A_11</vt:lpwstr>
  </property>
  <property fmtid="{D5CDD505-2E9C-101B-9397-08002B2CF9AE}" pid="3" name="KSOProductBuildVer">
    <vt:lpwstr>2052-12.1.0.16399</vt:lpwstr>
  </property>
</Properties>
</file>