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速释制剂材料项目计划设计方案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32" w:history="1">
        <w:r>
          <w:rPr>
            <w:rFonts w:ascii="仿宋" w:eastAsia="仿宋" w:hAnsi="仿宋" w:cs="仿宋" w:hint="eastAsia"/>
            <w:lang w:eastAsia="zh-CN"/>
          </w:rPr>
          <w:t>概论</w:t>
        </w:r>
        <w:r>
          <w:tab/>
        </w:r>
        <w:r>
          <w:fldChar w:fldCharType="begin"/>
        </w:r>
        <w:r>
          <w:instrText xml:space="preserve"> PAGEREF _Toc28032 \h </w:instrText>
        </w:r>
        <w:r>
          <w:fldChar w:fldCharType="separate"/>
        </w:r>
        <w:r>
          <w:t>3</w:t>
        </w:r>
        <w:r>
          <w:fldChar w:fldCharType="end"/>
        </w:r>
      </w:hyperlink>
    </w:p>
    <w:p>
      <w:pPr>
        <w:pStyle w:val="TOC1"/>
        <w:tabs>
          <w:tab w:val="right" w:leader="dot" w:pos="8306"/>
        </w:tabs>
      </w:pPr>
      <w:hyperlink w:anchor="_Toc21024" w:history="1">
        <w:r>
          <w:rPr>
            <w:rFonts w:ascii="仿宋" w:eastAsia="仿宋" w:hAnsi="仿宋" w:cs="仿宋" w:hint="eastAsia"/>
            <w:lang w:eastAsia="zh-CN"/>
          </w:rPr>
          <w:t>一、速释制剂材料项目绩效评估</w:t>
        </w:r>
        <w:r>
          <w:tab/>
        </w:r>
        <w:r>
          <w:fldChar w:fldCharType="begin"/>
        </w:r>
        <w:r>
          <w:instrText xml:space="preserve"> PAGEREF _Toc21024 \h </w:instrText>
        </w:r>
        <w:r>
          <w:fldChar w:fldCharType="separate"/>
        </w:r>
        <w:r>
          <w:t>3</w:t>
        </w:r>
        <w:r>
          <w:fldChar w:fldCharType="end"/>
        </w:r>
      </w:hyperlink>
    </w:p>
    <w:p>
      <w:pPr>
        <w:pStyle w:val="TOC2"/>
        <w:tabs>
          <w:tab w:val="right" w:leader="dot" w:pos="8306"/>
        </w:tabs>
      </w:pPr>
      <w:hyperlink w:anchor="_Toc14614" w:history="1">
        <w:r>
          <w:rPr>
            <w:rFonts w:ascii="仿宋" w:eastAsia="仿宋" w:hAnsi="仿宋" w:cs="仿宋" w:hint="eastAsia"/>
            <w:lang w:eastAsia="zh-CN"/>
          </w:rPr>
          <w:t>(一)、绩效评估指标</w:t>
        </w:r>
        <w:r>
          <w:tab/>
        </w:r>
        <w:r>
          <w:fldChar w:fldCharType="begin"/>
        </w:r>
        <w:r>
          <w:instrText xml:space="preserve"> PAGEREF _Toc14614 \h </w:instrText>
        </w:r>
        <w:r>
          <w:fldChar w:fldCharType="separate"/>
        </w:r>
        <w:r>
          <w:t>3</w:t>
        </w:r>
        <w:r>
          <w:fldChar w:fldCharType="end"/>
        </w:r>
      </w:hyperlink>
    </w:p>
    <w:p>
      <w:pPr>
        <w:pStyle w:val="TOC2"/>
        <w:tabs>
          <w:tab w:val="right" w:leader="dot" w:pos="8306"/>
        </w:tabs>
      </w:pPr>
      <w:hyperlink w:anchor="_Toc28324" w:history="1">
        <w:r>
          <w:rPr>
            <w:rFonts w:ascii="仿宋" w:eastAsia="仿宋" w:hAnsi="仿宋" w:cs="仿宋" w:hint="eastAsia"/>
            <w:lang w:eastAsia="zh-CN"/>
          </w:rPr>
          <w:t>(二)、绩效评估方法</w:t>
        </w:r>
        <w:r>
          <w:tab/>
        </w:r>
        <w:r>
          <w:fldChar w:fldCharType="begin"/>
        </w:r>
        <w:r>
          <w:instrText xml:space="preserve"> PAGEREF _Toc28324 \h </w:instrText>
        </w:r>
        <w:r>
          <w:fldChar w:fldCharType="separate"/>
        </w:r>
        <w:r>
          <w:t>4</w:t>
        </w:r>
        <w:r>
          <w:fldChar w:fldCharType="end"/>
        </w:r>
      </w:hyperlink>
    </w:p>
    <w:p>
      <w:pPr>
        <w:pStyle w:val="TOC2"/>
        <w:tabs>
          <w:tab w:val="right" w:leader="dot" w:pos="8306"/>
        </w:tabs>
      </w:pPr>
      <w:hyperlink w:anchor="_Toc21467" w:history="1">
        <w:r>
          <w:rPr>
            <w:rFonts w:ascii="仿宋" w:eastAsia="仿宋" w:hAnsi="仿宋" w:cs="仿宋" w:hint="eastAsia"/>
            <w:lang w:eastAsia="zh-CN"/>
          </w:rPr>
          <w:t>(三)、绩效评估周期</w:t>
        </w:r>
        <w:r>
          <w:tab/>
        </w:r>
        <w:r>
          <w:fldChar w:fldCharType="begin"/>
        </w:r>
        <w:r>
          <w:instrText xml:space="preserve"> PAGEREF _Toc21467 \h </w:instrText>
        </w:r>
        <w:r>
          <w:fldChar w:fldCharType="separate"/>
        </w:r>
        <w:r>
          <w:t>5</w:t>
        </w:r>
        <w:r>
          <w:fldChar w:fldCharType="end"/>
        </w:r>
      </w:hyperlink>
    </w:p>
    <w:p>
      <w:pPr>
        <w:pStyle w:val="TOC1"/>
        <w:tabs>
          <w:tab w:val="right" w:leader="dot" w:pos="8306"/>
        </w:tabs>
      </w:pPr>
      <w:hyperlink w:anchor="_Toc769" w:history="1">
        <w:r>
          <w:rPr>
            <w:rFonts w:ascii="仿宋" w:eastAsia="仿宋" w:hAnsi="仿宋" w:cs="仿宋" w:hint="eastAsia"/>
            <w:lang w:eastAsia="zh-CN"/>
          </w:rPr>
          <w:t>二、市场分析、调研</w:t>
        </w:r>
        <w:r>
          <w:tab/>
        </w:r>
        <w:r>
          <w:fldChar w:fldCharType="begin"/>
        </w:r>
        <w:r>
          <w:instrText xml:space="preserve"> PAGEREF _Toc769 \h </w:instrText>
        </w:r>
        <w:r>
          <w:fldChar w:fldCharType="separate"/>
        </w:r>
        <w:r>
          <w:t>6</w:t>
        </w:r>
        <w:r>
          <w:fldChar w:fldCharType="end"/>
        </w:r>
      </w:hyperlink>
    </w:p>
    <w:p>
      <w:pPr>
        <w:pStyle w:val="TOC2"/>
        <w:tabs>
          <w:tab w:val="right" w:leader="dot" w:pos="8306"/>
        </w:tabs>
      </w:pPr>
      <w:hyperlink w:anchor="_Toc18397" w:history="1">
        <w:r>
          <w:rPr>
            <w:rFonts w:ascii="仿宋" w:eastAsia="仿宋" w:hAnsi="仿宋" w:cs="仿宋" w:hint="eastAsia"/>
            <w:lang w:eastAsia="zh-CN"/>
          </w:rPr>
          <w:t>(一)、速释制剂材料行业分析</w:t>
        </w:r>
        <w:r>
          <w:tab/>
        </w:r>
        <w:r>
          <w:fldChar w:fldCharType="begin"/>
        </w:r>
        <w:r>
          <w:instrText xml:space="preserve"> PAGEREF _Toc18397 \h </w:instrText>
        </w:r>
        <w:r>
          <w:fldChar w:fldCharType="separate"/>
        </w:r>
        <w:r>
          <w:t>6</w:t>
        </w:r>
        <w:r>
          <w:fldChar w:fldCharType="end"/>
        </w:r>
      </w:hyperlink>
    </w:p>
    <w:p>
      <w:pPr>
        <w:pStyle w:val="TOC2"/>
        <w:tabs>
          <w:tab w:val="right" w:leader="dot" w:pos="8306"/>
        </w:tabs>
      </w:pPr>
      <w:hyperlink w:anchor="_Toc30291" w:history="1">
        <w:r>
          <w:rPr>
            <w:rFonts w:ascii="仿宋" w:eastAsia="仿宋" w:hAnsi="仿宋" w:cs="仿宋" w:hint="eastAsia"/>
            <w:lang w:eastAsia="zh-CN"/>
          </w:rPr>
          <w:t>(二)、速释制剂材料市场分析预测</w:t>
        </w:r>
        <w:r>
          <w:tab/>
        </w:r>
        <w:r>
          <w:fldChar w:fldCharType="begin"/>
        </w:r>
        <w:r>
          <w:instrText xml:space="preserve"> PAGEREF _Toc30291 \h </w:instrText>
        </w:r>
        <w:r>
          <w:fldChar w:fldCharType="separate"/>
        </w:r>
        <w:r>
          <w:t>7</w:t>
        </w:r>
        <w:r>
          <w:fldChar w:fldCharType="end"/>
        </w:r>
      </w:hyperlink>
    </w:p>
    <w:p>
      <w:pPr>
        <w:pStyle w:val="TOC1"/>
        <w:tabs>
          <w:tab w:val="right" w:leader="dot" w:pos="8306"/>
        </w:tabs>
      </w:pPr>
      <w:hyperlink w:anchor="_Toc22526" w:history="1">
        <w:r>
          <w:rPr>
            <w:rFonts w:ascii="仿宋" w:eastAsia="仿宋" w:hAnsi="仿宋" w:cs="仿宋" w:hint="eastAsia"/>
            <w:lang w:eastAsia="zh-CN"/>
          </w:rPr>
          <w:t>三、速释制剂材料项目建设背景及必要性分析</w:t>
        </w:r>
        <w:r>
          <w:tab/>
        </w:r>
        <w:r>
          <w:fldChar w:fldCharType="begin"/>
        </w:r>
        <w:r>
          <w:instrText xml:space="preserve"> PAGEREF _Toc22526 \h </w:instrText>
        </w:r>
        <w:r>
          <w:fldChar w:fldCharType="separate"/>
        </w:r>
        <w:r>
          <w:t>8</w:t>
        </w:r>
        <w:r>
          <w:fldChar w:fldCharType="end"/>
        </w:r>
      </w:hyperlink>
    </w:p>
    <w:p>
      <w:pPr>
        <w:pStyle w:val="TOC2"/>
        <w:tabs>
          <w:tab w:val="right" w:leader="dot" w:pos="8306"/>
        </w:tabs>
      </w:pPr>
      <w:hyperlink w:anchor="_Toc32579" w:history="1">
        <w:r>
          <w:rPr>
            <w:rFonts w:ascii="仿宋" w:eastAsia="仿宋" w:hAnsi="仿宋" w:cs="仿宋" w:hint="eastAsia"/>
            <w:lang w:eastAsia="zh-CN"/>
          </w:rPr>
          <w:t>(一)、速释制剂材料项目背景分析</w:t>
        </w:r>
        <w:r>
          <w:tab/>
        </w:r>
        <w:r>
          <w:fldChar w:fldCharType="begin"/>
        </w:r>
        <w:r>
          <w:instrText xml:space="preserve"> PAGEREF _Toc32579 \h </w:instrText>
        </w:r>
        <w:r>
          <w:fldChar w:fldCharType="separate"/>
        </w:r>
        <w:r>
          <w:t>8</w:t>
        </w:r>
        <w:r>
          <w:fldChar w:fldCharType="end"/>
        </w:r>
      </w:hyperlink>
    </w:p>
    <w:p>
      <w:pPr>
        <w:pStyle w:val="TOC2"/>
        <w:tabs>
          <w:tab w:val="right" w:leader="dot" w:pos="8306"/>
        </w:tabs>
      </w:pPr>
      <w:hyperlink w:anchor="_Toc10837" w:history="1">
        <w:r>
          <w:rPr>
            <w:rFonts w:ascii="仿宋" w:eastAsia="仿宋" w:hAnsi="仿宋" w:cs="仿宋" w:hint="eastAsia"/>
            <w:lang w:eastAsia="zh-CN"/>
          </w:rPr>
          <w:t>(二)、速释制剂材料项目建设必要性分析</w:t>
        </w:r>
        <w:r>
          <w:tab/>
        </w:r>
        <w:r>
          <w:fldChar w:fldCharType="begin"/>
        </w:r>
        <w:r>
          <w:instrText xml:space="preserve"> PAGEREF _Toc10837 \h </w:instrText>
        </w:r>
        <w:r>
          <w:fldChar w:fldCharType="separate"/>
        </w:r>
        <w:r>
          <w:t>9</w:t>
        </w:r>
        <w:r>
          <w:fldChar w:fldCharType="end"/>
        </w:r>
      </w:hyperlink>
    </w:p>
    <w:p>
      <w:pPr>
        <w:pStyle w:val="TOC1"/>
        <w:tabs>
          <w:tab w:val="right" w:leader="dot" w:pos="8306"/>
        </w:tabs>
      </w:pPr>
      <w:hyperlink w:anchor="_Toc30066" w:history="1">
        <w:r>
          <w:rPr>
            <w:rFonts w:ascii="仿宋" w:eastAsia="仿宋" w:hAnsi="仿宋" w:cs="仿宋" w:hint="eastAsia"/>
            <w:lang w:eastAsia="zh-CN"/>
          </w:rPr>
          <w:t>四、速释制剂材料项目建设单位说明</w:t>
        </w:r>
        <w:r>
          <w:tab/>
        </w:r>
        <w:r>
          <w:fldChar w:fldCharType="begin"/>
        </w:r>
        <w:r>
          <w:instrText xml:space="preserve"> PAGEREF _Toc30066 \h </w:instrText>
        </w:r>
        <w:r>
          <w:fldChar w:fldCharType="separate"/>
        </w:r>
        <w:r>
          <w:t>11</w:t>
        </w:r>
        <w:r>
          <w:fldChar w:fldCharType="end"/>
        </w:r>
      </w:hyperlink>
    </w:p>
    <w:p>
      <w:pPr>
        <w:pStyle w:val="TOC2"/>
        <w:tabs>
          <w:tab w:val="right" w:leader="dot" w:pos="8306"/>
        </w:tabs>
      </w:pPr>
      <w:hyperlink w:anchor="_Toc25170" w:history="1">
        <w:r>
          <w:rPr>
            <w:rFonts w:ascii="仿宋" w:eastAsia="仿宋" w:hAnsi="仿宋" w:cs="仿宋" w:hint="eastAsia"/>
            <w:lang w:eastAsia="zh-CN"/>
          </w:rPr>
          <w:t>(一)、速释制剂材料项目承办单位基本情况</w:t>
        </w:r>
        <w:r>
          <w:tab/>
        </w:r>
        <w:r>
          <w:fldChar w:fldCharType="begin"/>
        </w:r>
        <w:r>
          <w:instrText xml:space="preserve"> PAGEREF _Toc25170 \h </w:instrText>
        </w:r>
        <w:r>
          <w:fldChar w:fldCharType="separate"/>
        </w:r>
        <w:r>
          <w:t>11</w:t>
        </w:r>
        <w:r>
          <w:fldChar w:fldCharType="end"/>
        </w:r>
      </w:hyperlink>
    </w:p>
    <w:p>
      <w:pPr>
        <w:pStyle w:val="TOC2"/>
        <w:tabs>
          <w:tab w:val="right" w:leader="dot" w:pos="8306"/>
        </w:tabs>
      </w:pPr>
      <w:hyperlink w:anchor="_Toc22398" w:history="1">
        <w:r>
          <w:rPr>
            <w:rFonts w:ascii="仿宋" w:eastAsia="仿宋" w:hAnsi="仿宋" w:cs="仿宋" w:hint="eastAsia"/>
            <w:lang w:eastAsia="zh-CN"/>
          </w:rPr>
          <w:t>(二)、公司经济效益分析</w:t>
        </w:r>
        <w:r>
          <w:tab/>
        </w:r>
        <w:r>
          <w:fldChar w:fldCharType="begin"/>
        </w:r>
        <w:r>
          <w:instrText xml:space="preserve"> PAGEREF _Toc22398 \h </w:instrText>
        </w:r>
        <w:r>
          <w:fldChar w:fldCharType="separate"/>
        </w:r>
        <w:r>
          <w:t>11</w:t>
        </w:r>
        <w:r>
          <w:fldChar w:fldCharType="end"/>
        </w:r>
      </w:hyperlink>
    </w:p>
    <w:p>
      <w:pPr>
        <w:pStyle w:val="TOC1"/>
        <w:tabs>
          <w:tab w:val="right" w:leader="dot" w:pos="8306"/>
        </w:tabs>
      </w:pPr>
      <w:hyperlink w:anchor="_Toc4423" w:history="1">
        <w:r>
          <w:rPr>
            <w:rFonts w:ascii="仿宋" w:eastAsia="仿宋" w:hAnsi="仿宋" w:cs="仿宋" w:hint="eastAsia"/>
            <w:lang w:eastAsia="zh-CN"/>
          </w:rPr>
          <w:t>五、速释制剂材料项目土建工程</w:t>
        </w:r>
        <w:r>
          <w:tab/>
        </w:r>
        <w:r>
          <w:fldChar w:fldCharType="begin"/>
        </w:r>
        <w:r>
          <w:instrText xml:space="preserve"> PAGEREF _Toc4423 \h </w:instrText>
        </w:r>
        <w:r>
          <w:fldChar w:fldCharType="separate"/>
        </w:r>
        <w:r>
          <w:t>12</w:t>
        </w:r>
        <w:r>
          <w:fldChar w:fldCharType="end"/>
        </w:r>
      </w:hyperlink>
    </w:p>
    <w:p>
      <w:pPr>
        <w:pStyle w:val="TOC2"/>
        <w:tabs>
          <w:tab w:val="right" w:leader="dot" w:pos="8306"/>
        </w:tabs>
      </w:pPr>
      <w:hyperlink w:anchor="_Toc29170" w:history="1">
        <w:r>
          <w:rPr>
            <w:rFonts w:ascii="仿宋" w:eastAsia="仿宋" w:hAnsi="仿宋" w:cs="仿宋" w:hint="eastAsia"/>
            <w:lang w:eastAsia="zh-CN"/>
          </w:rPr>
          <w:t>(一)、建筑工程设计原则</w:t>
        </w:r>
        <w:r>
          <w:tab/>
        </w:r>
        <w:r>
          <w:fldChar w:fldCharType="begin"/>
        </w:r>
        <w:r>
          <w:instrText xml:space="preserve"> PAGEREF _Toc29170 \h </w:instrText>
        </w:r>
        <w:r>
          <w:fldChar w:fldCharType="separate"/>
        </w:r>
        <w:r>
          <w:t>12</w:t>
        </w:r>
        <w:r>
          <w:fldChar w:fldCharType="end"/>
        </w:r>
      </w:hyperlink>
    </w:p>
    <w:p>
      <w:pPr>
        <w:pStyle w:val="TOC2"/>
        <w:tabs>
          <w:tab w:val="right" w:leader="dot" w:pos="8306"/>
        </w:tabs>
      </w:pPr>
      <w:hyperlink w:anchor="_Toc22541" w:history="1">
        <w:r>
          <w:rPr>
            <w:rFonts w:ascii="仿宋" w:eastAsia="仿宋" w:hAnsi="仿宋" w:cs="仿宋" w:hint="eastAsia"/>
            <w:lang w:eastAsia="zh-CN"/>
          </w:rPr>
          <w:t>(二)、土建工程设计年限及安全等级</w:t>
        </w:r>
        <w:r>
          <w:tab/>
        </w:r>
        <w:r>
          <w:fldChar w:fldCharType="begin"/>
        </w:r>
        <w:r>
          <w:instrText xml:space="preserve"> PAGEREF _Toc22541 \h </w:instrText>
        </w:r>
        <w:r>
          <w:fldChar w:fldCharType="separate"/>
        </w:r>
        <w:r>
          <w:t>14</w:t>
        </w:r>
        <w:r>
          <w:fldChar w:fldCharType="end"/>
        </w:r>
      </w:hyperlink>
    </w:p>
    <w:p>
      <w:pPr>
        <w:pStyle w:val="TOC2"/>
        <w:tabs>
          <w:tab w:val="right" w:leader="dot" w:pos="8306"/>
        </w:tabs>
      </w:pPr>
      <w:hyperlink w:anchor="_Toc14040" w:history="1">
        <w:r>
          <w:rPr>
            <w:rFonts w:ascii="仿宋" w:eastAsia="仿宋" w:hAnsi="仿宋" w:cs="仿宋" w:hint="eastAsia"/>
            <w:lang w:eastAsia="zh-CN"/>
          </w:rPr>
          <w:t>(三)、建筑工程设计总体要求</w:t>
        </w:r>
        <w:r>
          <w:tab/>
        </w:r>
        <w:r>
          <w:fldChar w:fldCharType="begin"/>
        </w:r>
        <w:r>
          <w:instrText xml:space="preserve"> PAGEREF _Toc14040 \h </w:instrText>
        </w:r>
        <w:r>
          <w:fldChar w:fldCharType="separate"/>
        </w:r>
        <w:r>
          <w:t>15</w:t>
        </w:r>
        <w:r>
          <w:fldChar w:fldCharType="end"/>
        </w:r>
      </w:hyperlink>
    </w:p>
    <w:p>
      <w:pPr>
        <w:pStyle w:val="TOC2"/>
        <w:tabs>
          <w:tab w:val="right" w:leader="dot" w:pos="8306"/>
        </w:tabs>
      </w:pPr>
      <w:hyperlink w:anchor="_Toc10960" w:history="1">
        <w:r>
          <w:rPr>
            <w:rFonts w:ascii="仿宋" w:eastAsia="仿宋" w:hAnsi="仿宋" w:cs="仿宋" w:hint="eastAsia"/>
            <w:lang w:eastAsia="zh-CN"/>
          </w:rPr>
          <w:t>(四)、土建工程建设指标</w:t>
        </w:r>
        <w:r>
          <w:tab/>
        </w:r>
        <w:r>
          <w:fldChar w:fldCharType="begin"/>
        </w:r>
        <w:r>
          <w:instrText xml:space="preserve"> PAGEREF _Toc10960 \h </w:instrText>
        </w:r>
        <w:r>
          <w:fldChar w:fldCharType="separate"/>
        </w:r>
        <w:r>
          <w:t>15</w:t>
        </w:r>
        <w:r>
          <w:fldChar w:fldCharType="end"/>
        </w:r>
      </w:hyperlink>
    </w:p>
    <w:p>
      <w:pPr>
        <w:pStyle w:val="TOC1"/>
        <w:tabs>
          <w:tab w:val="right" w:leader="dot" w:pos="8306"/>
        </w:tabs>
      </w:pPr>
      <w:hyperlink w:anchor="_Toc4815" w:history="1">
        <w:r>
          <w:rPr>
            <w:rFonts w:ascii="仿宋" w:eastAsia="仿宋" w:hAnsi="仿宋" w:cs="仿宋" w:hint="eastAsia"/>
            <w:lang w:eastAsia="zh-CN"/>
          </w:rPr>
          <w:t>六、速释制剂材料项目选址可行性分析</w:t>
        </w:r>
        <w:r>
          <w:tab/>
        </w:r>
        <w:r>
          <w:fldChar w:fldCharType="begin"/>
        </w:r>
        <w:r>
          <w:instrText xml:space="preserve"> PAGEREF _Toc4815 \h </w:instrText>
        </w:r>
        <w:r>
          <w:fldChar w:fldCharType="separate"/>
        </w:r>
        <w:r>
          <w:t>16</w:t>
        </w:r>
        <w:r>
          <w:fldChar w:fldCharType="end"/>
        </w:r>
      </w:hyperlink>
    </w:p>
    <w:p>
      <w:pPr>
        <w:pStyle w:val="TOC2"/>
        <w:tabs>
          <w:tab w:val="right" w:leader="dot" w:pos="8306"/>
        </w:tabs>
      </w:pPr>
      <w:hyperlink w:anchor="_Toc28750" w:history="1">
        <w:r>
          <w:rPr>
            <w:rFonts w:ascii="仿宋" w:eastAsia="仿宋" w:hAnsi="仿宋" w:cs="仿宋" w:hint="eastAsia"/>
            <w:lang w:eastAsia="zh-CN"/>
          </w:rPr>
          <w:t>(一)、速释制剂材料项目选址</w:t>
        </w:r>
        <w:r>
          <w:tab/>
        </w:r>
        <w:r>
          <w:fldChar w:fldCharType="begin"/>
        </w:r>
        <w:r>
          <w:instrText xml:space="preserve"> PAGEREF _Toc28750 \h </w:instrText>
        </w:r>
        <w:r>
          <w:fldChar w:fldCharType="separate"/>
        </w:r>
        <w:r>
          <w:t>16</w:t>
        </w:r>
        <w:r>
          <w:fldChar w:fldCharType="end"/>
        </w:r>
      </w:hyperlink>
    </w:p>
    <w:p>
      <w:pPr>
        <w:pStyle w:val="TOC2"/>
        <w:tabs>
          <w:tab w:val="right" w:leader="dot" w:pos="8306"/>
        </w:tabs>
      </w:pPr>
      <w:hyperlink w:anchor="_Toc13260" w:history="1">
        <w:r>
          <w:rPr>
            <w:rFonts w:ascii="仿宋" w:eastAsia="仿宋" w:hAnsi="仿宋" w:cs="仿宋" w:hint="eastAsia"/>
            <w:lang w:eastAsia="zh-CN"/>
          </w:rPr>
          <w:t>(二)、用地控制指标</w:t>
        </w:r>
        <w:r>
          <w:tab/>
        </w:r>
        <w:r>
          <w:fldChar w:fldCharType="begin"/>
        </w:r>
        <w:r>
          <w:instrText xml:space="preserve"> PAGEREF _Toc13260 \h </w:instrText>
        </w:r>
        <w:r>
          <w:fldChar w:fldCharType="separate"/>
        </w:r>
        <w:r>
          <w:t>16</w:t>
        </w:r>
        <w:r>
          <w:fldChar w:fldCharType="end"/>
        </w:r>
      </w:hyperlink>
    </w:p>
    <w:p>
      <w:pPr>
        <w:pStyle w:val="TOC2"/>
        <w:tabs>
          <w:tab w:val="right" w:leader="dot" w:pos="8306"/>
        </w:tabs>
      </w:pPr>
      <w:hyperlink w:anchor="_Toc16402" w:history="1">
        <w:r>
          <w:rPr>
            <w:rFonts w:ascii="仿宋" w:eastAsia="仿宋" w:hAnsi="仿宋" w:cs="仿宋" w:hint="eastAsia"/>
            <w:lang w:eastAsia="zh-CN"/>
          </w:rPr>
          <w:t>(三)、节约用地措施</w:t>
        </w:r>
        <w:r>
          <w:tab/>
        </w:r>
        <w:r>
          <w:fldChar w:fldCharType="begin"/>
        </w:r>
        <w:r>
          <w:instrText xml:space="preserve"> PAGEREF _Toc16402 \h </w:instrText>
        </w:r>
        <w:r>
          <w:fldChar w:fldCharType="separate"/>
        </w:r>
        <w:r>
          <w:t>18</w:t>
        </w:r>
        <w:r>
          <w:fldChar w:fldCharType="end"/>
        </w:r>
      </w:hyperlink>
    </w:p>
    <w:p>
      <w:pPr>
        <w:pStyle w:val="TOC2"/>
        <w:tabs>
          <w:tab w:val="right" w:leader="dot" w:pos="8306"/>
        </w:tabs>
      </w:pPr>
      <w:hyperlink w:anchor="_Toc5875" w:history="1">
        <w:r>
          <w:rPr>
            <w:rFonts w:ascii="仿宋" w:eastAsia="仿宋" w:hAnsi="仿宋" w:cs="仿宋" w:hint="eastAsia"/>
            <w:lang w:eastAsia="zh-CN"/>
          </w:rPr>
          <w:t>(四)、总图布置方案</w:t>
        </w:r>
        <w:r>
          <w:tab/>
        </w:r>
        <w:r>
          <w:fldChar w:fldCharType="begin"/>
        </w:r>
        <w:r>
          <w:instrText xml:space="preserve"> PAGEREF _Toc5875 \h </w:instrText>
        </w:r>
        <w:r>
          <w:fldChar w:fldCharType="separate"/>
        </w:r>
        <w:r>
          <w:t>19</w:t>
        </w:r>
        <w:r>
          <w:fldChar w:fldCharType="end"/>
        </w:r>
      </w:hyperlink>
    </w:p>
    <w:p>
      <w:pPr>
        <w:pStyle w:val="TOC2"/>
        <w:tabs>
          <w:tab w:val="right" w:leader="dot" w:pos="8306"/>
        </w:tabs>
      </w:pPr>
      <w:hyperlink w:anchor="_Toc24425" w:history="1">
        <w:r>
          <w:rPr>
            <w:rFonts w:ascii="仿宋" w:eastAsia="仿宋" w:hAnsi="仿宋" w:cs="仿宋" w:hint="eastAsia"/>
            <w:lang w:eastAsia="zh-CN"/>
          </w:rPr>
          <w:t>(五)、选址综合评价</w:t>
        </w:r>
        <w:r>
          <w:tab/>
        </w:r>
        <w:r>
          <w:fldChar w:fldCharType="begin"/>
        </w:r>
        <w:r>
          <w:instrText xml:space="preserve"> PAGEREF _Toc24425 \h </w:instrText>
        </w:r>
        <w:r>
          <w:fldChar w:fldCharType="separate"/>
        </w:r>
        <w:r>
          <w:t>20</w:t>
        </w:r>
        <w:r>
          <w:fldChar w:fldCharType="end"/>
        </w:r>
      </w:hyperlink>
    </w:p>
    <w:p>
      <w:pPr>
        <w:pStyle w:val="TOC1"/>
        <w:tabs>
          <w:tab w:val="right" w:leader="dot" w:pos="8306"/>
        </w:tabs>
      </w:pPr>
      <w:hyperlink w:anchor="_Toc7722" w:history="1">
        <w:r>
          <w:rPr>
            <w:rFonts w:ascii="仿宋" w:eastAsia="仿宋" w:hAnsi="仿宋" w:cs="仿宋" w:hint="eastAsia"/>
            <w:lang w:eastAsia="zh-CN"/>
          </w:rPr>
          <w:t>七、速释制剂材料项目人力资源培养与发展</w:t>
        </w:r>
        <w:r>
          <w:tab/>
        </w:r>
        <w:r>
          <w:fldChar w:fldCharType="begin"/>
        </w:r>
        <w:r>
          <w:instrText xml:space="preserve"> PAGEREF _Toc7722 \h </w:instrText>
        </w:r>
        <w:r>
          <w:fldChar w:fldCharType="separate"/>
        </w:r>
        <w:r>
          <w:t>21</w:t>
        </w:r>
        <w:r>
          <w:fldChar w:fldCharType="end"/>
        </w:r>
      </w:hyperlink>
    </w:p>
    <w:p>
      <w:pPr>
        <w:pStyle w:val="TOC2"/>
        <w:tabs>
          <w:tab w:val="right" w:leader="dot" w:pos="8306"/>
        </w:tabs>
      </w:pPr>
      <w:hyperlink w:anchor="_Toc23337" w:history="1">
        <w:r>
          <w:rPr>
            <w:rFonts w:ascii="仿宋" w:eastAsia="仿宋" w:hAnsi="仿宋" w:cs="仿宋" w:hint="eastAsia"/>
            <w:lang w:eastAsia="zh-CN"/>
          </w:rPr>
          <w:t>(一)、人才需求与规划</w:t>
        </w:r>
        <w:r>
          <w:tab/>
        </w:r>
        <w:r>
          <w:fldChar w:fldCharType="begin"/>
        </w:r>
        <w:r>
          <w:instrText xml:space="preserve"> PAGEREF _Toc23337 \h </w:instrText>
        </w:r>
        <w:r>
          <w:fldChar w:fldCharType="separate"/>
        </w:r>
        <w:r>
          <w:t>21</w:t>
        </w:r>
        <w:r>
          <w:fldChar w:fldCharType="end"/>
        </w:r>
      </w:hyperlink>
    </w:p>
    <w:p>
      <w:pPr>
        <w:pStyle w:val="TOC2"/>
        <w:tabs>
          <w:tab w:val="right" w:leader="dot" w:pos="8306"/>
        </w:tabs>
      </w:pPr>
      <w:hyperlink w:anchor="_Toc13143" w:history="1">
        <w:r>
          <w:rPr>
            <w:rFonts w:ascii="仿宋" w:eastAsia="仿宋" w:hAnsi="仿宋" w:cs="仿宋" w:hint="eastAsia"/>
            <w:lang w:eastAsia="zh-CN"/>
          </w:rPr>
          <w:t>(二)、培训与发展计划</w:t>
        </w:r>
        <w:r>
          <w:tab/>
        </w:r>
        <w:r>
          <w:fldChar w:fldCharType="begin"/>
        </w:r>
        <w:r>
          <w:instrText xml:space="preserve"> PAGEREF _Toc13143 \h </w:instrText>
        </w:r>
        <w:r>
          <w:fldChar w:fldCharType="separate"/>
        </w:r>
        <w:r>
          <w:t>22</w:t>
        </w:r>
        <w:r>
          <w:fldChar w:fldCharType="end"/>
        </w:r>
      </w:hyperlink>
    </w:p>
    <w:p>
      <w:pPr>
        <w:pStyle w:val="TOC1"/>
        <w:tabs>
          <w:tab w:val="right" w:leader="dot" w:pos="8306"/>
        </w:tabs>
      </w:pPr>
      <w:hyperlink w:anchor="_Toc19583" w:history="1">
        <w:r>
          <w:rPr>
            <w:rFonts w:ascii="仿宋" w:eastAsia="仿宋" w:hAnsi="仿宋" w:cs="仿宋" w:hint="eastAsia"/>
            <w:lang w:eastAsia="zh-CN"/>
          </w:rPr>
          <w:t>八、速释制剂材料项目技术管理</w:t>
        </w:r>
        <w:r>
          <w:tab/>
        </w:r>
        <w:r>
          <w:fldChar w:fldCharType="begin"/>
        </w:r>
        <w:r>
          <w:instrText xml:space="preserve"> PAGEREF _Toc19583 \h </w:instrText>
        </w:r>
        <w:r>
          <w:fldChar w:fldCharType="separate"/>
        </w:r>
        <w:r>
          <w:t>22</w:t>
        </w:r>
        <w:r>
          <w:fldChar w:fldCharType="end"/>
        </w:r>
      </w:hyperlink>
    </w:p>
    <w:p>
      <w:pPr>
        <w:pStyle w:val="TOC2"/>
        <w:tabs>
          <w:tab w:val="right" w:leader="dot" w:pos="8306"/>
        </w:tabs>
      </w:pPr>
      <w:hyperlink w:anchor="_Toc28255" w:history="1">
        <w:r>
          <w:rPr>
            <w:rFonts w:ascii="仿宋" w:eastAsia="仿宋" w:hAnsi="仿宋" w:cs="仿宋" w:hint="eastAsia"/>
            <w:lang w:eastAsia="zh-CN"/>
          </w:rPr>
          <w:t>(一)、技术方案选用方向</w:t>
        </w:r>
        <w:r>
          <w:tab/>
        </w:r>
        <w:r>
          <w:fldChar w:fldCharType="begin"/>
        </w:r>
        <w:r>
          <w:instrText xml:space="preserve"> PAGEREF _Toc28255 \h </w:instrText>
        </w:r>
        <w:r>
          <w:fldChar w:fldCharType="separate"/>
        </w:r>
        <w:r>
          <w:t>22</w:t>
        </w:r>
        <w:r>
          <w:fldChar w:fldCharType="end"/>
        </w:r>
      </w:hyperlink>
    </w:p>
    <w:p>
      <w:pPr>
        <w:pStyle w:val="TOC2"/>
        <w:tabs>
          <w:tab w:val="right" w:leader="dot" w:pos="8306"/>
        </w:tabs>
      </w:pPr>
      <w:hyperlink w:anchor="_Toc2400" w:history="1">
        <w:r>
          <w:rPr>
            <w:rFonts w:ascii="仿宋" w:eastAsia="仿宋" w:hAnsi="仿宋" w:cs="仿宋" w:hint="eastAsia"/>
            <w:lang w:eastAsia="zh-CN"/>
          </w:rPr>
          <w:t>(二)、工艺技术方案选用原则</w:t>
        </w:r>
        <w:r>
          <w:tab/>
        </w:r>
        <w:r>
          <w:fldChar w:fldCharType="begin"/>
        </w:r>
        <w:r>
          <w:instrText xml:space="preserve"> PAGEREF _Toc2400 \h </w:instrText>
        </w:r>
        <w:r>
          <w:fldChar w:fldCharType="separate"/>
        </w:r>
        <w:r>
          <w:t>24</w:t>
        </w:r>
        <w:r>
          <w:fldChar w:fldCharType="end"/>
        </w:r>
      </w:hyperlink>
    </w:p>
    <w:p>
      <w:pPr>
        <w:pStyle w:val="TOC2"/>
        <w:tabs>
          <w:tab w:val="right" w:leader="dot" w:pos="8306"/>
        </w:tabs>
      </w:pPr>
      <w:hyperlink w:anchor="_Toc7275" w:history="1">
        <w:r>
          <w:rPr>
            <w:rFonts w:ascii="仿宋" w:eastAsia="仿宋" w:hAnsi="仿宋" w:cs="仿宋" w:hint="eastAsia"/>
            <w:lang w:eastAsia="zh-CN"/>
          </w:rPr>
          <w:t>(三)、工艺技术方案要求</w:t>
        </w:r>
        <w:r>
          <w:tab/>
        </w:r>
        <w:r>
          <w:fldChar w:fldCharType="begin"/>
        </w:r>
        <w:r>
          <w:instrText xml:space="preserve"> PAGEREF _Toc7275 \h </w:instrText>
        </w:r>
        <w:r>
          <w:fldChar w:fldCharType="separate"/>
        </w:r>
        <w:r>
          <w:t>26</w:t>
        </w:r>
        <w:r>
          <w:fldChar w:fldCharType="end"/>
        </w:r>
      </w:hyperlink>
    </w:p>
    <w:p>
      <w:pPr>
        <w:pStyle w:val="TOC1"/>
        <w:tabs>
          <w:tab w:val="right" w:leader="dot" w:pos="8306"/>
        </w:tabs>
      </w:pPr>
      <w:hyperlink w:anchor="_Toc17747" w:history="1">
        <w:r>
          <w:rPr>
            <w:rFonts w:ascii="仿宋" w:eastAsia="仿宋" w:hAnsi="仿宋" w:cs="仿宋" w:hint="eastAsia"/>
            <w:lang w:eastAsia="zh-CN"/>
          </w:rPr>
          <w:t>九、速释制剂材料项目经营效益</w:t>
        </w:r>
        <w:r>
          <w:tab/>
        </w:r>
        <w:r>
          <w:fldChar w:fldCharType="begin"/>
        </w:r>
        <w:r>
          <w:instrText xml:space="preserve"> PAGEREF _Toc17747 \h </w:instrText>
        </w:r>
        <w:r>
          <w:fldChar w:fldCharType="separate"/>
        </w:r>
        <w:r>
          <w:t>28</w:t>
        </w:r>
        <w:r>
          <w:fldChar w:fldCharType="end"/>
        </w:r>
      </w:hyperlink>
    </w:p>
    <w:p>
      <w:pPr>
        <w:pStyle w:val="TOC2"/>
        <w:tabs>
          <w:tab w:val="right" w:leader="dot" w:pos="8306"/>
        </w:tabs>
      </w:pPr>
      <w:hyperlink w:anchor="_Toc14839" w:history="1">
        <w:r>
          <w:rPr>
            <w:rFonts w:ascii="仿宋" w:eastAsia="仿宋" w:hAnsi="仿宋" w:cs="仿宋" w:hint="eastAsia"/>
            <w:lang w:eastAsia="zh-CN"/>
          </w:rPr>
          <w:t>(一)、经济评价财务测算</w:t>
        </w:r>
        <w:r>
          <w:tab/>
        </w:r>
        <w:r>
          <w:fldChar w:fldCharType="begin"/>
        </w:r>
        <w:r>
          <w:instrText xml:space="preserve"> PAGEREF _Toc14839 \h </w:instrText>
        </w:r>
        <w:r>
          <w:fldChar w:fldCharType="separate"/>
        </w:r>
        <w:r>
          <w:t>28</w:t>
        </w:r>
        <w:r>
          <w:fldChar w:fldCharType="end"/>
        </w:r>
      </w:hyperlink>
    </w:p>
    <w:p>
      <w:pPr>
        <w:pStyle w:val="TOC2"/>
        <w:tabs>
          <w:tab w:val="right" w:leader="dot" w:pos="8306"/>
        </w:tabs>
      </w:pPr>
      <w:hyperlink w:anchor="_Toc3493" w:history="1">
        <w:r>
          <w:rPr>
            <w:rFonts w:ascii="仿宋" w:eastAsia="仿宋" w:hAnsi="仿宋" w:cs="仿宋" w:hint="eastAsia"/>
            <w:lang w:eastAsia="zh-CN"/>
          </w:rPr>
          <w:t>(二)、速释制剂材料项目盈利能力分析</w:t>
        </w:r>
        <w:r>
          <w:tab/>
        </w:r>
        <w:r>
          <w:fldChar w:fldCharType="begin"/>
        </w:r>
        <w:r>
          <w:instrText xml:space="preserve"> PAGEREF _Toc3493 \h </w:instrText>
        </w:r>
        <w:r>
          <w:fldChar w:fldCharType="separate"/>
        </w:r>
        <w:r>
          <w:t>30</w:t>
        </w:r>
        <w:r>
          <w:fldChar w:fldCharType="end"/>
        </w:r>
      </w:hyperlink>
    </w:p>
    <w:p>
      <w:pPr>
        <w:pStyle w:val="TOC1"/>
        <w:tabs>
          <w:tab w:val="right" w:leader="dot" w:pos="8306"/>
        </w:tabs>
      </w:pPr>
      <w:hyperlink w:anchor="_Toc16056" w:history="1">
        <w:r>
          <w:rPr>
            <w:rFonts w:ascii="仿宋" w:eastAsia="仿宋" w:hAnsi="仿宋" w:cs="仿宋" w:hint="eastAsia"/>
            <w:lang w:eastAsia="zh-CN"/>
          </w:rPr>
          <w:t>十、速释制剂材料项目环境影响分析</w:t>
        </w:r>
        <w:r>
          <w:tab/>
        </w:r>
        <w:r>
          <w:fldChar w:fldCharType="begin"/>
        </w:r>
        <w:r>
          <w:instrText xml:space="preserve"> PAGEREF _Toc16056 \h </w:instrText>
        </w:r>
        <w:r>
          <w:fldChar w:fldCharType="separate"/>
        </w:r>
        <w:r>
          <w:t>30</w:t>
        </w:r>
        <w:r>
          <w:fldChar w:fldCharType="end"/>
        </w:r>
      </w:hyperlink>
    </w:p>
    <w:p>
      <w:pPr>
        <w:pStyle w:val="TOC2"/>
        <w:tabs>
          <w:tab w:val="right" w:leader="dot" w:pos="8306"/>
        </w:tabs>
      </w:pPr>
      <w:hyperlink w:anchor="_Toc9304" w:history="1">
        <w:r>
          <w:rPr>
            <w:rFonts w:ascii="仿宋" w:eastAsia="仿宋" w:hAnsi="仿宋" w:cs="仿宋" w:hint="eastAsia"/>
            <w:lang w:eastAsia="zh-CN"/>
          </w:rPr>
          <w:t>(一)、建设区域环境质量现状</w:t>
        </w:r>
        <w:r>
          <w:tab/>
        </w:r>
        <w:r>
          <w:fldChar w:fldCharType="begin"/>
        </w:r>
        <w:r>
          <w:instrText xml:space="preserve"> PAGEREF _Toc9304 \h </w:instrText>
        </w:r>
        <w:r>
          <w:fldChar w:fldCharType="separate"/>
        </w:r>
        <w:r>
          <w:t>30</w:t>
        </w:r>
        <w:r>
          <w:fldChar w:fldCharType="end"/>
        </w:r>
      </w:hyperlink>
    </w:p>
    <w:p>
      <w:pPr>
        <w:pStyle w:val="TOC2"/>
        <w:tabs>
          <w:tab w:val="right" w:leader="dot" w:pos="8306"/>
        </w:tabs>
      </w:pPr>
      <w:hyperlink w:anchor="_Toc20832" w:history="1">
        <w:r>
          <w:rPr>
            <w:rFonts w:ascii="仿宋" w:eastAsia="仿宋" w:hAnsi="仿宋" w:cs="仿宋" w:hint="eastAsia"/>
            <w:lang w:eastAsia="zh-CN"/>
          </w:rPr>
          <w:t>(二)、建设期环境保护</w:t>
        </w:r>
        <w:r>
          <w:tab/>
        </w:r>
        <w:r>
          <w:fldChar w:fldCharType="begin"/>
        </w:r>
        <w:r>
          <w:instrText xml:space="preserve"> PAGEREF _Toc20832 \h </w:instrText>
        </w:r>
        <w:r>
          <w:fldChar w:fldCharType="separate"/>
        </w:r>
        <w:r>
          <w:t>32</w:t>
        </w:r>
        <w:r>
          <w:fldChar w:fldCharType="end"/>
        </w:r>
      </w:hyperlink>
    </w:p>
    <w:p>
      <w:pPr>
        <w:pStyle w:val="TOC2"/>
        <w:tabs>
          <w:tab w:val="right" w:leader="dot" w:pos="8306"/>
        </w:tabs>
      </w:pPr>
      <w:hyperlink w:anchor="_Toc5947" w:history="1">
        <w:r>
          <w:rPr>
            <w:rFonts w:ascii="仿宋" w:eastAsia="仿宋" w:hAnsi="仿宋" w:cs="仿宋" w:hint="eastAsia"/>
            <w:lang w:eastAsia="zh-CN"/>
          </w:rPr>
          <w:t>(三)、运营期环境保护</w:t>
        </w:r>
        <w:r>
          <w:tab/>
        </w:r>
        <w:r>
          <w:fldChar w:fldCharType="begin"/>
        </w:r>
        <w:r>
          <w:instrText xml:space="preserve"> PAGEREF _Toc5947 \h </w:instrText>
        </w:r>
        <w:r>
          <w:fldChar w:fldCharType="separate"/>
        </w:r>
        <w:r>
          <w:t>33</w:t>
        </w:r>
        <w:r>
          <w:fldChar w:fldCharType="end"/>
        </w:r>
      </w:hyperlink>
    </w:p>
    <w:p>
      <w:pPr>
        <w:pStyle w:val="TOC2"/>
        <w:tabs>
          <w:tab w:val="right" w:leader="dot" w:pos="8306"/>
        </w:tabs>
      </w:pPr>
      <w:hyperlink w:anchor="_Toc27331" w:history="1">
        <w:r>
          <w:rPr>
            <w:rFonts w:ascii="仿宋" w:eastAsia="仿宋" w:hAnsi="仿宋" w:cs="仿宋" w:hint="eastAsia"/>
            <w:lang w:eastAsia="zh-CN"/>
          </w:rPr>
          <w:t>(四)、速释制剂材料项目建设对区域经济的影响</w:t>
        </w:r>
        <w:r>
          <w:tab/>
        </w:r>
        <w:r>
          <w:fldChar w:fldCharType="begin"/>
        </w:r>
        <w:r>
          <w:instrText xml:space="preserve"> PAGEREF _Toc27331 \h </w:instrText>
        </w:r>
        <w:r>
          <w:fldChar w:fldCharType="separate"/>
        </w:r>
        <w:r>
          <w:t>35</w:t>
        </w:r>
        <w:r>
          <w:fldChar w:fldCharType="end"/>
        </w:r>
      </w:hyperlink>
    </w:p>
    <w:p>
      <w:pPr>
        <w:pStyle w:val="TOC2"/>
        <w:tabs>
          <w:tab w:val="right" w:leader="dot" w:pos="8306"/>
        </w:tabs>
      </w:pPr>
      <w:hyperlink w:anchor="_Toc7439" w:history="1">
        <w:r>
          <w:rPr>
            <w:rFonts w:ascii="仿宋" w:eastAsia="仿宋" w:hAnsi="仿宋" w:cs="仿宋" w:hint="eastAsia"/>
            <w:lang w:eastAsia="zh-CN"/>
          </w:rPr>
          <w:t>(五)、废弃物处理</w:t>
        </w:r>
        <w:r>
          <w:tab/>
        </w:r>
        <w:r>
          <w:fldChar w:fldCharType="begin"/>
        </w:r>
        <w:r>
          <w:instrText xml:space="preserve"> PAGEREF _Toc7439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77" w:history="1">
        <w:r>
          <w:rPr>
            <w:rFonts w:ascii="仿宋" w:eastAsia="仿宋" w:hAnsi="仿宋" w:cs="仿宋" w:hint="eastAsia"/>
            <w:lang w:eastAsia="zh-CN"/>
          </w:rPr>
          <w:t>(六)、特殊环境影响分析</w:t>
        </w:r>
        <w:r>
          <w:tab/>
        </w:r>
        <w:r>
          <w:fldChar w:fldCharType="begin"/>
        </w:r>
        <w:r>
          <w:instrText xml:space="preserve"> PAGEREF _Toc27377 \h </w:instrText>
        </w:r>
        <w:r>
          <w:fldChar w:fldCharType="separate"/>
        </w:r>
        <w:r>
          <w:t>38</w:t>
        </w:r>
        <w:r>
          <w:fldChar w:fldCharType="end"/>
        </w:r>
      </w:hyperlink>
    </w:p>
    <w:p>
      <w:pPr>
        <w:pStyle w:val="TOC2"/>
        <w:tabs>
          <w:tab w:val="right" w:leader="dot" w:pos="8306"/>
        </w:tabs>
      </w:pPr>
      <w:hyperlink w:anchor="_Toc20655" w:history="1">
        <w:r>
          <w:rPr>
            <w:rFonts w:ascii="仿宋" w:eastAsia="仿宋" w:hAnsi="仿宋" w:cs="仿宋" w:hint="eastAsia"/>
            <w:lang w:eastAsia="zh-CN"/>
          </w:rPr>
          <w:t>(七)、清洁生产</w:t>
        </w:r>
        <w:r>
          <w:tab/>
        </w:r>
        <w:r>
          <w:fldChar w:fldCharType="begin"/>
        </w:r>
        <w:r>
          <w:instrText xml:space="preserve"> PAGEREF _Toc20655 \h </w:instrText>
        </w:r>
        <w:r>
          <w:fldChar w:fldCharType="separate"/>
        </w:r>
        <w:r>
          <w:t>39</w:t>
        </w:r>
        <w:r>
          <w:fldChar w:fldCharType="end"/>
        </w:r>
      </w:hyperlink>
    </w:p>
    <w:p>
      <w:pPr>
        <w:pStyle w:val="TOC2"/>
        <w:tabs>
          <w:tab w:val="right" w:leader="dot" w:pos="8306"/>
        </w:tabs>
      </w:pPr>
      <w:hyperlink w:anchor="_Toc30773" w:history="1">
        <w:r>
          <w:rPr>
            <w:rFonts w:ascii="仿宋" w:eastAsia="仿宋" w:hAnsi="仿宋" w:cs="仿宋" w:hint="eastAsia"/>
            <w:lang w:eastAsia="zh-CN"/>
          </w:rPr>
          <w:t>(八)、环境保护综合评价</w:t>
        </w:r>
        <w:r>
          <w:tab/>
        </w:r>
        <w:r>
          <w:fldChar w:fldCharType="begin"/>
        </w:r>
        <w:r>
          <w:instrText xml:space="preserve"> PAGEREF _Toc30773 \h </w:instrText>
        </w:r>
        <w:r>
          <w:fldChar w:fldCharType="separate"/>
        </w:r>
        <w:r>
          <w:t>40</w:t>
        </w:r>
        <w:r>
          <w:fldChar w:fldCharType="end"/>
        </w:r>
      </w:hyperlink>
    </w:p>
    <w:p>
      <w:pPr>
        <w:pStyle w:val="TOC1"/>
        <w:tabs>
          <w:tab w:val="right" w:leader="dot" w:pos="8306"/>
        </w:tabs>
      </w:pPr>
      <w:hyperlink w:anchor="_Toc25231" w:history="1">
        <w:r>
          <w:rPr>
            <w:rFonts w:ascii="仿宋" w:eastAsia="仿宋" w:hAnsi="仿宋" w:cs="仿宋" w:hint="eastAsia"/>
            <w:lang w:eastAsia="zh-CN"/>
          </w:rPr>
          <w:t>十一、速释制剂材料项目投资规划</w:t>
        </w:r>
        <w:r>
          <w:tab/>
        </w:r>
        <w:r>
          <w:fldChar w:fldCharType="begin"/>
        </w:r>
        <w:r>
          <w:instrText xml:space="preserve"> PAGEREF _Toc25231 \h </w:instrText>
        </w:r>
        <w:r>
          <w:fldChar w:fldCharType="separate"/>
        </w:r>
        <w:r>
          <w:t>41</w:t>
        </w:r>
        <w:r>
          <w:fldChar w:fldCharType="end"/>
        </w:r>
      </w:hyperlink>
    </w:p>
    <w:p>
      <w:pPr>
        <w:pStyle w:val="TOC2"/>
        <w:tabs>
          <w:tab w:val="right" w:leader="dot" w:pos="8306"/>
        </w:tabs>
      </w:pPr>
      <w:hyperlink w:anchor="_Toc32554" w:history="1">
        <w:r>
          <w:rPr>
            <w:rFonts w:ascii="仿宋" w:eastAsia="仿宋" w:hAnsi="仿宋" w:cs="仿宋" w:hint="eastAsia"/>
            <w:lang w:eastAsia="zh-CN"/>
          </w:rPr>
          <w:t>(一)、速释制剂材料项目总投资估算</w:t>
        </w:r>
        <w:r>
          <w:tab/>
        </w:r>
        <w:r>
          <w:fldChar w:fldCharType="begin"/>
        </w:r>
        <w:r>
          <w:instrText xml:space="preserve"> PAGEREF _Toc32554 \h </w:instrText>
        </w:r>
        <w:r>
          <w:fldChar w:fldCharType="separate"/>
        </w:r>
        <w:r>
          <w:t>41</w:t>
        </w:r>
        <w:r>
          <w:fldChar w:fldCharType="end"/>
        </w:r>
      </w:hyperlink>
    </w:p>
    <w:p>
      <w:pPr>
        <w:pStyle w:val="TOC2"/>
        <w:tabs>
          <w:tab w:val="right" w:leader="dot" w:pos="8306"/>
        </w:tabs>
      </w:pPr>
      <w:hyperlink w:anchor="_Toc23309" w:history="1">
        <w:r>
          <w:rPr>
            <w:rFonts w:ascii="仿宋" w:eastAsia="仿宋" w:hAnsi="仿宋" w:cs="仿宋" w:hint="eastAsia"/>
            <w:lang w:eastAsia="zh-CN"/>
          </w:rPr>
          <w:t>(二)、资金筹措</w:t>
        </w:r>
        <w:r>
          <w:tab/>
        </w:r>
        <w:r>
          <w:fldChar w:fldCharType="begin"/>
        </w:r>
        <w:r>
          <w:instrText xml:space="preserve"> PAGEREF _Toc23309 \h </w:instrText>
        </w:r>
        <w:r>
          <w:fldChar w:fldCharType="separate"/>
        </w:r>
        <w:r>
          <w:t>42</w:t>
        </w:r>
        <w:r>
          <w:fldChar w:fldCharType="end"/>
        </w:r>
      </w:hyperlink>
    </w:p>
    <w:p>
      <w:pPr>
        <w:pStyle w:val="TOC1"/>
        <w:tabs>
          <w:tab w:val="right" w:leader="dot" w:pos="8306"/>
        </w:tabs>
      </w:pPr>
      <w:hyperlink w:anchor="_Toc9274" w:history="1">
        <w:r>
          <w:rPr>
            <w:rFonts w:ascii="仿宋" w:eastAsia="仿宋" w:hAnsi="仿宋" w:cs="仿宋" w:hint="eastAsia"/>
            <w:lang w:eastAsia="zh-CN"/>
          </w:rPr>
          <w:t>十二、速释制剂材料项目社会影响</w:t>
        </w:r>
        <w:r>
          <w:tab/>
        </w:r>
        <w:r>
          <w:fldChar w:fldCharType="begin"/>
        </w:r>
        <w:r>
          <w:instrText xml:space="preserve"> PAGEREF _Toc9274 \h </w:instrText>
        </w:r>
        <w:r>
          <w:fldChar w:fldCharType="separate"/>
        </w:r>
        <w:r>
          <w:t>43</w:t>
        </w:r>
        <w:r>
          <w:fldChar w:fldCharType="end"/>
        </w:r>
      </w:hyperlink>
    </w:p>
    <w:p>
      <w:pPr>
        <w:pStyle w:val="TOC2"/>
        <w:tabs>
          <w:tab w:val="right" w:leader="dot" w:pos="8306"/>
        </w:tabs>
      </w:pPr>
      <w:hyperlink w:anchor="_Toc7269" w:history="1">
        <w:r>
          <w:rPr>
            <w:rFonts w:ascii="仿宋" w:eastAsia="仿宋" w:hAnsi="仿宋" w:cs="仿宋" w:hint="eastAsia"/>
            <w:lang w:eastAsia="zh-CN"/>
          </w:rPr>
          <w:t>(一)、社会责任与义务</w:t>
        </w:r>
        <w:r>
          <w:tab/>
        </w:r>
        <w:r>
          <w:fldChar w:fldCharType="begin"/>
        </w:r>
        <w:r>
          <w:instrText xml:space="preserve"> PAGEREF _Toc7269 \h </w:instrText>
        </w:r>
        <w:r>
          <w:fldChar w:fldCharType="separate"/>
        </w:r>
        <w:r>
          <w:t>43</w:t>
        </w:r>
        <w:r>
          <w:fldChar w:fldCharType="end"/>
        </w:r>
      </w:hyperlink>
    </w:p>
    <w:p>
      <w:pPr>
        <w:pStyle w:val="TOC2"/>
        <w:tabs>
          <w:tab w:val="right" w:leader="dot" w:pos="8306"/>
        </w:tabs>
      </w:pPr>
      <w:hyperlink w:anchor="_Toc14910" w:history="1">
        <w:r>
          <w:rPr>
            <w:rFonts w:ascii="仿宋" w:eastAsia="仿宋" w:hAnsi="仿宋" w:cs="仿宋" w:hint="eastAsia"/>
            <w:lang w:eastAsia="zh-CN"/>
          </w:rPr>
          <w:t>(二)、社会参与与沟通</w:t>
        </w:r>
        <w:r>
          <w:tab/>
        </w:r>
        <w:r>
          <w:fldChar w:fldCharType="begin"/>
        </w:r>
        <w:r>
          <w:instrText xml:space="preserve"> PAGEREF _Toc14910 \h </w:instrText>
        </w:r>
        <w:r>
          <w:fldChar w:fldCharType="separate"/>
        </w:r>
        <w:r>
          <w:t>44</w:t>
        </w:r>
        <w:r>
          <w:fldChar w:fldCharType="end"/>
        </w:r>
      </w:hyperlink>
    </w:p>
    <w:p>
      <w:pPr>
        <w:pStyle w:val="TOC1"/>
        <w:tabs>
          <w:tab w:val="right" w:leader="dot" w:pos="8306"/>
        </w:tabs>
      </w:pPr>
      <w:hyperlink w:anchor="_Toc2387" w:history="1">
        <w:r>
          <w:rPr>
            <w:rFonts w:ascii="仿宋" w:eastAsia="仿宋" w:hAnsi="仿宋" w:cs="仿宋" w:hint="eastAsia"/>
            <w:lang w:eastAsia="zh-CN"/>
          </w:rPr>
          <w:t>十三、速释制剂材料项目工程方案分析</w:t>
        </w:r>
        <w:r>
          <w:tab/>
        </w:r>
        <w:r>
          <w:fldChar w:fldCharType="begin"/>
        </w:r>
        <w:r>
          <w:instrText xml:space="preserve"> PAGEREF _Toc2387 \h </w:instrText>
        </w:r>
        <w:r>
          <w:fldChar w:fldCharType="separate"/>
        </w:r>
        <w:r>
          <w:t>45</w:t>
        </w:r>
        <w:r>
          <w:fldChar w:fldCharType="end"/>
        </w:r>
      </w:hyperlink>
    </w:p>
    <w:p>
      <w:pPr>
        <w:pStyle w:val="TOC2"/>
        <w:tabs>
          <w:tab w:val="right" w:leader="dot" w:pos="8306"/>
        </w:tabs>
      </w:pPr>
      <w:hyperlink w:anchor="_Toc12071" w:history="1">
        <w:r>
          <w:rPr>
            <w:rFonts w:ascii="仿宋" w:eastAsia="仿宋" w:hAnsi="仿宋" w:cs="仿宋" w:hint="eastAsia"/>
            <w:lang w:eastAsia="zh-CN"/>
          </w:rPr>
          <w:t>(一)、建筑工程设计原则</w:t>
        </w:r>
        <w:r>
          <w:tab/>
        </w:r>
        <w:r>
          <w:fldChar w:fldCharType="begin"/>
        </w:r>
        <w:r>
          <w:instrText xml:space="preserve"> PAGEREF _Toc12071 \h </w:instrText>
        </w:r>
        <w:r>
          <w:fldChar w:fldCharType="separate"/>
        </w:r>
        <w:r>
          <w:t>45</w:t>
        </w:r>
        <w:r>
          <w:fldChar w:fldCharType="end"/>
        </w:r>
      </w:hyperlink>
    </w:p>
    <w:p>
      <w:pPr>
        <w:pStyle w:val="TOC2"/>
        <w:tabs>
          <w:tab w:val="right" w:leader="dot" w:pos="8306"/>
        </w:tabs>
      </w:pPr>
      <w:hyperlink w:anchor="_Toc7583" w:history="1">
        <w:r>
          <w:rPr>
            <w:rFonts w:ascii="仿宋" w:eastAsia="仿宋" w:hAnsi="仿宋" w:cs="仿宋" w:hint="eastAsia"/>
            <w:lang w:eastAsia="zh-CN"/>
          </w:rPr>
          <w:t>(二)、土建工程建设指标</w:t>
        </w:r>
        <w:r>
          <w:tab/>
        </w:r>
        <w:r>
          <w:fldChar w:fldCharType="begin"/>
        </w:r>
        <w:r>
          <w:instrText xml:space="preserve"> PAGEREF _Toc7583 \h </w:instrText>
        </w:r>
        <w:r>
          <w:fldChar w:fldCharType="separate"/>
        </w:r>
        <w:r>
          <w:t>48</w:t>
        </w:r>
        <w:r>
          <w:fldChar w:fldCharType="end"/>
        </w:r>
      </w:hyperlink>
    </w:p>
    <w:p>
      <w:pPr>
        <w:pStyle w:val="TOC1"/>
        <w:tabs>
          <w:tab w:val="right" w:leader="dot" w:pos="8306"/>
        </w:tabs>
      </w:pPr>
      <w:hyperlink w:anchor="_Toc9934" w:history="1">
        <w:r>
          <w:rPr>
            <w:rFonts w:ascii="仿宋" w:eastAsia="仿宋" w:hAnsi="仿宋" w:cs="仿宋" w:hint="eastAsia"/>
            <w:lang w:eastAsia="zh-CN"/>
          </w:rPr>
          <w:t>十四、速释制剂材料项目治理与监督</w:t>
        </w:r>
        <w:r>
          <w:tab/>
        </w:r>
        <w:r>
          <w:fldChar w:fldCharType="begin"/>
        </w:r>
        <w:r>
          <w:instrText xml:space="preserve"> PAGEREF _Toc9934 \h </w:instrText>
        </w:r>
        <w:r>
          <w:fldChar w:fldCharType="separate"/>
        </w:r>
        <w:r>
          <w:t>50</w:t>
        </w:r>
        <w:r>
          <w:fldChar w:fldCharType="end"/>
        </w:r>
      </w:hyperlink>
    </w:p>
    <w:p>
      <w:pPr>
        <w:pStyle w:val="TOC2"/>
        <w:tabs>
          <w:tab w:val="right" w:leader="dot" w:pos="8306"/>
        </w:tabs>
      </w:pPr>
      <w:hyperlink w:anchor="_Toc28710" w:history="1">
        <w:r>
          <w:rPr>
            <w:rFonts w:ascii="仿宋" w:eastAsia="仿宋" w:hAnsi="仿宋" w:cs="仿宋" w:hint="eastAsia"/>
            <w:lang w:eastAsia="zh-CN"/>
          </w:rPr>
          <w:t>(一)、速释制剂材料项目治理结构</w:t>
        </w:r>
        <w:r>
          <w:tab/>
        </w:r>
        <w:r>
          <w:fldChar w:fldCharType="begin"/>
        </w:r>
        <w:r>
          <w:instrText xml:space="preserve"> PAGEREF _Toc28710 \h </w:instrText>
        </w:r>
        <w:r>
          <w:fldChar w:fldCharType="separate"/>
        </w:r>
        <w:r>
          <w:t>50</w:t>
        </w:r>
        <w:r>
          <w:fldChar w:fldCharType="end"/>
        </w:r>
      </w:hyperlink>
    </w:p>
    <w:p>
      <w:pPr>
        <w:pStyle w:val="TOC2"/>
        <w:tabs>
          <w:tab w:val="right" w:leader="dot" w:pos="8306"/>
        </w:tabs>
      </w:pPr>
      <w:hyperlink w:anchor="_Toc32095" w:history="1">
        <w:r>
          <w:rPr>
            <w:rFonts w:ascii="仿宋" w:eastAsia="仿宋" w:hAnsi="仿宋" w:cs="仿宋" w:hint="eastAsia"/>
            <w:lang w:eastAsia="zh-CN"/>
          </w:rPr>
          <w:t>(二)、监督与审计</w:t>
        </w:r>
        <w:r>
          <w:tab/>
        </w:r>
        <w:r>
          <w:fldChar w:fldCharType="begin"/>
        </w:r>
        <w:r>
          <w:instrText xml:space="preserve"> PAGEREF _Toc32095 \h </w:instrText>
        </w:r>
        <w:r>
          <w:fldChar w:fldCharType="separate"/>
        </w:r>
        <w:r>
          <w:t>51</w:t>
        </w:r>
        <w:r>
          <w:fldChar w:fldCharType="end"/>
        </w:r>
      </w:hyperlink>
    </w:p>
    <w:p>
      <w:pPr>
        <w:pStyle w:val="TOC1"/>
        <w:tabs>
          <w:tab w:val="right" w:leader="dot" w:pos="8306"/>
        </w:tabs>
      </w:pPr>
      <w:hyperlink w:anchor="_Toc4644" w:history="1">
        <w:r>
          <w:rPr>
            <w:rFonts w:ascii="仿宋" w:eastAsia="仿宋" w:hAnsi="仿宋" w:cs="仿宋" w:hint="eastAsia"/>
            <w:lang w:eastAsia="zh-CN"/>
          </w:rPr>
          <w:t>十五、供应链管理</w:t>
        </w:r>
        <w:r>
          <w:tab/>
        </w:r>
        <w:r>
          <w:fldChar w:fldCharType="begin"/>
        </w:r>
        <w:r>
          <w:instrText xml:space="preserve"> PAGEREF _Toc4644 \h </w:instrText>
        </w:r>
        <w:r>
          <w:fldChar w:fldCharType="separate"/>
        </w:r>
        <w:r>
          <w:t>53</w:t>
        </w:r>
        <w:r>
          <w:fldChar w:fldCharType="end"/>
        </w:r>
      </w:hyperlink>
    </w:p>
    <w:p>
      <w:pPr>
        <w:pStyle w:val="TOC2"/>
        <w:tabs>
          <w:tab w:val="right" w:leader="dot" w:pos="8306"/>
        </w:tabs>
      </w:pPr>
      <w:hyperlink w:anchor="_Toc30200" w:history="1">
        <w:r>
          <w:rPr>
            <w:rFonts w:ascii="仿宋" w:eastAsia="仿宋" w:hAnsi="仿宋" w:cs="仿宋" w:hint="eastAsia"/>
            <w:lang w:eastAsia="zh-CN"/>
          </w:rPr>
          <w:t>(一)、供应链战略规划</w:t>
        </w:r>
        <w:r>
          <w:tab/>
        </w:r>
        <w:r>
          <w:fldChar w:fldCharType="begin"/>
        </w:r>
        <w:r>
          <w:instrText xml:space="preserve"> PAGEREF _Toc30200 \h </w:instrText>
        </w:r>
        <w:r>
          <w:fldChar w:fldCharType="separate"/>
        </w:r>
        <w:r>
          <w:t>53</w:t>
        </w:r>
        <w:r>
          <w:fldChar w:fldCharType="end"/>
        </w:r>
      </w:hyperlink>
    </w:p>
    <w:p>
      <w:pPr>
        <w:pStyle w:val="TOC2"/>
        <w:tabs>
          <w:tab w:val="right" w:leader="dot" w:pos="8306"/>
        </w:tabs>
      </w:pPr>
      <w:hyperlink w:anchor="_Toc7620" w:history="1">
        <w:r>
          <w:rPr>
            <w:rFonts w:ascii="仿宋" w:eastAsia="仿宋" w:hAnsi="仿宋" w:cs="仿宋" w:hint="eastAsia"/>
            <w:lang w:eastAsia="zh-CN"/>
          </w:rPr>
          <w:t>(二)、供应商选择与合作</w:t>
        </w:r>
        <w:r>
          <w:tab/>
        </w:r>
        <w:r>
          <w:fldChar w:fldCharType="begin"/>
        </w:r>
        <w:r>
          <w:instrText xml:space="preserve"> PAGEREF _Toc7620 \h </w:instrText>
        </w:r>
        <w:r>
          <w:fldChar w:fldCharType="separate"/>
        </w:r>
        <w:r>
          <w:t>54</w:t>
        </w:r>
        <w:r>
          <w:fldChar w:fldCharType="end"/>
        </w:r>
      </w:hyperlink>
    </w:p>
    <w:p>
      <w:pPr>
        <w:pStyle w:val="TOC2"/>
        <w:tabs>
          <w:tab w:val="right" w:leader="dot" w:pos="8306"/>
        </w:tabs>
      </w:pPr>
      <w:hyperlink w:anchor="_Toc16247" w:history="1">
        <w:r>
          <w:rPr>
            <w:rFonts w:ascii="仿宋" w:eastAsia="仿宋" w:hAnsi="仿宋" w:cs="仿宋" w:hint="eastAsia"/>
            <w:lang w:eastAsia="zh-CN"/>
          </w:rPr>
          <w:t>(三)、物流与库存管理</w:t>
        </w:r>
        <w:r>
          <w:tab/>
        </w:r>
        <w:r>
          <w:fldChar w:fldCharType="begin"/>
        </w:r>
        <w:r>
          <w:instrText xml:space="preserve"> PAGEREF _Toc16247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24"/>
      <w:r>
        <w:rPr>
          <w:rFonts w:ascii="仿宋" w:eastAsia="仿宋" w:hAnsi="仿宋" w:cs="仿宋" w:hint="eastAsia"/>
          <w:sz w:val="28"/>
          <w:lang w:eastAsia="zh-CN"/>
        </w:rPr>
        <w:t>一、速释制剂材料项目绩效评估</w:t>
      </w:r>
      <w:bookmarkEnd w:id="2"/>
    </w:p>
    <w:p>
      <w:pPr>
        <w:pStyle w:val="Heading2"/>
        <w:rPr>
          <w:rFonts w:ascii="仿宋" w:eastAsia="仿宋" w:hAnsi="仿宋" w:cs="仿宋" w:hint="eastAsia"/>
          <w:lang w:eastAsia="zh-CN"/>
        </w:rPr>
      </w:pPr>
      <w:bookmarkStart w:id="3" w:name="_Toc146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速释制剂材料项目中，我们设计了一套全面的绩效评估指标，以确保速释制剂材料项目的可控和成功交付。这些指标跨足速释制剂材料项目目标、成本、进度和质量等多个维度，为我们提供了全面洞察速释制剂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速释制剂材料项目目标达成率是我们关注的首要指标。我们设定了明确的目标，并通过定期监测和评估，迅速发现并应对潜在的目标偏差。这为速释制剂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成本绩效是另一个核心关注点。通过实际成本与预算成本的对比分析，我们深入了解成本差异的原因，及时调整资源分配，保持速释制剂材料项目在经济效益方面的合理水平。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释制剂材料项目进度作为关键的绩效指标之一，得到了精心的关注。我们制定了详细的速释制剂材料项目进度计划，并设立了进度符合度指标，确保实际进度与计划进度保持一致。这使我们能够快速发现和解决潜在的进度问题，保持速释制剂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速释制剂材料项目绩效的不可或缺的一环。我们引入了一系列的质量标准和客户满意度指标，以确保速释制剂材料项目交付的成果在质量上达到或超越预期水平。通过持续监测这些指标，我们努力提升速释制剂材料项目整体质量水平，为速释制剂材料项目的成功交付提供有力保障。通过这些科学且全面的绩效评估，我们能够更好地引导速释制剂材料项目的持续改进，确保速释制剂材料项目目标的顺利达成。</w:t>
      </w:r>
    </w:p>
    <w:p>
      <w:pPr>
        <w:pStyle w:val="Heading2"/>
        <w:ind w:firstLine="560" w:firstLineChars="200"/>
        <w:rPr>
          <w:rFonts w:ascii="仿宋" w:eastAsia="仿宋" w:hAnsi="仿宋" w:cs="仿宋" w:hint="eastAsia"/>
          <w:sz w:val="28"/>
          <w:lang w:eastAsia="zh-CN"/>
        </w:rPr>
      </w:pPr>
      <w:bookmarkStart w:id="4" w:name="_Toc283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绩效评估是速释制剂材料项目中的关键环节，为确保速释制剂材料项目达到预期目标，我们采用了多层次、多维度的绩效评估方法。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速释制剂材料项目的战略目标对齐，确保每个决策和行动都与速释制剂材料项目整体目标保持一致。团队会定期召开战略对齐会议，审视当前工作与速释制剂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速释制剂材料项目进度、质量、成本和风险等方面。这些指标通过数据收集和分析，为速释制剂材料项目管理团队提供了客观的评估依据。例如，我们通过速释制剂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绩效评估不仅仅停留在速释制剂材料项目内部，还考虑了速释制剂材料项目对外部环境的影响。我们定期进行干系人满意度调查，以了解各利益相关方对速释制剂材料项目的期望和满意度，并及时做出调整。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这种多层次、多角度的绩效评估方法，使得我们能够全面了解速释制剂材料项目的运行状态，及时做出调整，确保速释制剂材料项目在不断变化的环境中保持稳健前行。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14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为了确保速释制剂材料项目的有效管理和不断优化，我们采用了精心设计的绩效评估周期。这个周期旨在实现灵活、实时和全面的评估，以适应速释制剂材料项目执行中的各种挑战。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速释制剂材料项目的不同需求，分为短期、中期和长期。短期评估关注每个迭代或工作周期，以及时发现和解决当前任务中的问题。中期评估涵盖几个迭代，深入了解整体速释制剂材料项目的趋势和性能。长期评估则着眼于整个速释制剂材料项目阶段，确保速释制剂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速释制剂材料项目管理工具和协作平台，团队成员能够随时更新和分享速释制剂材料项目数据。这种实时性的反馈机制使我们能够及时察觉潜在问题，快速调整，保持速释制剂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速释制剂材料项目的决策制定密不可分。每个周期的速释制剂材料项目回顾会议成为集体总结经验、识别问题深层次原因并找到创新解决方案的平台。这种定期的反思与调整机制使速释制剂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6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397"/>
      <w:r>
        <w:rPr>
          <w:rFonts w:ascii="仿宋" w:eastAsia="仿宋" w:hAnsi="仿宋" w:cs="仿宋" w:hint="eastAsia"/>
          <w:lang w:eastAsia="zh-CN"/>
        </w:rPr>
        <w:t>(一)、速释制剂材料行业分析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速释制剂材料行业一直以来都是市场的关注焦点。行业内的发展趋势、竞争态势以及潜在机会都对速释制剂材料项目的推进产生深远的影响。通过深入研究行业的整体概貌，我们将更好地理解行业的核心特征，为速释制剂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速释制剂材料行业，技术一直是推动创新和发展的关键因素。我们将对当前技术趋势进行详尽分析，包括但不限于人工智能、大数据应用、先进制造技术等。这有助于速释制剂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速释制剂材料项目成功的基础。我们将对主要竞争对手进行深入研究，包括其市场份额、产品特点、市场定位等。通过全面了解竞争对手的优势和劣势，速释制剂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291"/>
      <w:r>
        <w:rPr>
          <w:rFonts w:ascii="仿宋" w:eastAsia="仿宋" w:hAnsi="仿宋" w:cs="仿宋" w:hint="eastAsia"/>
          <w:sz w:val="28"/>
          <w:lang w:eastAsia="zh-CN"/>
        </w:rPr>
        <w:t>(二)、速释制剂材料市场分析预测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速释制剂材料市场未来的增长趋势。这包括市场的整体规模、各细分领域的发展趋势等。速释制剂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速释制剂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速释制剂材料项目实施过程中需要充分考虑的因素。我们将对市场风险进行全面评估，包括但不限于政策法规风险、市场竞争风险、技术变革风险等。通过对潜在风险的深入分析，速释制剂材料项目可以制定相应的风险缓解策略，降低不确定性对速释制剂材料项目的影响。</w:t>
      </w:r>
    </w:p>
    <w:p>
      <w:pPr>
        <w:pStyle w:val="Heading1"/>
        <w:ind w:firstLine="560" w:firstLineChars="200"/>
        <w:rPr>
          <w:rFonts w:ascii="仿宋" w:eastAsia="仿宋" w:hAnsi="仿宋" w:cs="仿宋" w:hint="eastAsia"/>
          <w:sz w:val="28"/>
          <w:lang w:eastAsia="zh-CN"/>
        </w:rPr>
      </w:pPr>
      <w:bookmarkStart w:id="9" w:name="_Toc22526"/>
      <w:r>
        <w:rPr>
          <w:rFonts w:ascii="仿宋" w:eastAsia="仿宋" w:hAnsi="仿宋" w:cs="仿宋" w:hint="eastAsia"/>
          <w:sz w:val="28"/>
          <w:lang w:eastAsia="zh-CN"/>
        </w:rPr>
        <w:t>三、速释制剂材料项目建设背景及必要性分析</w:t>
      </w:r>
      <w:bookmarkEnd w:id="9"/>
    </w:p>
    <w:p>
      <w:pPr>
        <w:pStyle w:val="Heading2"/>
        <w:rPr>
          <w:rFonts w:ascii="仿宋" w:eastAsia="仿宋" w:hAnsi="仿宋" w:cs="仿宋" w:hint="eastAsia"/>
          <w:lang w:eastAsia="zh-CN"/>
        </w:rPr>
      </w:pPr>
      <w:bookmarkStart w:id="10" w:name="_Toc32579"/>
      <w:r>
        <w:rPr>
          <w:rFonts w:ascii="仿宋" w:eastAsia="仿宋" w:hAnsi="仿宋" w:cs="仿宋" w:hint="eastAsia"/>
          <w:lang w:eastAsia="zh-CN"/>
        </w:rPr>
        <w:t>(一)、速释制剂材料项目背景分析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速释制剂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速释制剂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速释制剂材料项目在这个潮流中的定位。同时，我们将关注行业内涌现的新兴机遇，以便速释制剂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速释制剂材料项目提供了强大的发展动力。我们将聚焦于行业内最新的技术发展趋势，包括但不限于人工智能、大数据分析、物联网等领域。通过深度的技术研究，我们将确保速释制剂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速释制剂材料项目发展的源泉。我们将投入更多的精力对市场需求进行深入剖析，超越表面的需求，深入挖掘潜在的市场痛点和机遇。通过对市场需求的细致了解，速释制剂材料项目将更有针对性地设计解决方案，满足市场的多样化需求，从而更好地促进速释制剂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速释制剂材料项目战略至关重要。我们将对竞争态势进行更为深入的分析，包括但不限于市场份额、产品特点、客户满意度等多个维度。通过深度的竞争分析，速释制剂材料项目将能够更准确地把握市场脉搏，制定具有竞争力的速释制剂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速释制剂材料项目的发展具有直接的影响。我们将进行更为全面的法规和政策分析，了解行业发展中的潜在法律风险和合规挑战。通过充分了解和遵守相关法规，速释制剂材料项目将确保在法律框架内合法合规运营，为速释制剂材料项目的稳健发展提供有力支持。</w:t>
      </w:r>
    </w:p>
    <w:p>
      <w:pPr>
        <w:pStyle w:val="Heading2"/>
        <w:ind w:firstLine="560" w:firstLineChars="200"/>
        <w:rPr>
          <w:rFonts w:ascii="仿宋" w:eastAsia="仿宋" w:hAnsi="仿宋" w:cs="仿宋" w:hint="eastAsia"/>
          <w:sz w:val="28"/>
          <w:lang w:eastAsia="zh-CN"/>
        </w:rPr>
      </w:pPr>
      <w:bookmarkStart w:id="11" w:name="_Toc10837"/>
      <w:r>
        <w:rPr>
          <w:rFonts w:ascii="仿宋" w:eastAsia="仿宋" w:hAnsi="仿宋" w:cs="仿宋" w:hint="eastAsia"/>
          <w:sz w:val="28"/>
          <w:lang w:eastAsia="zh-CN"/>
        </w:rPr>
        <w:t>(二)、速释制剂材料项目建设必要性分析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释制剂材料项目建设的迫切性源于对行业发展趋势的深刻洞察。我们正处于一个行业变革的时代，科技创新、数字化转型成为企业发展的关键动力。速释制剂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速释制剂材料项目建设不仅仅是为了跟上潮流，更是为了通过技术创新推动企业的持续发展。通过引入先进的技术和解决方案，速释制剂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速释制剂材料项目的建设成为必然选择，通过提高产品质量、拓展服务领域，从而在竞争中获得更多的机会。速释制剂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速释制剂材料项目建设的必要性体现在对客户需求更精准的满足。通过速释制剂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释制剂材料项目建设的背后是对企业持续创新的追求。只有通过不断创新，企业才能在竞争中立于不败之地。速释制剂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066"/>
      <w:r>
        <w:rPr>
          <w:rFonts w:ascii="仿宋" w:eastAsia="仿宋" w:hAnsi="仿宋" w:cs="仿宋" w:hint="eastAsia"/>
          <w:sz w:val="28"/>
          <w:lang w:eastAsia="zh-CN"/>
        </w:rPr>
        <w:t>四、速释制剂材料项目建设单位说明</w:t>
      </w:r>
      <w:bookmarkEnd w:id="12"/>
    </w:p>
    <w:p>
      <w:pPr>
        <w:pStyle w:val="Heading2"/>
        <w:rPr>
          <w:rFonts w:ascii="仿宋" w:eastAsia="仿宋" w:hAnsi="仿宋" w:cs="仿宋" w:hint="eastAsia"/>
          <w:lang w:eastAsia="zh-CN"/>
        </w:rPr>
      </w:pPr>
      <w:bookmarkStart w:id="13" w:name="_Toc25170"/>
      <w:r>
        <w:rPr>
          <w:rFonts w:ascii="仿宋" w:eastAsia="仿宋" w:hAnsi="仿宋" w:cs="仿宋" w:hint="eastAsia"/>
          <w:lang w:eastAsia="zh-CN"/>
        </w:rPr>
        <w:t>(一)、速释制剂材料项目承办单位基本情况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39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速释制剂材料项目承办单位的XXXX，我们着眼于实现可持续的经济效益。通过技术创新和解决方案的提供，公司预计在速释制剂材料项目执行期间将获得可观的收入增长。这一收入来源主要包括速释制剂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同时，我们注重成本控制和效率提升，以确保速释制剂材料项目的可持续盈利。透过精细的管理和资源优化，公司期望实现速释制剂材料项目利润最大化。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速释制剂材料项目实施进行全面的投资评估，包括速释制剂材料项目启动阶段的资金投入和后续运营成本。通过对速释制剂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速释制剂材料项目实施过程中具备足够的资金流动性，公司将进行详尽的现金流分析。这包括资金需求的合理预测、速释制剂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423"/>
      <w:r>
        <w:rPr>
          <w:rFonts w:ascii="仿宋" w:eastAsia="仿宋" w:hAnsi="仿宋" w:cs="仿宋" w:hint="eastAsia"/>
          <w:sz w:val="28"/>
          <w:lang w:eastAsia="zh-CN"/>
        </w:rPr>
        <w:t>五、速释制剂材料项目土建工程</w:t>
      </w:r>
      <w:bookmarkEnd w:id="15"/>
    </w:p>
    <w:p>
      <w:pPr>
        <w:pStyle w:val="Heading2"/>
        <w:rPr>
          <w:rFonts w:ascii="仿宋" w:eastAsia="仿宋" w:hAnsi="仿宋" w:cs="仿宋" w:hint="eastAsia"/>
          <w:lang w:eastAsia="zh-CN"/>
        </w:rPr>
      </w:pPr>
      <w:bookmarkStart w:id="16" w:name="_Toc2917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在速释制剂材料项目的建筑工程设计中，我们将秉承一系列重要的设计原则，以确保速释制剂材料项目建筑在功能、美观、可持续性等方面达到最佳效果。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首要原则是确保建筑的功能性得到最大化的发挥。我们将充分理解速释制剂材料项目的实际需求，合理布局各个功能区域，保证建筑在满足业务需求的同时，提供高效的工作环境。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在建筑设计中，我们将综合考虑建设和运营成本。通过精细的经济效益分析，确保设计方案在高效利用资源的同时，对速释制剂材料项目的长期盈利能力有积极的贡献。</w:t>
      </w:r>
    </w:p>
    <w:p>
      <w:pPr>
        <w:pStyle w:val="Heading2"/>
        <w:ind w:firstLine="560" w:firstLineChars="200"/>
        <w:rPr>
          <w:rFonts w:ascii="仿宋" w:eastAsia="仿宋" w:hAnsi="仿宋" w:cs="仿宋" w:hint="eastAsia"/>
          <w:sz w:val="28"/>
          <w:lang w:eastAsia="zh-CN"/>
        </w:rPr>
      </w:pPr>
      <w:bookmarkStart w:id="17" w:name="_Toc2254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释制剂材料项目的土建工程设计中，我们将精准设定设计年限，结合速释制剂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速释制剂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04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速释制剂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速释制剂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速释制剂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96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本期工程速释制剂材料项目预计总建筑面积XXX平方米，其中：计容建筑面积XXX平方米，计划建筑工程投资XX万元，占速释制剂材料项目总投资的XX%。</w:t>
      </w:r>
    </w:p>
    <w:p>
      <w:pPr>
        <w:pStyle w:val="Heading1"/>
        <w:ind w:firstLine="560" w:firstLineChars="200"/>
        <w:rPr>
          <w:rFonts w:ascii="仿宋" w:eastAsia="仿宋" w:hAnsi="仿宋" w:cs="仿宋" w:hint="eastAsia"/>
          <w:sz w:val="28"/>
          <w:lang w:eastAsia="zh-CN"/>
        </w:rPr>
      </w:pPr>
      <w:bookmarkStart w:id="20" w:name="_Toc4815"/>
      <w:r>
        <w:rPr>
          <w:rFonts w:ascii="仿宋" w:eastAsia="仿宋" w:hAnsi="仿宋" w:cs="仿宋" w:hint="eastAsia"/>
          <w:sz w:val="28"/>
          <w:lang w:eastAsia="zh-CN"/>
        </w:rPr>
        <w:t>六、速释制剂材料项目选址可行性分析</w:t>
      </w:r>
      <w:bookmarkEnd w:id="20"/>
    </w:p>
    <w:p>
      <w:pPr>
        <w:pStyle w:val="Heading2"/>
        <w:rPr>
          <w:rFonts w:ascii="仿宋" w:eastAsia="仿宋" w:hAnsi="仿宋" w:cs="仿宋" w:hint="eastAsia"/>
          <w:lang w:eastAsia="zh-CN"/>
        </w:rPr>
      </w:pPr>
      <w:bookmarkStart w:id="21" w:name="_Toc28750"/>
      <w:r>
        <w:rPr>
          <w:rFonts w:ascii="仿宋" w:eastAsia="仿宋" w:hAnsi="仿宋" w:cs="仿宋" w:hint="eastAsia"/>
          <w:lang w:eastAsia="zh-CN"/>
        </w:rPr>
        <w:t>(一)、速释制剂材料项目选址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该速释制剂材料项目选址位于XX省XX市XX区XXX街道</w:t>
      </w:r>
    </w:p>
    <w:p>
      <w:pPr>
        <w:pStyle w:val="Heading2"/>
        <w:ind w:firstLine="560" w:firstLineChars="200"/>
        <w:rPr>
          <w:rFonts w:ascii="仿宋" w:eastAsia="仿宋" w:hAnsi="仿宋" w:cs="仿宋" w:hint="eastAsia"/>
          <w:sz w:val="28"/>
          <w:lang w:eastAsia="zh-CN"/>
        </w:rPr>
      </w:pPr>
      <w:bookmarkStart w:id="22" w:name="_Toc1326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速释制剂材料项目的征地面积将根据速释制剂材料项目的实际规模和需求进行精确规划。具体面积XXX平方米，旨在确保速释制剂材料项目不仅能够满足当前的发展需求，还能够预留空间以适应未来的扩展。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净用地面积是在征地面积基础上去除不可利用面积后的实际可开发用地。具体面积XXX平方米，考虑到环保、交通、安全等多方面因素，以确保速释制剂材料项目在整体利用效率上达到最优。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速释制剂材料项目计划建设的建筑总规模具体面积XXX平方米。这一规模的确定综合考虑了速释制剂材料项目的性质、规模，以及城市规划的相关要求，确保建筑布局与周边环境协调一致。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绿地率是速释制剂材料项目用地中被规划为绿地的比例。具体面积XXX平方米，旨在通过合理规划绿地，改善速释制剂材料项目周边环境，提升居民生活质量，并符合城市整体绿化规划。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https://d.book118.com/927123135061006045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速释制剂材料项目计划设计方案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B37A25"/>
    <w:rsid w:val="44B37A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2313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2024-02-21T23:46:00Z</dcterms:created>
  <dcterms:modified xsi:type="dcterms:W3CDTF">2024-02-21T23:46:31Z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1109FD88373D4513AF1E62CC2A8BBC51_11</vt:lpwstr>
  </property>
  <property fmtid="{D5CDD505-2E9C-101B-9397-08002B2CF9AE}" pid="3" name="KSOProductBuildVer">
    <vt:lpwstr>2052-12.1.0.16250</vt:lpwstr>
  </property>
</Properties>
</file>