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高导热石墨散热材料项目规划设计方案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57" w:history="1">
        <w:r>
          <w:rPr>
            <w:rFonts w:ascii="仿宋" w:eastAsia="仿宋" w:hAnsi="仿宋" w:cs="仿宋" w:hint="eastAsia"/>
            <w:lang w:eastAsia="zh-CN"/>
          </w:rPr>
          <w:t>前言</w:t>
        </w:r>
        <w:r>
          <w:tab/>
        </w:r>
        <w:r>
          <w:fldChar w:fldCharType="begin"/>
        </w:r>
        <w:r>
          <w:instrText xml:space="preserve"> PAGEREF _Toc28357 \h </w:instrText>
        </w:r>
        <w:r>
          <w:fldChar w:fldCharType="separate"/>
        </w:r>
        <w:r>
          <w:t>3</w:t>
        </w:r>
        <w:r>
          <w:fldChar w:fldCharType="end"/>
        </w:r>
      </w:hyperlink>
    </w:p>
    <w:p>
      <w:pPr>
        <w:pStyle w:val="TOC1"/>
        <w:tabs>
          <w:tab w:val="right" w:leader="dot" w:pos="8306"/>
        </w:tabs>
      </w:pPr>
      <w:hyperlink w:anchor="_Toc4630" w:history="1">
        <w:r>
          <w:rPr>
            <w:rFonts w:ascii="仿宋" w:eastAsia="仿宋" w:hAnsi="仿宋" w:cs="仿宋" w:hint="eastAsia"/>
            <w:lang w:eastAsia="zh-CN"/>
          </w:rPr>
          <w:t>一、产品规划分析</w:t>
        </w:r>
        <w:r>
          <w:tab/>
        </w:r>
        <w:r>
          <w:fldChar w:fldCharType="begin"/>
        </w:r>
        <w:r>
          <w:instrText xml:space="preserve"> PAGEREF _Toc4630 \h </w:instrText>
        </w:r>
        <w:r>
          <w:fldChar w:fldCharType="separate"/>
        </w:r>
        <w:r>
          <w:t>3</w:t>
        </w:r>
        <w:r>
          <w:fldChar w:fldCharType="end"/>
        </w:r>
      </w:hyperlink>
    </w:p>
    <w:p>
      <w:pPr>
        <w:pStyle w:val="TOC2"/>
        <w:tabs>
          <w:tab w:val="right" w:leader="dot" w:pos="8306"/>
        </w:tabs>
      </w:pPr>
      <w:hyperlink w:anchor="_Toc21892" w:history="1">
        <w:r>
          <w:rPr>
            <w:rFonts w:ascii="仿宋" w:eastAsia="仿宋" w:hAnsi="仿宋" w:cs="仿宋" w:hint="eastAsia"/>
            <w:lang w:eastAsia="zh-CN"/>
          </w:rPr>
          <w:t>(一)、产品规划</w:t>
        </w:r>
        <w:r>
          <w:tab/>
        </w:r>
        <w:r>
          <w:fldChar w:fldCharType="begin"/>
        </w:r>
        <w:r>
          <w:instrText xml:space="preserve"> PAGEREF _Toc21892 \h </w:instrText>
        </w:r>
        <w:r>
          <w:fldChar w:fldCharType="separate"/>
        </w:r>
        <w:r>
          <w:t>3</w:t>
        </w:r>
        <w:r>
          <w:fldChar w:fldCharType="end"/>
        </w:r>
      </w:hyperlink>
    </w:p>
    <w:p>
      <w:pPr>
        <w:pStyle w:val="TOC2"/>
        <w:tabs>
          <w:tab w:val="right" w:leader="dot" w:pos="8306"/>
        </w:tabs>
      </w:pPr>
      <w:hyperlink w:anchor="_Toc3467" w:history="1">
        <w:r>
          <w:rPr>
            <w:rFonts w:ascii="仿宋" w:eastAsia="仿宋" w:hAnsi="仿宋" w:cs="仿宋" w:hint="eastAsia"/>
            <w:lang w:eastAsia="zh-CN"/>
          </w:rPr>
          <w:t>(二)、建设规模</w:t>
        </w:r>
        <w:r>
          <w:tab/>
        </w:r>
        <w:r>
          <w:fldChar w:fldCharType="begin"/>
        </w:r>
        <w:r>
          <w:instrText xml:space="preserve"> PAGEREF _Toc3467 \h </w:instrText>
        </w:r>
        <w:r>
          <w:fldChar w:fldCharType="separate"/>
        </w:r>
        <w:r>
          <w:t>4</w:t>
        </w:r>
        <w:r>
          <w:fldChar w:fldCharType="end"/>
        </w:r>
      </w:hyperlink>
    </w:p>
    <w:p>
      <w:pPr>
        <w:pStyle w:val="TOC1"/>
        <w:tabs>
          <w:tab w:val="right" w:leader="dot" w:pos="8306"/>
        </w:tabs>
      </w:pPr>
      <w:hyperlink w:anchor="_Toc32563" w:history="1">
        <w:r>
          <w:rPr>
            <w:rFonts w:ascii="仿宋" w:eastAsia="仿宋" w:hAnsi="仿宋" w:cs="仿宋" w:hint="eastAsia"/>
            <w:lang w:eastAsia="zh-CN"/>
          </w:rPr>
          <w:t>二、高导热石墨散热材料项目建设单位说明</w:t>
        </w:r>
        <w:r>
          <w:tab/>
        </w:r>
        <w:r>
          <w:fldChar w:fldCharType="begin"/>
        </w:r>
        <w:r>
          <w:instrText xml:space="preserve"> PAGEREF _Toc32563 \h </w:instrText>
        </w:r>
        <w:r>
          <w:fldChar w:fldCharType="separate"/>
        </w:r>
        <w:r>
          <w:t>5</w:t>
        </w:r>
        <w:r>
          <w:fldChar w:fldCharType="end"/>
        </w:r>
      </w:hyperlink>
    </w:p>
    <w:p>
      <w:pPr>
        <w:pStyle w:val="TOC2"/>
        <w:tabs>
          <w:tab w:val="right" w:leader="dot" w:pos="8306"/>
        </w:tabs>
      </w:pPr>
      <w:hyperlink w:anchor="_Toc15087" w:history="1">
        <w:r>
          <w:rPr>
            <w:rFonts w:ascii="仿宋" w:eastAsia="仿宋" w:hAnsi="仿宋" w:cs="仿宋" w:hint="eastAsia"/>
            <w:lang w:eastAsia="zh-CN"/>
          </w:rPr>
          <w:t>(一)、高导热石墨散热材料项目承办单位基本情况</w:t>
        </w:r>
        <w:r>
          <w:tab/>
        </w:r>
        <w:r>
          <w:fldChar w:fldCharType="begin"/>
        </w:r>
        <w:r>
          <w:instrText xml:space="preserve"> PAGEREF _Toc15087 \h </w:instrText>
        </w:r>
        <w:r>
          <w:fldChar w:fldCharType="separate"/>
        </w:r>
        <w:r>
          <w:t>5</w:t>
        </w:r>
        <w:r>
          <w:fldChar w:fldCharType="end"/>
        </w:r>
      </w:hyperlink>
    </w:p>
    <w:p>
      <w:pPr>
        <w:pStyle w:val="TOC2"/>
        <w:tabs>
          <w:tab w:val="right" w:leader="dot" w:pos="8306"/>
        </w:tabs>
      </w:pPr>
      <w:hyperlink w:anchor="_Toc31697" w:history="1">
        <w:r>
          <w:rPr>
            <w:rFonts w:ascii="仿宋" w:eastAsia="仿宋" w:hAnsi="仿宋" w:cs="仿宋" w:hint="eastAsia"/>
            <w:lang w:eastAsia="zh-CN"/>
          </w:rPr>
          <w:t>(二)、公司经济效益分析</w:t>
        </w:r>
        <w:r>
          <w:tab/>
        </w:r>
        <w:r>
          <w:fldChar w:fldCharType="begin"/>
        </w:r>
        <w:r>
          <w:instrText xml:space="preserve"> PAGEREF _Toc31697 \h </w:instrText>
        </w:r>
        <w:r>
          <w:fldChar w:fldCharType="separate"/>
        </w:r>
        <w:r>
          <w:t>6</w:t>
        </w:r>
        <w:r>
          <w:fldChar w:fldCharType="end"/>
        </w:r>
      </w:hyperlink>
    </w:p>
    <w:p>
      <w:pPr>
        <w:pStyle w:val="TOC1"/>
        <w:tabs>
          <w:tab w:val="right" w:leader="dot" w:pos="8306"/>
        </w:tabs>
      </w:pPr>
      <w:hyperlink w:anchor="_Toc10844" w:history="1">
        <w:r>
          <w:rPr>
            <w:rFonts w:ascii="仿宋" w:eastAsia="仿宋" w:hAnsi="仿宋" w:cs="仿宋" w:hint="eastAsia"/>
            <w:lang w:eastAsia="zh-CN"/>
          </w:rPr>
          <w:t>三、高导热石墨散热材料项目文档管理</w:t>
        </w:r>
        <w:r>
          <w:tab/>
        </w:r>
        <w:r>
          <w:fldChar w:fldCharType="begin"/>
        </w:r>
        <w:r>
          <w:instrText xml:space="preserve"> PAGEREF _Toc10844 \h </w:instrText>
        </w:r>
        <w:r>
          <w:fldChar w:fldCharType="separate"/>
        </w:r>
        <w:r>
          <w:t>7</w:t>
        </w:r>
        <w:r>
          <w:fldChar w:fldCharType="end"/>
        </w:r>
      </w:hyperlink>
    </w:p>
    <w:p>
      <w:pPr>
        <w:pStyle w:val="TOC2"/>
        <w:tabs>
          <w:tab w:val="right" w:leader="dot" w:pos="8306"/>
        </w:tabs>
      </w:pPr>
      <w:hyperlink w:anchor="_Toc8917" w:history="1">
        <w:r>
          <w:rPr>
            <w:rFonts w:ascii="仿宋" w:eastAsia="仿宋" w:hAnsi="仿宋" w:cs="仿宋" w:hint="eastAsia"/>
            <w:lang w:eastAsia="zh-CN"/>
          </w:rPr>
          <w:t>(一)、文档编制与审查</w:t>
        </w:r>
        <w:r>
          <w:tab/>
        </w:r>
        <w:r>
          <w:fldChar w:fldCharType="begin"/>
        </w:r>
        <w:r>
          <w:instrText xml:space="preserve"> PAGEREF _Toc8917 \h </w:instrText>
        </w:r>
        <w:r>
          <w:fldChar w:fldCharType="separate"/>
        </w:r>
        <w:r>
          <w:t>7</w:t>
        </w:r>
        <w:r>
          <w:fldChar w:fldCharType="end"/>
        </w:r>
      </w:hyperlink>
    </w:p>
    <w:p>
      <w:pPr>
        <w:pStyle w:val="TOC2"/>
        <w:tabs>
          <w:tab w:val="right" w:leader="dot" w:pos="8306"/>
        </w:tabs>
      </w:pPr>
      <w:hyperlink w:anchor="_Toc26126" w:history="1">
        <w:r>
          <w:rPr>
            <w:rFonts w:ascii="仿宋" w:eastAsia="仿宋" w:hAnsi="仿宋" w:cs="仿宋" w:hint="eastAsia"/>
            <w:lang w:eastAsia="zh-CN"/>
          </w:rPr>
          <w:t>(二)、文档发布与分发</w:t>
        </w:r>
        <w:r>
          <w:tab/>
        </w:r>
        <w:r>
          <w:fldChar w:fldCharType="begin"/>
        </w:r>
        <w:r>
          <w:instrText xml:space="preserve"> PAGEREF _Toc26126 \h </w:instrText>
        </w:r>
        <w:r>
          <w:fldChar w:fldCharType="separate"/>
        </w:r>
        <w:r>
          <w:t>8</w:t>
        </w:r>
        <w:r>
          <w:fldChar w:fldCharType="end"/>
        </w:r>
      </w:hyperlink>
    </w:p>
    <w:p>
      <w:pPr>
        <w:pStyle w:val="TOC2"/>
        <w:tabs>
          <w:tab w:val="right" w:leader="dot" w:pos="8306"/>
        </w:tabs>
      </w:pPr>
      <w:hyperlink w:anchor="_Toc11176" w:history="1">
        <w:r>
          <w:rPr>
            <w:rFonts w:ascii="仿宋" w:eastAsia="仿宋" w:hAnsi="仿宋" w:cs="仿宋" w:hint="eastAsia"/>
            <w:lang w:eastAsia="zh-CN"/>
          </w:rPr>
          <w:t>(三)、文档存档与归档</w:t>
        </w:r>
        <w:r>
          <w:tab/>
        </w:r>
        <w:r>
          <w:fldChar w:fldCharType="begin"/>
        </w:r>
        <w:r>
          <w:instrText xml:space="preserve"> PAGEREF _Toc11176 \h </w:instrText>
        </w:r>
        <w:r>
          <w:fldChar w:fldCharType="separate"/>
        </w:r>
        <w:r>
          <w:t>9</w:t>
        </w:r>
        <w:r>
          <w:fldChar w:fldCharType="end"/>
        </w:r>
      </w:hyperlink>
    </w:p>
    <w:p>
      <w:pPr>
        <w:pStyle w:val="TOC1"/>
        <w:tabs>
          <w:tab w:val="right" w:leader="dot" w:pos="8306"/>
        </w:tabs>
      </w:pPr>
      <w:hyperlink w:anchor="_Toc11641" w:history="1">
        <w:r>
          <w:rPr>
            <w:rFonts w:ascii="仿宋" w:eastAsia="仿宋" w:hAnsi="仿宋" w:cs="仿宋" w:hint="eastAsia"/>
            <w:lang w:eastAsia="zh-CN"/>
          </w:rPr>
          <w:t>四、高导热石墨散热材料项目危机管理</w:t>
        </w:r>
        <w:r>
          <w:tab/>
        </w:r>
        <w:r>
          <w:fldChar w:fldCharType="begin"/>
        </w:r>
        <w:r>
          <w:instrText xml:space="preserve"> PAGEREF _Toc11641 \h </w:instrText>
        </w:r>
        <w:r>
          <w:fldChar w:fldCharType="separate"/>
        </w:r>
        <w:r>
          <w:t>10</w:t>
        </w:r>
        <w:r>
          <w:fldChar w:fldCharType="end"/>
        </w:r>
      </w:hyperlink>
    </w:p>
    <w:p>
      <w:pPr>
        <w:pStyle w:val="TOC2"/>
        <w:tabs>
          <w:tab w:val="right" w:leader="dot" w:pos="8306"/>
        </w:tabs>
      </w:pPr>
      <w:hyperlink w:anchor="_Toc28375" w:history="1">
        <w:r>
          <w:rPr>
            <w:rFonts w:ascii="仿宋" w:eastAsia="仿宋" w:hAnsi="仿宋" w:cs="仿宋" w:hint="eastAsia"/>
            <w:lang w:eastAsia="zh-CN"/>
          </w:rPr>
          <w:t>(一)、危机预警与识别</w:t>
        </w:r>
        <w:r>
          <w:tab/>
        </w:r>
        <w:r>
          <w:fldChar w:fldCharType="begin"/>
        </w:r>
        <w:r>
          <w:instrText xml:space="preserve"> PAGEREF _Toc28375 \h </w:instrText>
        </w:r>
        <w:r>
          <w:fldChar w:fldCharType="separate"/>
        </w:r>
        <w:r>
          <w:t>10</w:t>
        </w:r>
        <w:r>
          <w:fldChar w:fldCharType="end"/>
        </w:r>
      </w:hyperlink>
    </w:p>
    <w:p>
      <w:pPr>
        <w:pStyle w:val="TOC2"/>
        <w:tabs>
          <w:tab w:val="right" w:leader="dot" w:pos="8306"/>
        </w:tabs>
      </w:pPr>
      <w:hyperlink w:anchor="_Toc23099" w:history="1">
        <w:r>
          <w:rPr>
            <w:rFonts w:ascii="仿宋" w:eastAsia="仿宋" w:hAnsi="仿宋" w:cs="仿宋" w:hint="eastAsia"/>
            <w:lang w:eastAsia="zh-CN"/>
          </w:rPr>
          <w:t>(二)、危机应对与恢复</w:t>
        </w:r>
        <w:r>
          <w:tab/>
        </w:r>
        <w:r>
          <w:fldChar w:fldCharType="begin"/>
        </w:r>
        <w:r>
          <w:instrText xml:space="preserve"> PAGEREF _Toc23099 \h </w:instrText>
        </w:r>
        <w:r>
          <w:fldChar w:fldCharType="separate"/>
        </w:r>
        <w:r>
          <w:t>11</w:t>
        </w:r>
        <w:r>
          <w:fldChar w:fldCharType="end"/>
        </w:r>
      </w:hyperlink>
    </w:p>
    <w:p>
      <w:pPr>
        <w:pStyle w:val="TOC1"/>
        <w:tabs>
          <w:tab w:val="right" w:leader="dot" w:pos="8306"/>
        </w:tabs>
      </w:pPr>
      <w:hyperlink w:anchor="_Toc15809" w:history="1">
        <w:r>
          <w:rPr>
            <w:rFonts w:ascii="仿宋" w:eastAsia="仿宋" w:hAnsi="仿宋" w:cs="仿宋" w:hint="eastAsia"/>
            <w:lang w:eastAsia="zh-CN"/>
          </w:rPr>
          <w:t>五、高导热石墨散热材料项目选址可行性分析</w:t>
        </w:r>
        <w:r>
          <w:tab/>
        </w:r>
        <w:r>
          <w:fldChar w:fldCharType="begin"/>
        </w:r>
        <w:r>
          <w:instrText xml:space="preserve"> PAGEREF _Toc15809 \h </w:instrText>
        </w:r>
        <w:r>
          <w:fldChar w:fldCharType="separate"/>
        </w:r>
        <w:r>
          <w:t>13</w:t>
        </w:r>
        <w:r>
          <w:fldChar w:fldCharType="end"/>
        </w:r>
      </w:hyperlink>
    </w:p>
    <w:p>
      <w:pPr>
        <w:pStyle w:val="TOC2"/>
        <w:tabs>
          <w:tab w:val="right" w:leader="dot" w:pos="8306"/>
        </w:tabs>
      </w:pPr>
      <w:hyperlink w:anchor="_Toc17802" w:history="1">
        <w:r>
          <w:rPr>
            <w:rFonts w:ascii="仿宋" w:eastAsia="仿宋" w:hAnsi="仿宋" w:cs="仿宋" w:hint="eastAsia"/>
            <w:lang w:eastAsia="zh-CN"/>
          </w:rPr>
          <w:t>(一)、高导热石墨散热材料项目选址</w:t>
        </w:r>
        <w:r>
          <w:tab/>
        </w:r>
        <w:r>
          <w:fldChar w:fldCharType="begin"/>
        </w:r>
        <w:r>
          <w:instrText xml:space="preserve"> PAGEREF _Toc17802 \h </w:instrText>
        </w:r>
        <w:r>
          <w:fldChar w:fldCharType="separate"/>
        </w:r>
        <w:r>
          <w:t>13</w:t>
        </w:r>
        <w:r>
          <w:fldChar w:fldCharType="end"/>
        </w:r>
      </w:hyperlink>
    </w:p>
    <w:p>
      <w:pPr>
        <w:pStyle w:val="TOC2"/>
        <w:tabs>
          <w:tab w:val="right" w:leader="dot" w:pos="8306"/>
        </w:tabs>
      </w:pPr>
      <w:hyperlink w:anchor="_Toc27858" w:history="1">
        <w:r>
          <w:rPr>
            <w:rFonts w:ascii="仿宋" w:eastAsia="仿宋" w:hAnsi="仿宋" w:cs="仿宋" w:hint="eastAsia"/>
            <w:lang w:eastAsia="zh-CN"/>
          </w:rPr>
          <w:t>(二)、用地控制指标</w:t>
        </w:r>
        <w:r>
          <w:tab/>
        </w:r>
        <w:r>
          <w:fldChar w:fldCharType="begin"/>
        </w:r>
        <w:r>
          <w:instrText xml:space="preserve"> PAGEREF _Toc27858 \h </w:instrText>
        </w:r>
        <w:r>
          <w:fldChar w:fldCharType="separate"/>
        </w:r>
        <w:r>
          <w:t>13</w:t>
        </w:r>
        <w:r>
          <w:fldChar w:fldCharType="end"/>
        </w:r>
      </w:hyperlink>
    </w:p>
    <w:p>
      <w:pPr>
        <w:pStyle w:val="TOC2"/>
        <w:tabs>
          <w:tab w:val="right" w:leader="dot" w:pos="8306"/>
        </w:tabs>
      </w:pPr>
      <w:hyperlink w:anchor="_Toc31233" w:history="1">
        <w:r>
          <w:rPr>
            <w:rFonts w:ascii="仿宋" w:eastAsia="仿宋" w:hAnsi="仿宋" w:cs="仿宋" w:hint="eastAsia"/>
            <w:lang w:eastAsia="zh-CN"/>
          </w:rPr>
          <w:t>(三)、节约用地措施</w:t>
        </w:r>
        <w:r>
          <w:tab/>
        </w:r>
        <w:r>
          <w:fldChar w:fldCharType="begin"/>
        </w:r>
        <w:r>
          <w:instrText xml:space="preserve"> PAGEREF _Toc31233 \h </w:instrText>
        </w:r>
        <w:r>
          <w:fldChar w:fldCharType="separate"/>
        </w:r>
        <w:r>
          <w:t>15</w:t>
        </w:r>
        <w:r>
          <w:fldChar w:fldCharType="end"/>
        </w:r>
      </w:hyperlink>
    </w:p>
    <w:p>
      <w:pPr>
        <w:pStyle w:val="TOC2"/>
        <w:tabs>
          <w:tab w:val="right" w:leader="dot" w:pos="8306"/>
        </w:tabs>
      </w:pPr>
      <w:hyperlink w:anchor="_Toc19600" w:history="1">
        <w:r>
          <w:rPr>
            <w:rFonts w:ascii="仿宋" w:eastAsia="仿宋" w:hAnsi="仿宋" w:cs="仿宋" w:hint="eastAsia"/>
            <w:lang w:eastAsia="zh-CN"/>
          </w:rPr>
          <w:t>(四)、总图布置方案</w:t>
        </w:r>
        <w:r>
          <w:tab/>
        </w:r>
        <w:r>
          <w:fldChar w:fldCharType="begin"/>
        </w:r>
        <w:r>
          <w:instrText xml:space="preserve"> PAGEREF _Toc19600 \h </w:instrText>
        </w:r>
        <w:r>
          <w:fldChar w:fldCharType="separate"/>
        </w:r>
        <w:r>
          <w:t>16</w:t>
        </w:r>
        <w:r>
          <w:fldChar w:fldCharType="end"/>
        </w:r>
      </w:hyperlink>
    </w:p>
    <w:p>
      <w:pPr>
        <w:pStyle w:val="TOC2"/>
        <w:tabs>
          <w:tab w:val="right" w:leader="dot" w:pos="8306"/>
        </w:tabs>
      </w:pPr>
      <w:hyperlink w:anchor="_Toc7427" w:history="1">
        <w:r>
          <w:rPr>
            <w:rFonts w:ascii="仿宋" w:eastAsia="仿宋" w:hAnsi="仿宋" w:cs="仿宋" w:hint="eastAsia"/>
            <w:lang w:eastAsia="zh-CN"/>
          </w:rPr>
          <w:t>(五)、选址综合评价</w:t>
        </w:r>
        <w:r>
          <w:tab/>
        </w:r>
        <w:r>
          <w:fldChar w:fldCharType="begin"/>
        </w:r>
        <w:r>
          <w:instrText xml:space="preserve"> PAGEREF _Toc7427 \h </w:instrText>
        </w:r>
        <w:r>
          <w:fldChar w:fldCharType="separate"/>
        </w:r>
        <w:r>
          <w:t>17</w:t>
        </w:r>
        <w:r>
          <w:fldChar w:fldCharType="end"/>
        </w:r>
      </w:hyperlink>
    </w:p>
    <w:p>
      <w:pPr>
        <w:pStyle w:val="TOC1"/>
        <w:tabs>
          <w:tab w:val="right" w:leader="dot" w:pos="8306"/>
        </w:tabs>
      </w:pPr>
      <w:hyperlink w:anchor="_Toc28667" w:history="1">
        <w:r>
          <w:rPr>
            <w:rFonts w:ascii="仿宋" w:eastAsia="仿宋" w:hAnsi="仿宋" w:cs="仿宋" w:hint="eastAsia"/>
            <w:lang w:eastAsia="zh-CN"/>
          </w:rPr>
          <w:t>六、工艺说明</w:t>
        </w:r>
        <w:r>
          <w:tab/>
        </w:r>
        <w:r>
          <w:fldChar w:fldCharType="begin"/>
        </w:r>
        <w:r>
          <w:instrText xml:space="preserve"> PAGEREF _Toc28667 \h </w:instrText>
        </w:r>
        <w:r>
          <w:fldChar w:fldCharType="separate"/>
        </w:r>
        <w:r>
          <w:t>18</w:t>
        </w:r>
        <w:r>
          <w:fldChar w:fldCharType="end"/>
        </w:r>
      </w:hyperlink>
    </w:p>
    <w:p>
      <w:pPr>
        <w:pStyle w:val="TOC2"/>
        <w:tabs>
          <w:tab w:val="right" w:leader="dot" w:pos="8306"/>
        </w:tabs>
      </w:pPr>
      <w:hyperlink w:anchor="_Toc5132" w:history="1">
        <w:r>
          <w:rPr>
            <w:rFonts w:ascii="仿宋" w:eastAsia="仿宋" w:hAnsi="仿宋" w:cs="仿宋" w:hint="eastAsia"/>
            <w:lang w:eastAsia="zh-CN"/>
          </w:rPr>
          <w:t>(一)、技术管理特点</w:t>
        </w:r>
        <w:r>
          <w:tab/>
        </w:r>
        <w:r>
          <w:fldChar w:fldCharType="begin"/>
        </w:r>
        <w:r>
          <w:instrText xml:space="preserve"> PAGEREF _Toc5132 \h </w:instrText>
        </w:r>
        <w:r>
          <w:fldChar w:fldCharType="separate"/>
        </w:r>
        <w:r>
          <w:t>18</w:t>
        </w:r>
        <w:r>
          <w:fldChar w:fldCharType="end"/>
        </w:r>
      </w:hyperlink>
    </w:p>
    <w:p>
      <w:pPr>
        <w:pStyle w:val="TOC2"/>
        <w:tabs>
          <w:tab w:val="right" w:leader="dot" w:pos="8306"/>
        </w:tabs>
      </w:pPr>
      <w:hyperlink w:anchor="_Toc21272" w:history="1">
        <w:r>
          <w:rPr>
            <w:rFonts w:ascii="仿宋" w:eastAsia="仿宋" w:hAnsi="仿宋" w:cs="仿宋" w:hint="eastAsia"/>
            <w:lang w:eastAsia="zh-CN"/>
          </w:rPr>
          <w:t>(二)、高导热石墨散热材料项目工艺技术设计方案</w:t>
        </w:r>
        <w:r>
          <w:tab/>
        </w:r>
        <w:r>
          <w:fldChar w:fldCharType="begin"/>
        </w:r>
        <w:r>
          <w:instrText xml:space="preserve"> PAGEREF _Toc21272 \h </w:instrText>
        </w:r>
        <w:r>
          <w:fldChar w:fldCharType="separate"/>
        </w:r>
        <w:r>
          <w:t>20</w:t>
        </w:r>
        <w:r>
          <w:fldChar w:fldCharType="end"/>
        </w:r>
      </w:hyperlink>
    </w:p>
    <w:p>
      <w:pPr>
        <w:pStyle w:val="TOC2"/>
        <w:tabs>
          <w:tab w:val="right" w:leader="dot" w:pos="8306"/>
        </w:tabs>
      </w:pPr>
      <w:hyperlink w:anchor="_Toc19878" w:history="1">
        <w:r>
          <w:rPr>
            <w:rFonts w:ascii="仿宋" w:eastAsia="仿宋" w:hAnsi="仿宋" w:cs="仿宋" w:hint="eastAsia"/>
            <w:lang w:eastAsia="zh-CN"/>
          </w:rPr>
          <w:t>(三)、设备选型方案</w:t>
        </w:r>
        <w:r>
          <w:tab/>
        </w:r>
        <w:r>
          <w:fldChar w:fldCharType="begin"/>
        </w:r>
        <w:r>
          <w:instrText xml:space="preserve"> PAGEREF _Toc19878 \h </w:instrText>
        </w:r>
        <w:r>
          <w:fldChar w:fldCharType="separate"/>
        </w:r>
        <w:r>
          <w:t>21</w:t>
        </w:r>
        <w:r>
          <w:fldChar w:fldCharType="end"/>
        </w:r>
      </w:hyperlink>
    </w:p>
    <w:p>
      <w:pPr>
        <w:pStyle w:val="TOC1"/>
        <w:tabs>
          <w:tab w:val="right" w:leader="dot" w:pos="8306"/>
        </w:tabs>
      </w:pPr>
      <w:hyperlink w:anchor="_Toc19099" w:history="1">
        <w:r>
          <w:rPr>
            <w:rFonts w:ascii="仿宋" w:eastAsia="仿宋" w:hAnsi="仿宋" w:cs="仿宋" w:hint="eastAsia"/>
            <w:lang w:eastAsia="zh-CN"/>
          </w:rPr>
          <w:t>七、高导热石墨散热材料项目经营效益</w:t>
        </w:r>
        <w:r>
          <w:tab/>
        </w:r>
        <w:r>
          <w:fldChar w:fldCharType="begin"/>
        </w:r>
        <w:r>
          <w:instrText xml:space="preserve"> PAGEREF _Toc19099 \h </w:instrText>
        </w:r>
        <w:r>
          <w:fldChar w:fldCharType="separate"/>
        </w:r>
        <w:r>
          <w:t>22</w:t>
        </w:r>
        <w:r>
          <w:fldChar w:fldCharType="end"/>
        </w:r>
      </w:hyperlink>
    </w:p>
    <w:p>
      <w:pPr>
        <w:pStyle w:val="TOC2"/>
        <w:tabs>
          <w:tab w:val="right" w:leader="dot" w:pos="8306"/>
        </w:tabs>
      </w:pPr>
      <w:hyperlink w:anchor="_Toc4822" w:history="1">
        <w:r>
          <w:rPr>
            <w:rFonts w:ascii="仿宋" w:eastAsia="仿宋" w:hAnsi="仿宋" w:cs="仿宋" w:hint="eastAsia"/>
            <w:lang w:eastAsia="zh-CN"/>
          </w:rPr>
          <w:t>(一)、经济评价财务测算</w:t>
        </w:r>
        <w:r>
          <w:tab/>
        </w:r>
        <w:r>
          <w:fldChar w:fldCharType="begin"/>
        </w:r>
        <w:r>
          <w:instrText xml:space="preserve"> PAGEREF _Toc4822 \h </w:instrText>
        </w:r>
        <w:r>
          <w:fldChar w:fldCharType="separate"/>
        </w:r>
        <w:r>
          <w:t>22</w:t>
        </w:r>
        <w:r>
          <w:fldChar w:fldCharType="end"/>
        </w:r>
      </w:hyperlink>
    </w:p>
    <w:p>
      <w:pPr>
        <w:pStyle w:val="TOC2"/>
        <w:tabs>
          <w:tab w:val="right" w:leader="dot" w:pos="8306"/>
        </w:tabs>
      </w:pPr>
      <w:hyperlink w:anchor="_Toc11780" w:history="1">
        <w:r>
          <w:rPr>
            <w:rFonts w:ascii="仿宋" w:eastAsia="仿宋" w:hAnsi="仿宋" w:cs="仿宋" w:hint="eastAsia"/>
            <w:lang w:eastAsia="zh-CN"/>
          </w:rPr>
          <w:t>(二)、高导热石墨散热材料项目盈利能力分析</w:t>
        </w:r>
        <w:r>
          <w:tab/>
        </w:r>
        <w:r>
          <w:fldChar w:fldCharType="begin"/>
        </w:r>
        <w:r>
          <w:instrText xml:space="preserve"> PAGEREF _Toc11780 \h </w:instrText>
        </w:r>
        <w:r>
          <w:fldChar w:fldCharType="separate"/>
        </w:r>
        <w:r>
          <w:t>24</w:t>
        </w:r>
        <w:r>
          <w:fldChar w:fldCharType="end"/>
        </w:r>
      </w:hyperlink>
    </w:p>
    <w:p>
      <w:pPr>
        <w:pStyle w:val="TOC1"/>
        <w:tabs>
          <w:tab w:val="right" w:leader="dot" w:pos="8306"/>
        </w:tabs>
      </w:pPr>
      <w:hyperlink w:anchor="_Toc11593" w:history="1">
        <w:r>
          <w:rPr>
            <w:rFonts w:ascii="仿宋" w:eastAsia="仿宋" w:hAnsi="仿宋" w:cs="仿宋" w:hint="eastAsia"/>
            <w:lang w:eastAsia="zh-CN"/>
          </w:rPr>
          <w:t>八、高导热石墨散热材料项目风险管理</w:t>
        </w:r>
        <w:r>
          <w:tab/>
        </w:r>
        <w:r>
          <w:fldChar w:fldCharType="begin"/>
        </w:r>
        <w:r>
          <w:instrText xml:space="preserve"> PAGEREF _Toc11593 \h </w:instrText>
        </w:r>
        <w:r>
          <w:fldChar w:fldCharType="separate"/>
        </w:r>
        <w:r>
          <w:t>24</w:t>
        </w:r>
        <w:r>
          <w:fldChar w:fldCharType="end"/>
        </w:r>
      </w:hyperlink>
    </w:p>
    <w:p>
      <w:pPr>
        <w:pStyle w:val="TOC2"/>
        <w:tabs>
          <w:tab w:val="right" w:leader="dot" w:pos="8306"/>
        </w:tabs>
      </w:pPr>
      <w:hyperlink w:anchor="_Toc30655" w:history="1">
        <w:r>
          <w:rPr>
            <w:rFonts w:ascii="仿宋" w:eastAsia="仿宋" w:hAnsi="仿宋" w:cs="仿宋" w:hint="eastAsia"/>
            <w:lang w:eastAsia="zh-CN"/>
          </w:rPr>
          <w:t>(一)、风险识别与评估</w:t>
        </w:r>
        <w:r>
          <w:tab/>
        </w:r>
        <w:r>
          <w:fldChar w:fldCharType="begin"/>
        </w:r>
        <w:r>
          <w:instrText xml:space="preserve"> PAGEREF _Toc30655 \h </w:instrText>
        </w:r>
        <w:r>
          <w:fldChar w:fldCharType="separate"/>
        </w:r>
        <w:r>
          <w:t>24</w:t>
        </w:r>
        <w:r>
          <w:fldChar w:fldCharType="end"/>
        </w:r>
      </w:hyperlink>
    </w:p>
    <w:p>
      <w:pPr>
        <w:pStyle w:val="TOC2"/>
        <w:tabs>
          <w:tab w:val="right" w:leader="dot" w:pos="8306"/>
        </w:tabs>
      </w:pPr>
      <w:hyperlink w:anchor="_Toc20355" w:history="1">
        <w:r>
          <w:rPr>
            <w:rFonts w:ascii="仿宋" w:eastAsia="仿宋" w:hAnsi="仿宋" w:cs="仿宋" w:hint="eastAsia"/>
            <w:lang w:eastAsia="zh-CN"/>
          </w:rPr>
          <w:t>(二)、风险应对策略</w:t>
        </w:r>
        <w:r>
          <w:tab/>
        </w:r>
        <w:r>
          <w:fldChar w:fldCharType="begin"/>
        </w:r>
        <w:r>
          <w:instrText xml:space="preserve"> PAGEREF _Toc20355 \h </w:instrText>
        </w:r>
        <w:r>
          <w:fldChar w:fldCharType="separate"/>
        </w:r>
        <w:r>
          <w:t>26</w:t>
        </w:r>
        <w:r>
          <w:fldChar w:fldCharType="end"/>
        </w:r>
      </w:hyperlink>
    </w:p>
    <w:p>
      <w:pPr>
        <w:pStyle w:val="TOC2"/>
        <w:tabs>
          <w:tab w:val="right" w:leader="dot" w:pos="8306"/>
        </w:tabs>
      </w:pPr>
      <w:hyperlink w:anchor="_Toc13044" w:history="1">
        <w:r>
          <w:rPr>
            <w:rFonts w:ascii="仿宋" w:eastAsia="仿宋" w:hAnsi="仿宋" w:cs="仿宋" w:hint="eastAsia"/>
            <w:lang w:eastAsia="zh-CN"/>
          </w:rPr>
          <w:t>(三)、风险监控与控制</w:t>
        </w:r>
        <w:r>
          <w:tab/>
        </w:r>
        <w:r>
          <w:fldChar w:fldCharType="begin"/>
        </w:r>
        <w:r>
          <w:instrText xml:space="preserve"> PAGEREF _Toc13044 \h </w:instrText>
        </w:r>
        <w:r>
          <w:fldChar w:fldCharType="separate"/>
        </w:r>
        <w:r>
          <w:t>27</w:t>
        </w:r>
        <w:r>
          <w:fldChar w:fldCharType="end"/>
        </w:r>
      </w:hyperlink>
    </w:p>
    <w:p>
      <w:pPr>
        <w:pStyle w:val="TOC1"/>
        <w:tabs>
          <w:tab w:val="right" w:leader="dot" w:pos="8306"/>
        </w:tabs>
      </w:pPr>
      <w:hyperlink w:anchor="_Toc22489" w:history="1">
        <w:r>
          <w:rPr>
            <w:rFonts w:ascii="仿宋" w:eastAsia="仿宋" w:hAnsi="仿宋" w:cs="仿宋" w:hint="eastAsia"/>
            <w:lang w:eastAsia="zh-CN"/>
          </w:rPr>
          <w:t>九、高导热石墨散热材料项目投资规划</w:t>
        </w:r>
        <w:r>
          <w:tab/>
        </w:r>
        <w:r>
          <w:fldChar w:fldCharType="begin"/>
        </w:r>
        <w:r>
          <w:instrText xml:space="preserve"> PAGEREF _Toc22489 \h </w:instrText>
        </w:r>
        <w:r>
          <w:fldChar w:fldCharType="separate"/>
        </w:r>
        <w:r>
          <w:t>28</w:t>
        </w:r>
        <w:r>
          <w:fldChar w:fldCharType="end"/>
        </w:r>
      </w:hyperlink>
    </w:p>
    <w:p>
      <w:pPr>
        <w:pStyle w:val="TOC2"/>
        <w:tabs>
          <w:tab w:val="right" w:leader="dot" w:pos="8306"/>
        </w:tabs>
      </w:pPr>
      <w:hyperlink w:anchor="_Toc3376" w:history="1">
        <w:r>
          <w:rPr>
            <w:rFonts w:ascii="仿宋" w:eastAsia="仿宋" w:hAnsi="仿宋" w:cs="仿宋" w:hint="eastAsia"/>
            <w:lang w:eastAsia="zh-CN"/>
          </w:rPr>
          <w:t>(一)、高导热石墨散热材料项目总投资估算</w:t>
        </w:r>
        <w:r>
          <w:tab/>
        </w:r>
        <w:r>
          <w:fldChar w:fldCharType="begin"/>
        </w:r>
        <w:r>
          <w:instrText xml:space="preserve"> PAGEREF _Toc3376 \h </w:instrText>
        </w:r>
        <w:r>
          <w:fldChar w:fldCharType="separate"/>
        </w:r>
        <w:r>
          <w:t>28</w:t>
        </w:r>
        <w:r>
          <w:fldChar w:fldCharType="end"/>
        </w:r>
      </w:hyperlink>
    </w:p>
    <w:p>
      <w:pPr>
        <w:pStyle w:val="TOC2"/>
        <w:tabs>
          <w:tab w:val="right" w:leader="dot" w:pos="8306"/>
        </w:tabs>
      </w:pPr>
      <w:hyperlink w:anchor="_Toc3081" w:history="1">
        <w:r>
          <w:rPr>
            <w:rFonts w:ascii="仿宋" w:eastAsia="仿宋" w:hAnsi="仿宋" w:cs="仿宋" w:hint="eastAsia"/>
            <w:lang w:eastAsia="zh-CN"/>
          </w:rPr>
          <w:t>(二)、资金筹措</w:t>
        </w:r>
        <w:r>
          <w:tab/>
        </w:r>
        <w:r>
          <w:fldChar w:fldCharType="begin"/>
        </w:r>
        <w:r>
          <w:instrText xml:space="preserve"> PAGEREF _Toc3081 \h </w:instrText>
        </w:r>
        <w:r>
          <w:fldChar w:fldCharType="separate"/>
        </w:r>
        <w:r>
          <w:t>30</w:t>
        </w:r>
        <w:r>
          <w:fldChar w:fldCharType="end"/>
        </w:r>
      </w:hyperlink>
    </w:p>
    <w:p>
      <w:pPr>
        <w:pStyle w:val="TOC1"/>
        <w:tabs>
          <w:tab w:val="right" w:leader="dot" w:pos="8306"/>
        </w:tabs>
      </w:pPr>
      <w:hyperlink w:anchor="_Toc21013" w:history="1">
        <w:r>
          <w:rPr>
            <w:rFonts w:ascii="仿宋" w:eastAsia="仿宋" w:hAnsi="仿宋" w:cs="仿宋" w:hint="eastAsia"/>
            <w:lang w:eastAsia="zh-CN"/>
          </w:rPr>
          <w:t>十、高导热石墨散热材料项目创新与研发</w:t>
        </w:r>
        <w:r>
          <w:tab/>
        </w:r>
        <w:r>
          <w:fldChar w:fldCharType="begin"/>
        </w:r>
        <w:r>
          <w:instrText xml:space="preserve"> PAGEREF _Toc21013 \h </w:instrText>
        </w:r>
        <w:r>
          <w:fldChar w:fldCharType="separate"/>
        </w:r>
        <w:r>
          <w:t>30</w:t>
        </w:r>
        <w:r>
          <w:fldChar w:fldCharType="end"/>
        </w:r>
      </w:hyperlink>
    </w:p>
    <w:p>
      <w:pPr>
        <w:pStyle w:val="TOC2"/>
        <w:tabs>
          <w:tab w:val="right" w:leader="dot" w:pos="8306"/>
        </w:tabs>
      </w:pPr>
      <w:hyperlink w:anchor="_Toc6815" w:history="1">
        <w:r>
          <w:rPr>
            <w:rFonts w:ascii="仿宋" w:eastAsia="仿宋" w:hAnsi="仿宋" w:cs="仿宋" w:hint="eastAsia"/>
            <w:lang w:eastAsia="zh-CN"/>
          </w:rPr>
          <w:t>(一)、创新策略与方向</w:t>
        </w:r>
        <w:r>
          <w:tab/>
        </w:r>
        <w:r>
          <w:fldChar w:fldCharType="begin"/>
        </w:r>
        <w:r>
          <w:instrText xml:space="preserve"> PAGEREF _Toc6815 \h </w:instrText>
        </w:r>
        <w:r>
          <w:fldChar w:fldCharType="separate"/>
        </w:r>
        <w:r>
          <w:t>30</w:t>
        </w:r>
        <w:r>
          <w:fldChar w:fldCharType="end"/>
        </w:r>
      </w:hyperlink>
    </w:p>
    <w:p>
      <w:pPr>
        <w:pStyle w:val="TOC2"/>
        <w:tabs>
          <w:tab w:val="right" w:leader="dot" w:pos="8306"/>
        </w:tabs>
      </w:pPr>
      <w:hyperlink w:anchor="_Toc2469" w:history="1">
        <w:r>
          <w:rPr>
            <w:rFonts w:ascii="仿宋" w:eastAsia="仿宋" w:hAnsi="仿宋" w:cs="仿宋" w:hint="eastAsia"/>
            <w:lang w:eastAsia="zh-CN"/>
          </w:rPr>
          <w:t>(二)、研发规划与投入</w:t>
        </w:r>
        <w:r>
          <w:tab/>
        </w:r>
        <w:r>
          <w:fldChar w:fldCharType="begin"/>
        </w:r>
        <w:r>
          <w:instrText xml:space="preserve"> PAGEREF _Toc2469 \h </w:instrText>
        </w:r>
        <w:r>
          <w:fldChar w:fldCharType="separate"/>
        </w:r>
        <w:r>
          <w:t>32</w:t>
        </w:r>
        <w:r>
          <w:fldChar w:fldCharType="end"/>
        </w:r>
      </w:hyperlink>
    </w:p>
    <w:p>
      <w:pPr>
        <w:pStyle w:val="TOC1"/>
        <w:tabs>
          <w:tab w:val="right" w:leader="dot" w:pos="8306"/>
        </w:tabs>
      </w:pPr>
      <w:hyperlink w:anchor="_Toc22675" w:history="1">
        <w:r>
          <w:rPr>
            <w:rFonts w:ascii="仿宋" w:eastAsia="仿宋" w:hAnsi="仿宋" w:cs="仿宋" w:hint="eastAsia"/>
            <w:lang w:eastAsia="zh-CN"/>
          </w:rPr>
          <w:t>十一、高导热石墨散热材料项目技术管理</w:t>
        </w:r>
        <w:r>
          <w:tab/>
        </w:r>
        <w:r>
          <w:fldChar w:fldCharType="begin"/>
        </w:r>
        <w:r>
          <w:instrText xml:space="preserve"> PAGEREF _Toc22675 \h </w:instrText>
        </w:r>
        <w:r>
          <w:fldChar w:fldCharType="separate"/>
        </w:r>
        <w:r>
          <w:t>34</w:t>
        </w:r>
        <w:r>
          <w:fldChar w:fldCharType="end"/>
        </w:r>
      </w:hyperlink>
    </w:p>
    <w:p>
      <w:pPr>
        <w:pStyle w:val="TOC2"/>
        <w:tabs>
          <w:tab w:val="right" w:leader="dot" w:pos="8306"/>
        </w:tabs>
      </w:pPr>
      <w:hyperlink w:anchor="_Toc30196" w:history="1">
        <w:r>
          <w:rPr>
            <w:rFonts w:ascii="仿宋" w:eastAsia="仿宋" w:hAnsi="仿宋" w:cs="仿宋" w:hint="eastAsia"/>
            <w:lang w:eastAsia="zh-CN"/>
          </w:rPr>
          <w:t>(一)、技术方案选用方向</w:t>
        </w:r>
        <w:r>
          <w:tab/>
        </w:r>
        <w:r>
          <w:fldChar w:fldCharType="begin"/>
        </w:r>
        <w:r>
          <w:instrText xml:space="preserve"> PAGEREF _Toc30196 \h </w:instrText>
        </w:r>
        <w:r>
          <w:fldChar w:fldCharType="separate"/>
        </w:r>
        <w:r>
          <w:t>34</w:t>
        </w:r>
        <w:r>
          <w:fldChar w:fldCharType="end"/>
        </w:r>
      </w:hyperlink>
    </w:p>
    <w:p>
      <w:pPr>
        <w:pStyle w:val="TOC2"/>
        <w:tabs>
          <w:tab w:val="right" w:leader="dot" w:pos="8306"/>
        </w:tabs>
      </w:pPr>
      <w:hyperlink w:anchor="_Toc9410" w:history="1">
        <w:r>
          <w:rPr>
            <w:rFonts w:ascii="仿宋" w:eastAsia="仿宋" w:hAnsi="仿宋" w:cs="仿宋" w:hint="eastAsia"/>
            <w:lang w:eastAsia="zh-CN"/>
          </w:rPr>
          <w:t>(二)、工艺技术方案选用原则</w:t>
        </w:r>
        <w:r>
          <w:tab/>
        </w:r>
        <w:r>
          <w:fldChar w:fldCharType="begin"/>
        </w:r>
        <w:r>
          <w:instrText xml:space="preserve"> PAGEREF _Toc9410 \h </w:instrText>
        </w:r>
        <w:r>
          <w:fldChar w:fldCharType="separate"/>
        </w:r>
        <w:r>
          <w:t>36</w:t>
        </w:r>
        <w:r>
          <w:fldChar w:fldCharType="end"/>
        </w:r>
      </w:hyperlink>
    </w:p>
    <w:p>
      <w:pPr>
        <w:pStyle w:val="TOC2"/>
        <w:tabs>
          <w:tab w:val="right" w:leader="dot" w:pos="8306"/>
        </w:tabs>
      </w:pPr>
      <w:hyperlink w:anchor="_Toc21304" w:history="1">
        <w:r>
          <w:rPr>
            <w:rFonts w:ascii="仿宋" w:eastAsia="仿宋" w:hAnsi="仿宋" w:cs="仿宋" w:hint="eastAsia"/>
            <w:lang w:eastAsia="zh-CN"/>
          </w:rPr>
          <w:t>(三)、工艺技术方案要求</w:t>
        </w:r>
        <w:r>
          <w:tab/>
        </w:r>
        <w:r>
          <w:fldChar w:fldCharType="begin"/>
        </w:r>
        <w:r>
          <w:instrText xml:space="preserve"> PAGEREF _Toc21304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64" w:history="1">
        <w:r>
          <w:rPr>
            <w:rFonts w:ascii="仿宋" w:eastAsia="仿宋" w:hAnsi="仿宋" w:cs="仿宋" w:hint="eastAsia"/>
            <w:lang w:eastAsia="zh-CN"/>
          </w:rPr>
          <w:t>十二、高导热石墨散热材料项目社会影响</w:t>
        </w:r>
        <w:r>
          <w:tab/>
        </w:r>
        <w:r>
          <w:fldChar w:fldCharType="begin"/>
        </w:r>
        <w:r>
          <w:instrText xml:space="preserve"> PAGEREF _Toc26664 \h </w:instrText>
        </w:r>
        <w:r>
          <w:fldChar w:fldCharType="separate"/>
        </w:r>
        <w:r>
          <w:t>40</w:t>
        </w:r>
        <w:r>
          <w:fldChar w:fldCharType="end"/>
        </w:r>
      </w:hyperlink>
    </w:p>
    <w:p>
      <w:pPr>
        <w:pStyle w:val="TOC2"/>
        <w:tabs>
          <w:tab w:val="right" w:leader="dot" w:pos="8306"/>
        </w:tabs>
      </w:pPr>
      <w:hyperlink w:anchor="_Toc5524" w:history="1">
        <w:r>
          <w:rPr>
            <w:rFonts w:ascii="仿宋" w:eastAsia="仿宋" w:hAnsi="仿宋" w:cs="仿宋" w:hint="eastAsia"/>
            <w:lang w:eastAsia="zh-CN"/>
          </w:rPr>
          <w:t>(一)、社会责任与义务</w:t>
        </w:r>
        <w:r>
          <w:tab/>
        </w:r>
        <w:r>
          <w:fldChar w:fldCharType="begin"/>
        </w:r>
        <w:r>
          <w:instrText xml:space="preserve"> PAGEREF _Toc5524 \h </w:instrText>
        </w:r>
        <w:r>
          <w:fldChar w:fldCharType="separate"/>
        </w:r>
        <w:r>
          <w:t>40</w:t>
        </w:r>
        <w:r>
          <w:fldChar w:fldCharType="end"/>
        </w:r>
      </w:hyperlink>
    </w:p>
    <w:p>
      <w:pPr>
        <w:pStyle w:val="TOC2"/>
        <w:tabs>
          <w:tab w:val="right" w:leader="dot" w:pos="8306"/>
        </w:tabs>
      </w:pPr>
      <w:hyperlink w:anchor="_Toc8461" w:history="1">
        <w:r>
          <w:rPr>
            <w:rFonts w:ascii="仿宋" w:eastAsia="仿宋" w:hAnsi="仿宋" w:cs="仿宋" w:hint="eastAsia"/>
            <w:lang w:eastAsia="zh-CN"/>
          </w:rPr>
          <w:t>(二)、社会参与与沟通</w:t>
        </w:r>
        <w:r>
          <w:tab/>
        </w:r>
        <w:r>
          <w:fldChar w:fldCharType="begin"/>
        </w:r>
        <w:r>
          <w:instrText xml:space="preserve"> PAGEREF _Toc8461 \h </w:instrText>
        </w:r>
        <w:r>
          <w:fldChar w:fldCharType="separate"/>
        </w:r>
        <w:r>
          <w:t>41</w:t>
        </w:r>
        <w:r>
          <w:fldChar w:fldCharType="end"/>
        </w:r>
      </w:hyperlink>
    </w:p>
    <w:p>
      <w:pPr>
        <w:pStyle w:val="TOC1"/>
        <w:tabs>
          <w:tab w:val="right" w:leader="dot" w:pos="8306"/>
        </w:tabs>
      </w:pPr>
      <w:hyperlink w:anchor="_Toc31255" w:history="1">
        <w:r>
          <w:rPr>
            <w:rFonts w:ascii="仿宋" w:eastAsia="仿宋" w:hAnsi="仿宋" w:cs="仿宋" w:hint="eastAsia"/>
            <w:lang w:eastAsia="zh-CN"/>
          </w:rPr>
          <w:t>十三、营销与推广策略</w:t>
        </w:r>
        <w:r>
          <w:tab/>
        </w:r>
        <w:r>
          <w:fldChar w:fldCharType="begin"/>
        </w:r>
        <w:r>
          <w:instrText xml:space="preserve"> PAGEREF _Toc31255 \h </w:instrText>
        </w:r>
        <w:r>
          <w:fldChar w:fldCharType="separate"/>
        </w:r>
        <w:r>
          <w:t>42</w:t>
        </w:r>
        <w:r>
          <w:fldChar w:fldCharType="end"/>
        </w:r>
      </w:hyperlink>
    </w:p>
    <w:p>
      <w:pPr>
        <w:pStyle w:val="TOC2"/>
        <w:tabs>
          <w:tab w:val="right" w:leader="dot" w:pos="8306"/>
        </w:tabs>
      </w:pPr>
      <w:hyperlink w:anchor="_Toc6279" w:history="1">
        <w:r>
          <w:rPr>
            <w:rFonts w:ascii="仿宋" w:eastAsia="仿宋" w:hAnsi="仿宋" w:cs="仿宋" w:hint="eastAsia"/>
            <w:lang w:eastAsia="zh-CN"/>
          </w:rPr>
          <w:t>(一)、产品/服务定位与特点</w:t>
        </w:r>
        <w:r>
          <w:tab/>
        </w:r>
        <w:r>
          <w:fldChar w:fldCharType="begin"/>
        </w:r>
        <w:r>
          <w:instrText xml:space="preserve"> PAGEREF _Toc6279 \h </w:instrText>
        </w:r>
        <w:r>
          <w:fldChar w:fldCharType="separate"/>
        </w:r>
        <w:r>
          <w:t>42</w:t>
        </w:r>
        <w:r>
          <w:fldChar w:fldCharType="end"/>
        </w:r>
      </w:hyperlink>
    </w:p>
    <w:p>
      <w:pPr>
        <w:pStyle w:val="TOC2"/>
        <w:tabs>
          <w:tab w:val="right" w:leader="dot" w:pos="8306"/>
        </w:tabs>
      </w:pPr>
      <w:hyperlink w:anchor="_Toc11454" w:history="1">
        <w:r>
          <w:rPr>
            <w:rFonts w:ascii="仿宋" w:eastAsia="仿宋" w:hAnsi="仿宋" w:cs="仿宋" w:hint="eastAsia"/>
            <w:lang w:eastAsia="zh-CN"/>
          </w:rPr>
          <w:t>(二)、市场定位与竞争分析</w:t>
        </w:r>
        <w:r>
          <w:tab/>
        </w:r>
        <w:r>
          <w:fldChar w:fldCharType="begin"/>
        </w:r>
        <w:r>
          <w:instrText xml:space="preserve"> PAGEREF _Toc11454 \h </w:instrText>
        </w:r>
        <w:r>
          <w:fldChar w:fldCharType="separate"/>
        </w:r>
        <w:r>
          <w:t>43</w:t>
        </w:r>
        <w:r>
          <w:fldChar w:fldCharType="end"/>
        </w:r>
      </w:hyperlink>
    </w:p>
    <w:p>
      <w:pPr>
        <w:pStyle w:val="TOC2"/>
        <w:tabs>
          <w:tab w:val="right" w:leader="dot" w:pos="8306"/>
        </w:tabs>
      </w:pPr>
      <w:hyperlink w:anchor="_Toc7411" w:history="1">
        <w:r>
          <w:rPr>
            <w:rFonts w:ascii="仿宋" w:eastAsia="仿宋" w:hAnsi="仿宋" w:cs="仿宋" w:hint="eastAsia"/>
            <w:lang w:eastAsia="zh-CN"/>
          </w:rPr>
          <w:t>(三)、营销渠道与策略</w:t>
        </w:r>
        <w:r>
          <w:tab/>
        </w:r>
        <w:r>
          <w:fldChar w:fldCharType="begin"/>
        </w:r>
        <w:r>
          <w:instrText xml:space="preserve"> PAGEREF _Toc7411 \h </w:instrText>
        </w:r>
        <w:r>
          <w:fldChar w:fldCharType="separate"/>
        </w:r>
        <w:r>
          <w:t>45</w:t>
        </w:r>
        <w:r>
          <w:fldChar w:fldCharType="end"/>
        </w:r>
      </w:hyperlink>
    </w:p>
    <w:p>
      <w:pPr>
        <w:pStyle w:val="TOC2"/>
        <w:tabs>
          <w:tab w:val="right" w:leader="dot" w:pos="8306"/>
        </w:tabs>
      </w:pPr>
      <w:hyperlink w:anchor="_Toc4988" w:history="1">
        <w:r>
          <w:rPr>
            <w:rFonts w:ascii="仿宋" w:eastAsia="仿宋" w:hAnsi="仿宋" w:cs="仿宋" w:hint="eastAsia"/>
            <w:lang w:eastAsia="zh-CN"/>
          </w:rPr>
          <w:t>(四)、推广与宣传活动</w:t>
        </w:r>
        <w:r>
          <w:tab/>
        </w:r>
        <w:r>
          <w:fldChar w:fldCharType="begin"/>
        </w:r>
        <w:r>
          <w:instrText xml:space="preserve"> PAGEREF _Toc4988 \h </w:instrText>
        </w:r>
        <w:r>
          <w:fldChar w:fldCharType="separate"/>
        </w:r>
        <w:r>
          <w:t>46</w:t>
        </w:r>
        <w:r>
          <w:fldChar w:fldCharType="end"/>
        </w:r>
      </w:hyperlink>
    </w:p>
    <w:p>
      <w:pPr>
        <w:pStyle w:val="TOC1"/>
        <w:tabs>
          <w:tab w:val="right" w:leader="dot" w:pos="8306"/>
        </w:tabs>
      </w:pPr>
      <w:hyperlink w:anchor="_Toc12630" w:history="1">
        <w:r>
          <w:rPr>
            <w:rFonts w:ascii="仿宋" w:eastAsia="仿宋" w:hAnsi="仿宋" w:cs="仿宋" w:hint="eastAsia"/>
            <w:lang w:eastAsia="zh-CN"/>
          </w:rPr>
          <w:t>十四、质量管理体系</w:t>
        </w:r>
        <w:r>
          <w:tab/>
        </w:r>
        <w:r>
          <w:fldChar w:fldCharType="begin"/>
        </w:r>
        <w:r>
          <w:instrText xml:space="preserve"> PAGEREF _Toc12630 \h </w:instrText>
        </w:r>
        <w:r>
          <w:fldChar w:fldCharType="separate"/>
        </w:r>
        <w:r>
          <w:t>51</w:t>
        </w:r>
        <w:r>
          <w:fldChar w:fldCharType="end"/>
        </w:r>
      </w:hyperlink>
    </w:p>
    <w:p>
      <w:pPr>
        <w:pStyle w:val="TOC2"/>
        <w:tabs>
          <w:tab w:val="right" w:leader="dot" w:pos="8306"/>
        </w:tabs>
      </w:pPr>
      <w:hyperlink w:anchor="_Toc3736" w:history="1">
        <w:r>
          <w:rPr>
            <w:rFonts w:ascii="仿宋" w:eastAsia="仿宋" w:hAnsi="仿宋" w:cs="仿宋" w:hint="eastAsia"/>
            <w:lang w:eastAsia="zh-CN"/>
          </w:rPr>
          <w:t>(一)、质量目标与方针</w:t>
        </w:r>
        <w:r>
          <w:tab/>
        </w:r>
        <w:r>
          <w:fldChar w:fldCharType="begin"/>
        </w:r>
        <w:r>
          <w:instrText xml:space="preserve"> PAGEREF _Toc3736 \h </w:instrText>
        </w:r>
        <w:r>
          <w:fldChar w:fldCharType="separate"/>
        </w:r>
        <w:r>
          <w:t>51</w:t>
        </w:r>
        <w:r>
          <w:fldChar w:fldCharType="end"/>
        </w:r>
      </w:hyperlink>
    </w:p>
    <w:p>
      <w:pPr>
        <w:pStyle w:val="TOC2"/>
        <w:tabs>
          <w:tab w:val="right" w:leader="dot" w:pos="8306"/>
        </w:tabs>
      </w:pPr>
      <w:hyperlink w:anchor="_Toc24784" w:history="1">
        <w:r>
          <w:rPr>
            <w:rFonts w:ascii="仿宋" w:eastAsia="仿宋" w:hAnsi="仿宋" w:cs="仿宋" w:hint="eastAsia"/>
            <w:lang w:eastAsia="zh-CN"/>
          </w:rPr>
          <w:t>(二)、质量管理责任</w:t>
        </w:r>
        <w:r>
          <w:tab/>
        </w:r>
        <w:r>
          <w:fldChar w:fldCharType="begin"/>
        </w:r>
        <w:r>
          <w:instrText xml:space="preserve"> PAGEREF _Toc24784 \h </w:instrText>
        </w:r>
        <w:r>
          <w:fldChar w:fldCharType="separate"/>
        </w:r>
        <w:r>
          <w:t>52</w:t>
        </w:r>
        <w:r>
          <w:fldChar w:fldCharType="end"/>
        </w:r>
      </w:hyperlink>
    </w:p>
    <w:p>
      <w:pPr>
        <w:pStyle w:val="TOC2"/>
        <w:tabs>
          <w:tab w:val="right" w:leader="dot" w:pos="8306"/>
        </w:tabs>
      </w:pPr>
      <w:hyperlink w:anchor="_Toc16607" w:history="1">
        <w:r>
          <w:rPr>
            <w:rFonts w:ascii="仿宋" w:eastAsia="仿宋" w:hAnsi="仿宋" w:cs="仿宋" w:hint="eastAsia"/>
            <w:lang w:eastAsia="zh-CN"/>
          </w:rPr>
          <w:t>(三)、质量管理体系文件</w:t>
        </w:r>
        <w:r>
          <w:tab/>
        </w:r>
        <w:r>
          <w:fldChar w:fldCharType="begin"/>
        </w:r>
        <w:r>
          <w:instrText xml:space="preserve"> PAGEREF _Toc16607 \h </w:instrText>
        </w:r>
        <w:r>
          <w:fldChar w:fldCharType="separate"/>
        </w:r>
        <w:r>
          <w:t>53</w:t>
        </w:r>
        <w:r>
          <w:fldChar w:fldCharType="end"/>
        </w:r>
      </w:hyperlink>
    </w:p>
    <w:p>
      <w:pPr>
        <w:pStyle w:val="TOC2"/>
        <w:tabs>
          <w:tab w:val="right" w:leader="dot" w:pos="8306"/>
        </w:tabs>
      </w:pPr>
      <w:hyperlink w:anchor="_Toc7804" w:history="1">
        <w:r>
          <w:rPr>
            <w:rFonts w:ascii="仿宋" w:eastAsia="仿宋" w:hAnsi="仿宋" w:cs="仿宋" w:hint="eastAsia"/>
            <w:lang w:eastAsia="zh-CN"/>
          </w:rPr>
          <w:t>(四)、质量培训与教育</w:t>
        </w:r>
        <w:r>
          <w:tab/>
        </w:r>
        <w:r>
          <w:fldChar w:fldCharType="begin"/>
        </w:r>
        <w:r>
          <w:instrText xml:space="preserve"> PAGEREF _Toc7804 \h </w:instrText>
        </w:r>
        <w:r>
          <w:fldChar w:fldCharType="separate"/>
        </w:r>
        <w:r>
          <w:t>56</w:t>
        </w:r>
        <w:r>
          <w:fldChar w:fldCharType="end"/>
        </w:r>
      </w:hyperlink>
    </w:p>
    <w:p>
      <w:pPr>
        <w:pStyle w:val="TOC2"/>
        <w:tabs>
          <w:tab w:val="right" w:leader="dot" w:pos="8306"/>
        </w:tabs>
      </w:pPr>
      <w:hyperlink w:anchor="_Toc18041" w:history="1">
        <w:r>
          <w:rPr>
            <w:rFonts w:ascii="仿宋" w:eastAsia="仿宋" w:hAnsi="仿宋" w:cs="仿宋" w:hint="eastAsia"/>
            <w:lang w:eastAsia="zh-CN"/>
          </w:rPr>
          <w:t>(五)、质量审核与评价</w:t>
        </w:r>
        <w:r>
          <w:tab/>
        </w:r>
        <w:r>
          <w:fldChar w:fldCharType="begin"/>
        </w:r>
        <w:r>
          <w:instrText xml:space="preserve"> PAGEREF _Toc18041 \h </w:instrText>
        </w:r>
        <w:r>
          <w:fldChar w:fldCharType="separate"/>
        </w:r>
        <w:r>
          <w:t>57</w:t>
        </w:r>
        <w:r>
          <w:fldChar w:fldCharType="end"/>
        </w:r>
      </w:hyperlink>
    </w:p>
    <w:p>
      <w:pPr>
        <w:pStyle w:val="TOC2"/>
        <w:tabs>
          <w:tab w:val="right" w:leader="dot" w:pos="8306"/>
        </w:tabs>
      </w:pPr>
      <w:hyperlink w:anchor="_Toc7538" w:history="1">
        <w:r>
          <w:rPr>
            <w:rFonts w:ascii="仿宋" w:eastAsia="仿宋" w:hAnsi="仿宋" w:cs="仿宋" w:hint="eastAsia"/>
            <w:lang w:eastAsia="zh-CN"/>
          </w:rPr>
          <w:t>(六)、不符合与纠正措施</w:t>
        </w:r>
        <w:r>
          <w:tab/>
        </w:r>
        <w:r>
          <w:fldChar w:fldCharType="begin"/>
        </w:r>
        <w:r>
          <w:instrText xml:space="preserve"> PAGEREF _Toc7538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6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89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高导热石墨散热材料项目的主要产品是XXXX，预计年产值为XXX万元。这一产品在市场中占据着重要的地位，其广泛的应用范围使得该高导热石墨散热材料项目的市场前景非常广阔。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导热石墨散热材料项目的xxx产品作为重要的原材料之一，将在多个领域发挥关键作用。其在建筑、交通、能源等方面的广泛应用将为整个产业链提供强大的支持，形成产业协同效应。高导热石墨散热材料项目的年产值XXX万XXX万XXX万万元不仅反映了其在市场上的巨大潜力，更预示着它对国民经济的积极贡献。这种关联度高、涉及面广的产业关系，使得该高导热石墨散热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4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总征地面积为XXXX平方米，相当于约XX.XX亩，其中净用地面积为XXXX平方米，红线范围内相当于约XX.XX亩。这一用地规模充分考虑了高导热石墨散热材料项目的建设需求，保障了高导热石墨散热材料项目在合适的空间内得以充分发展。高导热石墨散热材料项目规划的总建筑面积为XXXX平方米，其中主体工程建设占XXXX平方米，计容建筑面积达XXXX平方米。预计建筑工程的投资将达到XXXX万元，为高导热石墨散热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计划购置的设备共计XXXX台（套），设备购置费用为XXXX万元。这一设备购置计划充分考虑到高导热石墨散热材料项目的生产需求和技术要求，确保了高导热石墨散热材料项目在生产运营中具备先进的技术装备和高效的生产能力。设备的合理配置将为高导热石墨散热材料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计划总投资为XXXX万元，预计年实现营业收入为XXXX万元。这一产能规模的设定旨在确保高导热石墨散热材料项目能够在投资与回报之间取得平衡，实现长期可持续的发展。高导热石墨散热材料项目的总投资充分考虑到各个方面的需求，包括用地建设、设备购置等多个环节，以确保高导热石墨散热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563"/>
      <w:r>
        <w:rPr>
          <w:rFonts w:ascii="仿宋" w:eastAsia="仿宋" w:hAnsi="仿宋" w:cs="仿宋" w:hint="eastAsia"/>
          <w:sz w:val="28"/>
          <w:lang w:eastAsia="zh-CN"/>
        </w:rPr>
        <w:t>二、高导热石墨散热材料项目建设单位说明</w:t>
      </w:r>
      <w:bookmarkEnd w:id="5"/>
    </w:p>
    <w:p>
      <w:pPr>
        <w:pStyle w:val="Heading2"/>
        <w:rPr>
          <w:rFonts w:ascii="仿宋" w:eastAsia="仿宋" w:hAnsi="仿宋" w:cs="仿宋" w:hint="eastAsia"/>
          <w:lang w:eastAsia="zh-CN"/>
        </w:rPr>
      </w:pPr>
      <w:bookmarkStart w:id="6" w:name="_Toc15087"/>
      <w:r>
        <w:rPr>
          <w:rFonts w:ascii="仿宋" w:eastAsia="仿宋" w:hAnsi="仿宋" w:cs="仿宋" w:hint="eastAsia"/>
          <w:lang w:eastAsia="zh-CN"/>
        </w:rPr>
        <w:t>(一)、高导热石墨散热材料项目承办单位基本情况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69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导热石墨散热材料项目承办单位的XXXX，我们着眼于实现可持续的经济效益。通过技术创新和解决方案的提供，公司预计在高导热石墨散热材料项目执行期间将获得可观的收入增长。这一收入来源主要包括高导热石墨散热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同时，我们注重成本控制和效率提升，以确保高导热石墨散热材料项目的可持续盈利。透过精细的管理和资源优化，公司期望实现高导热石墨散热材料项目利润最大化。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导热石墨散热材料项目实施进行全面的投资评估，包括高导热石墨散热材料项目启动阶段的资金投入和后续运营成本。通过对高导热石墨散热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高导热石墨散热材料项目实施过程中具备足够的资金流动性，公司将进行详尽的现金流分析。这包括资金需求的合理预测、高导热石墨散热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844"/>
      <w:r>
        <w:rPr>
          <w:rFonts w:ascii="仿宋" w:eastAsia="仿宋" w:hAnsi="仿宋" w:cs="仿宋" w:hint="eastAsia"/>
          <w:sz w:val="28"/>
          <w:lang w:eastAsia="zh-CN"/>
        </w:rPr>
        <w:t>三、高导热石墨散热材料项目文档管理</w:t>
      </w:r>
      <w:bookmarkEnd w:id="8"/>
    </w:p>
    <w:p>
      <w:pPr>
        <w:pStyle w:val="Heading2"/>
        <w:rPr>
          <w:rFonts w:ascii="仿宋" w:eastAsia="仿宋" w:hAnsi="仿宋" w:cs="仿宋" w:hint="eastAsia"/>
          <w:lang w:eastAsia="zh-CN"/>
        </w:rPr>
      </w:pPr>
      <w:bookmarkStart w:id="9" w:name="_Toc891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高导热石墨散热材料项目高度重视文档的质量和准确性，以支持高导热石墨散热材料项目的各项活动和决策。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文档的编制始于高导热石墨散热材料项目计划的初期，我们制定了详细的文档编制计划，明确了每个文档的内容、格式和编写责任人。在高导热石墨散热材料项目启动阶段，我们首先编制了高导热石墨散热材料项目章程，明确定义了高导热石墨散热材料项目的目标、范围、风险等关键要素。随后，高导热石墨散热材料项目团队根据计划陆续编制了需求文档、设计文档、测试文档等各类文档，确保高导热石墨散热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导热石墨散热材料项目管理中的重要环节，旨在确保高导热石墨散热材料项目文档符合质量标准和高导热石墨散热材料项目需求。在高导热石墨散热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导热石墨散热材料项目相关利益方和专业领域的专家对文档进行独立审查。这有助于获取更全面、客观的反馈，确保高导热石墨散热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在文档编制与审查方面建立了严格的管理机制，通过规范的流程和多维度的审查，确保高导热石墨散热材料项目文档的质量、准确性和可靠性，为高导热石墨散热材料项目的顺利推进提供了有力支持。</w:t>
      </w:r>
    </w:p>
    <w:p>
      <w:pPr>
        <w:pStyle w:val="Heading2"/>
        <w:ind w:firstLine="560" w:firstLineChars="200"/>
        <w:rPr>
          <w:rFonts w:ascii="仿宋" w:eastAsia="仿宋" w:hAnsi="仿宋" w:cs="仿宋" w:hint="eastAsia"/>
          <w:sz w:val="28"/>
          <w:lang w:eastAsia="zh-CN"/>
        </w:rPr>
      </w:pPr>
      <w:bookmarkStart w:id="10" w:name="_Toc2612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我们通过多渠道发布文档，包括电子邮件、高导热石墨散热材料项目管理平台、内部网站等，以满足不同团队成员的偏好和需求。多渠道发布确保了信息的全面覆盖。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我们采用了精细的权限控制，确保只有授权人员可以访问敏感信息。这种安全措施保护了高导热石墨散热材料项目文档的机密性，防止了未经授权的信息泄露。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17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导热石墨散热材料项目生命周期中一个至关重要的环节，直接关系到高导热石墨散热材料项目信息的长期保存和历史记录的完整性。在高导热石墨散热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641"/>
      <w:r>
        <w:rPr>
          <w:rFonts w:ascii="仿宋" w:eastAsia="仿宋" w:hAnsi="仿宋" w:cs="仿宋" w:hint="eastAsia"/>
          <w:sz w:val="28"/>
          <w:lang w:eastAsia="zh-CN"/>
        </w:rPr>
        <w:t>四、高导热石墨散热材料项目危机管理</w:t>
      </w:r>
      <w:bookmarkEnd w:id="12"/>
    </w:p>
    <w:p>
      <w:pPr>
        <w:pStyle w:val="Heading2"/>
        <w:rPr>
          <w:rFonts w:ascii="仿宋" w:eastAsia="仿宋" w:hAnsi="仿宋" w:cs="仿宋" w:hint="eastAsia"/>
          <w:lang w:eastAsia="zh-CN"/>
        </w:rPr>
      </w:pPr>
      <w:bookmarkStart w:id="13" w:name="_Toc2837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危机管理中，危机预警与识别是确保高导热石墨散热材料项目稳健运行的核心步骤。通过建立全面的监测机制，高导热石墨散热材料项目团队旨在及时发现和理解潜在的风险和危机因素，以便采取及时的预防和应对措施，确保高导热石墨散热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导热石墨散热材料项目团队全面分析了整个高导热石墨散热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导热石墨散热材料项目团队着重于明确定义高导热石墨散热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导热石墨散热材料项目进展的持续监控，团队能够及时发现潜在问题并作出迅速反应。高导热石墨散热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导热石墨散热材料项目得以更有序、可控地推进。</w:t>
      </w:r>
    </w:p>
    <w:p>
      <w:pPr>
        <w:pStyle w:val="Heading2"/>
        <w:ind w:firstLine="560" w:firstLineChars="200"/>
        <w:rPr>
          <w:rFonts w:ascii="仿宋" w:eastAsia="仿宋" w:hAnsi="仿宋" w:cs="仿宋" w:hint="eastAsia"/>
          <w:sz w:val="28"/>
          <w:lang w:eastAsia="zh-CN"/>
        </w:rPr>
      </w:pPr>
      <w:bookmarkStart w:id="14" w:name="_Toc2309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在危机发生时，高导热石墨散热材料项目团队立即行动，成立了应急小组。该小组的任务是迅速制定并实施紧急应对措施，以最小化潜在损失。以下是采取的主要措施：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暂停高导热石墨散热材料项目进度：为遏制危机蔓延，高导热石墨散热材料项目暂时停止进行，以便全面评估当前状况。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资源重新分配：重新评估高导热石墨散热材料项目资源的分配，确保最大限度地减小损失。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实时沟通：与关键利益相关者建立实时沟通机制，向他们传递高导热石墨散热材料项目危机的实际状况，保障高导热石墨散热材料项目核心利益。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在紧急应对的同时，高导热石墨散热材料项目团队强调了团队协作和有效沟通的重要性。以下是团队协作的关键举措：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信息共享机制：建立了信息共享平台，确保团队成员能够及时获取高导热石墨散热材料项目危机的实时信息。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领导者沟通：高导热石墨散热材料项目领导者通过定期会议和即时沟通工具，指导团队应对危机，保持团队稳定运行。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随着危机得到初步控制，高导热石墨散热材料项目团队转向制定恢复计划，以确保高导热石墨散热材料项目能够从中迅速恢复。主要恢复计划包括：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修复受损的进度计划：重新评估高导热石墨散热材料项目进度，制定修复计划，确保高导热石墨散热材料项目尽快回归正常进程。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重新调整资源分配：优化资源分配，确保高导热石墨散热材料项目在有限资源下高效运转。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风险管理机制加强：对高导热石墨散热材料项目风险进行全面评估，制定更强化的风险管理策略，以预防未来可能的危机。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809"/>
      <w:r>
        <w:rPr>
          <w:rFonts w:ascii="仿宋" w:eastAsia="仿宋" w:hAnsi="仿宋" w:cs="仿宋" w:hint="eastAsia"/>
          <w:sz w:val="28"/>
          <w:lang w:eastAsia="zh-CN"/>
        </w:rPr>
        <w:t>五、高导热石墨散热材料项目选址可行性分析</w:t>
      </w:r>
      <w:bookmarkEnd w:id="15"/>
    </w:p>
    <w:p>
      <w:pPr>
        <w:pStyle w:val="Heading2"/>
        <w:rPr>
          <w:rFonts w:ascii="仿宋" w:eastAsia="仿宋" w:hAnsi="仿宋" w:cs="仿宋" w:hint="eastAsia"/>
          <w:lang w:eastAsia="zh-CN"/>
        </w:rPr>
      </w:pPr>
      <w:bookmarkStart w:id="16" w:name="_Toc17802"/>
      <w:r>
        <w:rPr>
          <w:rFonts w:ascii="仿宋" w:eastAsia="仿宋" w:hAnsi="仿宋" w:cs="仿宋" w:hint="eastAsia"/>
          <w:lang w:eastAsia="zh-CN"/>
        </w:rPr>
        <w:t>(一)、高导热石墨散热材料项目选址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该高导热石墨散热材料项目选址位于XX省XX市XX区XXX街道</w:t>
      </w:r>
    </w:p>
    <w:p>
      <w:pPr>
        <w:pStyle w:val="Heading2"/>
        <w:ind w:firstLine="560" w:firstLineChars="200"/>
        <w:rPr>
          <w:rFonts w:ascii="仿宋" w:eastAsia="仿宋" w:hAnsi="仿宋" w:cs="仿宋" w:hint="eastAsia"/>
          <w:sz w:val="28"/>
          <w:lang w:eastAsia="zh-CN"/>
        </w:rPr>
      </w:pPr>
      <w:bookmarkStart w:id="17" w:name="_Toc2785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导热石墨散热材料项目的征地面积将根据高导热石墨散热材料项目的实际规模和需求进行精确规划。具体面积XXX平方米，旨在确保高导热石墨散热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净用地面积是在征地面积基础上去除不可利用面积后的实际可开发用地。具体面积XXX平方米，考虑到环保、交通、安全等多方面因素，以确保高导热石墨散热材料项目在整体利用效率上达到最优。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高导热石墨散热材料项目计划建设的建筑总规模具体面积XXX平方米。这一规模的确定综合考虑了高导热石墨散热材料项目的性质、规模，以及城市规划的相关要求，确保建筑布局与周边环境协调一致。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绿地率是高导热石墨散热材料项目用地中被规划为绿地的比例。具体面积XXX平方米，旨在通过合理规划绿地，改善高导热石墨散热材料项目周边环境，提升居民生活质量，并符合城市整体绿化规划。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容积率是用地上可以建设的建筑总体积与用地面积之比。具体面积XXX，通过合理的容积率规划，确保高导热石墨散热材料项目建筑规模与周边环境和谐共生。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导热石墨散热材料项目选址与当地城市规划相一致，具体面积XXX平方米。通过与城市规划部门深入沟通，确保高导热石墨散热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导热石墨散热材料项目选址符合当地产业政策，具体面积XXX平方米。这包括高导热石墨散热材料项目对当地经济的促进作用，以及对相关产业的带动效应，确保高导热石墨散热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用地总体要求必须符合环保和可持续发展的原则，具体面积XXX平方米。通过采用绿色建筑设计、节能减排等措施，确保高导热石墨散热材料项目在建设和运营过程中对环境的影响最小化，达到可持续发展的要求。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确保高导热石墨散热材料项目选址具备必要的公共设施配套，具体面积XXX平方米。这包括交通便利性、教育、医疗等基础设施，以提高居民生活品质，使得高导热石墨散热材料项目选址更具吸引力。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考虑用地总体要求对当地社会稳定性的影响，具体面积XXX平方米。通过深入了解当地社区反馈，确保高导热石墨散热材料项目的选址和建设过程对当地社会和谐稳定产生积极作用。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导热石墨散热材料项目选址不仅符合法规和规划，还在实际操作中具有可行性。这一全面规划将为高导热石墨散热材料项目的成功实施提供坚实的基础，确保高导热石墨散热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23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导热石墨散热材料项目的设备规划和空间设计中，我们将采取灵活设备布局的措施。设备布局将根据实际需求进行灵活设计，避免不必要的浪费。通过合理规划设备摆放位置，我们将提高设备的利用率，减少设备间距，以确保高导热石墨散热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导热石墨散热材料项目内部引入共享设施的概念，例如共享会议室、办公区等。通过这种方式，我们可以减少对资源的重复建设，提高资源共享效率，从而减小高导热石墨散热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60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导热石墨散热材料项目的总图布置中，我们将不同功能区域进行明确的规划，以最大程度满足高导热石墨散热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https://d.book118.com/927125121006006054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A1AE8"/>
    <w:rsid w:val="615A1A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2512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2024-03-04T17:19:00Z</dcterms:created>
  <dcterms:modified xsi:type="dcterms:W3CDTF">2024-03-04T17:19:20Z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82B5B5008E964C85A4ECB1FD6174C527_11</vt:lpwstr>
  </property>
  <property fmtid="{D5CDD505-2E9C-101B-9397-08002B2CF9AE}" pid="3" name="KSOProductBuildVer">
    <vt:lpwstr>2052-12.1.0.16388</vt:lpwstr>
  </property>
</Properties>
</file>