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jc w:val="center"/>
        <w:rPr>
          <w:rFonts w:ascii="Arial" w:eastAsia="Arial" w:hAnsi="Arial" w:cs="Arial" w:hint="default"/>
          <w:color w:val="auto"/>
          <w:spacing w:val="8"/>
        </w:rPr>
      </w:pPr>
      <w:bookmarkStart w:id="0" w:name="_GoBack"/>
      <w:r>
        <w:rPr>
          <w:rStyle w:val="Strong"/>
          <w:rFonts w:ascii="Arial" w:eastAsia="Arial" w:hAnsi="Arial" w:cs="Arial" w:hint="default"/>
          <w:color w:val="auto"/>
          <w:spacing w:val="8"/>
          <w:sz w:val="30"/>
          <w:szCs w:val="30"/>
          <w:bdr w:val="none" w:sz="0" w:space="0" w:color="auto"/>
          <w:shd w:val="clear" w:color="auto" w:fill="FFFFFF"/>
        </w:rPr>
        <w:t>《旅游景区质量等级评定与划分》</w:t>
      </w:r>
    </w:p>
    <w:bookmarkEnd w:id="0"/>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jc w:val="center"/>
        <w:rPr>
          <w:rFonts w:ascii="Arial" w:eastAsia="Arial" w:hAnsi="Arial" w:cs="Arial" w:hint="default"/>
          <w:color w:val="auto"/>
          <w:spacing w:val="8"/>
        </w:rPr>
      </w:pPr>
      <w:r>
        <w:rPr>
          <w:rFonts w:ascii="Arial" w:eastAsia="Arial" w:hAnsi="Arial" w:cs="Arial" w:hint="default"/>
          <w:color w:val="auto"/>
          <w:spacing w:val="8"/>
          <w:sz w:val="24"/>
          <w:szCs w:val="24"/>
          <w:bdr w:val="none" w:sz="0" w:space="0" w:color="auto"/>
          <w:shd w:val="clear" w:color="auto" w:fill="FFFFFF"/>
        </w:rPr>
        <w:t>国家标准评定细则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r>
        <w:rPr>
          <w:rStyle w:val="Strong"/>
          <w:rFonts w:ascii="Arial" w:eastAsia="Arial" w:hAnsi="Arial" w:cs="Arial" w:hint="default"/>
          <w:color w:val="auto"/>
          <w:spacing w:val="8"/>
          <w:bdr w:val="none" w:sz="0" w:space="0" w:color="auto"/>
          <w:shd w:val="clear" w:color="auto" w:fill="FFFFFF"/>
        </w:rPr>
        <w:t>说明：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根据《旅游景区质量等级评定管理办法》和《旅游景区质量等级的划分与评定》国家标准（GB/T17775-2003）的相关规定制定本细则。本细则共分为三个部分: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细则一：服务质量与环境质量评分细则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细则二：景观质量评分细则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480" w:lineRule="atLeast"/>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细则三：游客意见评分细则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jc w:val="both"/>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10" w:lineRule="atLeast"/>
        <w:ind w:left="0" w:right="0" w:firstLine="0"/>
        <w:jc w:val="center"/>
        <w:rPr>
          <w:rFonts w:ascii="Arial" w:eastAsia="Arial" w:hAnsi="Arial" w:cs="Arial" w:hint="default"/>
          <w:color w:val="auto"/>
          <w:spacing w:val="8"/>
        </w:rPr>
      </w:pPr>
      <w:r>
        <w:rPr>
          <w:rStyle w:val="Strong"/>
          <w:rFonts w:ascii="Arial" w:eastAsia="Arial" w:hAnsi="Arial" w:cs="Arial" w:hint="default"/>
          <w:color w:val="auto"/>
          <w:spacing w:val="8"/>
          <w:bdr w:val="none" w:sz="0" w:space="0" w:color="auto"/>
          <w:shd w:val="clear" w:color="auto" w:fill="FFFFFF"/>
        </w:rPr>
        <w:t>各等级景区需达到如下条件</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1724"/>
        <w:gridCol w:w="2814"/>
        <w:gridCol w:w="2808"/>
        <w:gridCol w:w="28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rPr>
          <w:trHeight w:val="345"/>
        </w:trPr>
        <w:tc>
          <w:tcPr>
            <w:tcW w:w="0" w:type="auto"/>
            <w:tcBorders>
              <w:top w:val="single" w:sz="6" w:space="0" w:color="FFFFFF"/>
              <w:left w:val="single" w:sz="6" w:space="0" w:color="FFFFFF"/>
              <w:bottom w:val="single" w:sz="6" w:space="0" w:color="FFFFFF"/>
              <w:right w:val="single" w:sz="6" w:space="0" w:color="FFFFFF"/>
            </w:tcBorders>
            <w:shd w:val="clear" w:color="auto" w:fill="7CA800"/>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single" w:sz="6" w:space="0" w:color="FFFFFF"/>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color w:val="auto"/>
                <w:sz w:val="21"/>
                <w:szCs w:val="21"/>
                <w:bdr w:val="none" w:sz="0" w:space="0" w:color="auto"/>
              </w:rPr>
              <w:t>细则一</w:t>
            </w:r>
          </w:p>
        </w:tc>
        <w:tc>
          <w:tcPr>
            <w:tcW w:w="0" w:type="auto"/>
            <w:tcBorders>
              <w:top w:val="single" w:sz="6" w:space="0" w:color="FFFFFF"/>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细则二</w:t>
            </w:r>
          </w:p>
        </w:tc>
        <w:tc>
          <w:tcPr>
            <w:tcW w:w="0" w:type="auto"/>
            <w:tcBorders>
              <w:top w:val="single" w:sz="6" w:space="0" w:color="FFFFFF"/>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细则三</w:t>
            </w:r>
          </w:p>
        </w:tc>
      </w:tr>
      <w:tr>
        <w:tblPrEx>
          <w:tblW w:w="10155" w:type="dxa"/>
          <w:tblInd w:w="0" w:type="dxa"/>
          <w:shd w:val="clear" w:color="auto" w:fill="auto"/>
          <w:tblCellMar>
            <w:top w:w="0" w:type="dxa"/>
            <w:left w:w="0" w:type="dxa"/>
            <w:bottom w:w="0" w:type="dxa"/>
            <w:right w:w="0" w:type="dxa"/>
          </w:tblCellMar>
        </w:tblPrEx>
        <w:trPr>
          <w:trHeight w:val="345"/>
        </w:trPr>
        <w:tc>
          <w:tcPr>
            <w:tcW w:w="0" w:type="auto"/>
            <w:tcBorders>
              <w:top w:val="nil"/>
              <w:left w:val="single" w:sz="6" w:space="0" w:color="FFFFFF"/>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5A</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950分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90分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90分</w:t>
            </w:r>
          </w:p>
        </w:tc>
      </w:tr>
      <w:tr>
        <w:tblPrEx>
          <w:tblW w:w="10155" w:type="dxa"/>
          <w:tblInd w:w="0" w:type="dxa"/>
          <w:shd w:val="clear" w:color="auto" w:fill="auto"/>
          <w:tblCellMar>
            <w:top w:w="0" w:type="dxa"/>
            <w:left w:w="0" w:type="dxa"/>
            <w:bottom w:w="0" w:type="dxa"/>
            <w:right w:w="0" w:type="dxa"/>
          </w:tblCellMar>
        </w:tblPrEx>
        <w:trPr>
          <w:trHeight w:val="345"/>
        </w:trPr>
        <w:tc>
          <w:tcPr>
            <w:tcW w:w="0" w:type="auto"/>
            <w:tcBorders>
              <w:top w:val="nil"/>
              <w:left w:val="single" w:sz="6" w:space="0" w:color="FFFFFF"/>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4A</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850分</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80分</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80分</w:t>
            </w:r>
          </w:p>
        </w:tc>
      </w:tr>
      <w:tr>
        <w:tblPrEx>
          <w:tblW w:w="10155" w:type="dxa"/>
          <w:tblInd w:w="0" w:type="dxa"/>
          <w:shd w:val="clear" w:color="auto" w:fill="auto"/>
          <w:tblCellMar>
            <w:top w:w="0" w:type="dxa"/>
            <w:left w:w="0" w:type="dxa"/>
            <w:bottom w:w="0" w:type="dxa"/>
            <w:right w:w="0" w:type="dxa"/>
          </w:tblCellMar>
        </w:tblPrEx>
        <w:trPr>
          <w:trHeight w:val="345"/>
        </w:trPr>
        <w:tc>
          <w:tcPr>
            <w:tcW w:w="0" w:type="auto"/>
            <w:tcBorders>
              <w:top w:val="nil"/>
              <w:left w:val="single" w:sz="6" w:space="0" w:color="FFFFFF"/>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3A</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750分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70分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70分</w:t>
            </w:r>
          </w:p>
        </w:tc>
      </w:tr>
      <w:tr>
        <w:tblPrEx>
          <w:tblW w:w="10155" w:type="dxa"/>
          <w:tblInd w:w="0" w:type="dxa"/>
          <w:shd w:val="clear" w:color="auto" w:fill="auto"/>
          <w:tblCellMar>
            <w:top w:w="0" w:type="dxa"/>
            <w:left w:w="0" w:type="dxa"/>
            <w:bottom w:w="0" w:type="dxa"/>
            <w:right w:w="0" w:type="dxa"/>
          </w:tblCellMar>
        </w:tblPrEx>
        <w:trPr>
          <w:trHeight w:val="345"/>
        </w:trPr>
        <w:tc>
          <w:tcPr>
            <w:tcW w:w="0" w:type="auto"/>
            <w:tcBorders>
              <w:top w:val="nil"/>
              <w:left w:val="single" w:sz="6" w:space="0" w:color="FFFFFF"/>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2A</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600分</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60分</w:t>
            </w:r>
          </w:p>
        </w:tc>
        <w:tc>
          <w:tcPr>
            <w:tcW w:w="0" w:type="auto"/>
            <w:tcBorders>
              <w:top w:val="nil"/>
              <w:left w:val="nil"/>
              <w:bottom w:val="single" w:sz="6" w:space="0" w:color="FFFFFF"/>
              <w:right w:val="single" w:sz="6" w:space="0" w:color="FFFFFF"/>
            </w:tcBorders>
            <w:shd w:val="clear" w:color="auto" w:fill="7CA800"/>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60分</w:t>
            </w:r>
          </w:p>
        </w:tc>
      </w:tr>
      <w:tr>
        <w:tblPrEx>
          <w:tblW w:w="10155" w:type="dxa"/>
          <w:tblInd w:w="0" w:type="dxa"/>
          <w:shd w:val="clear" w:color="auto" w:fill="auto"/>
          <w:tblCellMar>
            <w:top w:w="0" w:type="dxa"/>
            <w:left w:w="0" w:type="dxa"/>
            <w:bottom w:w="0" w:type="dxa"/>
            <w:right w:w="0" w:type="dxa"/>
          </w:tblCellMar>
        </w:tblPrEx>
        <w:trPr>
          <w:trHeight w:val="345"/>
        </w:trPr>
        <w:tc>
          <w:tcPr>
            <w:tcW w:w="0" w:type="auto"/>
            <w:tcBorders>
              <w:top w:val="nil"/>
              <w:left w:val="single" w:sz="6" w:space="0" w:color="FFFFFF"/>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1A</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500分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50分</w:t>
            </w:r>
          </w:p>
        </w:tc>
        <w:tc>
          <w:tcPr>
            <w:tcW w:w="0" w:type="auto"/>
            <w:tcBorders>
              <w:top w:val="nil"/>
              <w:left w:val="nil"/>
              <w:bottom w:val="single" w:sz="6" w:space="0" w:color="FFFFFF"/>
              <w:right w:val="single" w:sz="6" w:space="0" w:color="FFFFFF"/>
            </w:tcBorders>
            <w:shd w:val="clear" w:color="auto" w:fill="A8D08D"/>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ind w:left="0" w:right="0"/>
              <w:jc w:val="center"/>
              <w:rPr>
                <w:color w:val="auto"/>
              </w:rPr>
            </w:pPr>
            <w:r>
              <w:rPr>
                <w:rFonts w:ascii="微软雅黑" w:eastAsia="微软雅黑" w:hAnsi="微软雅黑" w:cs="微软雅黑" w:hint="eastAsia"/>
                <w:color w:val="auto"/>
                <w:sz w:val="21"/>
                <w:szCs w:val="21"/>
                <w:bdr w:val="none" w:sz="0" w:space="0" w:color="auto"/>
              </w:rPr>
              <w:t>50分</w:t>
            </w: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10" w:lineRule="atLeast"/>
        <w:ind w:left="0" w:right="0" w:firstLine="0"/>
        <w:jc w:val="left"/>
        <w:rPr>
          <w:rFonts w:ascii="Arial" w:eastAsia="Arial" w:hAnsi="Arial" w:cs="Arial" w:hint="default"/>
          <w:color w:val="auto"/>
          <w:spacing w:val="8"/>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color w:val="auto"/>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z w:val="22"/>
          <w:szCs w:val="22"/>
        </w:rPr>
      </w:pPr>
      <w:r>
        <w:rPr>
          <w:rStyle w:val="Strong"/>
          <w:color w:val="auto"/>
          <w:sz w:val="24"/>
          <w:szCs w:val="24"/>
          <w:bdr w:val="none" w:sz="0" w:space="0" w:color="auto"/>
        </w:rPr>
        <w:t>一</w:t>
      </w:r>
    </w:p>
    <w:p>
      <w:pPr>
        <w:keepNext w:val="0"/>
        <w:keepLines w:val="0"/>
        <w:widowControl/>
        <w:suppressLineNumbers w:val="0"/>
        <w:spacing w:before="0" w:beforeAutospacing="0" w:after="0" w:afterAutospacing="0"/>
        <w:ind w:left="0" w:right="0"/>
        <w:jc w:val="left"/>
        <w:rPr>
          <w:color w:val="auto"/>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jc w:val="center"/>
        <w:rPr>
          <w:rFonts w:ascii="Arial" w:eastAsia="Arial" w:hAnsi="Arial" w:cs="Arial" w:hint="default"/>
          <w:color w:val="auto"/>
          <w:spacing w:val="8"/>
        </w:rPr>
      </w:pPr>
      <w:r>
        <w:rPr>
          <w:rStyle w:val="Strong"/>
          <w:rFonts w:ascii="Arial" w:eastAsia="Arial" w:hAnsi="Arial" w:cs="Arial" w:hint="default"/>
          <w:color w:val="auto"/>
          <w:spacing w:val="8"/>
          <w:sz w:val="24"/>
          <w:szCs w:val="24"/>
          <w:bdr w:val="none" w:sz="0" w:space="0" w:color="auto"/>
          <w:shd w:val="clear" w:color="auto" w:fill="FFFFFF"/>
        </w:rPr>
        <w:t>细则一：服务质量与环境质量评分细则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jc w:val="both"/>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83" w:lineRule="atLeast"/>
        <w:ind w:left="0" w:right="0" w:firstLine="420"/>
        <w:jc w:val="both"/>
        <w:rPr>
          <w:rFonts w:ascii="Arial" w:eastAsia="Arial" w:hAnsi="Arial" w:cs="Arial" w:hint="default"/>
          <w:color w:val="auto"/>
          <w:spacing w:val="8"/>
        </w:rPr>
        <w:sectPr>
          <w:pgSz w:w="11906" w:h="16838"/>
          <w:pgMar w:top="1440" w:right="1746" w:bottom="1440" w:left="1519" w:header="851" w:footer="992" w:gutter="0"/>
          <w:cols w:num="1" w:space="425"/>
          <w:docGrid w:type="lines" w:linePitch="312" w:charSpace="0"/>
        </w:sectPr>
      </w:pPr>
      <w:r>
        <w:rPr>
          <w:rStyle w:val="Strong"/>
          <w:rFonts w:ascii="Arial" w:eastAsia="Arial" w:hAnsi="Arial" w:cs="Arial" w:hint="default"/>
          <w:color w:val="auto"/>
          <w:spacing w:val="8"/>
          <w:bdr w:val="none" w:sz="0" w:space="0" w:color="auto"/>
          <w:shd w:val="clear" w:color="auto" w:fill="FFFFFF"/>
        </w:rPr>
        <w:t>说明：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83" w:lineRule="atLeast"/>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1、本细则共计1000分，共分为8个大项，各大项分值为：旅游交通130分；游览235分；旅游安全80分；卫生140分；邮电服务20分；旅游购物50分；综合管理200分；资源和环境的保护145分。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2、5A级旅游景区需达到950分，4A级旅游景区需达到850分，3A级旅游景区需达到750分，2A级旅游景区需达到600分，1A级旅游景区需达到500分。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420"/>
        <w:jc w:val="both"/>
        <w:rPr>
          <w:rFonts w:ascii="Arial" w:eastAsia="Arial" w:hAnsi="Arial" w:cs="Arial" w:hint="default"/>
          <w:color w:val="auto"/>
          <w:spacing w:val="8"/>
        </w:rPr>
      </w:pPr>
      <w:r>
        <w:rPr>
          <w:rFonts w:ascii="Arial" w:eastAsia="Arial" w:hAnsi="Arial" w:cs="Arial" w:hint="default"/>
          <w:color w:val="auto"/>
          <w:spacing w:val="8"/>
          <w:sz w:val="22"/>
          <w:szCs w:val="22"/>
          <w:bdr w:val="none" w:sz="0" w:space="0" w:color="auto"/>
          <w:shd w:val="clear" w:color="auto" w:fill="FFFFFF"/>
        </w:rPr>
        <w:t>3、</w:t>
      </w:r>
      <w:r>
        <w:rPr>
          <w:rFonts w:ascii="Calibri" w:eastAsia="Arial" w:hAnsi="Calibri" w:cs="Calibri"/>
          <w:color w:val="auto"/>
          <w:spacing w:val="8"/>
          <w:sz w:val="24"/>
          <w:szCs w:val="24"/>
          <w:bdr w:val="none" w:sz="0" w:space="0" w:color="auto"/>
          <w:shd w:val="clear" w:color="auto" w:fill="000000"/>
        </w:rPr>
        <w:t>10</w:t>
      </w:r>
      <w:r>
        <w:rPr>
          <w:rFonts w:ascii="Arial" w:eastAsia="Arial" w:hAnsi="Arial" w:cs="Arial" w:hint="default"/>
          <w:color w:val="auto"/>
          <w:spacing w:val="8"/>
          <w:sz w:val="22"/>
          <w:szCs w:val="22"/>
          <w:bdr w:val="none" w:sz="0" w:space="0" w:color="auto"/>
          <w:shd w:val="clear" w:color="auto" w:fill="FFFFFF"/>
        </w:rPr>
        <w:t>栏为打分点，所有</w:t>
      </w:r>
      <w:r>
        <w:rPr>
          <w:rFonts w:ascii="Calibri" w:eastAsia="Arial" w:hAnsi="Calibri" w:cs="Calibri" w:hint="default"/>
          <w:color w:val="auto"/>
          <w:spacing w:val="8"/>
          <w:sz w:val="24"/>
          <w:szCs w:val="24"/>
          <w:bdr w:val="none" w:sz="0" w:space="0" w:color="auto"/>
          <w:shd w:val="clear" w:color="auto" w:fill="FFFFFF"/>
        </w:rPr>
        <w:t> </w:t>
      </w:r>
      <w:r>
        <w:rPr>
          <w:rFonts w:ascii="Calibri" w:eastAsia="Arial" w:hAnsi="Calibri" w:cs="Calibri" w:hint="default"/>
          <w:color w:val="auto"/>
          <w:spacing w:val="8"/>
          <w:sz w:val="24"/>
          <w:szCs w:val="24"/>
          <w:bdr w:val="none" w:sz="0" w:space="0" w:color="auto"/>
          <w:shd w:val="clear" w:color="auto" w:fill="000000"/>
        </w:rPr>
        <w:t>10</w:t>
      </w:r>
      <w:r>
        <w:rPr>
          <w:rFonts w:ascii="Arial" w:eastAsia="Arial" w:hAnsi="Arial" w:cs="Arial" w:hint="default"/>
          <w:color w:val="auto"/>
          <w:spacing w:val="8"/>
          <w:sz w:val="22"/>
          <w:szCs w:val="22"/>
          <w:bdr w:val="none" w:sz="0" w:space="0" w:color="auto"/>
          <w:shd w:val="clear" w:color="auto" w:fill="FFFFFF"/>
        </w:rPr>
        <w:t>分值总和为1000分。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jc w:val="both"/>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z w:val="22"/>
          <w:szCs w:val="22"/>
        </w:rPr>
      </w:pPr>
      <w:r>
        <w:rPr>
          <w:rStyle w:val="Strong"/>
          <w:color w:val="auto"/>
          <w:sz w:val="22"/>
          <w:szCs w:val="22"/>
          <w:bdr w:val="none" w:sz="0" w:space="0" w:color="auto"/>
        </w:rPr>
        <w:t>01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pacing w:val="23"/>
          <w:sz w:val="22"/>
          <w:szCs w:val="22"/>
        </w:rPr>
      </w:pPr>
      <w:r>
        <w:rPr>
          <w:rStyle w:val="Strong"/>
          <w:color w:val="auto"/>
          <w:spacing w:val="23"/>
          <w:sz w:val="22"/>
          <w:szCs w:val="22"/>
          <w:bdr w:val="none" w:sz="0" w:space="0" w:color="auto"/>
        </w:rPr>
        <w:t>旅游交通（130分）</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8"/>
        <w:gridCol w:w="1759"/>
        <w:gridCol w:w="4882"/>
        <w:gridCol w:w="709"/>
        <w:gridCol w:w="709"/>
        <w:gridCol w:w="769"/>
        <w:gridCol w:w="7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rPr>
          <w:trHeight w:val="1711"/>
        </w:trPr>
        <w:tc>
          <w:tcPr>
            <w:tcW w:w="0" w:type="auto"/>
            <w:tcBorders>
              <w:top w:val="single" w:sz="6" w:space="0" w:color="auto"/>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8"/>
                <w:szCs w:val="18"/>
                <w:bdr w:val="none" w:sz="0" w:space="0" w:color="auto"/>
              </w:rPr>
              <w:t>序号</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color w:val="auto"/>
                <w:bdr w:val="none" w:sz="0" w:space="0" w:color="auto"/>
              </w:rPr>
              <w:t>评定项目</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color w:val="auto"/>
                <w:bdr w:val="none" w:sz="0" w:space="0" w:color="auto"/>
              </w:rPr>
              <w:t>检查评定方法与说明</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大项分值栏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次分项分值栏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小项分值栏</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可进入性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70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外部交通工具抵达景区的便捷程度</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直达机场距景区距离</w:t>
            </w:r>
          </w:p>
        </w:tc>
        <w:tc>
          <w:tcPr>
            <w:tcW w:w="0" w:type="auto"/>
            <w:vMerge w:val="restart"/>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直达机场系指直达依托城市（镇）的民用机场，包括军民两用机场，但不包括可提供包机服务的军用机场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30公里以内</w:t>
            </w:r>
          </w:p>
        </w:tc>
        <w:tc>
          <w:tcPr>
            <w:tcW w:w="0" w:type="auto"/>
            <w:vMerge/>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60公里以内</w:t>
            </w:r>
          </w:p>
        </w:tc>
        <w:tc>
          <w:tcPr>
            <w:tcW w:w="0" w:type="auto"/>
            <w:vMerge/>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6</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100公里以内</w:t>
            </w:r>
          </w:p>
        </w:tc>
        <w:tc>
          <w:tcPr>
            <w:tcW w:w="0" w:type="auto"/>
            <w:vMerge/>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高速公路进、出口距景区距离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客运火车站距景区距离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r>
    </w:tbl>
    <w:p>
      <w:pPr>
        <w:sectPr>
          <w:type w:val="nextPage"/>
          <w:pgSz w:w="11906" w:h="16838"/>
          <w:pgMar w:top="1440" w:right="1746" w:bottom="1440" w:left="1519" w:header="851" w:footer="992" w:gutter="0"/>
          <w:pgNumType w:start="2"/>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8"/>
        <w:gridCol w:w="1759"/>
        <w:gridCol w:w="4882"/>
        <w:gridCol w:w="709"/>
        <w:gridCol w:w="709"/>
        <w:gridCol w:w="769"/>
        <w:gridCol w:w="7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1.1.1.4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客用航运码头距景区距离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20公里以内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依托城市（镇）抵达旅游景区的便捷程度</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依托城市（镇）系指旅游景区直接的主要客源集散城市（镇）。依托城市（镇）可跨越行政区划</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依托城市（镇）距景区距离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15</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在依托城市（镇）内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处于建成区内。建成区系指经过批准的城市（镇）规划确定的范围</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15</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在依托城市（镇）周边20公里内</w:t>
            </w:r>
          </w:p>
        </w:tc>
        <w:tc>
          <w:tcPr>
            <w:tcW w:w="0" w:type="auto"/>
            <w:vMerge w:val="restart"/>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系指距最近的建成区外缘的距离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12</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在依托城市（镇）周边50公里内</w:t>
            </w:r>
          </w:p>
        </w:tc>
        <w:tc>
          <w:tcPr>
            <w:tcW w:w="0" w:type="auto"/>
            <w:vMerge/>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在依托城市（镇）周边120公里内</w:t>
            </w:r>
          </w:p>
        </w:tc>
        <w:tc>
          <w:tcPr>
            <w:tcW w:w="0" w:type="auto"/>
            <w:vMerge/>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旅游交通</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系指依托城市（镇）至旅游景区之间的专项交通方式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有市（镇）内公共交通线抵达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包括从市（镇）内出发的一条或多条公交线</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无市（镇）内公交汽车，但有长途汽车抵达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需设有汽车站点</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有直达旅游专线</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包括旅游专线汽车，或旅游船舶航线，或城市（镇）周边旅游专列，但均需定时定点</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抵达公路或客运航道（干线）等级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系指直达机场、高速路口、客用火车站、客用航运码头、依托城市（镇）抵达景区公路或客运航道（干线）等级。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两者均有者，取最高分项</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一级公路或最高级客运航道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一级公路系黑化或白化路面、行车速度100～60km/hr、双向四道、宽度2×7m。最高级客运航道指可通行大型游轮的航道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二级公路或高级客运航道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二级公路系黑化或白化路面、行车速度80～40km/hr、双向两道、宽度9～7m。高级客运航道指可通行中型游轮的航道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3"/>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8"/>
        <w:gridCol w:w="1759"/>
        <w:gridCol w:w="4882"/>
        <w:gridCol w:w="709"/>
        <w:gridCol w:w="709"/>
        <w:gridCol w:w="769"/>
        <w:gridCol w:w="7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三级公路或中级客运航道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三级公路系黑化或白化路面、行车速度60～30km/hr、双向两道、宽度7～6m。中级客运航道指可通行小型游船的航道。三级以下公路或中级以下航道，不给分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抵达公路或客运航道（支线）</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1.1.4.1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路面硬化或航道畅通</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1.1.4.2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桥涵完整或航道无障碍</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1.1.4.3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护坡良好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1.1.5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外部交通标识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系指引导到达景区的标识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专用外部交通标识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在颜色、外形上有别于一般交通标识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一般外部交通标识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自配停车场地</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系指归属于景区自身管理的停车场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面积</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系指景区各类自配停车场面积的总和</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10000平米以上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6000平米以上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3000平米以上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rFonts w:ascii="仿宋体" w:hAnsi="仿宋体" w:cs="仿宋体"/>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1000平米以上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rFonts w:ascii="仿宋体" w:hAnsi="仿宋体" w:cs="仿宋体" w:hint="default"/>
                <w:color w:val="auto"/>
                <w:spacing w:val="-6"/>
                <w:sz w:val="18"/>
                <w:szCs w:val="18"/>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考查主停车场的地面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rPr>
          <w:trHeight w:val="60"/>
        </w:trPr>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生态停车场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生态停车场系指有绿化停车面或绿化隔离线的停车场，或者使用生态型或环保型建筑材料修建的停车场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硬化或黑化地面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包括水泥地面、沥青地面或平整石板地面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砂砾地面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泥土地面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停车场管理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设停车线</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bl>
    <w:p>
      <w:pPr>
        <w:sectPr>
          <w:type w:val="nextPage"/>
          <w:pgSz w:w="11906" w:h="16838"/>
          <w:pgMar w:top="1440" w:right="1746" w:bottom="1440" w:left="1519" w:header="851" w:footer="992" w:gutter="0"/>
          <w:pgNumType w:start="4"/>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8"/>
        <w:gridCol w:w="1759"/>
        <w:gridCol w:w="4882"/>
        <w:gridCol w:w="709"/>
        <w:gridCol w:w="709"/>
        <w:gridCol w:w="769"/>
        <w:gridCol w:w="7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停车分区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车场内有方向引导指示标识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分设出入口</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专人值管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停车场或码头美观，有特色或有文化性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1.2.5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10"/>
                <w:sz w:val="18"/>
                <w:szCs w:val="18"/>
                <w:bdr w:val="none" w:sz="0" w:space="0" w:color="auto"/>
              </w:rPr>
              <w:t>停车场或码头与景观的协调性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位置不当，管理维护较差的，此项不得分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内部交通</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游览线路</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本项中各小项可酌情打分，但不超出给定的最高分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进出口设置合理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进出口分设，不过分邻近，有利于游客疏散</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游道或线路设置合理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线路设置形成环线，观赏面大，有利于游客游览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游步道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特色游步道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游步道设计特色突出, 有文化性效果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1.3.2.2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生态或仿生态游步道</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全部游步道采用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r>
    </w:tbl>
    <w:p>
      <w:pPr>
        <w:sectPr>
          <w:type w:val="nextPage"/>
          <w:pgSz w:w="11906" w:h="16838"/>
          <w:pgMar w:top="1440" w:right="1746" w:bottom="1440" w:left="1519" w:header="851" w:footer="992" w:gutter="0"/>
          <w:pgNumType w:start="5"/>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8"/>
        <w:gridCol w:w="1759"/>
        <w:gridCol w:w="4882"/>
        <w:gridCol w:w="709"/>
        <w:gridCol w:w="709"/>
        <w:gridCol w:w="769"/>
        <w:gridCol w:w="709"/>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主要游步道采用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7</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部分游步道采用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jc w:val="both"/>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z w:val="22"/>
          <w:szCs w:val="22"/>
        </w:rPr>
      </w:pPr>
      <w:r>
        <w:rPr>
          <w:rStyle w:val="Strong"/>
          <w:color w:val="auto"/>
          <w:sz w:val="22"/>
          <w:szCs w:val="22"/>
          <w:bdr w:val="none" w:sz="0" w:space="0" w:color="auto"/>
        </w:rPr>
        <w:t>02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pacing w:val="23"/>
          <w:sz w:val="22"/>
          <w:szCs w:val="22"/>
        </w:rPr>
      </w:pPr>
      <w:r>
        <w:rPr>
          <w:rStyle w:val="Strong"/>
          <w:color w:val="auto"/>
          <w:spacing w:val="23"/>
          <w:sz w:val="22"/>
          <w:szCs w:val="22"/>
          <w:bdr w:val="none" w:sz="0" w:space="0" w:color="auto"/>
        </w:rPr>
        <w:t>游览（235分）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420"/>
        <w:jc w:val="left"/>
        <w:rPr>
          <w:rFonts w:ascii="Arial" w:eastAsia="Arial" w:hAnsi="Arial" w:cs="Arial" w:hint="default"/>
          <w:color w:val="auto"/>
          <w:spacing w:val="8"/>
        </w:rPr>
      </w:pPr>
      <w:r>
        <w:rPr>
          <w:rFonts w:ascii="Arial" w:eastAsia="Arial" w:hAnsi="Arial" w:cs="Arial" w:hint="default"/>
          <w:color w:val="auto"/>
          <w:spacing w:val="8"/>
          <w:sz w:val="21"/>
          <w:szCs w:val="21"/>
          <w:bdr w:val="none" w:sz="0" w:space="0" w:color="auto"/>
          <w:shd w:val="clear" w:color="auto" w:fill="FFFFFF"/>
        </w:rPr>
        <w:t>各项游览服务设施要体现深厚的人文关怀精神，注重细节，突出特色，以形成独特、和谐、舒适的游览氛围。</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55"/>
        <w:gridCol w:w="2023"/>
        <w:gridCol w:w="4690"/>
        <w:gridCol w:w="683"/>
        <w:gridCol w:w="683"/>
        <w:gridCol w:w="737"/>
        <w:gridCol w:w="68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rPr>
          <w:trHeight w:val="1711"/>
        </w:trPr>
        <w:tc>
          <w:tcPr>
            <w:tcW w:w="0" w:type="auto"/>
            <w:tcBorders>
              <w:top w:val="single" w:sz="6" w:space="0" w:color="auto"/>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8"/>
                <w:szCs w:val="18"/>
                <w:bdr w:val="none" w:sz="0" w:space="0" w:color="auto"/>
              </w:rPr>
              <w:t>序号</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8"/>
                <w:szCs w:val="18"/>
                <w:bdr w:val="none" w:sz="0" w:space="0" w:color="auto"/>
              </w:rPr>
              <w:t>评</w:t>
            </w:r>
            <w:r>
              <w:rPr>
                <w:rStyle w:val="Strong"/>
                <w:color w:val="auto"/>
                <w:spacing w:val="-6"/>
                <w:sz w:val="18"/>
                <w:szCs w:val="18"/>
                <w:bdr w:val="none" w:sz="0" w:space="0" w:color="auto"/>
              </w:rPr>
              <w:t>  </w:t>
            </w:r>
            <w:r>
              <w:rPr>
                <w:rStyle w:val="Strong"/>
                <w:rFonts w:ascii="宋体" w:eastAsia="宋体" w:hAnsi="宋体" w:cs="宋体" w:hint="eastAsia"/>
                <w:color w:val="auto"/>
                <w:spacing w:val="-6"/>
                <w:sz w:val="18"/>
                <w:szCs w:val="18"/>
                <w:bdr w:val="none" w:sz="0" w:space="0" w:color="auto"/>
              </w:rPr>
              <w:t>定</w:t>
            </w:r>
            <w:r>
              <w:rPr>
                <w:rStyle w:val="Strong"/>
                <w:color w:val="auto"/>
                <w:spacing w:val="-6"/>
                <w:sz w:val="18"/>
                <w:szCs w:val="18"/>
                <w:bdr w:val="none" w:sz="0" w:space="0" w:color="auto"/>
              </w:rPr>
              <w:t>   </w:t>
            </w:r>
            <w:r>
              <w:rPr>
                <w:rStyle w:val="Strong"/>
                <w:rFonts w:ascii="宋体" w:eastAsia="宋体" w:hAnsi="宋体" w:cs="宋体" w:hint="eastAsia"/>
                <w:color w:val="auto"/>
                <w:spacing w:val="-6"/>
                <w:sz w:val="18"/>
                <w:szCs w:val="18"/>
                <w:bdr w:val="none" w:sz="0" w:space="0" w:color="auto"/>
              </w:rPr>
              <w:t>项</w:t>
            </w:r>
            <w:r>
              <w:rPr>
                <w:rStyle w:val="Strong"/>
                <w:color w:val="auto"/>
                <w:spacing w:val="-6"/>
                <w:sz w:val="18"/>
                <w:szCs w:val="18"/>
                <w:bdr w:val="none" w:sz="0" w:space="0" w:color="auto"/>
              </w:rPr>
              <w:t>  </w:t>
            </w:r>
            <w:r>
              <w:rPr>
                <w:rStyle w:val="Strong"/>
                <w:rFonts w:ascii="宋体" w:eastAsia="宋体" w:hAnsi="宋体" w:cs="宋体" w:hint="eastAsia"/>
                <w:color w:val="auto"/>
                <w:spacing w:val="-6"/>
                <w:sz w:val="18"/>
                <w:szCs w:val="18"/>
                <w:bdr w:val="none" w:sz="0" w:space="0" w:color="auto"/>
              </w:rPr>
              <w:t>目</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8"/>
                <w:szCs w:val="18"/>
                <w:bdr w:val="none" w:sz="0" w:space="0" w:color="auto"/>
              </w:rPr>
              <w:t>检查评定方法与说明</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大项分值栏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次分项分值栏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8"/>
                <w:szCs w:val="18"/>
                <w:bdr w:val="none" w:sz="0" w:space="0" w:color="auto"/>
              </w:rPr>
              <w:t>小项分值栏</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门票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免费旅游景区此项不失分，设园中园、票中票的，发现一处扣2分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设计制作精美</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有突出特色</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系指设计制作有特点或成套制作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背面有游览简图，咨询、投诉、紧急救援电话</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游客中心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70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位置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位置优越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设在主入口附近,方便醒目的地点</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位置合理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设在游客集中活动的区域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标识醒目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造型、色彩、外观与景观的协调性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造型景观化，能够烘托景观环境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造型、色彩、外观与景观相适应</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规模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根据实际情况酌情打分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6"/>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55"/>
        <w:gridCol w:w="2023"/>
        <w:gridCol w:w="4690"/>
        <w:gridCol w:w="683"/>
        <w:gridCol w:w="683"/>
        <w:gridCol w:w="737"/>
        <w:gridCol w:w="68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专用，且面积适应游客需要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兼用或面积偏小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设施与服务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需在游客中心外明示免费服务项目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设电脑触摸屏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需在游客中心内部设置,并能完好使用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6</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内容丰富</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包括各项景点、设施及服务的介绍</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6</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内容基本满足游客需要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影视介绍</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需在游客中心内设置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6</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影视厅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6</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影视播放系统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内容</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内容丰富、信息充分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概要介绍景区一般信息</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提供游客休息设施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数量与本旅游景区的接待规模相适应，档次与本旅游景区总体档次相适应，酌情给分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10"/>
                <w:sz w:val="18"/>
                <w:szCs w:val="18"/>
                <w:bdr w:val="none" w:sz="0" w:space="0" w:color="auto"/>
              </w:rPr>
              <w:t>提供本旅游景区导览宣传资料</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游客能获取本旅游景区主要的导览和宣传资料，其中至少包括一种免费宣传品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品种多,展示精美</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品种较多,展示一般</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有工作人员提供咨询服务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佩带工牌,职责明确，服务良好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提供游程线路图等</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明示景区活动节目预告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包括当日景区活动节目预告及阶段活动预告</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提供导游（讲解）服务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公布本旅游景区的所有导游人员（照片、姓名、编号及语种）</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bl>
    <w:p>
      <w:pPr>
        <w:sectPr>
          <w:type w:val="nextPage"/>
          <w:pgSz w:w="11906" w:h="16838"/>
          <w:pgMar w:top="1440" w:right="1746" w:bottom="1440" w:left="1519" w:header="851" w:footer="992" w:gutter="0"/>
          <w:pgNumType w:start="7"/>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55"/>
        <w:gridCol w:w="2023"/>
        <w:gridCol w:w="4690"/>
        <w:gridCol w:w="683"/>
        <w:gridCol w:w="683"/>
        <w:gridCol w:w="737"/>
        <w:gridCol w:w="68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2.2.5.9</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提供饮料及纪念品服务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标识系统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49</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导游全景图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全景图要正确标识出主要景点及旅游服务设施的位置，包括各主要景点、游客中心、厕所、出入口、医务室、公用电话、停车场等，并明示咨询、投诉、救援电话，少一项扣1分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导览图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指处于大型景区内交叉路口，标明现在位置及周边景点和服务设施的图示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标识牌</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指景区内引导方向或方位的指引标志</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2.3.1.4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景物介绍牌</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指介绍主要景点、景观或相关展示内容的介绍说明牌</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布局</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布局合理，根据数量，合理设置，发现一处设置不合理扣一分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设计制作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图案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图案直观明了，雅致大方。酌情打分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外形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外形别致，具有艺术感。酌情打分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材质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从档次、生态性、与景区协调性考查。酌情打分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制作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精致</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一般</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维护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8"/>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55"/>
        <w:gridCol w:w="2023"/>
        <w:gridCol w:w="4690"/>
        <w:gridCol w:w="683"/>
        <w:gridCol w:w="683"/>
        <w:gridCol w:w="737"/>
        <w:gridCol w:w="68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无脱落、无毛剌、无腐蚀等</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一般</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基本无脱落、无毛剌、无腐蚀等</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中英文对照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无中英文对照说明的，不得分；文不符图或中英文有错误的，发现一处扣1分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2.3.6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中外文（非英文）对照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每增加一种外文对照，得1分，最多3分；但如文不符图或有错误的，则扣除该种外文对照得分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宣教资料</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包括正式出版印刷的导游图、明信片、画册、音像制品、研究论著、科普读物等。其中，音像制品每种3分；精美画册或研究专著每种2分；其他每种1分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指景区提供的导游、导览等各种服务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导游人员数量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数量与游客接待规模和旅游景区性质相适应，酌情打分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导游语种</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10"/>
                <w:sz w:val="18"/>
                <w:szCs w:val="18"/>
                <w:bdr w:val="none" w:sz="0" w:space="0" w:color="auto"/>
              </w:rPr>
              <w:t>粤语导游、闽南话导游，每种2分；外语导游每个语种3分。最多为9分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9</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具有高级导游员或讲解员</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含可为游客服务的高级馆员、研究员等，须作为正式讲解员公布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设语音导游</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便携式可选择播放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便携式循环播放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定点循环播放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导游词科学、准确、有文采</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检查有关资料，结合现场检查，酌情打分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导游效果（清晰、生动、吸引人）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参考细则三中“讲解服务”项得分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2.5.7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导游服务有针对性，强调个性化</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根据游客特点进行有针对性的讲解，能满足特殊人群的特殊需求</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rPr>
                <w:color w:val="auto"/>
              </w:rPr>
            </w:pPr>
            <w:r>
              <w:rPr>
                <w:rFonts w:ascii="宋体" w:eastAsia="宋体" w:hAnsi="宋体" w:cs="宋体" w:hint="eastAsia"/>
                <w:color w:val="auto"/>
                <w:spacing w:val="-10"/>
                <w:sz w:val="18"/>
                <w:szCs w:val="18"/>
                <w:bdr w:val="none" w:sz="0" w:space="0" w:color="auto"/>
              </w:rPr>
              <w:t>游客公共休息设施和观景设施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26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布局合理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数量充足，能满足需要，不设置在危险地带、危险场所。酌情打分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造型与景观环境的协调性</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对景观有特别烘托效果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9"/>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55"/>
        <w:gridCol w:w="2023"/>
        <w:gridCol w:w="4690"/>
        <w:gridCol w:w="683"/>
        <w:gridCol w:w="683"/>
        <w:gridCol w:w="737"/>
        <w:gridCol w:w="68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与景观环境基本协调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制作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制作精美，有艺术感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材质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从档次、生态性、与景区协调性考查</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2.6.5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维护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一般</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公共信息图形符号设置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标识的内容、位置与范围，参照GB/T10001标准，如果现有的国家标准没有提供图形符号，可采用国际惯例或景区自行设计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18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位置与数量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在停车场、出入口、售票处、购物场所、医疗点、厕所、餐饮设施等位置，合理设置公共信息图形符号。发现一处没按要求设置扣一分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图形符号设计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图形规范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与景观相协调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有文化特色</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视觉效果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精美</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清晰</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2.7.4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维护保养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2.8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特殊人群服务项目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8"/>
                <w:szCs w:val="18"/>
                <w:bdr w:val="none" w:sz="0" w:space="0" w:color="auto"/>
              </w:rPr>
              <w:t>包括残疾人轮椅、盲道、无障碍设施，老年人使用的拐杖，儿童使用的童车等。查看服务指南与相关设施，每项得2分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8"/>
                <w:szCs w:val="18"/>
                <w:bdr w:val="none" w:sz="0" w:space="0" w:color="auto"/>
                <w:shd w:val="clear" w:color="auto" w:fill="000000"/>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z w:val="22"/>
          <w:szCs w:val="22"/>
        </w:rPr>
      </w:pPr>
      <w:r>
        <w:rPr>
          <w:rStyle w:val="Strong"/>
          <w:color w:val="auto"/>
          <w:sz w:val="22"/>
          <w:szCs w:val="22"/>
          <w:bdr w:val="none" w:sz="0" w:space="0" w:color="auto"/>
        </w:rPr>
        <w:t>03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pacing w:val="23"/>
          <w:sz w:val="22"/>
          <w:szCs w:val="22"/>
        </w:rPr>
        <w:sectPr>
          <w:type w:val="nextPage"/>
          <w:pgSz w:w="11906" w:h="16838"/>
          <w:pgMar w:top="1440" w:right="1746" w:bottom="1440" w:left="1519" w:header="851" w:footer="992" w:gutter="0"/>
          <w:pgNumType w:start="10"/>
          <w:cols w:num="1" w:space="425"/>
          <w:titlePg w:val="0"/>
          <w:docGrid w:type="lines" w:linePitch="312" w:charSpace="0"/>
        </w:sectPr>
      </w:pPr>
      <w:r>
        <w:rPr>
          <w:rStyle w:val="Strong"/>
          <w:color w:val="auto"/>
          <w:spacing w:val="23"/>
          <w:sz w:val="22"/>
          <w:szCs w:val="22"/>
          <w:bdr w:val="none" w:sz="0" w:space="0" w:color="auto"/>
        </w:rPr>
        <w:t>旅游安全（80分）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420"/>
        <w:jc w:val="left"/>
        <w:rPr>
          <w:rFonts w:ascii="Arial" w:eastAsia="Arial" w:hAnsi="Arial" w:cs="Arial" w:hint="default"/>
          <w:color w:val="auto"/>
          <w:spacing w:val="8"/>
        </w:rPr>
      </w:pPr>
      <w:r>
        <w:rPr>
          <w:rFonts w:ascii="Arial" w:eastAsia="Arial" w:hAnsi="Arial" w:cs="Arial" w:hint="default"/>
          <w:color w:val="auto"/>
          <w:spacing w:val="8"/>
          <w:sz w:val="21"/>
          <w:szCs w:val="21"/>
          <w:bdr w:val="none" w:sz="0" w:space="0" w:color="auto"/>
          <w:shd w:val="clear" w:color="auto" w:fill="FFFFFF"/>
        </w:rPr>
        <w:t>近两年内发生过游客死亡或重残的旅游安全事故且景区负有主要责任的，扣40分；负有管理责任的，扣20分（按事故责任书认定）。</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6"/>
        <w:gridCol w:w="1665"/>
        <w:gridCol w:w="5017"/>
        <w:gridCol w:w="700"/>
        <w:gridCol w:w="700"/>
        <w:gridCol w:w="756"/>
        <w:gridCol w:w="701"/>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rPr>
          <w:trHeight w:val="1711"/>
        </w:trPr>
        <w:tc>
          <w:tcPr>
            <w:tcW w:w="0" w:type="auto"/>
            <w:tcBorders>
              <w:top w:val="single" w:sz="6" w:space="0" w:color="auto"/>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序号</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评</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定</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项</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目</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检查评定方法与说明</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大项分值栏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次分项分值栏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小项分值栏</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安全保护机构、制度与人员</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10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设有安全保护机构</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有健全的安全保护制度</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专职安全保护人员</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在游客集中和有安全隐患的地方分布；以水上游乐为主的旅游景区的巡视员、救护员，比例应较高</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3.1.4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流动安全保护人员数量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景区流动安全保护人员应与旅游区规模及性质相适应</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安全处置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17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高峰期游客安全处置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预案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职责明确，程序清晰</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处置效果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工作人员到岗到位，分流得力，安全措施有效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特殊情况的安全处置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包括恶劣气候、突发灾情、传染病疫情、食物中毒、缆车停电等特殊情况</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预案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处置效果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反应迅速，组织得力，替代设施到位，处置效果好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安全巡查</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设施完备，定时巡查，能有效维护安全秩序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11"/>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6"/>
        <w:gridCol w:w="1665"/>
        <w:gridCol w:w="5017"/>
        <w:gridCol w:w="700"/>
        <w:gridCol w:w="700"/>
        <w:gridCol w:w="756"/>
        <w:gridCol w:w="701"/>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安全设备设施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危险地带安全防护设施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包括安全护栏、水上拉网等应齐全和有效。发现一处不足或无效扣3～5分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消防、防火等设备</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重点是室内旅游点的消防设备，森林公园、风景区、自然保护区等旅游区的防火设备等应齐备、完好、有效。发现一处不合格扣2分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监控设施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设闭路监控系统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设瞭望台</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游览游乐服务设施安全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包括交通工具、交通设施、游乐设施、水上游乐设备以及地面防滑处理、无障碍设施等，应符合安全规定。发现一处安全不合格的扣2分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特殊旅游项目的安全确认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速降、蹦极、潜水、漂流、游乐等特殊旅游项目，未经验收的，此项不得分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安全警告标志、标识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应齐全、醒目、规范。如设置不足或设置不规范，每处扣2分，没有设置不得分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安全宣传</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10"/>
                <w:sz w:val="19"/>
                <w:szCs w:val="19"/>
                <w:bdr w:val="none" w:sz="0" w:space="0" w:color="auto"/>
              </w:rPr>
              <w:t>包括安全说明或须知等；有关重点景区（水上项目、滑雪场）需安装安全广播。安全说明或须知等要求图形显示和中外文对照，置于醒目位置。达不到以上要求的，每项扣2分，没有设置不得分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医疗服务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E5E5E5"/>
              </w:rPr>
              <w:t>8</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设立医务室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专用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专为游客设立的医务室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兼用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内部设立主要为员工服务，同时兼为游客服务的医务室</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有专职医护人员</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备日常药品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备急救箱</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3.6.5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备急救担架</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3.7</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救护服务</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bl>
    <w:p>
      <w:pPr>
        <w:sectPr>
          <w:type w:val="nextPage"/>
          <w:pgSz w:w="11906" w:h="16838"/>
          <w:pgMar w:top="1440" w:right="1746" w:bottom="1440" w:left="1519" w:header="851" w:footer="992" w:gutter="0"/>
          <w:pgNumType w:start="12"/>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16"/>
        <w:gridCol w:w="1665"/>
        <w:gridCol w:w="5017"/>
        <w:gridCol w:w="700"/>
        <w:gridCol w:w="700"/>
        <w:gridCol w:w="756"/>
        <w:gridCol w:w="701"/>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3.7.1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救护设备</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重点是水上旅游景区、山地旅游景区、滑雪场等的救护设备</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3.7.2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建立紧急救援体系</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3.7.2.1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内部救援电话</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向游客公布且畅通有效</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3.7.2.2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运送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与相关单位有专门运送协议，及时发现，安全运送</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1</w:t>
            </w:r>
          </w:p>
        </w:tc>
      </w:tr>
    </w:tbl>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Arial" w:eastAsia="Arial" w:hAnsi="Arial" w:cs="Arial" w:hint="default"/>
          <w:color w:val="auto"/>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z w:val="22"/>
          <w:szCs w:val="22"/>
        </w:rPr>
      </w:pPr>
      <w:r>
        <w:rPr>
          <w:rStyle w:val="Strong"/>
          <w:color w:val="auto"/>
          <w:sz w:val="22"/>
          <w:szCs w:val="22"/>
          <w:bdr w:val="none" w:sz="0" w:space="0" w:color="auto"/>
        </w:rPr>
        <w:t>04</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color w:val="auto"/>
          <w:spacing w:val="23"/>
          <w:sz w:val="22"/>
          <w:szCs w:val="22"/>
        </w:rPr>
      </w:pPr>
      <w:r>
        <w:rPr>
          <w:rStyle w:val="Strong"/>
          <w:color w:val="auto"/>
          <w:spacing w:val="23"/>
          <w:sz w:val="22"/>
          <w:szCs w:val="22"/>
          <w:bdr w:val="none" w:sz="0" w:space="0" w:color="auto"/>
        </w:rPr>
        <w:t>卫生（140分）</w:t>
      </w: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92"/>
        <w:gridCol w:w="2069"/>
        <w:gridCol w:w="4436"/>
        <w:gridCol w:w="724"/>
        <w:gridCol w:w="724"/>
        <w:gridCol w:w="786"/>
        <w:gridCol w:w="72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rPr>
          <w:trHeight w:val="1711"/>
        </w:trPr>
        <w:tc>
          <w:tcPr>
            <w:tcW w:w="0" w:type="auto"/>
            <w:tcBorders>
              <w:top w:val="single" w:sz="6" w:space="0" w:color="auto"/>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序号</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评</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定</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项</w:t>
            </w:r>
            <w:r>
              <w:rPr>
                <w:rStyle w:val="Strong"/>
                <w:color w:val="auto"/>
                <w:spacing w:val="-6"/>
                <w:sz w:val="19"/>
                <w:szCs w:val="19"/>
                <w:bdr w:val="none" w:sz="0" w:space="0" w:color="auto"/>
              </w:rPr>
              <w:t>  </w:t>
            </w:r>
            <w:r>
              <w:rPr>
                <w:rStyle w:val="Strong"/>
                <w:rFonts w:ascii="宋体" w:eastAsia="宋体" w:hAnsi="宋体" w:cs="宋体" w:hint="eastAsia"/>
                <w:color w:val="auto"/>
                <w:spacing w:val="-6"/>
                <w:sz w:val="19"/>
                <w:szCs w:val="19"/>
                <w:bdr w:val="none" w:sz="0" w:space="0" w:color="auto"/>
              </w:rPr>
              <w:t>目</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Style w:val="Strong"/>
                <w:rFonts w:ascii="宋体" w:eastAsia="宋体" w:hAnsi="宋体" w:cs="宋体" w:hint="eastAsia"/>
                <w:color w:val="auto"/>
                <w:spacing w:val="-6"/>
                <w:sz w:val="19"/>
                <w:szCs w:val="19"/>
                <w:bdr w:val="none" w:sz="0" w:space="0" w:color="auto"/>
              </w:rPr>
              <w:t>检查评定方法与说明</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大项分值栏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次分项分值栏</w:t>
            </w:r>
          </w:p>
        </w:tc>
        <w:tc>
          <w:tcPr>
            <w:tcW w:w="0" w:type="auto"/>
            <w:tcBorders>
              <w:top w:val="single" w:sz="6" w:space="0" w:color="auto"/>
              <w:left w:val="nil"/>
              <w:bottom w:val="single" w:sz="6" w:space="0" w:color="auto"/>
              <w:right w:val="single" w:sz="6" w:space="0" w:color="auto"/>
            </w:tcBorders>
            <w:shd w:val="clear" w:color="auto" w:fill="auto"/>
            <w:tcMar>
              <w:top w:w="75" w:type="dxa"/>
              <w:left w:w="150" w:type="dxa"/>
              <w:bottom w:w="75" w:type="dxa"/>
              <w:right w:w="150" w:type="dxa"/>
            </w:tcMar>
            <w:vAlign w:val="bottom"/>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240" w:lineRule="atLeast"/>
              <w:ind w:left="0" w:right="0"/>
              <w:jc w:val="center"/>
              <w:rPr>
                <w:color w:val="auto"/>
              </w:rPr>
            </w:pPr>
            <w:r>
              <w:rPr>
                <w:rStyle w:val="Strong"/>
                <w:rFonts w:ascii="宋体" w:eastAsia="宋体" w:hAnsi="宋体" w:cs="宋体" w:hint="eastAsia"/>
                <w:color w:val="auto"/>
                <w:spacing w:val="-6"/>
                <w:sz w:val="19"/>
                <w:szCs w:val="19"/>
                <w:bdr w:val="none" w:sz="0" w:space="0" w:color="auto"/>
              </w:rPr>
              <w:t>小项分值栏</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环境卫生</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场地秩序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无乱堆、乱放、乱建现象，施工场地维护完好、美观，发现一处不合格扣1分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游览场所地面</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无污水、污物，发现一处污水或污物明显的，扣1分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建筑物及各种设施设备</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无污垢、无剥落，发现一处污垢或剥痕明显的，扣1分；（在规划建设中对建筑物和设施的剥落和破损有特殊要求除外）</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4.1.4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气味</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清新，无异味；不符合要求酌情扣分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废弃物管理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40</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污水排放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排放效果</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不污染地面、河流、湖泊、海滨等。发现一处不得当的，视情节严重程度扣1～3分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3</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排放设施</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现场检查为主，设施需齐全和完好，酌情给分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r>
    </w:tbl>
    <w:p>
      <w:pPr>
        <w:sectPr>
          <w:type w:val="nextPage"/>
          <w:pgSz w:w="11906" w:h="16838"/>
          <w:pgMar w:top="1440" w:right="1746" w:bottom="1440" w:left="1519" w:header="851" w:footer="992" w:gutter="0"/>
          <w:pgNumType w:start="13"/>
          <w:cols w:num="1" w:space="425"/>
          <w:titlePg w:val="0"/>
          <w:docGrid w:type="lines" w:linePitch="312" w:charSpace="0"/>
        </w:sectPr>
      </w:pPr>
    </w:p>
    <w:tbl>
      <w:tblPr>
        <w:tblStyle w:val="TableNormal"/>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
      <w:tblGrid>
        <w:gridCol w:w="692"/>
        <w:gridCol w:w="2069"/>
        <w:gridCol w:w="4436"/>
        <w:gridCol w:w="724"/>
        <w:gridCol w:w="724"/>
        <w:gridCol w:w="786"/>
        <w:gridCol w:w="724"/>
      </w:tblGrid>
      <w:tr>
        <w:tblPrEx>
          <w:tblW w:w="1015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垃圾管理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35</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垃圾清扫</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11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4.2.2.1.1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日产日清</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不留陈垃圾</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4.2.2.1.2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流动清扫</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跟踪清扫</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5</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4.2.2.1.3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垃圾清扫器具</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vMerge w:val="restart"/>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美观、整洁，与景观环境相协调</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w:t>
            </w:r>
          </w:p>
        </w:tc>
      </w:tr>
      <w:tr>
        <w:tblPrEx>
          <w:tblW w:w="10155" w:type="dxa"/>
          <w:tblInd w:w="0" w:type="dxa"/>
          <w:shd w:val="clear" w:color="auto" w:fill="auto"/>
          <w:tblCellMar>
            <w:top w:w="0" w:type="dxa"/>
            <w:left w:w="0" w:type="dxa"/>
            <w:bottom w:w="0" w:type="dxa"/>
            <w:right w:w="0" w:type="dxa"/>
          </w:tblCellMar>
        </w:tblPrEx>
        <w:tc>
          <w:tcPr>
            <w:tcW w:w="0" w:type="auto"/>
            <w:vMerge/>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rPr>
                <w:rFonts w:ascii="宋体" w:hint="eastAsia"/>
                <w:color w:val="auto"/>
                <w:sz w:val="24"/>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整洁、实用</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1</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垃圾箱（桶）</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20</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4.2.2.2.1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外观</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整洁，发现一处不合格，扣1分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4.2.2.2.2</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数量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数量充足，布局合理，发现一处有明显不足，扣1分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造型</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美观，与景观环境相协调；根据景观环境专门设计造型的得8分，其他酌情打分</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8</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4.2.2.2.4</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分类设置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4.2.2.3</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垃圾处置</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rPr>
              <w:t>4</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4.2.2.3.1</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处理场或集中的场地</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垃圾处理场地或垃圾集中场地远离旅游景区</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r>
      <w:tr>
        <w:tblPrEx>
          <w:tblW w:w="10155" w:type="dxa"/>
          <w:tblInd w:w="0" w:type="dxa"/>
          <w:shd w:val="clear" w:color="auto" w:fill="auto"/>
          <w:tblCellMar>
            <w:top w:w="0" w:type="dxa"/>
            <w:left w:w="0" w:type="dxa"/>
            <w:bottom w:w="0" w:type="dxa"/>
            <w:right w:w="0" w:type="dxa"/>
          </w:tblCellMar>
        </w:tblPrEx>
        <w:tc>
          <w:tcPr>
            <w:tcW w:w="0" w:type="auto"/>
            <w:tcBorders>
              <w:top w:val="nil"/>
              <w:left w:val="single" w:sz="6" w:space="0" w:color="auto"/>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处理方式</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0" w:afterAutospacing="0" w:line="300" w:lineRule="atLeast"/>
              <w:ind w:left="0" w:right="0"/>
              <w:rPr>
                <w:color w:val="auto"/>
              </w:rPr>
            </w:pPr>
            <w:r>
              <w:rPr>
                <w:rFonts w:ascii="宋体" w:eastAsia="宋体" w:hAnsi="宋体" w:cs="宋体" w:hint="eastAsia"/>
                <w:color w:val="auto"/>
                <w:spacing w:val="-6"/>
                <w:sz w:val="19"/>
                <w:szCs w:val="19"/>
                <w:bdr w:val="none" w:sz="0" w:space="0" w:color="auto"/>
              </w:rPr>
              <w:t>不乱堆放，不就地焚烧或掩埋</w:t>
            </w: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keepNext w:val="0"/>
              <w:keepLines w:val="0"/>
              <w:widowControl/>
              <w:suppressLineNumbers w:val="0"/>
              <w:wordWrap w:val="0"/>
              <w:spacing w:before="0" w:beforeAutospacing="0" w:after="0" w:afterAutospacing="0"/>
              <w:ind w:left="0" w:right="0"/>
              <w:jc w:val="left"/>
              <w:rPr>
                <w:color w:val="auto"/>
              </w:rPr>
            </w:pPr>
          </w:p>
        </w:tc>
        <w:tc>
          <w:tcPr>
            <w:tcW w:w="0" w:type="auto"/>
            <w:tcBorders>
              <w:top w:val="nil"/>
              <w:left w:val="nil"/>
              <w:bottom w:val="single" w:sz="6" w:space="0" w:color="auto"/>
              <w:right w:val="single" w:sz="6" w:space="0" w:color="auto"/>
            </w:tcBorders>
            <w:shd w:val="clear" w:color="auto" w:fill="auto"/>
            <w:tcMar>
              <w:top w:w="75" w:type="dxa"/>
              <w:left w:w="150" w:type="dxa"/>
              <w:bottom w:w="75" w:type="dxa"/>
              <w:right w:w="150" w:type="dxa"/>
            </w:tcMar>
            <w:vAlign w:val="center"/>
          </w:tcPr>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0" w:beforeAutospacing="0" w:after="2" w:afterAutospacing="0" w:line="300" w:lineRule="atLeast"/>
              <w:ind w:left="0" w:right="0"/>
              <w:jc w:val="center"/>
              <w:rPr>
                <w:color w:val="auto"/>
              </w:rPr>
            </w:pPr>
            <w:r>
              <w:rPr>
                <w:color w:val="auto"/>
                <w:spacing w:val="-6"/>
                <w:sz w:val="19"/>
                <w:szCs w:val="19"/>
                <w:bdr w:val="none" w:sz="0" w:space="0" w:color="auto"/>
                <w:shd w:val="clear" w:color="auto" w:fill="000000"/>
              </w:rPr>
              <w:t>2</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https://d.book118.com/928016047003006036</w:t>
        </w:r>
      </w:hyperlink>
    </w:p>
    <w:p/>
    <w:sectPr>
      <w:type w:val="nextPage"/>
      <w:pgSz w:w="11906" w:h="16838"/>
      <w:pgMar w:top="1440" w:right="1746" w:bottom="1440" w:left="1519"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体">
    <w:altName w:val="仿宋"/>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PingFangTC-light">
    <w:altName w:val="GENISO"/>
    <w:panose1 w:val="00000000000000000000"/>
    <w:charset w:val="00"/>
    <w:family w:val="auto"/>
    <w:pitch w:val="default"/>
    <w:sig w:usb0="00000000" w:usb1="00000000" w:usb2="00000000" w:usb3="00000000" w:csb0="00000001" w:csb1="00000000"/>
  </w:font>
  <w:font w:name="GENISO">
    <w:panose1 w:val="02000400000000000000"/>
    <w:charset w:val="00"/>
    <w:family w:val="auto"/>
    <w:pitch w:val="default"/>
    <w:sig w:usb0="00000003" w:usb1="00000000" w:usb2="0000004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61B49"/>
    <w:rsid w:val="52B61B49"/>
  </w:rsids>
  <w:docVars>
    <w:docVar w:name="commondata" w:val="eyJoZGlkIjoiMDAzNzJhYjFjNDI3NmRjYjU4NmQyMjk1N2ZjYTBlNj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801604700300603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WPS_366424588</dc:creator>
  <cp:lastModifiedBy>WPS_366424588</cp:lastModifiedBy>
  <cp:revision>1</cp:revision>
  <dcterms:created xsi:type="dcterms:W3CDTF">2024-01-29T07:54:00Z</dcterms:created>
  <dcterms:modified xsi:type="dcterms:W3CDTF">2024-01-29T07:55:30Z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67242B37D8484E45855F5BF0B36396C7_11</vt:lpwstr>
  </property>
  <property fmtid="{D5CDD505-2E9C-101B-9397-08002B2CF9AE}" pid="3" name="KSOProductBuildVer">
    <vt:lpwstr>2052-12.1.0.16250</vt:lpwstr>
  </property>
</Properties>
</file>