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3"/>
        <w:rPr>
          <w:rFonts w:ascii="Times New Roman"/>
          <w:sz w:val="26"/>
        </w:rPr>
      </w:pPr>
    </w:p>
    <w:p>
      <w:pPr>
        <w:pStyle w:val="Title"/>
      </w:pPr>
      <w:r>
        <w:t>通用桥、门式起重机安全评估规则</w:t>
      </w:r>
    </w:p>
    <w:p>
      <w:pPr>
        <w:spacing w:after="0"/>
        <w:sectPr>
          <w:type w:val="continuous"/>
          <w:pgSz w:w="11910" w:h="16840"/>
          <w:pgMar w:top="1600" w:right="920" w:bottom="280" w:left="1220" w:header="708" w:footer="708"/>
          <w:cols w:space="708"/>
        </w:sect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1"/>
        <w:rPr>
          <w:rFonts w:ascii="黑体"/>
          <w:sz w:val="18"/>
        </w:rPr>
      </w:pPr>
    </w:p>
    <w:p>
      <w:pPr>
        <w:pStyle w:val="Heading2"/>
        <w:tabs>
          <w:tab w:val="left" w:pos="959"/>
        </w:tabs>
        <w:spacing w:before="55"/>
      </w:pPr>
      <w:r>
        <w:t>目</w:t>
        <w:tab/>
        <w:t>次</w:t>
      </w:r>
    </w:p>
    <w:p>
      <w:pPr>
        <w:pStyle w:val="BodyText"/>
        <w:rPr>
          <w:rFonts w:ascii="黑体"/>
          <w:sz w:val="32"/>
        </w:rPr>
      </w:pPr>
    </w:p>
    <w:p>
      <w:pPr>
        <w:pStyle w:val="BodyText"/>
        <w:rPr>
          <w:rFonts w:ascii="黑体"/>
          <w:sz w:val="32"/>
        </w:rPr>
      </w:pPr>
    </w:p>
    <w:p>
      <w:pPr>
        <w:pStyle w:val="BodyText"/>
        <w:spacing w:before="5"/>
        <w:rPr>
          <w:rFonts w:ascii="黑体"/>
          <w:sz w:val="32"/>
        </w:rPr>
      </w:pPr>
    </w:p>
    <w:p>
      <w:pPr>
        <w:pStyle w:val="ListParagraph"/>
        <w:numPr>
          <w:ilvl w:val="0"/>
          <w:numId w:val="22"/>
        </w:numPr>
        <w:tabs>
          <w:tab w:val="left" w:pos="570"/>
          <w:tab w:val="left" w:pos="571"/>
          <w:tab w:val="right" w:leader="dot" w:pos="9496"/>
        </w:tabs>
        <w:spacing w:before="0" w:after="0" w:line="240" w:lineRule="auto"/>
        <w:ind w:left="570" w:right="0" w:hanging="317"/>
        <w:jc w:val="left"/>
        <w:rPr>
          <w:sz w:val="21"/>
        </w:rPr>
      </w:pPr>
      <w:r>
        <w:rPr>
          <w:sz w:val="21"/>
        </w:rPr>
        <w:t>范围</w:t>
        <w:tab/>
        <w:t>1</w:t>
      </w:r>
    </w:p>
    <w:p>
      <w:pPr>
        <w:pStyle w:val="ListParagraph"/>
        <w:numPr>
          <w:ilvl w:val="0"/>
          <w:numId w:val="22"/>
        </w:numPr>
        <w:tabs>
          <w:tab w:val="left" w:pos="569"/>
          <w:tab w:val="left" w:pos="570"/>
          <w:tab w:val="right" w:leader="dot" w:pos="9496"/>
        </w:tabs>
        <w:spacing w:before="199" w:after="0" w:line="240" w:lineRule="auto"/>
        <w:ind w:left="569" w:right="0" w:hanging="316"/>
        <w:jc w:val="left"/>
        <w:rPr>
          <w:sz w:val="21"/>
        </w:rPr>
      </w:pPr>
      <w:r>
        <w:rPr>
          <w:sz w:val="21"/>
        </w:rPr>
        <w:t>规范性引用文件</w:t>
        <w:tab/>
        <w:t>1</w:t>
      </w:r>
    </w:p>
    <w:p>
      <w:pPr>
        <w:pStyle w:val="ListParagraph"/>
        <w:numPr>
          <w:ilvl w:val="0"/>
          <w:numId w:val="22"/>
        </w:numPr>
        <w:tabs>
          <w:tab w:val="left" w:pos="569"/>
          <w:tab w:val="left" w:pos="571"/>
          <w:tab w:val="right" w:leader="dot" w:pos="9496"/>
        </w:tabs>
        <w:spacing w:before="199" w:after="0" w:line="240" w:lineRule="auto"/>
        <w:ind w:left="570" w:right="0" w:hanging="317"/>
        <w:jc w:val="left"/>
        <w:rPr>
          <w:sz w:val="21"/>
        </w:rPr>
      </w:pPr>
      <w:r>
        <w:rPr>
          <w:sz w:val="21"/>
        </w:rPr>
        <w:t>一般要求</w:t>
        <w:tab/>
        <w:t>1</w:t>
      </w:r>
    </w:p>
    <w:p>
      <w:pPr>
        <w:pStyle w:val="ListParagraph"/>
        <w:numPr>
          <w:ilvl w:val="0"/>
          <w:numId w:val="22"/>
        </w:numPr>
        <w:tabs>
          <w:tab w:val="left" w:pos="569"/>
          <w:tab w:val="left" w:pos="571"/>
          <w:tab w:val="right" w:leader="dot" w:pos="9496"/>
        </w:tabs>
        <w:spacing w:before="199" w:after="0" w:line="240" w:lineRule="auto"/>
        <w:ind w:left="570" w:right="0" w:hanging="317"/>
        <w:jc w:val="left"/>
        <w:rPr>
          <w:sz w:val="21"/>
        </w:rPr>
      </w:pPr>
      <w:r>
        <w:rPr>
          <w:sz w:val="21"/>
        </w:rPr>
        <w:t>评估程序</w:t>
        <w:tab/>
        <w:t>2</w:t>
      </w:r>
    </w:p>
    <w:p>
      <w:pPr>
        <w:pStyle w:val="ListParagraph"/>
        <w:numPr>
          <w:ilvl w:val="0"/>
          <w:numId w:val="22"/>
        </w:numPr>
        <w:tabs>
          <w:tab w:val="left" w:pos="569"/>
          <w:tab w:val="left" w:pos="570"/>
          <w:tab w:val="right" w:leader="dot" w:pos="9496"/>
        </w:tabs>
        <w:spacing w:before="199" w:after="0" w:line="240" w:lineRule="auto"/>
        <w:ind w:left="569" w:right="0" w:hanging="316"/>
        <w:jc w:val="left"/>
        <w:rPr>
          <w:sz w:val="21"/>
        </w:rPr>
      </w:pPr>
      <w:r>
        <w:rPr>
          <w:sz w:val="21"/>
        </w:rPr>
        <w:t>评估结论判定通则</w:t>
        <w:tab/>
        <w:t>3</w:t>
      </w:r>
    </w:p>
    <w:p>
      <w:pPr>
        <w:pStyle w:val="ListParagraph"/>
        <w:numPr>
          <w:ilvl w:val="0"/>
          <w:numId w:val="22"/>
        </w:numPr>
        <w:tabs>
          <w:tab w:val="left" w:pos="569"/>
          <w:tab w:val="left" w:pos="570"/>
          <w:tab w:val="right" w:leader="dot" w:pos="9496"/>
        </w:tabs>
        <w:spacing w:before="199" w:after="0" w:line="240" w:lineRule="auto"/>
        <w:ind w:left="569" w:right="0" w:hanging="316"/>
        <w:jc w:val="left"/>
        <w:rPr>
          <w:sz w:val="21"/>
        </w:rPr>
      </w:pPr>
      <w:r>
        <w:rPr>
          <w:sz w:val="21"/>
        </w:rPr>
        <w:t>评估报告</w:t>
        <w:tab/>
        <w:t>6</w:t>
      </w:r>
    </w:p>
    <w:p>
      <w:pPr>
        <w:pStyle w:val="ListParagraph"/>
        <w:numPr>
          <w:ilvl w:val="0"/>
          <w:numId w:val="22"/>
        </w:numPr>
        <w:tabs>
          <w:tab w:val="left" w:pos="570"/>
          <w:tab w:val="left" w:pos="571"/>
          <w:tab w:val="right" w:leader="dot" w:pos="9496"/>
        </w:tabs>
        <w:spacing w:before="199" w:after="0" w:line="240" w:lineRule="auto"/>
        <w:ind w:left="570" w:right="0" w:hanging="317"/>
        <w:jc w:val="left"/>
        <w:rPr>
          <w:sz w:val="21"/>
        </w:rPr>
      </w:pPr>
      <w:r>
        <w:rPr>
          <w:sz w:val="21"/>
        </w:rPr>
        <w:t>附录</w:t>
      </w:r>
      <w:r>
        <w:rPr>
          <w:spacing w:val="-54"/>
          <w:sz w:val="21"/>
        </w:rPr>
        <w:t xml:space="preserve"> </w:t>
      </w:r>
      <w:r>
        <w:rPr>
          <w:sz w:val="21"/>
        </w:rPr>
        <w:t>A（资料性附录）评估项目内容及要求</w:t>
        <w:tab/>
        <w:t>7</w:t>
      </w:r>
    </w:p>
    <w:p>
      <w:pPr>
        <w:pStyle w:val="ListParagraph"/>
        <w:numPr>
          <w:ilvl w:val="0"/>
          <w:numId w:val="22"/>
        </w:numPr>
        <w:tabs>
          <w:tab w:val="left" w:pos="570"/>
          <w:tab w:val="left" w:pos="571"/>
          <w:tab w:val="right" w:leader="dot" w:pos="9497"/>
        </w:tabs>
        <w:spacing w:before="199" w:after="0" w:line="240" w:lineRule="auto"/>
        <w:ind w:left="570" w:right="0" w:hanging="317"/>
        <w:jc w:val="left"/>
        <w:rPr>
          <w:sz w:val="21"/>
        </w:rPr>
      </w:pPr>
      <w:r>
        <w:rPr>
          <w:sz w:val="21"/>
        </w:rPr>
        <w:t>附录</w:t>
      </w:r>
      <w:r>
        <w:rPr>
          <w:spacing w:val="-54"/>
          <w:sz w:val="21"/>
        </w:rPr>
        <w:t xml:space="preserve"> </w:t>
      </w:r>
      <w:r>
        <w:rPr>
          <w:sz w:val="21"/>
        </w:rPr>
        <w:t>B（资料性附录）通用桥、门式起重机安全评估报告格式</w:t>
        <w:tab/>
        <w:t>16</w:t>
      </w:r>
    </w:p>
    <w:p>
      <w:pPr>
        <w:spacing w:after="0" w:line="240" w:lineRule="auto"/>
        <w:jc w:val="left"/>
        <w:rPr>
          <w:sz w:val="21"/>
        </w:rPr>
        <w:sectPr>
          <w:pgSz w:w="11910" w:h="16840"/>
          <w:pgMar w:top="1600" w:right="920" w:bottom="280" w:left="1220" w:header="708" w:footer="708"/>
          <w:pgNumType w:start="2"/>
          <w:cols w:space="708"/>
        </w:sectPr>
      </w:pPr>
    </w:p>
    <w:p>
      <w:pPr>
        <w:pStyle w:val="BodyText"/>
        <w:rPr>
          <w:sz w:val="32"/>
        </w:rPr>
      </w:pPr>
    </w:p>
    <w:p>
      <w:pPr>
        <w:pStyle w:val="BodyText"/>
        <w:rPr>
          <w:sz w:val="32"/>
        </w:rPr>
      </w:pPr>
    </w:p>
    <w:p>
      <w:pPr>
        <w:spacing w:before="236"/>
        <w:ind w:left="0" w:right="12" w:firstLine="0"/>
        <w:jc w:val="center"/>
        <w:rPr>
          <w:rFonts w:ascii="黑体" w:eastAsia="黑体" w:hint="eastAsia"/>
          <w:sz w:val="32"/>
        </w:rPr>
      </w:pPr>
      <w:r>
        <w:rPr>
          <w:rFonts w:ascii="黑体" w:eastAsia="黑体" w:hint="eastAsia"/>
          <w:sz w:val="32"/>
        </w:rPr>
        <w:t>通用桥、门式起重机安全评估规则</w:t>
      </w:r>
    </w:p>
    <w:p>
      <w:pPr>
        <w:pStyle w:val="BodyText"/>
        <w:rPr>
          <w:rFonts w:ascii="黑体"/>
          <w:sz w:val="20"/>
        </w:rPr>
      </w:pPr>
    </w:p>
    <w:p>
      <w:pPr>
        <w:pStyle w:val="BodyText"/>
        <w:spacing w:before="3"/>
        <w:rPr>
          <w:rFonts w:ascii="黑体"/>
          <w:sz w:val="28"/>
        </w:rPr>
      </w:pPr>
    </w:p>
    <w:p>
      <w:pPr>
        <w:pStyle w:val="ListParagraph"/>
        <w:numPr>
          <w:ilvl w:val="0"/>
          <w:numId w:val="23"/>
        </w:numPr>
        <w:tabs>
          <w:tab w:val="left" w:pos="514"/>
          <w:tab w:val="left" w:pos="515"/>
        </w:tabs>
        <w:spacing w:before="70" w:after="0" w:line="240" w:lineRule="auto"/>
        <w:ind w:left="514" w:right="0" w:hanging="317"/>
        <w:jc w:val="left"/>
        <w:rPr>
          <w:rFonts w:ascii="黑体" w:eastAsia="黑体" w:hint="eastAsia"/>
          <w:sz w:val="21"/>
        </w:rPr>
      </w:pPr>
      <w:r>
        <w:rPr>
          <w:rFonts w:ascii="黑体" w:eastAsia="黑体" w:hint="eastAsia"/>
          <w:sz w:val="21"/>
        </w:rPr>
        <w:t>范围</w:t>
      </w:r>
    </w:p>
    <w:p>
      <w:pPr>
        <w:pStyle w:val="BodyText"/>
        <w:spacing w:before="9"/>
        <w:rPr>
          <w:rFonts w:ascii="黑体"/>
          <w:sz w:val="27"/>
        </w:rPr>
      </w:pPr>
    </w:p>
    <w:p>
      <w:pPr>
        <w:pStyle w:val="BodyText"/>
        <w:spacing w:before="1" w:line="278" w:lineRule="auto"/>
        <w:ind w:left="618" w:right="105"/>
      </w:pPr>
      <w:r>
        <w:rPr>
          <w:spacing w:val="-14"/>
        </w:rPr>
        <w:t>本标准规定了通用桥、门式起重机安全评估的要求、程序、结果判定规则以及安全评估报告的编制。</w:t>
      </w:r>
      <w:r>
        <w:t>本标准适用于通用桥、门式起重机（以下简称起重机）安全的评估。</w:t>
      </w:r>
    </w:p>
    <w:p>
      <w:pPr>
        <w:pStyle w:val="BodyText"/>
        <w:spacing w:before="5"/>
        <w:rPr>
          <w:sz w:val="24"/>
        </w:rPr>
      </w:pPr>
    </w:p>
    <w:p>
      <w:pPr>
        <w:pStyle w:val="ListParagraph"/>
        <w:numPr>
          <w:ilvl w:val="0"/>
          <w:numId w:val="23"/>
        </w:numPr>
        <w:tabs>
          <w:tab w:val="left" w:pos="514"/>
          <w:tab w:val="left" w:pos="515"/>
        </w:tabs>
        <w:spacing w:before="0" w:after="0" w:line="240" w:lineRule="auto"/>
        <w:ind w:left="514" w:right="0" w:hanging="317"/>
        <w:jc w:val="left"/>
        <w:rPr>
          <w:rFonts w:ascii="黑体" w:eastAsia="黑体" w:hint="eastAsia"/>
          <w:sz w:val="21"/>
        </w:rPr>
      </w:pPr>
      <w:r>
        <w:rPr>
          <w:rFonts w:ascii="黑体" w:eastAsia="黑体" w:hint="eastAsia"/>
          <w:sz w:val="21"/>
        </w:rPr>
        <w:t>规范性引用文件</w:t>
      </w:r>
    </w:p>
    <w:p>
      <w:pPr>
        <w:pStyle w:val="BodyText"/>
        <w:spacing w:before="7"/>
        <w:rPr>
          <w:rFonts w:ascii="黑体"/>
          <w:sz w:val="27"/>
        </w:rPr>
      </w:pPr>
    </w:p>
    <w:p>
      <w:pPr>
        <w:pStyle w:val="BodyText"/>
        <w:spacing w:before="1" w:line="278" w:lineRule="auto"/>
        <w:ind w:left="198" w:right="105" w:firstLine="420"/>
      </w:pPr>
      <w:r>
        <w:rPr>
          <w:spacing w:val="-11"/>
        </w:rPr>
        <w:t>下列文件对于本文件的应用是必不可少的。凡是注日期的引用文件，仅注日期的版本适用于本文件。</w:t>
      </w:r>
      <w:r>
        <w:t>凡是不注日期的引用文件，其最新版本(包括所有的修改单)适用于本文件。</w:t>
      </w:r>
    </w:p>
    <w:p>
      <w:pPr>
        <w:pStyle w:val="BodyText"/>
        <w:tabs>
          <w:tab w:val="left" w:pos="2298"/>
        </w:tabs>
        <w:ind w:left="618"/>
      </w:pPr>
      <w:r>
        <w:t>GB/T 3811-2008</w:t>
        <w:tab/>
        <w:t>起重机设计规范</w:t>
      </w:r>
    </w:p>
    <w:p>
      <w:pPr>
        <w:pStyle w:val="BodyText"/>
        <w:tabs>
          <w:tab w:val="left" w:pos="2298"/>
        </w:tabs>
        <w:spacing w:before="42"/>
        <w:ind w:left="618"/>
      </w:pPr>
      <w:r>
        <w:t>GB/T 5905-2011</w:t>
        <w:tab/>
        <w:t>起重机试验规范和程序</w:t>
      </w:r>
    </w:p>
    <w:p>
      <w:pPr>
        <w:pStyle w:val="BodyText"/>
        <w:tabs>
          <w:tab w:val="left" w:pos="2403"/>
          <w:tab w:val="left" w:pos="4293"/>
        </w:tabs>
        <w:spacing w:before="43"/>
        <w:ind w:left="618"/>
      </w:pPr>
      <w:r>
        <w:t>GB</w:t>
      </w:r>
      <w:r>
        <w:rPr>
          <w:spacing w:val="-1"/>
        </w:rPr>
        <w:t xml:space="preserve"> </w:t>
      </w:r>
      <w:r>
        <w:t>6067.1—2010</w:t>
        <w:tab/>
        <w:t>起重机械安全规程</w:t>
        <w:tab/>
        <w:t>第1部分：总则</w:t>
      </w:r>
    </w:p>
    <w:p>
      <w:pPr>
        <w:pStyle w:val="BodyText"/>
        <w:tabs>
          <w:tab w:val="left" w:pos="2403"/>
          <w:tab w:val="left" w:pos="4318"/>
        </w:tabs>
        <w:spacing w:before="43" w:line="278" w:lineRule="auto"/>
        <w:ind w:left="618" w:right="2819" w:firstLine="25"/>
      </w:pPr>
      <w:r>
        <w:t>GB</w:t>
      </w:r>
      <w:r>
        <w:rPr>
          <w:spacing w:val="-1"/>
        </w:rPr>
        <w:t xml:space="preserve"> </w:t>
      </w:r>
      <w:r>
        <w:t>6067.5—2014</w:t>
        <w:tab/>
        <w:t>起重机械安全规程</w:t>
        <w:tab/>
        <w:t>第5部分：桥式和门式起重</w:t>
      </w:r>
      <w:r>
        <w:rPr>
          <w:spacing w:val="-14"/>
        </w:rPr>
        <w:t>机</w:t>
      </w:r>
      <w:r>
        <w:t>GB/T 14405-2011</w:t>
        <w:tab/>
        <w:t>通用桥式起重机</w:t>
      </w:r>
    </w:p>
    <w:p>
      <w:pPr>
        <w:pStyle w:val="BodyText"/>
        <w:tabs>
          <w:tab w:val="left" w:pos="2403"/>
        </w:tabs>
        <w:spacing w:line="269" w:lineRule="exact"/>
        <w:ind w:left="618"/>
      </w:pPr>
      <w:r>
        <w:t>GB/T 14406-2011</w:t>
        <w:tab/>
      </w:r>
      <w:r>
        <w:rPr>
          <w:spacing w:val="-1"/>
        </w:rPr>
        <w:t>通用门式起重机</w:t>
      </w:r>
    </w:p>
    <w:p>
      <w:pPr>
        <w:pStyle w:val="BodyText"/>
        <w:tabs>
          <w:tab w:val="left" w:pos="2404"/>
          <w:tab w:val="left" w:pos="3453"/>
        </w:tabs>
        <w:spacing w:before="43"/>
        <w:ind w:left="618"/>
      </w:pPr>
      <w:r>
        <w:t>GB/T 28264-2017</w:t>
        <w:tab/>
        <w:t>起重机械</w:t>
        <w:tab/>
        <w:t>安全监控管理系统</w:t>
      </w:r>
    </w:p>
    <w:p>
      <w:pPr>
        <w:pStyle w:val="BodyText"/>
        <w:tabs>
          <w:tab w:val="left" w:pos="2298"/>
          <w:tab w:val="left" w:pos="2403"/>
          <w:tab w:val="left" w:pos="5132"/>
        </w:tabs>
        <w:spacing w:before="43" w:line="278" w:lineRule="auto"/>
        <w:ind w:left="618" w:right="2530"/>
      </w:pPr>
      <w:r>
        <w:t>GB/T 20900-2007</w:t>
        <w:tab/>
        <w:tab/>
        <w:t>电梯自动扶梯和自动人行道</w:t>
        <w:tab/>
        <w:t>风险评价和降低的方</w:t>
      </w:r>
      <w:r>
        <w:rPr>
          <w:spacing w:val="-16"/>
        </w:rPr>
        <w:t>法</w:t>
      </w:r>
      <w:r>
        <w:t>JGJ/T 189-2009</w:t>
        <w:tab/>
        <w:t>建筑起重机械安全评估规程</w:t>
      </w:r>
    </w:p>
    <w:p>
      <w:pPr>
        <w:pStyle w:val="BodyText"/>
        <w:rPr>
          <w:sz w:val="20"/>
        </w:rPr>
      </w:pPr>
    </w:p>
    <w:p>
      <w:pPr>
        <w:pStyle w:val="ListParagraph"/>
        <w:numPr>
          <w:ilvl w:val="0"/>
          <w:numId w:val="23"/>
        </w:numPr>
        <w:tabs>
          <w:tab w:val="left" w:pos="663"/>
          <w:tab w:val="left" w:pos="664"/>
        </w:tabs>
        <w:spacing w:before="134" w:after="0" w:line="240" w:lineRule="auto"/>
        <w:ind w:left="663" w:right="0" w:hanging="466"/>
        <w:jc w:val="left"/>
        <w:rPr>
          <w:rFonts w:ascii="黑体" w:eastAsia="黑体" w:hint="eastAsia"/>
          <w:sz w:val="21"/>
        </w:rPr>
      </w:pPr>
      <w:r>
        <w:rPr>
          <w:rFonts w:ascii="黑体" w:eastAsia="黑体" w:hint="eastAsia"/>
          <w:sz w:val="21"/>
        </w:rPr>
        <w:t>一般要求</w:t>
      </w:r>
    </w:p>
    <w:p>
      <w:pPr>
        <w:pStyle w:val="BodyText"/>
        <w:spacing w:before="7"/>
        <w:rPr>
          <w:rFonts w:ascii="黑体"/>
        </w:rPr>
      </w:pPr>
    </w:p>
    <w:p>
      <w:pPr>
        <w:pStyle w:val="ListParagraph"/>
        <w:numPr>
          <w:ilvl w:val="1"/>
          <w:numId w:val="23"/>
        </w:numPr>
        <w:tabs>
          <w:tab w:val="left" w:pos="722"/>
          <w:tab w:val="left" w:pos="724"/>
        </w:tabs>
        <w:spacing w:before="1" w:after="0" w:line="240" w:lineRule="auto"/>
        <w:ind w:left="723" w:right="0" w:hanging="526"/>
        <w:jc w:val="left"/>
        <w:rPr>
          <w:rFonts w:ascii="黑体" w:eastAsia="黑体" w:hint="eastAsia"/>
          <w:sz w:val="21"/>
        </w:rPr>
      </w:pPr>
      <w:r>
        <w:rPr>
          <w:rFonts w:ascii="黑体" w:eastAsia="黑体" w:hint="eastAsia"/>
          <w:sz w:val="21"/>
        </w:rPr>
        <w:t>评估对象</w:t>
      </w:r>
    </w:p>
    <w:p>
      <w:pPr>
        <w:pStyle w:val="BodyText"/>
        <w:spacing w:before="6"/>
        <w:rPr>
          <w:rFonts w:ascii="黑体"/>
          <w:sz w:val="15"/>
        </w:rPr>
      </w:pPr>
    </w:p>
    <w:p>
      <w:pPr>
        <w:pStyle w:val="BodyText"/>
        <w:ind w:left="619"/>
      </w:pPr>
      <w:r>
        <w:t>达到设计使用年限的且使用单位认为有必要通过安全评估拟继续使用的通用桥、门式起重机。</w:t>
      </w:r>
    </w:p>
    <w:p>
      <w:pPr>
        <w:pStyle w:val="BodyText"/>
        <w:spacing w:before="7"/>
        <w:rPr>
          <w:sz w:val="15"/>
        </w:rPr>
      </w:pPr>
    </w:p>
    <w:p>
      <w:pPr>
        <w:pStyle w:val="ListParagraph"/>
        <w:numPr>
          <w:ilvl w:val="1"/>
          <w:numId w:val="23"/>
        </w:numPr>
        <w:tabs>
          <w:tab w:val="left" w:pos="722"/>
          <w:tab w:val="left" w:pos="724"/>
        </w:tabs>
        <w:spacing w:before="0" w:after="0" w:line="240" w:lineRule="auto"/>
        <w:ind w:left="723" w:right="0" w:hanging="526"/>
        <w:jc w:val="left"/>
        <w:rPr>
          <w:rFonts w:ascii="黑体" w:eastAsia="黑体" w:hint="eastAsia"/>
          <w:sz w:val="21"/>
        </w:rPr>
      </w:pPr>
      <w:r>
        <w:rPr>
          <w:rFonts w:ascii="黑体" w:eastAsia="黑体" w:hint="eastAsia"/>
          <w:sz w:val="21"/>
        </w:rPr>
        <w:t>评估机构</w:t>
      </w:r>
    </w:p>
    <w:p>
      <w:pPr>
        <w:pStyle w:val="BodyText"/>
        <w:spacing w:before="8"/>
        <w:rPr>
          <w:rFonts w:ascii="黑体"/>
        </w:rPr>
      </w:pPr>
    </w:p>
    <w:p>
      <w:pPr>
        <w:pStyle w:val="BodyText"/>
        <w:ind w:left="618"/>
      </w:pPr>
      <w:r>
        <w:t>从事安全评估的机构应是独立的具有检验检测资质的检验检测机构。</w:t>
      </w:r>
    </w:p>
    <w:p>
      <w:pPr>
        <w:pStyle w:val="BodyText"/>
        <w:spacing w:before="8"/>
      </w:pPr>
    </w:p>
    <w:p>
      <w:pPr>
        <w:pStyle w:val="ListParagraph"/>
        <w:numPr>
          <w:ilvl w:val="1"/>
          <w:numId w:val="23"/>
        </w:numPr>
        <w:tabs>
          <w:tab w:val="left" w:pos="722"/>
          <w:tab w:val="left" w:pos="723"/>
        </w:tabs>
        <w:spacing w:before="0" w:after="0" w:line="240" w:lineRule="auto"/>
        <w:ind w:left="722" w:right="0" w:hanging="525"/>
        <w:jc w:val="left"/>
        <w:rPr>
          <w:rFonts w:ascii="黑体" w:eastAsia="黑体" w:hint="eastAsia"/>
          <w:sz w:val="21"/>
        </w:rPr>
      </w:pPr>
      <w:r>
        <w:rPr>
          <w:rFonts w:ascii="黑体" w:eastAsia="黑体" w:hint="eastAsia"/>
          <w:sz w:val="21"/>
        </w:rPr>
        <w:t>评估人员</w:t>
      </w:r>
    </w:p>
    <w:p>
      <w:pPr>
        <w:pStyle w:val="BodyText"/>
        <w:spacing w:before="6"/>
        <w:rPr>
          <w:rFonts w:ascii="黑体"/>
          <w:sz w:val="15"/>
        </w:rPr>
      </w:pPr>
    </w:p>
    <w:p>
      <w:pPr>
        <w:pStyle w:val="BodyText"/>
        <w:spacing w:before="1"/>
        <w:ind w:left="618"/>
      </w:pPr>
      <w:r>
        <w:t>评估人员应满足以下条件：</w:t>
      </w:r>
    </w:p>
    <w:p>
      <w:pPr>
        <w:pStyle w:val="ListParagraph"/>
        <w:numPr>
          <w:ilvl w:val="2"/>
          <w:numId w:val="23"/>
        </w:numPr>
        <w:tabs>
          <w:tab w:val="left" w:pos="1072"/>
          <w:tab w:val="left" w:pos="1073"/>
        </w:tabs>
        <w:spacing w:before="43" w:after="0" w:line="240" w:lineRule="auto"/>
        <w:ind w:left="1072" w:right="0" w:hanging="421"/>
        <w:jc w:val="left"/>
        <w:rPr>
          <w:sz w:val="21"/>
        </w:rPr>
      </w:pPr>
      <w:r>
        <w:rPr>
          <w:sz w:val="21"/>
        </w:rPr>
        <w:t>具备机械电气工程类相关专业工程师职称及以上资格；</w:t>
      </w:r>
    </w:p>
    <w:p>
      <w:pPr>
        <w:pStyle w:val="ListParagraph"/>
        <w:numPr>
          <w:ilvl w:val="2"/>
          <w:numId w:val="23"/>
        </w:numPr>
        <w:tabs>
          <w:tab w:val="left" w:pos="1072"/>
          <w:tab w:val="left" w:pos="1073"/>
        </w:tabs>
        <w:spacing w:before="42" w:after="0" w:line="240" w:lineRule="auto"/>
        <w:ind w:left="1072" w:right="0" w:hanging="421"/>
        <w:jc w:val="left"/>
        <w:rPr>
          <w:sz w:val="21"/>
        </w:rPr>
      </w:pPr>
      <w:r>
        <w:rPr>
          <w:sz w:val="21"/>
        </w:rPr>
        <w:t>熟悉起重机相关技术标准和安全技术规范；</w:t>
      </w:r>
    </w:p>
    <w:p>
      <w:pPr>
        <w:pStyle w:val="ListParagraph"/>
        <w:numPr>
          <w:ilvl w:val="2"/>
          <w:numId w:val="23"/>
        </w:numPr>
        <w:tabs>
          <w:tab w:val="left" w:pos="1071"/>
          <w:tab w:val="left" w:pos="1073"/>
        </w:tabs>
        <w:spacing w:before="43" w:after="0" w:line="240" w:lineRule="auto"/>
        <w:ind w:left="1072" w:right="0" w:hanging="421"/>
        <w:jc w:val="left"/>
        <w:rPr>
          <w:sz w:val="21"/>
        </w:rPr>
      </w:pPr>
      <w:r>
        <w:rPr>
          <w:spacing w:val="-5"/>
          <w:sz w:val="21"/>
        </w:rPr>
        <w:t xml:space="preserve">从事起重机专业技术工作 </w:t>
      </w:r>
      <w:r>
        <w:rPr>
          <w:sz w:val="21"/>
        </w:rPr>
        <w:t>10</w:t>
      </w:r>
      <w:r>
        <w:rPr>
          <w:spacing w:val="-12"/>
          <w:sz w:val="21"/>
        </w:rPr>
        <w:t xml:space="preserve"> 年以上。</w:t>
      </w:r>
    </w:p>
    <w:p>
      <w:pPr>
        <w:pStyle w:val="BodyText"/>
        <w:spacing w:before="9"/>
        <w:rPr>
          <w:sz w:val="27"/>
        </w:rPr>
      </w:pPr>
    </w:p>
    <w:p>
      <w:pPr>
        <w:pStyle w:val="ListParagraph"/>
        <w:numPr>
          <w:ilvl w:val="1"/>
          <w:numId w:val="23"/>
        </w:numPr>
        <w:tabs>
          <w:tab w:val="left" w:pos="722"/>
          <w:tab w:val="left" w:pos="723"/>
        </w:tabs>
        <w:spacing w:before="1" w:after="0" w:line="240" w:lineRule="auto"/>
        <w:ind w:left="722" w:right="0" w:hanging="525"/>
        <w:jc w:val="left"/>
        <w:rPr>
          <w:sz w:val="21"/>
        </w:rPr>
      </w:pPr>
      <w:r>
        <w:rPr>
          <w:rFonts w:ascii="黑体" w:eastAsia="黑体" w:hint="eastAsia"/>
          <w:sz w:val="21"/>
        </w:rPr>
        <w:t>评估现场环境及设备状态</w:t>
      </w:r>
    </w:p>
    <w:p>
      <w:pPr>
        <w:pStyle w:val="BodyText"/>
        <w:spacing w:before="6"/>
        <w:rPr>
          <w:rFonts w:ascii="黑体"/>
          <w:sz w:val="15"/>
        </w:rPr>
      </w:pPr>
    </w:p>
    <w:p>
      <w:pPr>
        <w:pStyle w:val="BodyText"/>
        <w:ind w:left="618"/>
      </w:pPr>
      <w:r>
        <w:t>评估现场环境及设备状态应符合下列要求：</w:t>
      </w:r>
    </w:p>
    <w:p>
      <w:pPr>
        <w:pStyle w:val="ListParagraph"/>
        <w:numPr>
          <w:ilvl w:val="2"/>
          <w:numId w:val="23"/>
        </w:numPr>
        <w:tabs>
          <w:tab w:val="left" w:pos="1038"/>
          <w:tab w:val="left" w:pos="1039"/>
        </w:tabs>
        <w:spacing w:before="43" w:after="0" w:line="240" w:lineRule="auto"/>
        <w:ind w:left="1038" w:right="0" w:hanging="421"/>
        <w:jc w:val="left"/>
        <w:rPr>
          <w:sz w:val="21"/>
        </w:rPr>
      </w:pPr>
      <w:r>
        <w:rPr>
          <w:sz w:val="21"/>
        </w:rPr>
        <w:t>评估现场应无与起重机相关且影响评估工作的交叉作业；</w:t>
      </w:r>
    </w:p>
    <w:p>
      <w:pPr>
        <w:spacing w:after="0" w:line="240" w:lineRule="auto"/>
        <w:jc w:val="left"/>
        <w:rPr>
          <w:sz w:val="21"/>
        </w:rPr>
        <w:sectPr>
          <w:footerReference w:type="default" r:id="rId4"/>
          <w:pgSz w:w="11910" w:h="16840"/>
          <w:pgMar w:top="1600" w:right="920" w:bottom="1080" w:left="1220" w:header="0" w:footer="892"/>
          <w:pgNumType w:start="1"/>
          <w:cols w:space="708"/>
        </w:sectPr>
      </w:pPr>
    </w:p>
    <w:p>
      <w:pPr>
        <w:pStyle w:val="BodyText"/>
        <w:spacing w:before="4"/>
        <w:rPr>
          <w:sz w:val="20"/>
        </w:rPr>
      </w:pPr>
    </w:p>
    <w:p>
      <w:pPr>
        <w:pStyle w:val="ListParagraph"/>
        <w:numPr>
          <w:ilvl w:val="2"/>
          <w:numId w:val="20"/>
        </w:numPr>
        <w:tabs>
          <w:tab w:val="left" w:pos="1038"/>
          <w:tab w:val="left" w:pos="1039"/>
        </w:tabs>
        <w:spacing w:before="70" w:after="0" w:line="240" w:lineRule="auto"/>
        <w:ind w:left="1038" w:right="0" w:hanging="421"/>
        <w:jc w:val="left"/>
        <w:rPr>
          <w:sz w:val="21"/>
        </w:rPr>
      </w:pPr>
      <w:r>
        <w:rPr>
          <w:sz w:val="21"/>
        </w:rPr>
        <w:t>被评估起重机应处于可运行状态。</w:t>
      </w:r>
    </w:p>
    <w:p>
      <w:pPr>
        <w:pStyle w:val="BodyText"/>
        <w:spacing w:before="7"/>
        <w:rPr>
          <w:sz w:val="15"/>
        </w:rPr>
      </w:pPr>
    </w:p>
    <w:p>
      <w:pPr>
        <w:pStyle w:val="ListParagraph"/>
        <w:numPr>
          <w:ilvl w:val="1"/>
          <w:numId w:val="20"/>
        </w:numPr>
        <w:tabs>
          <w:tab w:val="left" w:pos="723"/>
          <w:tab w:val="left" w:pos="724"/>
        </w:tabs>
        <w:spacing w:before="0" w:after="0" w:line="240" w:lineRule="auto"/>
        <w:ind w:left="723" w:right="0" w:hanging="526"/>
        <w:jc w:val="left"/>
        <w:rPr>
          <w:rFonts w:ascii="黑体" w:eastAsia="黑体" w:hint="eastAsia"/>
          <w:sz w:val="21"/>
        </w:rPr>
      </w:pPr>
      <w:r>
        <w:rPr>
          <w:rFonts w:ascii="黑体" w:eastAsia="黑体" w:hint="eastAsia"/>
          <w:sz w:val="21"/>
        </w:rPr>
        <w:t>评估仪器设备和计量器具</w:t>
      </w:r>
    </w:p>
    <w:p>
      <w:pPr>
        <w:pStyle w:val="BodyText"/>
        <w:spacing w:before="7"/>
        <w:rPr>
          <w:rFonts w:ascii="黑体"/>
          <w:sz w:val="15"/>
        </w:rPr>
      </w:pPr>
    </w:p>
    <w:p>
      <w:pPr>
        <w:pStyle w:val="BodyText"/>
        <w:tabs>
          <w:tab w:val="left" w:pos="3716"/>
        </w:tabs>
        <w:spacing w:line="487" w:lineRule="auto"/>
        <w:ind w:left="3138" w:right="105" w:hanging="2520"/>
      </w:pPr>
      <w:r>
        <w:t>评估所使用的仪器设备和计量器具应在计量检定合格或校准有效期内</w:t>
      </w:r>
      <w:r>
        <w:rPr>
          <w:spacing w:val="-97"/>
        </w:rPr>
        <w:t>，</w:t>
      </w:r>
      <w:r>
        <w:t>其精度应当符合表1的规定</w:t>
      </w:r>
      <w:r>
        <w:rPr>
          <w:spacing w:val="-15"/>
        </w:rPr>
        <w:t>。</w:t>
      </w:r>
      <w:r>
        <w:t>表</w:t>
      </w:r>
      <w:r>
        <w:rPr>
          <w:spacing w:val="-53"/>
        </w:rPr>
        <w:t xml:space="preserve"> </w:t>
      </w:r>
      <w:r>
        <w:t>1</w:t>
        <w:tab/>
        <w:t>主要测试仪器设备和计量器具</w:t>
      </w:r>
    </w:p>
    <w:tbl>
      <w:tblPr>
        <w:tblStyle w:val="TableNormal0"/>
        <w:tblW w:w="0" w:type="auto"/>
        <w:jc w:val="left"/>
        <w:tblInd w:w="48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676"/>
        <w:gridCol w:w="2072"/>
        <w:gridCol w:w="2037"/>
        <w:gridCol w:w="709"/>
        <w:gridCol w:w="1843"/>
        <w:gridCol w:w="1461"/>
      </w:tblGrid>
      <w:tr>
        <w:tblPrEx>
          <w:tblW w:w="0" w:type="auto"/>
          <w:jc w:val="left"/>
          <w:tblInd w:w="48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468"/>
          <w:jc w:val="left"/>
        </w:trPr>
        <w:tc>
          <w:tcPr>
            <w:tcW w:w="676" w:type="dxa"/>
            <w:tcBorders>
              <w:right w:val="single" w:sz="4" w:space="0" w:color="000000"/>
            </w:tcBorders>
          </w:tcPr>
          <w:p>
            <w:pPr>
              <w:pStyle w:val="TableParagraph"/>
              <w:spacing w:before="98"/>
              <w:ind w:left="137" w:right="118"/>
              <w:jc w:val="center"/>
              <w:rPr>
                <w:sz w:val="18"/>
              </w:rPr>
            </w:pPr>
            <w:r>
              <w:rPr>
                <w:sz w:val="18"/>
              </w:rPr>
              <w:t>序号</w:t>
            </w:r>
          </w:p>
        </w:tc>
        <w:tc>
          <w:tcPr>
            <w:tcW w:w="2072" w:type="dxa"/>
            <w:tcBorders>
              <w:left w:val="single" w:sz="4" w:space="0" w:color="000000"/>
              <w:right w:val="single" w:sz="4" w:space="0" w:color="000000"/>
            </w:tcBorders>
          </w:tcPr>
          <w:p>
            <w:pPr>
              <w:pStyle w:val="TableParagraph"/>
              <w:spacing w:before="77"/>
              <w:ind w:left="221"/>
              <w:rPr>
                <w:sz w:val="18"/>
              </w:rPr>
            </w:pPr>
            <w:r>
              <w:rPr>
                <w:sz w:val="18"/>
              </w:rPr>
              <w:t>仪器设备</w:t>
            </w:r>
            <w:r>
              <w:rPr>
                <w:sz w:val="21"/>
              </w:rPr>
              <w:t>、</w:t>
            </w:r>
            <w:r>
              <w:rPr>
                <w:sz w:val="18"/>
              </w:rPr>
              <w:t>量具名称</w:t>
            </w:r>
          </w:p>
        </w:tc>
        <w:tc>
          <w:tcPr>
            <w:tcW w:w="2037" w:type="dxa"/>
            <w:tcBorders>
              <w:left w:val="single" w:sz="4" w:space="0" w:color="000000"/>
              <w:right w:val="single" w:sz="4" w:space="0" w:color="000000"/>
            </w:tcBorders>
          </w:tcPr>
          <w:p>
            <w:pPr>
              <w:pStyle w:val="TableParagraph"/>
              <w:spacing w:before="98"/>
              <w:ind w:left="489"/>
              <w:rPr>
                <w:sz w:val="18"/>
              </w:rPr>
            </w:pPr>
            <w:r>
              <w:rPr>
                <w:sz w:val="18"/>
              </w:rPr>
              <w:t>精度或分辨率</w:t>
            </w:r>
          </w:p>
        </w:tc>
        <w:tc>
          <w:tcPr>
            <w:tcW w:w="709" w:type="dxa"/>
            <w:tcBorders>
              <w:left w:val="single" w:sz="4" w:space="0" w:color="000000"/>
              <w:right w:val="single" w:sz="4" w:space="0" w:color="000000"/>
            </w:tcBorders>
          </w:tcPr>
          <w:p>
            <w:pPr>
              <w:pStyle w:val="TableParagraph"/>
              <w:spacing w:before="98"/>
              <w:ind w:left="166" w:right="133"/>
              <w:jc w:val="center"/>
              <w:rPr>
                <w:sz w:val="18"/>
              </w:rPr>
            </w:pPr>
            <w:r>
              <w:rPr>
                <w:sz w:val="18"/>
              </w:rPr>
              <w:t>序号</w:t>
            </w:r>
          </w:p>
        </w:tc>
        <w:tc>
          <w:tcPr>
            <w:tcW w:w="1843" w:type="dxa"/>
            <w:tcBorders>
              <w:left w:val="single" w:sz="4" w:space="0" w:color="000000"/>
              <w:right w:val="single" w:sz="4" w:space="0" w:color="000000"/>
            </w:tcBorders>
          </w:tcPr>
          <w:p>
            <w:pPr>
              <w:pStyle w:val="TableParagraph"/>
              <w:spacing w:before="77"/>
              <w:ind w:left="120"/>
              <w:rPr>
                <w:sz w:val="18"/>
              </w:rPr>
            </w:pPr>
            <w:r>
              <w:rPr>
                <w:sz w:val="18"/>
              </w:rPr>
              <w:t>仪器设备</w:t>
            </w:r>
            <w:r>
              <w:rPr>
                <w:sz w:val="21"/>
              </w:rPr>
              <w:t>、</w:t>
            </w:r>
            <w:r>
              <w:rPr>
                <w:sz w:val="18"/>
              </w:rPr>
              <w:t>量具名称</w:t>
            </w:r>
          </w:p>
        </w:tc>
        <w:tc>
          <w:tcPr>
            <w:tcW w:w="1461" w:type="dxa"/>
            <w:tcBorders>
              <w:left w:val="single" w:sz="4" w:space="0" w:color="000000"/>
            </w:tcBorders>
          </w:tcPr>
          <w:p>
            <w:pPr>
              <w:pStyle w:val="TableParagraph"/>
              <w:spacing w:before="98"/>
              <w:ind w:left="182" w:right="139"/>
              <w:jc w:val="center"/>
              <w:rPr>
                <w:sz w:val="18"/>
              </w:rPr>
            </w:pPr>
            <w:r>
              <w:rPr>
                <w:sz w:val="18"/>
              </w:rPr>
              <w:t>精度或分辨率</w:t>
            </w:r>
          </w:p>
        </w:tc>
      </w:tr>
      <w:tr>
        <w:tblPrEx>
          <w:tblW w:w="0" w:type="auto"/>
          <w:jc w:val="left"/>
          <w:tblInd w:w="488" w:type="dxa"/>
          <w:tblLayout w:type="fixed"/>
          <w:tblCellMar>
            <w:top w:w="0" w:type="dxa"/>
            <w:left w:w="0" w:type="dxa"/>
            <w:bottom w:w="0" w:type="dxa"/>
            <w:right w:w="0" w:type="dxa"/>
          </w:tblCellMar>
          <w:tblLook w:val="01E0"/>
        </w:tblPrEx>
        <w:trPr>
          <w:trHeight w:val="467"/>
          <w:jc w:val="left"/>
        </w:trPr>
        <w:tc>
          <w:tcPr>
            <w:tcW w:w="676" w:type="dxa"/>
            <w:tcBorders>
              <w:bottom w:val="single" w:sz="4" w:space="0" w:color="000000"/>
              <w:right w:val="single" w:sz="4" w:space="0" w:color="000000"/>
            </w:tcBorders>
          </w:tcPr>
          <w:p>
            <w:pPr>
              <w:pStyle w:val="TableParagraph"/>
              <w:spacing w:before="98"/>
              <w:ind w:left="18"/>
              <w:jc w:val="center"/>
              <w:rPr>
                <w:sz w:val="18"/>
              </w:rPr>
            </w:pPr>
            <w:r>
              <w:rPr>
                <w:sz w:val="18"/>
              </w:rPr>
              <w:t>1</w:t>
            </w:r>
          </w:p>
        </w:tc>
        <w:tc>
          <w:tcPr>
            <w:tcW w:w="2072" w:type="dxa"/>
            <w:tcBorders>
              <w:left w:val="single" w:sz="4" w:space="0" w:color="000000"/>
              <w:bottom w:val="single" w:sz="4" w:space="0" w:color="000000"/>
              <w:right w:val="single" w:sz="4" w:space="0" w:color="000000"/>
            </w:tcBorders>
          </w:tcPr>
          <w:p>
            <w:pPr>
              <w:pStyle w:val="TableParagraph"/>
              <w:spacing w:before="98"/>
              <w:ind w:left="118"/>
              <w:rPr>
                <w:sz w:val="18"/>
              </w:rPr>
            </w:pPr>
            <w:r>
              <w:rPr>
                <w:sz w:val="18"/>
              </w:rPr>
              <w:t>超声波无损探伤仪</w:t>
            </w:r>
          </w:p>
        </w:tc>
        <w:tc>
          <w:tcPr>
            <w:tcW w:w="2037" w:type="dxa"/>
            <w:tcBorders>
              <w:left w:val="single" w:sz="4" w:space="0" w:color="000000"/>
              <w:bottom w:val="single" w:sz="4" w:space="0" w:color="000000"/>
              <w:right w:val="single" w:sz="4" w:space="0" w:color="000000"/>
            </w:tcBorders>
          </w:tcPr>
          <w:p>
            <w:pPr>
              <w:pStyle w:val="TableParagraph"/>
              <w:spacing w:before="98"/>
              <w:ind w:left="118"/>
              <w:rPr>
                <w:sz w:val="18"/>
              </w:rPr>
            </w:pPr>
            <w:r>
              <w:rPr>
                <w:sz w:val="18"/>
              </w:rPr>
              <w:t>水平&lt;1 %, 垂直&lt;5 %</w:t>
            </w:r>
          </w:p>
        </w:tc>
        <w:tc>
          <w:tcPr>
            <w:tcW w:w="709" w:type="dxa"/>
            <w:tcBorders>
              <w:left w:val="single" w:sz="4" w:space="0" w:color="000000"/>
              <w:bottom w:val="single" w:sz="4" w:space="0" w:color="000000"/>
              <w:right w:val="single" w:sz="4" w:space="0" w:color="000000"/>
            </w:tcBorders>
          </w:tcPr>
          <w:p>
            <w:pPr>
              <w:pStyle w:val="TableParagraph"/>
              <w:spacing w:before="98"/>
              <w:ind w:left="166" w:right="133"/>
              <w:jc w:val="center"/>
              <w:rPr>
                <w:sz w:val="18"/>
              </w:rPr>
            </w:pPr>
            <w:r>
              <w:rPr>
                <w:sz w:val="18"/>
              </w:rPr>
              <w:t>10</w:t>
            </w:r>
          </w:p>
        </w:tc>
        <w:tc>
          <w:tcPr>
            <w:tcW w:w="1843" w:type="dxa"/>
            <w:tcBorders>
              <w:left w:val="single" w:sz="4" w:space="0" w:color="000000"/>
              <w:bottom w:val="single" w:sz="4" w:space="0" w:color="000000"/>
              <w:right w:val="single" w:sz="4" w:space="0" w:color="000000"/>
            </w:tcBorders>
          </w:tcPr>
          <w:p>
            <w:pPr>
              <w:pStyle w:val="TableParagraph"/>
              <w:spacing w:before="98"/>
              <w:ind w:left="120"/>
              <w:rPr>
                <w:sz w:val="18"/>
              </w:rPr>
            </w:pPr>
            <w:r>
              <w:rPr>
                <w:sz w:val="18"/>
              </w:rPr>
              <w:t>万用表</w:t>
            </w:r>
          </w:p>
        </w:tc>
        <w:tc>
          <w:tcPr>
            <w:tcW w:w="1461" w:type="dxa"/>
            <w:tcBorders>
              <w:left w:val="single" w:sz="4" w:space="0" w:color="000000"/>
              <w:bottom w:val="single" w:sz="4" w:space="0" w:color="000000"/>
            </w:tcBorders>
          </w:tcPr>
          <w:p>
            <w:pPr>
              <w:pStyle w:val="TableParagraph"/>
              <w:spacing w:before="98"/>
              <w:ind w:left="181" w:right="139"/>
              <w:jc w:val="center"/>
              <w:rPr>
                <w:sz w:val="18"/>
              </w:rPr>
            </w:pPr>
            <w:r>
              <w:rPr>
                <w:sz w:val="18"/>
              </w:rPr>
              <w:t>±2 %</w:t>
            </w:r>
          </w:p>
        </w:tc>
      </w:tr>
      <w:tr>
        <w:tblPrEx>
          <w:tblW w:w="0" w:type="auto"/>
          <w:jc w:val="left"/>
          <w:tblInd w:w="488" w:type="dxa"/>
          <w:tblLayout w:type="fixed"/>
          <w:tblCellMar>
            <w:top w:w="0" w:type="dxa"/>
            <w:left w:w="0" w:type="dxa"/>
            <w:bottom w:w="0" w:type="dxa"/>
            <w:right w:w="0" w:type="dxa"/>
          </w:tblCellMar>
          <w:tblLook w:val="01E0"/>
        </w:tblPrEx>
        <w:trPr>
          <w:trHeight w:val="468"/>
          <w:jc w:val="left"/>
        </w:trPr>
        <w:tc>
          <w:tcPr>
            <w:tcW w:w="676" w:type="dxa"/>
            <w:tcBorders>
              <w:top w:val="single" w:sz="4" w:space="0" w:color="000000"/>
              <w:bottom w:val="single" w:sz="4" w:space="0" w:color="000000"/>
              <w:right w:val="single" w:sz="4" w:space="0" w:color="000000"/>
            </w:tcBorders>
          </w:tcPr>
          <w:p>
            <w:pPr>
              <w:pStyle w:val="TableParagraph"/>
              <w:spacing w:before="99"/>
              <w:ind w:left="18"/>
              <w:jc w:val="center"/>
              <w:rPr>
                <w:sz w:val="18"/>
              </w:rPr>
            </w:pPr>
            <w:r>
              <w:rPr>
                <w:sz w:val="18"/>
              </w:rPr>
              <w:t>2</w:t>
            </w:r>
          </w:p>
        </w:tc>
        <w:tc>
          <w:tcPr>
            <w:tcW w:w="2072" w:type="dxa"/>
            <w:tcBorders>
              <w:top w:val="single" w:sz="4" w:space="0" w:color="000000"/>
              <w:left w:val="single" w:sz="4" w:space="0" w:color="000000"/>
              <w:bottom w:val="single" w:sz="4" w:space="0" w:color="000000"/>
              <w:right w:val="single" w:sz="4" w:space="0" w:color="000000"/>
            </w:tcBorders>
          </w:tcPr>
          <w:p>
            <w:pPr>
              <w:pStyle w:val="TableParagraph"/>
              <w:spacing w:before="99"/>
              <w:ind w:left="118"/>
              <w:rPr>
                <w:sz w:val="18"/>
              </w:rPr>
            </w:pPr>
            <w:r>
              <w:rPr>
                <w:sz w:val="18"/>
              </w:rPr>
              <w:t>钢丝绳探伤仪</w:t>
            </w:r>
          </w:p>
        </w:tc>
        <w:tc>
          <w:tcPr>
            <w:tcW w:w="203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709" w:type="dxa"/>
            <w:tcBorders>
              <w:top w:val="single" w:sz="4" w:space="0" w:color="000000"/>
              <w:left w:val="single" w:sz="4" w:space="0" w:color="000000"/>
              <w:bottom w:val="single" w:sz="4" w:space="0" w:color="000000"/>
              <w:right w:val="single" w:sz="4" w:space="0" w:color="000000"/>
            </w:tcBorders>
          </w:tcPr>
          <w:p>
            <w:pPr>
              <w:pStyle w:val="TableParagraph"/>
              <w:spacing w:before="99"/>
              <w:ind w:left="166" w:right="133"/>
              <w:jc w:val="center"/>
              <w:rPr>
                <w:sz w:val="18"/>
              </w:rPr>
            </w:pPr>
            <w:r>
              <w:rPr>
                <w:sz w:val="18"/>
              </w:rPr>
              <w:t>11</w:t>
            </w:r>
          </w:p>
        </w:tc>
        <w:tc>
          <w:tcPr>
            <w:tcW w:w="1843" w:type="dxa"/>
            <w:tcBorders>
              <w:top w:val="single" w:sz="4" w:space="0" w:color="000000"/>
              <w:left w:val="single" w:sz="4" w:space="0" w:color="000000"/>
              <w:bottom w:val="single" w:sz="4" w:space="0" w:color="000000"/>
              <w:right w:val="single" w:sz="4" w:space="0" w:color="000000"/>
            </w:tcBorders>
          </w:tcPr>
          <w:p>
            <w:pPr>
              <w:pStyle w:val="TableParagraph"/>
              <w:spacing w:before="99"/>
              <w:ind w:left="120"/>
              <w:rPr>
                <w:sz w:val="18"/>
              </w:rPr>
            </w:pPr>
            <w:r>
              <w:rPr>
                <w:sz w:val="18"/>
              </w:rPr>
              <w:t>绝缘电阻测量仪</w:t>
            </w:r>
          </w:p>
        </w:tc>
        <w:tc>
          <w:tcPr>
            <w:tcW w:w="1461" w:type="dxa"/>
            <w:tcBorders>
              <w:top w:val="single" w:sz="4" w:space="0" w:color="000000"/>
              <w:left w:val="single" w:sz="4" w:space="0" w:color="000000"/>
              <w:bottom w:val="single" w:sz="4" w:space="0" w:color="000000"/>
            </w:tcBorders>
          </w:tcPr>
          <w:p>
            <w:pPr>
              <w:pStyle w:val="TableParagraph"/>
              <w:spacing w:before="99"/>
              <w:ind w:left="181" w:right="139"/>
              <w:jc w:val="center"/>
              <w:rPr>
                <w:sz w:val="18"/>
              </w:rPr>
            </w:pPr>
            <w:r>
              <w:rPr>
                <w:sz w:val="18"/>
              </w:rPr>
              <w:t>±2 %</w:t>
            </w:r>
          </w:p>
        </w:tc>
      </w:tr>
      <w:tr>
        <w:tblPrEx>
          <w:tblW w:w="0" w:type="auto"/>
          <w:jc w:val="left"/>
          <w:tblInd w:w="488" w:type="dxa"/>
          <w:tblLayout w:type="fixed"/>
          <w:tblCellMar>
            <w:top w:w="0" w:type="dxa"/>
            <w:left w:w="0" w:type="dxa"/>
            <w:bottom w:w="0" w:type="dxa"/>
            <w:right w:w="0" w:type="dxa"/>
          </w:tblCellMar>
          <w:tblLook w:val="01E0"/>
        </w:tblPrEx>
        <w:trPr>
          <w:trHeight w:val="500"/>
          <w:jc w:val="left"/>
        </w:trPr>
        <w:tc>
          <w:tcPr>
            <w:tcW w:w="676" w:type="dxa"/>
            <w:vMerge w:val="restart"/>
            <w:tcBorders>
              <w:top w:val="single" w:sz="4" w:space="0" w:color="000000"/>
              <w:bottom w:val="single" w:sz="4" w:space="0" w:color="000000"/>
              <w:right w:val="single" w:sz="4" w:space="0" w:color="000000"/>
            </w:tcBorders>
          </w:tcPr>
          <w:p>
            <w:pPr>
              <w:pStyle w:val="TableParagraph"/>
              <w:rPr>
                <w:sz w:val="18"/>
              </w:rPr>
            </w:pPr>
          </w:p>
          <w:p>
            <w:pPr>
              <w:pStyle w:val="TableParagraph"/>
              <w:spacing w:before="2"/>
              <w:rPr>
                <w:sz w:val="26"/>
              </w:rPr>
            </w:pPr>
          </w:p>
          <w:p>
            <w:pPr>
              <w:pStyle w:val="TableParagraph"/>
              <w:ind w:left="18"/>
              <w:jc w:val="center"/>
              <w:rPr>
                <w:sz w:val="18"/>
              </w:rPr>
            </w:pPr>
            <w:r>
              <w:rPr>
                <w:sz w:val="18"/>
              </w:rPr>
              <w:t>3</w:t>
            </w:r>
          </w:p>
        </w:tc>
        <w:tc>
          <w:tcPr>
            <w:tcW w:w="2072"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18"/>
              </w:rPr>
            </w:pPr>
          </w:p>
          <w:p>
            <w:pPr>
              <w:pStyle w:val="TableParagraph"/>
              <w:spacing w:before="123"/>
              <w:ind w:left="118"/>
              <w:rPr>
                <w:sz w:val="18"/>
              </w:rPr>
            </w:pPr>
            <w:r>
              <w:rPr>
                <w:sz w:val="18"/>
              </w:rPr>
              <w:t>磁粉裂纹检测仪</w:t>
            </w:r>
          </w:p>
        </w:tc>
        <w:tc>
          <w:tcPr>
            <w:tcW w:w="2037"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5"/>
              <w:rPr>
                <w:sz w:val="15"/>
              </w:rPr>
            </w:pPr>
          </w:p>
          <w:p>
            <w:pPr>
              <w:pStyle w:val="TableParagraph"/>
              <w:spacing w:line="324" w:lineRule="auto"/>
              <w:ind w:left="118" w:right="83"/>
              <w:rPr>
                <w:sz w:val="18"/>
              </w:rPr>
            </w:pPr>
            <w:r>
              <w:rPr>
                <w:sz w:val="18"/>
              </w:rPr>
              <w:t>可清晰完整地显示 A 型标准试片上的刻槽</w:t>
            </w:r>
          </w:p>
        </w:tc>
        <w:tc>
          <w:tcPr>
            <w:tcW w:w="709" w:type="dxa"/>
            <w:tcBorders>
              <w:top w:val="single" w:sz="4" w:space="0" w:color="000000"/>
              <w:left w:val="single" w:sz="4" w:space="0" w:color="000000"/>
              <w:bottom w:val="single" w:sz="4" w:space="0" w:color="000000"/>
              <w:right w:val="single" w:sz="4" w:space="0" w:color="000000"/>
            </w:tcBorders>
          </w:tcPr>
          <w:p>
            <w:pPr>
              <w:pStyle w:val="TableParagraph"/>
              <w:spacing w:before="113"/>
              <w:ind w:left="166" w:right="133"/>
              <w:jc w:val="center"/>
              <w:rPr>
                <w:sz w:val="18"/>
              </w:rPr>
            </w:pPr>
            <w:r>
              <w:rPr>
                <w:sz w:val="18"/>
              </w:rPr>
              <w:t>12</w:t>
            </w:r>
          </w:p>
        </w:tc>
        <w:tc>
          <w:tcPr>
            <w:tcW w:w="1843" w:type="dxa"/>
            <w:tcBorders>
              <w:top w:val="single" w:sz="4" w:space="0" w:color="000000"/>
              <w:left w:val="single" w:sz="4" w:space="0" w:color="000000"/>
              <w:bottom w:val="single" w:sz="4" w:space="0" w:color="000000"/>
              <w:right w:val="single" w:sz="4" w:space="0" w:color="000000"/>
            </w:tcBorders>
          </w:tcPr>
          <w:p>
            <w:pPr>
              <w:pStyle w:val="TableParagraph"/>
              <w:spacing w:before="113"/>
              <w:ind w:left="120"/>
              <w:rPr>
                <w:sz w:val="18"/>
              </w:rPr>
            </w:pPr>
            <w:r>
              <w:rPr>
                <w:sz w:val="18"/>
              </w:rPr>
              <w:t>接地电阻仪</w:t>
            </w:r>
          </w:p>
        </w:tc>
        <w:tc>
          <w:tcPr>
            <w:tcW w:w="1461" w:type="dxa"/>
            <w:tcBorders>
              <w:top w:val="single" w:sz="4" w:space="0" w:color="000000"/>
              <w:left w:val="single" w:sz="4" w:space="0" w:color="000000"/>
              <w:bottom w:val="single" w:sz="4" w:space="0" w:color="000000"/>
            </w:tcBorders>
          </w:tcPr>
          <w:p>
            <w:pPr>
              <w:pStyle w:val="TableParagraph"/>
              <w:spacing w:before="113"/>
              <w:ind w:left="181" w:right="139"/>
              <w:jc w:val="center"/>
              <w:rPr>
                <w:sz w:val="18"/>
              </w:rPr>
            </w:pPr>
            <w:r>
              <w:rPr>
                <w:sz w:val="18"/>
              </w:rPr>
              <w:t>±2 %</w:t>
            </w:r>
          </w:p>
        </w:tc>
      </w:tr>
      <w:tr>
        <w:tblPrEx>
          <w:tblW w:w="0" w:type="auto"/>
          <w:jc w:val="left"/>
          <w:tblInd w:w="488" w:type="dxa"/>
          <w:tblLayout w:type="fixed"/>
          <w:tblCellMar>
            <w:top w:w="0" w:type="dxa"/>
            <w:left w:w="0" w:type="dxa"/>
            <w:bottom w:w="0" w:type="dxa"/>
            <w:right w:w="0" w:type="dxa"/>
          </w:tblCellMar>
          <w:tblLook w:val="01E0"/>
        </w:tblPrEx>
        <w:trPr>
          <w:trHeight w:val="467"/>
          <w:jc w:val="left"/>
        </w:trPr>
        <w:tc>
          <w:tcPr>
            <w:tcW w:w="676" w:type="dxa"/>
            <w:vMerge/>
            <w:tcBorders>
              <w:top w:val="nil"/>
              <w:bottom w:val="single" w:sz="4" w:space="0" w:color="000000"/>
              <w:right w:val="single" w:sz="4" w:space="0" w:color="000000"/>
            </w:tcBorders>
          </w:tcPr>
          <w:p>
            <w:pPr>
              <w:rPr>
                <w:sz w:val="2"/>
                <w:szCs w:val="2"/>
              </w:rPr>
            </w:pPr>
          </w:p>
        </w:tc>
        <w:tc>
          <w:tcPr>
            <w:tcW w:w="2072" w:type="dxa"/>
            <w:vMerge/>
            <w:tcBorders>
              <w:top w:val="nil"/>
              <w:left w:val="single" w:sz="4" w:space="0" w:color="000000"/>
              <w:bottom w:val="single" w:sz="4" w:space="0" w:color="000000"/>
              <w:right w:val="single" w:sz="4" w:space="0" w:color="000000"/>
            </w:tcBorders>
          </w:tcPr>
          <w:p>
            <w:pPr>
              <w:rPr>
                <w:sz w:val="2"/>
                <w:szCs w:val="2"/>
              </w:rPr>
            </w:pPr>
          </w:p>
        </w:tc>
        <w:tc>
          <w:tcPr>
            <w:tcW w:w="2037" w:type="dxa"/>
            <w:vMerge/>
            <w:tcBorders>
              <w:top w:val="nil"/>
              <w:left w:val="single" w:sz="4" w:space="0" w:color="000000"/>
              <w:bottom w:val="single" w:sz="4" w:space="0" w:color="000000"/>
              <w:right w:val="single" w:sz="4" w:space="0" w:color="000000"/>
            </w:tcBorders>
          </w:tcPr>
          <w:p>
            <w:pPr>
              <w:rPr>
                <w:sz w:val="2"/>
                <w:szCs w:val="2"/>
              </w:rPr>
            </w:pPr>
          </w:p>
        </w:tc>
        <w:tc>
          <w:tcPr>
            <w:tcW w:w="709" w:type="dxa"/>
            <w:tcBorders>
              <w:top w:val="single" w:sz="4" w:space="0" w:color="000000"/>
              <w:left w:val="single" w:sz="4" w:space="0" w:color="000000"/>
              <w:bottom w:val="single" w:sz="4" w:space="0" w:color="000000"/>
              <w:right w:val="single" w:sz="4" w:space="0" w:color="000000"/>
            </w:tcBorders>
          </w:tcPr>
          <w:p>
            <w:pPr>
              <w:pStyle w:val="TableParagraph"/>
              <w:spacing w:before="97"/>
              <w:ind w:left="166" w:right="133"/>
              <w:jc w:val="center"/>
              <w:rPr>
                <w:sz w:val="18"/>
              </w:rPr>
            </w:pPr>
            <w:r>
              <w:rPr>
                <w:sz w:val="18"/>
              </w:rPr>
              <w:t>13</w:t>
            </w:r>
          </w:p>
        </w:tc>
        <w:tc>
          <w:tcPr>
            <w:tcW w:w="1843" w:type="dxa"/>
            <w:tcBorders>
              <w:top w:val="single" w:sz="4" w:space="0" w:color="000000"/>
              <w:left w:val="single" w:sz="4" w:space="0" w:color="000000"/>
              <w:bottom w:val="single" w:sz="4" w:space="0" w:color="000000"/>
              <w:right w:val="single" w:sz="4" w:space="0" w:color="000000"/>
            </w:tcBorders>
          </w:tcPr>
          <w:p>
            <w:pPr>
              <w:pStyle w:val="TableParagraph"/>
              <w:spacing w:before="97"/>
              <w:ind w:left="120"/>
              <w:rPr>
                <w:sz w:val="18"/>
              </w:rPr>
            </w:pPr>
            <w:r>
              <w:rPr>
                <w:sz w:val="18"/>
              </w:rPr>
              <w:t>称量吊秤</w:t>
            </w:r>
          </w:p>
        </w:tc>
        <w:tc>
          <w:tcPr>
            <w:tcW w:w="1461" w:type="dxa"/>
            <w:tcBorders>
              <w:top w:val="single" w:sz="4" w:space="0" w:color="000000"/>
              <w:left w:val="single" w:sz="4" w:space="0" w:color="000000"/>
              <w:bottom w:val="single" w:sz="4" w:space="0" w:color="000000"/>
            </w:tcBorders>
          </w:tcPr>
          <w:p>
            <w:pPr>
              <w:pStyle w:val="TableParagraph"/>
              <w:spacing w:before="97"/>
              <w:ind w:left="181" w:right="139"/>
              <w:jc w:val="center"/>
              <w:rPr>
                <w:sz w:val="18"/>
              </w:rPr>
            </w:pPr>
            <w:r>
              <w:rPr>
                <w:sz w:val="18"/>
              </w:rPr>
              <w:t>±1 %</w:t>
            </w:r>
          </w:p>
        </w:tc>
      </w:tr>
      <w:tr>
        <w:tblPrEx>
          <w:tblW w:w="0" w:type="auto"/>
          <w:jc w:val="left"/>
          <w:tblInd w:w="488" w:type="dxa"/>
          <w:tblLayout w:type="fixed"/>
          <w:tblCellMar>
            <w:top w:w="0" w:type="dxa"/>
            <w:left w:w="0" w:type="dxa"/>
            <w:bottom w:w="0" w:type="dxa"/>
            <w:right w:w="0" w:type="dxa"/>
          </w:tblCellMar>
          <w:tblLook w:val="01E0"/>
        </w:tblPrEx>
        <w:trPr>
          <w:trHeight w:val="467"/>
          <w:jc w:val="left"/>
        </w:trPr>
        <w:tc>
          <w:tcPr>
            <w:tcW w:w="676" w:type="dxa"/>
            <w:tcBorders>
              <w:top w:val="single" w:sz="4" w:space="0" w:color="000000"/>
              <w:bottom w:val="single" w:sz="4" w:space="0" w:color="000000"/>
              <w:right w:val="single" w:sz="4" w:space="0" w:color="000000"/>
            </w:tcBorders>
          </w:tcPr>
          <w:p>
            <w:pPr>
              <w:pStyle w:val="TableParagraph"/>
              <w:spacing w:before="98"/>
              <w:ind w:left="18"/>
              <w:jc w:val="center"/>
              <w:rPr>
                <w:sz w:val="18"/>
              </w:rPr>
            </w:pPr>
            <w:r>
              <w:rPr>
                <w:sz w:val="18"/>
              </w:rPr>
              <w:t>4</w:t>
            </w:r>
          </w:p>
        </w:tc>
        <w:tc>
          <w:tcPr>
            <w:tcW w:w="2072" w:type="dxa"/>
            <w:tcBorders>
              <w:top w:val="single" w:sz="4" w:space="0" w:color="000000"/>
              <w:left w:val="single" w:sz="4" w:space="0" w:color="000000"/>
              <w:bottom w:val="single" w:sz="4" w:space="0" w:color="000000"/>
              <w:right w:val="single" w:sz="4" w:space="0" w:color="000000"/>
            </w:tcBorders>
          </w:tcPr>
          <w:p>
            <w:pPr>
              <w:pStyle w:val="TableParagraph"/>
              <w:spacing w:before="98"/>
              <w:ind w:left="118"/>
              <w:rPr>
                <w:sz w:val="18"/>
              </w:rPr>
            </w:pPr>
            <w:r>
              <w:rPr>
                <w:sz w:val="18"/>
              </w:rPr>
              <w:t>静态应变测试仪</w:t>
            </w:r>
          </w:p>
        </w:tc>
        <w:tc>
          <w:tcPr>
            <w:tcW w:w="2037" w:type="dxa"/>
            <w:tcBorders>
              <w:top w:val="single" w:sz="4" w:space="0" w:color="000000"/>
              <w:left w:val="single" w:sz="4" w:space="0" w:color="000000"/>
              <w:bottom w:val="single" w:sz="4" w:space="0" w:color="000000"/>
              <w:right w:val="single" w:sz="4" w:space="0" w:color="000000"/>
            </w:tcBorders>
          </w:tcPr>
          <w:p>
            <w:pPr>
              <w:pStyle w:val="TableParagraph"/>
              <w:spacing w:before="98"/>
              <w:ind w:left="489"/>
              <w:rPr>
                <w:sz w:val="18"/>
              </w:rPr>
            </w:pPr>
            <w:r>
              <w:rPr>
                <w:sz w:val="18"/>
              </w:rPr>
              <w:t>静态系数&lt;3 %</w:t>
            </w:r>
          </w:p>
        </w:tc>
        <w:tc>
          <w:tcPr>
            <w:tcW w:w="709" w:type="dxa"/>
            <w:tcBorders>
              <w:top w:val="single" w:sz="4" w:space="0" w:color="000000"/>
              <w:left w:val="single" w:sz="4" w:space="0" w:color="000000"/>
              <w:bottom w:val="single" w:sz="4" w:space="0" w:color="000000"/>
              <w:right w:val="single" w:sz="4" w:space="0" w:color="000000"/>
            </w:tcBorders>
          </w:tcPr>
          <w:p>
            <w:pPr>
              <w:pStyle w:val="TableParagraph"/>
              <w:spacing w:before="98"/>
              <w:ind w:left="166" w:right="133"/>
              <w:jc w:val="center"/>
              <w:rPr>
                <w:sz w:val="18"/>
              </w:rPr>
            </w:pPr>
            <w:r>
              <w:rPr>
                <w:sz w:val="18"/>
              </w:rPr>
              <w:t>14</w:t>
            </w:r>
          </w:p>
        </w:tc>
        <w:tc>
          <w:tcPr>
            <w:tcW w:w="1843" w:type="dxa"/>
            <w:tcBorders>
              <w:top w:val="single" w:sz="4" w:space="0" w:color="000000"/>
              <w:left w:val="single" w:sz="4" w:space="0" w:color="000000"/>
              <w:bottom w:val="single" w:sz="4" w:space="0" w:color="000000"/>
              <w:right w:val="single" w:sz="4" w:space="0" w:color="000000"/>
            </w:tcBorders>
          </w:tcPr>
          <w:p>
            <w:pPr>
              <w:pStyle w:val="TableParagraph"/>
              <w:spacing w:before="98"/>
              <w:ind w:left="120"/>
              <w:rPr>
                <w:sz w:val="18"/>
              </w:rPr>
            </w:pPr>
            <w:r>
              <w:rPr>
                <w:sz w:val="18"/>
              </w:rPr>
              <w:t>游标卡尺</w:t>
            </w:r>
          </w:p>
        </w:tc>
        <w:tc>
          <w:tcPr>
            <w:tcW w:w="1461" w:type="dxa"/>
            <w:tcBorders>
              <w:top w:val="single" w:sz="4" w:space="0" w:color="000000"/>
              <w:left w:val="single" w:sz="4" w:space="0" w:color="000000"/>
              <w:bottom w:val="single" w:sz="4" w:space="0" w:color="000000"/>
            </w:tcBorders>
          </w:tcPr>
          <w:p>
            <w:pPr>
              <w:pStyle w:val="TableParagraph"/>
              <w:spacing w:before="98"/>
              <w:ind w:left="426"/>
              <w:rPr>
                <w:sz w:val="18"/>
              </w:rPr>
            </w:pPr>
            <w:r>
              <w:rPr>
                <w:sz w:val="18"/>
              </w:rPr>
              <w:t>0.02 mm</w:t>
            </w:r>
          </w:p>
        </w:tc>
      </w:tr>
      <w:tr>
        <w:tblPrEx>
          <w:tblW w:w="0" w:type="auto"/>
          <w:jc w:val="left"/>
          <w:tblInd w:w="488" w:type="dxa"/>
          <w:tblLayout w:type="fixed"/>
          <w:tblCellMar>
            <w:top w:w="0" w:type="dxa"/>
            <w:left w:w="0" w:type="dxa"/>
            <w:bottom w:w="0" w:type="dxa"/>
            <w:right w:w="0" w:type="dxa"/>
          </w:tblCellMar>
          <w:tblLook w:val="01E0"/>
        </w:tblPrEx>
        <w:trPr>
          <w:trHeight w:val="468"/>
          <w:jc w:val="left"/>
        </w:trPr>
        <w:tc>
          <w:tcPr>
            <w:tcW w:w="676" w:type="dxa"/>
            <w:tcBorders>
              <w:top w:val="single" w:sz="4" w:space="0" w:color="000000"/>
              <w:bottom w:val="single" w:sz="4" w:space="0" w:color="000000"/>
              <w:right w:val="single" w:sz="4" w:space="0" w:color="000000"/>
            </w:tcBorders>
          </w:tcPr>
          <w:p>
            <w:pPr>
              <w:pStyle w:val="TableParagraph"/>
              <w:spacing w:before="99"/>
              <w:ind w:left="18"/>
              <w:jc w:val="center"/>
              <w:rPr>
                <w:sz w:val="18"/>
              </w:rPr>
            </w:pPr>
            <w:r>
              <w:rPr>
                <w:sz w:val="18"/>
              </w:rPr>
              <w:t>5</w:t>
            </w:r>
          </w:p>
        </w:tc>
        <w:tc>
          <w:tcPr>
            <w:tcW w:w="2072" w:type="dxa"/>
            <w:tcBorders>
              <w:top w:val="single" w:sz="4" w:space="0" w:color="000000"/>
              <w:left w:val="single" w:sz="4" w:space="0" w:color="000000"/>
              <w:bottom w:val="single" w:sz="4" w:space="0" w:color="000000"/>
              <w:right w:val="single" w:sz="4" w:space="0" w:color="000000"/>
            </w:tcBorders>
          </w:tcPr>
          <w:p>
            <w:pPr>
              <w:pStyle w:val="TableParagraph"/>
              <w:spacing w:before="99"/>
              <w:ind w:left="118"/>
              <w:rPr>
                <w:sz w:val="18"/>
              </w:rPr>
            </w:pPr>
            <w:r>
              <w:rPr>
                <w:sz w:val="18"/>
              </w:rPr>
              <w:t>全站仪</w:t>
            </w:r>
          </w:p>
        </w:tc>
        <w:tc>
          <w:tcPr>
            <w:tcW w:w="2037" w:type="dxa"/>
            <w:tcBorders>
              <w:top w:val="single" w:sz="4" w:space="0" w:color="000000"/>
              <w:left w:val="single" w:sz="4" w:space="0" w:color="000000"/>
              <w:bottom w:val="single" w:sz="4" w:space="0" w:color="000000"/>
              <w:right w:val="single" w:sz="4" w:space="0" w:color="000000"/>
            </w:tcBorders>
          </w:tcPr>
          <w:p>
            <w:pPr>
              <w:pStyle w:val="TableParagraph"/>
              <w:spacing w:before="99"/>
              <w:ind w:left="693" w:right="663"/>
              <w:jc w:val="center"/>
              <w:rPr>
                <w:sz w:val="18"/>
              </w:rPr>
            </w:pPr>
            <w:r>
              <w:rPr>
                <w:sz w:val="18"/>
              </w:rPr>
              <w:t>＜10 ″</w:t>
            </w:r>
          </w:p>
        </w:tc>
        <w:tc>
          <w:tcPr>
            <w:tcW w:w="709" w:type="dxa"/>
            <w:tcBorders>
              <w:top w:val="single" w:sz="4" w:space="0" w:color="000000"/>
              <w:left w:val="single" w:sz="4" w:space="0" w:color="000000"/>
              <w:bottom w:val="single" w:sz="4" w:space="0" w:color="000000"/>
              <w:right w:val="single" w:sz="4" w:space="0" w:color="000000"/>
            </w:tcBorders>
          </w:tcPr>
          <w:p>
            <w:pPr>
              <w:pStyle w:val="TableParagraph"/>
              <w:spacing w:before="99"/>
              <w:ind w:left="166" w:right="133"/>
              <w:jc w:val="center"/>
              <w:rPr>
                <w:sz w:val="18"/>
              </w:rPr>
            </w:pPr>
            <w:r>
              <w:rPr>
                <w:sz w:val="18"/>
              </w:rPr>
              <w:t>15</w:t>
            </w:r>
          </w:p>
        </w:tc>
        <w:tc>
          <w:tcPr>
            <w:tcW w:w="1843" w:type="dxa"/>
            <w:tcBorders>
              <w:top w:val="single" w:sz="4" w:space="0" w:color="000000"/>
              <w:left w:val="single" w:sz="4" w:space="0" w:color="000000"/>
              <w:bottom w:val="single" w:sz="4" w:space="0" w:color="000000"/>
              <w:right w:val="single" w:sz="4" w:space="0" w:color="000000"/>
            </w:tcBorders>
          </w:tcPr>
          <w:p>
            <w:pPr>
              <w:pStyle w:val="TableParagraph"/>
              <w:spacing w:before="99"/>
              <w:ind w:left="120"/>
              <w:rPr>
                <w:sz w:val="18"/>
              </w:rPr>
            </w:pPr>
            <w:r>
              <w:rPr>
                <w:sz w:val="18"/>
              </w:rPr>
              <w:t>转速表</w:t>
            </w:r>
          </w:p>
        </w:tc>
        <w:tc>
          <w:tcPr>
            <w:tcW w:w="1461" w:type="dxa"/>
            <w:tcBorders>
              <w:top w:val="single" w:sz="4" w:space="0" w:color="000000"/>
              <w:left w:val="single" w:sz="4" w:space="0" w:color="000000"/>
              <w:bottom w:val="single" w:sz="4" w:space="0" w:color="000000"/>
            </w:tcBorders>
          </w:tcPr>
          <w:p>
            <w:pPr>
              <w:pStyle w:val="TableParagraph"/>
              <w:spacing w:before="99"/>
              <w:ind w:left="181" w:right="139"/>
              <w:jc w:val="center"/>
              <w:rPr>
                <w:sz w:val="18"/>
              </w:rPr>
            </w:pPr>
            <w:r>
              <w:rPr>
                <w:sz w:val="18"/>
              </w:rPr>
              <w:t>±1 %；</w:t>
            </w:r>
          </w:p>
        </w:tc>
      </w:tr>
      <w:tr>
        <w:tblPrEx>
          <w:tblW w:w="0" w:type="auto"/>
          <w:jc w:val="left"/>
          <w:tblInd w:w="488" w:type="dxa"/>
          <w:tblLayout w:type="fixed"/>
          <w:tblCellMar>
            <w:top w:w="0" w:type="dxa"/>
            <w:left w:w="0" w:type="dxa"/>
            <w:bottom w:w="0" w:type="dxa"/>
            <w:right w:w="0" w:type="dxa"/>
          </w:tblCellMar>
          <w:tblLook w:val="01E0"/>
        </w:tblPrEx>
        <w:trPr>
          <w:trHeight w:val="467"/>
          <w:jc w:val="left"/>
        </w:trPr>
        <w:tc>
          <w:tcPr>
            <w:tcW w:w="676" w:type="dxa"/>
            <w:tcBorders>
              <w:top w:val="single" w:sz="4" w:space="0" w:color="000000"/>
              <w:bottom w:val="single" w:sz="4" w:space="0" w:color="000000"/>
              <w:right w:val="single" w:sz="4" w:space="0" w:color="000000"/>
            </w:tcBorders>
          </w:tcPr>
          <w:p>
            <w:pPr>
              <w:pStyle w:val="TableParagraph"/>
              <w:spacing w:before="98"/>
              <w:ind w:left="18"/>
              <w:jc w:val="center"/>
              <w:rPr>
                <w:sz w:val="18"/>
              </w:rPr>
            </w:pPr>
            <w:r>
              <w:rPr>
                <w:sz w:val="18"/>
              </w:rPr>
              <w:t>6</w:t>
            </w:r>
          </w:p>
        </w:tc>
        <w:tc>
          <w:tcPr>
            <w:tcW w:w="2072" w:type="dxa"/>
            <w:tcBorders>
              <w:top w:val="single" w:sz="4" w:space="0" w:color="000000"/>
              <w:left w:val="single" w:sz="4" w:space="0" w:color="000000"/>
              <w:bottom w:val="single" w:sz="4" w:space="0" w:color="000000"/>
              <w:right w:val="single" w:sz="4" w:space="0" w:color="000000"/>
            </w:tcBorders>
          </w:tcPr>
          <w:p>
            <w:pPr>
              <w:pStyle w:val="TableParagraph"/>
              <w:spacing w:before="98"/>
              <w:ind w:left="118"/>
              <w:rPr>
                <w:sz w:val="18"/>
              </w:rPr>
            </w:pPr>
            <w:r>
              <w:rPr>
                <w:sz w:val="18"/>
              </w:rPr>
              <w:t>动态应变测试仪</w:t>
            </w:r>
          </w:p>
        </w:tc>
        <w:tc>
          <w:tcPr>
            <w:tcW w:w="2037" w:type="dxa"/>
            <w:tcBorders>
              <w:top w:val="single" w:sz="4" w:space="0" w:color="000000"/>
              <w:left w:val="single" w:sz="4" w:space="0" w:color="000000"/>
              <w:bottom w:val="single" w:sz="4" w:space="0" w:color="000000"/>
              <w:right w:val="single" w:sz="4" w:space="0" w:color="000000"/>
            </w:tcBorders>
          </w:tcPr>
          <w:p>
            <w:pPr>
              <w:pStyle w:val="TableParagraph"/>
              <w:spacing w:before="98"/>
              <w:ind w:left="489"/>
              <w:rPr>
                <w:sz w:val="18"/>
              </w:rPr>
            </w:pPr>
            <w:r>
              <w:rPr>
                <w:sz w:val="18"/>
              </w:rPr>
              <w:t>动态系数&lt;8 %</w:t>
            </w:r>
          </w:p>
        </w:tc>
        <w:tc>
          <w:tcPr>
            <w:tcW w:w="709" w:type="dxa"/>
            <w:tcBorders>
              <w:top w:val="single" w:sz="4" w:space="0" w:color="000000"/>
              <w:left w:val="single" w:sz="4" w:space="0" w:color="000000"/>
              <w:bottom w:val="single" w:sz="4" w:space="0" w:color="000000"/>
              <w:right w:val="single" w:sz="4" w:space="0" w:color="000000"/>
            </w:tcBorders>
          </w:tcPr>
          <w:p>
            <w:pPr>
              <w:pStyle w:val="TableParagraph"/>
              <w:spacing w:before="98"/>
              <w:ind w:left="166" w:right="133"/>
              <w:jc w:val="center"/>
              <w:rPr>
                <w:sz w:val="18"/>
              </w:rPr>
            </w:pPr>
            <w:r>
              <w:rPr>
                <w:sz w:val="18"/>
              </w:rPr>
              <w:t>16</w:t>
            </w:r>
          </w:p>
        </w:tc>
        <w:tc>
          <w:tcPr>
            <w:tcW w:w="1843" w:type="dxa"/>
            <w:tcBorders>
              <w:top w:val="single" w:sz="4" w:space="0" w:color="000000"/>
              <w:left w:val="single" w:sz="4" w:space="0" w:color="000000"/>
              <w:bottom w:val="single" w:sz="4" w:space="0" w:color="000000"/>
              <w:right w:val="single" w:sz="4" w:space="0" w:color="000000"/>
            </w:tcBorders>
          </w:tcPr>
          <w:p>
            <w:pPr>
              <w:pStyle w:val="TableParagraph"/>
              <w:spacing w:before="98"/>
              <w:ind w:left="120"/>
              <w:rPr>
                <w:sz w:val="18"/>
              </w:rPr>
            </w:pPr>
            <w:r>
              <w:rPr>
                <w:sz w:val="18"/>
              </w:rPr>
              <w:t>百分表</w:t>
            </w:r>
          </w:p>
        </w:tc>
        <w:tc>
          <w:tcPr>
            <w:tcW w:w="1461" w:type="dxa"/>
            <w:tcBorders>
              <w:top w:val="single" w:sz="4" w:space="0" w:color="000000"/>
              <w:left w:val="single" w:sz="4" w:space="0" w:color="000000"/>
              <w:bottom w:val="single" w:sz="4" w:space="0" w:color="000000"/>
            </w:tcBorders>
          </w:tcPr>
          <w:p>
            <w:pPr>
              <w:pStyle w:val="TableParagraph"/>
              <w:spacing w:before="98"/>
              <w:ind w:left="426"/>
              <w:rPr>
                <w:sz w:val="18"/>
              </w:rPr>
            </w:pPr>
            <w:r>
              <w:rPr>
                <w:sz w:val="18"/>
              </w:rPr>
              <w:t>0.01 mm</w:t>
            </w:r>
          </w:p>
        </w:tc>
      </w:tr>
      <w:tr>
        <w:tblPrEx>
          <w:tblW w:w="0" w:type="auto"/>
          <w:jc w:val="left"/>
          <w:tblInd w:w="488" w:type="dxa"/>
          <w:tblLayout w:type="fixed"/>
          <w:tblCellMar>
            <w:top w:w="0" w:type="dxa"/>
            <w:left w:w="0" w:type="dxa"/>
            <w:bottom w:w="0" w:type="dxa"/>
            <w:right w:w="0" w:type="dxa"/>
          </w:tblCellMar>
          <w:tblLook w:val="01E0"/>
        </w:tblPrEx>
        <w:trPr>
          <w:trHeight w:val="467"/>
          <w:jc w:val="left"/>
        </w:trPr>
        <w:tc>
          <w:tcPr>
            <w:tcW w:w="676" w:type="dxa"/>
            <w:tcBorders>
              <w:top w:val="single" w:sz="4" w:space="0" w:color="000000"/>
              <w:bottom w:val="single" w:sz="4" w:space="0" w:color="000000"/>
              <w:right w:val="single" w:sz="4" w:space="0" w:color="000000"/>
            </w:tcBorders>
          </w:tcPr>
          <w:p>
            <w:pPr>
              <w:pStyle w:val="TableParagraph"/>
              <w:spacing w:before="97"/>
              <w:ind w:left="18"/>
              <w:jc w:val="center"/>
              <w:rPr>
                <w:sz w:val="18"/>
              </w:rPr>
            </w:pPr>
            <w:r>
              <w:rPr>
                <w:sz w:val="18"/>
              </w:rPr>
              <w:t>7</w:t>
            </w:r>
          </w:p>
        </w:tc>
        <w:tc>
          <w:tcPr>
            <w:tcW w:w="2072" w:type="dxa"/>
            <w:tcBorders>
              <w:top w:val="single" w:sz="4" w:space="0" w:color="000000"/>
              <w:left w:val="single" w:sz="4" w:space="0" w:color="000000"/>
              <w:bottom w:val="single" w:sz="4" w:space="0" w:color="000000"/>
              <w:right w:val="single" w:sz="4" w:space="0" w:color="000000"/>
            </w:tcBorders>
          </w:tcPr>
          <w:p>
            <w:pPr>
              <w:pStyle w:val="TableParagraph"/>
              <w:spacing w:before="97"/>
              <w:ind w:left="118"/>
              <w:rPr>
                <w:sz w:val="18"/>
              </w:rPr>
            </w:pPr>
            <w:r>
              <w:rPr>
                <w:sz w:val="18"/>
              </w:rPr>
              <w:t>长度尺</w:t>
            </w:r>
          </w:p>
        </w:tc>
        <w:tc>
          <w:tcPr>
            <w:tcW w:w="2037" w:type="dxa"/>
            <w:tcBorders>
              <w:top w:val="single" w:sz="4" w:space="0" w:color="000000"/>
              <w:left w:val="single" w:sz="4" w:space="0" w:color="000000"/>
              <w:bottom w:val="single" w:sz="4" w:space="0" w:color="000000"/>
              <w:right w:val="single" w:sz="4" w:space="0" w:color="000000"/>
            </w:tcBorders>
          </w:tcPr>
          <w:p>
            <w:pPr>
              <w:pStyle w:val="TableParagraph"/>
              <w:spacing w:before="97"/>
              <w:ind w:left="693" w:right="662"/>
              <w:jc w:val="center"/>
              <w:rPr>
                <w:sz w:val="18"/>
              </w:rPr>
            </w:pPr>
            <w:r>
              <w:rPr>
                <w:sz w:val="18"/>
              </w:rPr>
              <w:t>2 级</w:t>
            </w:r>
          </w:p>
        </w:tc>
        <w:tc>
          <w:tcPr>
            <w:tcW w:w="709" w:type="dxa"/>
            <w:tcBorders>
              <w:top w:val="single" w:sz="4" w:space="0" w:color="000000"/>
              <w:left w:val="single" w:sz="4" w:space="0" w:color="000000"/>
              <w:bottom w:val="single" w:sz="4" w:space="0" w:color="000000"/>
              <w:right w:val="single" w:sz="4" w:space="0" w:color="000000"/>
            </w:tcBorders>
          </w:tcPr>
          <w:p>
            <w:pPr>
              <w:pStyle w:val="TableParagraph"/>
              <w:spacing w:before="97"/>
              <w:ind w:left="166" w:right="85"/>
              <w:jc w:val="center"/>
              <w:rPr>
                <w:sz w:val="18"/>
              </w:rPr>
            </w:pPr>
            <w:r>
              <w:rPr>
                <w:sz w:val="18"/>
              </w:rPr>
              <w:t>17</w:t>
            </w:r>
          </w:p>
        </w:tc>
        <w:tc>
          <w:tcPr>
            <w:tcW w:w="1843" w:type="dxa"/>
            <w:tcBorders>
              <w:top w:val="single" w:sz="4" w:space="0" w:color="000000"/>
              <w:left w:val="single" w:sz="4" w:space="0" w:color="000000"/>
              <w:bottom w:val="single" w:sz="4" w:space="0" w:color="000000"/>
              <w:right w:val="single" w:sz="4" w:space="0" w:color="000000"/>
            </w:tcBorders>
          </w:tcPr>
          <w:p>
            <w:pPr>
              <w:pStyle w:val="TableParagraph"/>
              <w:spacing w:before="97"/>
              <w:ind w:left="120"/>
              <w:rPr>
                <w:sz w:val="18"/>
              </w:rPr>
            </w:pPr>
            <w:r>
              <w:rPr>
                <w:sz w:val="18"/>
              </w:rPr>
              <w:t>硬度计</w:t>
            </w:r>
          </w:p>
        </w:tc>
        <w:tc>
          <w:tcPr>
            <w:tcW w:w="1461" w:type="dxa"/>
            <w:tcBorders>
              <w:top w:val="single" w:sz="4" w:space="0" w:color="000000"/>
              <w:left w:val="single" w:sz="4" w:space="0" w:color="000000"/>
              <w:bottom w:val="single" w:sz="4" w:space="0" w:color="000000"/>
            </w:tcBorders>
          </w:tcPr>
          <w:p>
            <w:pPr>
              <w:pStyle w:val="TableParagraph"/>
              <w:spacing w:before="97"/>
              <w:ind w:left="181" w:right="139"/>
              <w:jc w:val="center"/>
              <w:rPr>
                <w:sz w:val="18"/>
              </w:rPr>
            </w:pPr>
            <w:r>
              <w:rPr>
                <w:sz w:val="18"/>
              </w:rPr>
              <w:t>±1</w:t>
            </w:r>
          </w:p>
        </w:tc>
      </w:tr>
      <w:tr>
        <w:tblPrEx>
          <w:tblW w:w="0" w:type="auto"/>
          <w:jc w:val="left"/>
          <w:tblInd w:w="488" w:type="dxa"/>
          <w:tblLayout w:type="fixed"/>
          <w:tblCellMar>
            <w:top w:w="0" w:type="dxa"/>
            <w:left w:w="0" w:type="dxa"/>
            <w:bottom w:w="0" w:type="dxa"/>
            <w:right w:w="0" w:type="dxa"/>
          </w:tblCellMar>
          <w:tblLook w:val="01E0"/>
        </w:tblPrEx>
        <w:trPr>
          <w:trHeight w:val="468"/>
          <w:jc w:val="left"/>
        </w:trPr>
        <w:tc>
          <w:tcPr>
            <w:tcW w:w="676" w:type="dxa"/>
            <w:tcBorders>
              <w:top w:val="single" w:sz="4" w:space="0" w:color="000000"/>
              <w:bottom w:val="single" w:sz="4" w:space="0" w:color="000000"/>
              <w:right w:val="single" w:sz="4" w:space="0" w:color="000000"/>
            </w:tcBorders>
          </w:tcPr>
          <w:p>
            <w:pPr>
              <w:pStyle w:val="TableParagraph"/>
              <w:spacing w:before="99"/>
              <w:ind w:left="18"/>
              <w:jc w:val="center"/>
              <w:rPr>
                <w:sz w:val="18"/>
              </w:rPr>
            </w:pPr>
            <w:r>
              <w:rPr>
                <w:sz w:val="18"/>
              </w:rPr>
              <w:t>8</w:t>
            </w:r>
          </w:p>
        </w:tc>
        <w:tc>
          <w:tcPr>
            <w:tcW w:w="2072" w:type="dxa"/>
            <w:tcBorders>
              <w:top w:val="single" w:sz="4" w:space="0" w:color="000000"/>
              <w:left w:val="single" w:sz="4" w:space="0" w:color="000000"/>
              <w:bottom w:val="single" w:sz="4" w:space="0" w:color="000000"/>
              <w:right w:val="single" w:sz="4" w:space="0" w:color="000000"/>
            </w:tcBorders>
          </w:tcPr>
          <w:p>
            <w:pPr>
              <w:pStyle w:val="TableParagraph"/>
              <w:spacing w:before="99"/>
              <w:ind w:left="118"/>
              <w:rPr>
                <w:sz w:val="18"/>
              </w:rPr>
            </w:pPr>
            <w:r>
              <w:rPr>
                <w:sz w:val="18"/>
              </w:rPr>
              <w:t>超声波测厚仪</w:t>
            </w:r>
          </w:p>
        </w:tc>
        <w:tc>
          <w:tcPr>
            <w:tcW w:w="2037" w:type="dxa"/>
            <w:tcBorders>
              <w:top w:val="single" w:sz="4" w:space="0" w:color="000000"/>
              <w:left w:val="single" w:sz="4" w:space="0" w:color="000000"/>
              <w:bottom w:val="single" w:sz="4" w:space="0" w:color="000000"/>
              <w:right w:val="single" w:sz="4" w:space="0" w:color="000000"/>
            </w:tcBorders>
          </w:tcPr>
          <w:p>
            <w:pPr>
              <w:pStyle w:val="TableParagraph"/>
              <w:spacing w:before="99"/>
              <w:ind w:left="693" w:right="661"/>
              <w:jc w:val="center"/>
              <w:rPr>
                <w:rFonts w:ascii="Times New Roman" w:hAnsi="Times New Roman"/>
                <w:sz w:val="18"/>
              </w:rPr>
            </w:pPr>
            <w:r>
              <w:rPr>
                <w:sz w:val="18"/>
              </w:rPr>
              <w:t>±</w:t>
            </w:r>
            <w:r>
              <w:rPr>
                <w:rFonts w:ascii="Times New Roman" w:hAnsi="Times New Roman"/>
                <w:sz w:val="18"/>
              </w:rPr>
              <w:t>0.5 %</w:t>
            </w:r>
          </w:p>
        </w:tc>
        <w:tc>
          <w:tcPr>
            <w:tcW w:w="709" w:type="dxa"/>
            <w:tcBorders>
              <w:top w:val="single" w:sz="4" w:space="0" w:color="000000"/>
              <w:left w:val="single" w:sz="4" w:space="0" w:color="000000"/>
              <w:bottom w:val="single" w:sz="4" w:space="0" w:color="000000"/>
              <w:right w:val="single" w:sz="4" w:space="0" w:color="000000"/>
            </w:tcBorders>
          </w:tcPr>
          <w:p>
            <w:pPr>
              <w:pStyle w:val="TableParagraph"/>
              <w:spacing w:before="99"/>
              <w:ind w:left="166" w:right="85"/>
              <w:jc w:val="center"/>
              <w:rPr>
                <w:sz w:val="18"/>
              </w:rPr>
            </w:pPr>
            <w:r>
              <w:rPr>
                <w:sz w:val="18"/>
              </w:rPr>
              <w:t>18</w:t>
            </w:r>
          </w:p>
        </w:tc>
        <w:tc>
          <w:tcPr>
            <w:tcW w:w="1843" w:type="dxa"/>
            <w:tcBorders>
              <w:top w:val="single" w:sz="4" w:space="0" w:color="000000"/>
              <w:left w:val="single" w:sz="4" w:space="0" w:color="000000"/>
              <w:bottom w:val="single" w:sz="4" w:space="0" w:color="000000"/>
              <w:right w:val="single" w:sz="4" w:space="0" w:color="000000"/>
            </w:tcBorders>
          </w:tcPr>
          <w:p>
            <w:pPr>
              <w:pStyle w:val="TableParagraph"/>
              <w:spacing w:before="99"/>
              <w:ind w:left="120"/>
              <w:rPr>
                <w:sz w:val="18"/>
              </w:rPr>
            </w:pPr>
            <w:r>
              <w:rPr>
                <w:sz w:val="18"/>
              </w:rPr>
              <w:t>声级计</w:t>
            </w:r>
          </w:p>
        </w:tc>
        <w:tc>
          <w:tcPr>
            <w:tcW w:w="1461" w:type="dxa"/>
            <w:tcBorders>
              <w:top w:val="single" w:sz="4" w:space="0" w:color="000000"/>
              <w:left w:val="single" w:sz="4" w:space="0" w:color="000000"/>
              <w:bottom w:val="single" w:sz="4" w:space="0" w:color="000000"/>
            </w:tcBorders>
          </w:tcPr>
          <w:p>
            <w:pPr>
              <w:pStyle w:val="TableParagraph"/>
              <w:spacing w:before="99"/>
              <w:ind w:left="336"/>
              <w:rPr>
                <w:sz w:val="18"/>
              </w:rPr>
            </w:pPr>
            <w:r>
              <w:rPr>
                <w:sz w:val="18"/>
              </w:rPr>
              <w:t>0.1 dB(A)</w:t>
            </w:r>
          </w:p>
        </w:tc>
      </w:tr>
      <w:tr>
        <w:tblPrEx>
          <w:tblW w:w="0" w:type="auto"/>
          <w:jc w:val="left"/>
          <w:tblInd w:w="488" w:type="dxa"/>
          <w:tblLayout w:type="fixed"/>
          <w:tblCellMar>
            <w:top w:w="0" w:type="dxa"/>
            <w:left w:w="0" w:type="dxa"/>
            <w:bottom w:w="0" w:type="dxa"/>
            <w:right w:w="0" w:type="dxa"/>
          </w:tblCellMar>
          <w:tblLook w:val="01E0"/>
        </w:tblPrEx>
        <w:trPr>
          <w:trHeight w:val="467"/>
          <w:jc w:val="left"/>
        </w:trPr>
        <w:tc>
          <w:tcPr>
            <w:tcW w:w="676" w:type="dxa"/>
            <w:tcBorders>
              <w:top w:val="single" w:sz="4" w:space="0" w:color="000000"/>
              <w:bottom w:val="single" w:sz="4" w:space="0" w:color="000000"/>
              <w:right w:val="single" w:sz="4" w:space="0" w:color="000000"/>
            </w:tcBorders>
          </w:tcPr>
          <w:p>
            <w:pPr>
              <w:pStyle w:val="TableParagraph"/>
              <w:spacing w:before="98"/>
              <w:ind w:left="18"/>
              <w:jc w:val="center"/>
              <w:rPr>
                <w:sz w:val="18"/>
              </w:rPr>
            </w:pPr>
            <w:r>
              <w:rPr>
                <w:sz w:val="18"/>
              </w:rPr>
              <w:t>9</w:t>
            </w:r>
          </w:p>
        </w:tc>
        <w:tc>
          <w:tcPr>
            <w:tcW w:w="2072" w:type="dxa"/>
            <w:tcBorders>
              <w:top w:val="single" w:sz="4" w:space="0" w:color="000000"/>
              <w:left w:val="single" w:sz="4" w:space="0" w:color="000000"/>
              <w:bottom w:val="single" w:sz="4" w:space="0" w:color="000000"/>
              <w:right w:val="single" w:sz="4" w:space="0" w:color="000000"/>
            </w:tcBorders>
          </w:tcPr>
          <w:p>
            <w:pPr>
              <w:pStyle w:val="TableParagraph"/>
              <w:spacing w:before="98"/>
              <w:ind w:left="118"/>
              <w:rPr>
                <w:sz w:val="18"/>
              </w:rPr>
            </w:pPr>
            <w:r>
              <w:rPr>
                <w:sz w:val="18"/>
              </w:rPr>
              <w:t>测温仪</w:t>
            </w:r>
          </w:p>
        </w:tc>
        <w:tc>
          <w:tcPr>
            <w:tcW w:w="2037" w:type="dxa"/>
            <w:tcBorders>
              <w:top w:val="single" w:sz="4" w:space="0" w:color="000000"/>
              <w:left w:val="single" w:sz="4" w:space="0" w:color="000000"/>
              <w:bottom w:val="single" w:sz="4" w:space="0" w:color="000000"/>
              <w:right w:val="single" w:sz="4" w:space="0" w:color="000000"/>
            </w:tcBorders>
          </w:tcPr>
          <w:p>
            <w:pPr>
              <w:pStyle w:val="TableParagraph"/>
              <w:spacing w:before="98"/>
              <w:ind w:left="748"/>
              <w:rPr>
                <w:sz w:val="18"/>
              </w:rPr>
            </w:pPr>
            <w:r>
              <w:rPr>
                <w:sz w:val="18"/>
              </w:rPr>
              <w:t>±</w:t>
            </w:r>
            <w:r>
              <w:rPr>
                <w:rFonts w:ascii="Times New Roman" w:hAnsi="Times New Roman"/>
                <w:sz w:val="18"/>
              </w:rPr>
              <w:t xml:space="preserve">0.1 </w:t>
            </w:r>
            <w:r>
              <w:rPr>
                <w:sz w:val="18"/>
              </w:rPr>
              <w:t>℃</w:t>
            </w:r>
          </w:p>
        </w:tc>
        <w:tc>
          <w:tcPr>
            <w:tcW w:w="709"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3304" w:type="dxa"/>
            <w:gridSpan w:val="2"/>
            <w:tcBorders>
              <w:top w:val="single" w:sz="4" w:space="0" w:color="000000"/>
              <w:left w:val="single" w:sz="4" w:space="0" w:color="000000"/>
              <w:bottom w:val="single" w:sz="4" w:space="0" w:color="000000"/>
            </w:tcBorders>
          </w:tcPr>
          <w:p>
            <w:pPr>
              <w:pStyle w:val="TableParagraph"/>
              <w:rPr>
                <w:rFonts w:ascii="Times New Roman"/>
                <w:sz w:val="18"/>
              </w:rPr>
            </w:pPr>
          </w:p>
        </w:tc>
      </w:tr>
      <w:tr>
        <w:tblPrEx>
          <w:tblW w:w="0" w:type="auto"/>
          <w:jc w:val="left"/>
          <w:tblInd w:w="488" w:type="dxa"/>
          <w:tblLayout w:type="fixed"/>
          <w:tblCellMar>
            <w:top w:w="0" w:type="dxa"/>
            <w:left w:w="0" w:type="dxa"/>
            <w:bottom w:w="0" w:type="dxa"/>
            <w:right w:w="0" w:type="dxa"/>
          </w:tblCellMar>
          <w:tblLook w:val="01E0"/>
        </w:tblPrEx>
        <w:trPr>
          <w:trHeight w:val="468"/>
          <w:jc w:val="left"/>
        </w:trPr>
        <w:tc>
          <w:tcPr>
            <w:tcW w:w="8798" w:type="dxa"/>
            <w:gridSpan w:val="6"/>
            <w:tcBorders>
              <w:top w:val="single" w:sz="4" w:space="0" w:color="000000"/>
              <w:bottom w:val="single" w:sz="18" w:space="0" w:color="000000"/>
            </w:tcBorders>
          </w:tcPr>
          <w:p>
            <w:pPr>
              <w:pStyle w:val="TableParagraph"/>
              <w:spacing w:before="98"/>
              <w:ind w:left="108"/>
              <w:rPr>
                <w:sz w:val="18"/>
              </w:rPr>
            </w:pPr>
            <w:r>
              <w:rPr>
                <w:sz w:val="18"/>
              </w:rPr>
              <w:t>注：对记录设备应能检测到 0.1s 变化的信号。</w:t>
            </w:r>
          </w:p>
        </w:tc>
      </w:tr>
    </w:tbl>
    <w:p>
      <w:pPr>
        <w:pStyle w:val="BodyText"/>
        <w:spacing w:before="5"/>
        <w:rPr>
          <w:sz w:val="24"/>
        </w:rPr>
      </w:pPr>
    </w:p>
    <w:p>
      <w:pPr>
        <w:pStyle w:val="ListParagraph"/>
        <w:numPr>
          <w:ilvl w:val="0"/>
          <w:numId w:val="20"/>
        </w:numPr>
        <w:tabs>
          <w:tab w:val="left" w:pos="513"/>
          <w:tab w:val="left" w:pos="514"/>
        </w:tabs>
        <w:spacing w:before="0" w:after="0" w:line="240" w:lineRule="auto"/>
        <w:ind w:left="513" w:right="0" w:hanging="316"/>
        <w:jc w:val="left"/>
        <w:rPr>
          <w:rFonts w:ascii="黑体" w:eastAsia="黑体" w:hint="eastAsia"/>
          <w:sz w:val="21"/>
        </w:rPr>
      </w:pPr>
      <w:r>
        <w:rPr>
          <w:rFonts w:ascii="黑体" w:eastAsia="黑体" w:hint="eastAsia"/>
          <w:sz w:val="21"/>
        </w:rPr>
        <w:t>评估程序</w:t>
      </w:r>
    </w:p>
    <w:p>
      <w:pPr>
        <w:pStyle w:val="BodyText"/>
        <w:spacing w:before="8"/>
        <w:rPr>
          <w:rFonts w:ascii="黑体"/>
          <w:sz w:val="27"/>
        </w:rPr>
      </w:pPr>
    </w:p>
    <w:p>
      <w:pPr>
        <w:pStyle w:val="ListParagraph"/>
        <w:numPr>
          <w:ilvl w:val="1"/>
          <w:numId w:val="20"/>
        </w:numPr>
        <w:tabs>
          <w:tab w:val="left" w:pos="722"/>
          <w:tab w:val="left" w:pos="723"/>
        </w:tabs>
        <w:spacing w:before="0" w:after="0" w:line="240" w:lineRule="auto"/>
        <w:ind w:left="722" w:right="0" w:hanging="525"/>
        <w:jc w:val="left"/>
        <w:rPr>
          <w:rFonts w:ascii="黑体" w:eastAsia="黑体" w:hint="eastAsia"/>
          <w:sz w:val="21"/>
        </w:rPr>
      </w:pPr>
      <w:r>
        <w:rPr>
          <w:rFonts w:ascii="黑体" w:eastAsia="黑体" w:hint="eastAsia"/>
          <w:sz w:val="21"/>
        </w:rPr>
        <w:t>协议与接受</w:t>
      </w:r>
    </w:p>
    <w:p>
      <w:pPr>
        <w:pStyle w:val="BodyText"/>
        <w:spacing w:before="7"/>
        <w:rPr>
          <w:rFonts w:ascii="黑体"/>
        </w:rPr>
      </w:pPr>
    </w:p>
    <w:p>
      <w:pPr>
        <w:pStyle w:val="BodyText"/>
        <w:spacing w:before="1"/>
        <w:ind w:left="618"/>
      </w:pPr>
      <w:r>
        <w:t>了解用户的评估需求，与用户沟通可接受的安全评估项目，签订评估协议。</w:t>
      </w:r>
    </w:p>
    <w:p>
      <w:pPr>
        <w:pStyle w:val="BodyText"/>
        <w:spacing w:before="7"/>
      </w:pPr>
    </w:p>
    <w:p>
      <w:pPr>
        <w:pStyle w:val="ListParagraph"/>
        <w:numPr>
          <w:ilvl w:val="1"/>
          <w:numId w:val="20"/>
        </w:numPr>
        <w:tabs>
          <w:tab w:val="left" w:pos="722"/>
          <w:tab w:val="left" w:pos="724"/>
        </w:tabs>
        <w:spacing w:before="1" w:after="0" w:line="240" w:lineRule="auto"/>
        <w:ind w:left="723" w:right="0" w:hanging="526"/>
        <w:jc w:val="left"/>
        <w:rPr>
          <w:rFonts w:ascii="黑体" w:eastAsia="黑体" w:hint="eastAsia"/>
          <w:sz w:val="21"/>
        </w:rPr>
      </w:pPr>
      <w:r>
        <w:rPr>
          <w:rFonts w:ascii="黑体" w:eastAsia="黑体" w:hint="eastAsia"/>
          <w:sz w:val="21"/>
        </w:rPr>
        <w:t>成立评估组</w:t>
      </w:r>
    </w:p>
    <w:p>
      <w:pPr>
        <w:pStyle w:val="BodyText"/>
        <w:spacing w:before="6"/>
        <w:rPr>
          <w:rFonts w:ascii="黑体"/>
          <w:sz w:val="15"/>
        </w:rPr>
      </w:pPr>
    </w:p>
    <w:p>
      <w:pPr>
        <w:pStyle w:val="BodyText"/>
        <w:spacing w:line="278" w:lineRule="auto"/>
        <w:ind w:left="618" w:right="535"/>
      </w:pPr>
      <w:r>
        <w:t>成立由组长负责的评估组，组长应为具有高级工程师资格或5年以上工程师资格的评估人员。评估组应至少由2名以上（含2名）评估人员组成，分别设立与相关专业匹配的评估项目小组。</w:t>
      </w:r>
    </w:p>
    <w:p>
      <w:pPr>
        <w:pStyle w:val="ListParagraph"/>
        <w:numPr>
          <w:ilvl w:val="1"/>
          <w:numId w:val="20"/>
        </w:numPr>
        <w:tabs>
          <w:tab w:val="left" w:pos="723"/>
          <w:tab w:val="left" w:pos="724"/>
        </w:tabs>
        <w:spacing w:before="156" w:after="0" w:line="240" w:lineRule="auto"/>
        <w:ind w:left="723" w:right="0" w:hanging="526"/>
        <w:jc w:val="left"/>
        <w:rPr>
          <w:rFonts w:ascii="黑体" w:eastAsia="黑体" w:hint="eastAsia"/>
          <w:sz w:val="21"/>
        </w:rPr>
      </w:pPr>
      <w:r>
        <w:rPr>
          <w:rFonts w:ascii="黑体" w:eastAsia="黑体" w:hint="eastAsia"/>
          <w:sz w:val="21"/>
        </w:rPr>
        <w:t>编制评估方案</w:t>
      </w:r>
    </w:p>
    <w:p>
      <w:pPr>
        <w:pStyle w:val="BodyText"/>
        <w:spacing w:before="7"/>
        <w:rPr>
          <w:rFonts w:ascii="黑体"/>
          <w:sz w:val="15"/>
        </w:rPr>
      </w:pPr>
    </w:p>
    <w:p>
      <w:pPr>
        <w:pStyle w:val="BodyText"/>
        <w:spacing w:line="278" w:lineRule="auto"/>
        <w:ind w:left="198" w:right="115" w:firstLine="420"/>
      </w:pPr>
      <w:r>
        <w:t>对起重机进行评估时，按照GB/T 20900-2007中4.5、第5章和第7章的相关要求，依据评估协议书， 制定有针对性的安全评估方案。</w:t>
      </w:r>
    </w:p>
    <w:p>
      <w:pPr>
        <w:pStyle w:val="BodyText"/>
        <w:spacing w:line="269" w:lineRule="exact"/>
        <w:ind w:left="618"/>
      </w:pPr>
      <w:r>
        <w:t>评估方案应至少包括以下内容：</w:t>
      </w:r>
    </w:p>
    <w:p>
      <w:pPr>
        <w:pStyle w:val="ListParagraph"/>
        <w:numPr>
          <w:ilvl w:val="2"/>
          <w:numId w:val="20"/>
        </w:numPr>
        <w:tabs>
          <w:tab w:val="left" w:pos="1038"/>
          <w:tab w:val="left" w:pos="1039"/>
        </w:tabs>
        <w:spacing w:before="43" w:after="0" w:line="240" w:lineRule="auto"/>
        <w:ind w:left="1038" w:right="0" w:hanging="421"/>
        <w:jc w:val="left"/>
        <w:rPr>
          <w:sz w:val="21"/>
        </w:rPr>
      </w:pPr>
      <w:r>
        <w:rPr>
          <w:sz w:val="21"/>
        </w:rPr>
        <w:t>起重机基本概况；</w:t>
      </w:r>
    </w:p>
    <w:p>
      <w:pPr>
        <w:pStyle w:val="ListParagraph"/>
        <w:numPr>
          <w:ilvl w:val="2"/>
          <w:numId w:val="20"/>
        </w:numPr>
        <w:tabs>
          <w:tab w:val="left" w:pos="1038"/>
          <w:tab w:val="left" w:pos="1039"/>
        </w:tabs>
        <w:spacing w:before="43" w:after="0" w:line="240" w:lineRule="auto"/>
        <w:ind w:left="1038" w:right="0" w:hanging="421"/>
        <w:jc w:val="left"/>
        <w:rPr>
          <w:sz w:val="21"/>
        </w:rPr>
      </w:pPr>
      <w:r>
        <w:rPr>
          <w:sz w:val="21"/>
        </w:rPr>
        <w:t>评估项目与人员分配；</w:t>
      </w:r>
    </w:p>
    <w:p>
      <w:pPr>
        <w:pStyle w:val="ListParagraph"/>
        <w:numPr>
          <w:ilvl w:val="2"/>
          <w:numId w:val="20"/>
        </w:numPr>
        <w:tabs>
          <w:tab w:val="left" w:pos="1038"/>
          <w:tab w:val="left" w:pos="1039"/>
        </w:tabs>
        <w:spacing w:before="43" w:after="0" w:line="240" w:lineRule="auto"/>
        <w:ind w:left="1038" w:right="0" w:hanging="421"/>
        <w:jc w:val="left"/>
        <w:rPr>
          <w:sz w:val="21"/>
        </w:rPr>
        <w:sectPr>
          <w:footerReference w:type="default" r:id="rId5"/>
          <w:pgSz w:w="11910" w:h="16840"/>
          <w:pgMar w:top="1600" w:right="920" w:bottom="1080" w:left="1220" w:header="0" w:footer="892"/>
          <w:pgNumType w:start="2"/>
          <w:cols w:space="708"/>
        </w:sectPr>
      </w:pPr>
      <w:r>
        <w:rPr>
          <w:sz w:val="21"/>
        </w:rPr>
        <w:t>评估仪器准备；</w:t>
      </w:r>
    </w:p>
    <w:p>
      <w:pPr>
        <w:pStyle w:val="ListParagraph"/>
        <w:numPr>
          <w:ilvl w:val="2"/>
          <w:numId w:val="20"/>
        </w:numPr>
        <w:tabs>
          <w:tab w:val="left" w:pos="1038"/>
          <w:tab w:val="left" w:pos="1039"/>
        </w:tabs>
        <w:spacing w:before="43" w:after="0" w:line="240" w:lineRule="auto"/>
        <w:ind w:left="1038" w:right="0" w:hanging="421"/>
        <w:jc w:val="left"/>
        <w:rPr>
          <w:sz w:val="21"/>
        </w:rPr>
      </w:pPr>
      <w:r>
        <w:rPr>
          <w:sz w:val="21"/>
        </w:rPr>
        <w:t>评估进度计划；</w:t>
      </w:r>
    </w:p>
    <w:p>
      <w:pPr>
        <w:spacing w:after="0" w:line="240" w:lineRule="auto"/>
        <w:jc w:val="left"/>
        <w:rPr>
          <w:sz w:val="21"/>
        </w:rPr>
        <w:sectPr>
          <w:footerReference w:type="default" r:id="rId6"/>
          <w:type w:val="nextPage"/>
          <w:pgSz w:w="11910" w:h="16840"/>
          <w:pgMar w:top="1600" w:right="920" w:bottom="1080" w:left="1220" w:header="0" w:footer="892"/>
          <w:pgNumType w:start="3"/>
          <w:cols w:space="708"/>
          <w:titlePg w:val="0"/>
        </w:sectPr>
      </w:pPr>
    </w:p>
    <w:p>
      <w:pPr>
        <w:pStyle w:val="BodyText"/>
        <w:spacing w:before="4"/>
        <w:rPr>
          <w:sz w:val="20"/>
        </w:rPr>
      </w:pPr>
    </w:p>
    <w:p>
      <w:pPr>
        <w:pStyle w:val="ListParagraph"/>
        <w:numPr>
          <w:ilvl w:val="2"/>
          <w:numId w:val="20"/>
        </w:numPr>
        <w:tabs>
          <w:tab w:val="left" w:pos="1038"/>
          <w:tab w:val="left" w:pos="1039"/>
        </w:tabs>
        <w:spacing w:before="70" w:after="0" w:line="240" w:lineRule="auto"/>
        <w:ind w:left="1038" w:right="0" w:hanging="421"/>
        <w:jc w:val="left"/>
        <w:rPr>
          <w:sz w:val="21"/>
        </w:rPr>
      </w:pPr>
      <w:r>
        <w:rPr>
          <w:sz w:val="21"/>
        </w:rPr>
        <w:t>评估意见的汇总。</w:t>
      </w:r>
    </w:p>
    <w:p>
      <w:pPr>
        <w:pStyle w:val="BodyText"/>
        <w:spacing w:before="7"/>
        <w:rPr>
          <w:sz w:val="15"/>
        </w:rPr>
      </w:pPr>
    </w:p>
    <w:p>
      <w:pPr>
        <w:pStyle w:val="ListParagraph"/>
        <w:numPr>
          <w:ilvl w:val="1"/>
          <w:numId w:val="20"/>
        </w:numPr>
        <w:tabs>
          <w:tab w:val="left" w:pos="722"/>
          <w:tab w:val="left" w:pos="724"/>
        </w:tabs>
        <w:spacing w:before="0" w:after="0" w:line="240" w:lineRule="auto"/>
        <w:ind w:left="723" w:right="0" w:hanging="526"/>
        <w:jc w:val="left"/>
        <w:rPr>
          <w:rFonts w:ascii="黑体" w:eastAsia="黑体" w:hint="eastAsia"/>
          <w:sz w:val="21"/>
        </w:rPr>
      </w:pPr>
      <w:r>
        <w:rPr>
          <w:rFonts w:ascii="黑体" w:eastAsia="黑体" w:hint="eastAsia"/>
          <w:sz w:val="21"/>
        </w:rPr>
        <w:t>评估实施</w:t>
      </w:r>
    </w:p>
    <w:p>
      <w:pPr>
        <w:pStyle w:val="BodyText"/>
        <w:spacing w:before="7"/>
        <w:rPr>
          <w:rFonts w:ascii="黑体"/>
          <w:sz w:val="15"/>
        </w:rPr>
      </w:pPr>
    </w:p>
    <w:p>
      <w:pPr>
        <w:pStyle w:val="ListParagraph"/>
        <w:numPr>
          <w:ilvl w:val="2"/>
          <w:numId w:val="19"/>
        </w:numPr>
        <w:tabs>
          <w:tab w:val="left" w:pos="934"/>
        </w:tabs>
        <w:spacing w:before="0" w:after="0" w:line="278" w:lineRule="auto"/>
        <w:ind w:left="198" w:right="209" w:firstLine="0"/>
        <w:jc w:val="both"/>
        <w:rPr>
          <w:sz w:val="21"/>
        </w:rPr>
      </w:pPr>
      <w:r>
        <w:rPr>
          <w:sz w:val="21"/>
        </w:rPr>
        <w:t>评估组听取使用单位对起重机使用情况的介绍，查阅使用单位提供的资料，依据相关安全技术规范、标准及协议的要求,按照本标准确定的设备本体风险隐患查找单个安全评估项目内容与要求（见</w:t>
      </w:r>
      <w:r>
        <w:rPr>
          <w:spacing w:val="-19"/>
          <w:sz w:val="21"/>
        </w:rPr>
        <w:t xml:space="preserve">附录 </w:t>
      </w:r>
      <w:r>
        <w:rPr>
          <w:spacing w:val="-10"/>
          <w:sz w:val="21"/>
        </w:rPr>
        <w:t>A）</w:t>
      </w:r>
      <w:r>
        <w:rPr>
          <w:spacing w:val="-5"/>
          <w:sz w:val="21"/>
        </w:rPr>
        <w:t>，对起重机现场运行环境的安全隐患进行识别和记录，根据采集的起重机相关情况以及危险状</w:t>
      </w:r>
      <w:r>
        <w:rPr>
          <w:spacing w:val="-10"/>
          <w:sz w:val="21"/>
        </w:rPr>
        <w:t>态识别，对其逐个进行单个评估项目风险等级评定，在此基础上通过风险类别划分及加权赋值，计算出</w:t>
      </w:r>
      <w:r>
        <w:rPr>
          <w:sz w:val="21"/>
        </w:rPr>
        <w:t>起重机整机安全评估分值，以此给出安全评估等级和风险结论的评定。</w:t>
      </w:r>
    </w:p>
    <w:p>
      <w:pPr>
        <w:pStyle w:val="ListParagraph"/>
        <w:numPr>
          <w:ilvl w:val="2"/>
          <w:numId w:val="19"/>
        </w:numPr>
        <w:tabs>
          <w:tab w:val="left" w:pos="934"/>
        </w:tabs>
        <w:spacing w:before="0" w:after="0" w:line="268" w:lineRule="exact"/>
        <w:ind w:left="934" w:right="0" w:hanging="736"/>
        <w:jc w:val="both"/>
        <w:rPr>
          <w:sz w:val="21"/>
        </w:rPr>
      </w:pPr>
      <w:r>
        <w:rPr>
          <w:sz w:val="21"/>
        </w:rPr>
        <w:t>评估的项目：</w:t>
      </w:r>
    </w:p>
    <w:p>
      <w:pPr>
        <w:pStyle w:val="ListParagraph"/>
        <w:numPr>
          <w:ilvl w:val="0"/>
          <w:numId w:val="18"/>
        </w:numPr>
        <w:tabs>
          <w:tab w:val="left" w:pos="934"/>
          <w:tab w:val="left" w:pos="935"/>
        </w:tabs>
        <w:spacing w:before="43" w:after="0" w:line="240" w:lineRule="auto"/>
        <w:ind w:left="934" w:right="0" w:hanging="421"/>
        <w:jc w:val="left"/>
        <w:rPr>
          <w:sz w:val="21"/>
        </w:rPr>
      </w:pPr>
      <w:r>
        <w:rPr>
          <w:sz w:val="21"/>
        </w:rPr>
        <w:t>资料部分（起重机法定检验、资料档案、管理制度、修理保养记录）；</w:t>
      </w:r>
    </w:p>
    <w:p>
      <w:pPr>
        <w:pStyle w:val="ListParagraph"/>
        <w:numPr>
          <w:ilvl w:val="0"/>
          <w:numId w:val="18"/>
        </w:numPr>
        <w:tabs>
          <w:tab w:val="left" w:pos="934"/>
          <w:tab w:val="left" w:pos="935"/>
        </w:tabs>
        <w:spacing w:before="43" w:after="0" w:line="240" w:lineRule="auto"/>
        <w:ind w:left="934" w:right="0" w:hanging="421"/>
        <w:jc w:val="left"/>
        <w:rPr>
          <w:sz w:val="21"/>
        </w:rPr>
      </w:pPr>
      <w:r>
        <w:rPr>
          <w:sz w:val="21"/>
        </w:rPr>
        <w:t>起重机的运行环境；</w:t>
      </w:r>
    </w:p>
    <w:p>
      <w:pPr>
        <w:pStyle w:val="ListParagraph"/>
        <w:numPr>
          <w:ilvl w:val="0"/>
          <w:numId w:val="18"/>
        </w:numPr>
        <w:tabs>
          <w:tab w:val="left" w:pos="934"/>
          <w:tab w:val="left" w:pos="935"/>
        </w:tabs>
        <w:spacing w:before="43" w:after="0" w:line="240" w:lineRule="auto"/>
        <w:ind w:left="934" w:right="0" w:hanging="421"/>
        <w:jc w:val="left"/>
        <w:rPr>
          <w:sz w:val="21"/>
        </w:rPr>
      </w:pPr>
      <w:r>
        <w:rPr>
          <w:sz w:val="21"/>
        </w:rPr>
        <w:t>设备本体。</w:t>
      </w:r>
    </w:p>
    <w:p>
      <w:pPr>
        <w:pStyle w:val="BodyText"/>
        <w:spacing w:before="6"/>
        <w:rPr>
          <w:sz w:val="15"/>
        </w:rPr>
      </w:pPr>
    </w:p>
    <w:p>
      <w:pPr>
        <w:pStyle w:val="ListParagraph"/>
        <w:numPr>
          <w:ilvl w:val="0"/>
          <w:numId w:val="20"/>
        </w:numPr>
        <w:tabs>
          <w:tab w:val="left" w:pos="513"/>
          <w:tab w:val="left" w:pos="514"/>
        </w:tabs>
        <w:spacing w:before="0" w:after="0" w:line="240" w:lineRule="auto"/>
        <w:ind w:left="513" w:right="0" w:hanging="316"/>
        <w:jc w:val="left"/>
        <w:rPr>
          <w:rFonts w:ascii="黑体" w:eastAsia="黑体" w:hint="eastAsia"/>
          <w:sz w:val="21"/>
        </w:rPr>
      </w:pPr>
      <w:r>
        <w:rPr>
          <w:rFonts w:ascii="黑体" w:eastAsia="黑体" w:hint="eastAsia"/>
          <w:sz w:val="21"/>
        </w:rPr>
        <w:t>评估结论判定通则</w:t>
      </w:r>
    </w:p>
    <w:p>
      <w:pPr>
        <w:pStyle w:val="BodyText"/>
        <w:spacing w:before="7"/>
        <w:rPr>
          <w:rFonts w:ascii="黑体"/>
          <w:sz w:val="15"/>
        </w:rPr>
      </w:pPr>
    </w:p>
    <w:p>
      <w:pPr>
        <w:pStyle w:val="ListParagraph"/>
        <w:numPr>
          <w:ilvl w:val="1"/>
          <w:numId w:val="20"/>
        </w:numPr>
        <w:tabs>
          <w:tab w:val="left" w:pos="722"/>
          <w:tab w:val="left" w:pos="723"/>
        </w:tabs>
        <w:spacing w:before="0" w:after="0" w:line="240" w:lineRule="auto"/>
        <w:ind w:left="722" w:right="0" w:hanging="525"/>
        <w:jc w:val="left"/>
        <w:rPr>
          <w:rFonts w:ascii="黑体" w:eastAsia="黑体" w:hint="eastAsia"/>
          <w:sz w:val="21"/>
        </w:rPr>
      </w:pPr>
      <w:r>
        <w:rPr>
          <w:rFonts w:ascii="黑体" w:eastAsia="黑体" w:hint="eastAsia"/>
          <w:sz w:val="21"/>
        </w:rPr>
        <w:t>总则</w:t>
      </w:r>
    </w:p>
    <w:p>
      <w:pPr>
        <w:pStyle w:val="BodyText"/>
        <w:spacing w:before="7"/>
        <w:rPr>
          <w:rFonts w:ascii="黑体"/>
          <w:sz w:val="15"/>
        </w:rPr>
      </w:pPr>
    </w:p>
    <w:p>
      <w:pPr>
        <w:pStyle w:val="ListParagraph"/>
        <w:numPr>
          <w:ilvl w:val="2"/>
          <w:numId w:val="17"/>
        </w:numPr>
        <w:tabs>
          <w:tab w:val="left" w:pos="933"/>
          <w:tab w:val="left" w:pos="935"/>
        </w:tabs>
        <w:spacing w:before="0" w:after="0" w:line="278" w:lineRule="auto"/>
        <w:ind w:left="198" w:right="219" w:firstLine="0"/>
        <w:jc w:val="left"/>
        <w:rPr>
          <w:sz w:val="21"/>
        </w:rPr>
      </w:pPr>
      <w:r>
        <w:rPr>
          <w:spacing w:val="-1"/>
          <w:sz w:val="21"/>
        </w:rPr>
        <w:t>起重机实施评估时，应按本标准对评估项目进行现场检查、测量及试验，并对涉及评估的风险</w:t>
      </w:r>
      <w:r>
        <w:rPr>
          <w:sz w:val="21"/>
        </w:rPr>
        <w:t>项目进行综合分析和判定，给出相应单个评估项目的评估结果。</w:t>
      </w:r>
    </w:p>
    <w:p>
      <w:pPr>
        <w:pStyle w:val="ListParagraph"/>
        <w:numPr>
          <w:ilvl w:val="2"/>
          <w:numId w:val="17"/>
        </w:numPr>
        <w:tabs>
          <w:tab w:val="left" w:pos="933"/>
          <w:tab w:val="left" w:pos="935"/>
        </w:tabs>
        <w:spacing w:before="0" w:after="0" w:line="240" w:lineRule="auto"/>
        <w:ind w:left="934" w:right="0" w:hanging="737"/>
        <w:jc w:val="left"/>
        <w:rPr>
          <w:sz w:val="21"/>
        </w:rPr>
      </w:pPr>
      <w:r>
        <w:rPr>
          <w:spacing w:val="-1"/>
          <w:sz w:val="21"/>
        </w:rPr>
        <w:t>单个评估项目的评估结果判定条件如下：</w:t>
      </w:r>
    </w:p>
    <w:p>
      <w:pPr>
        <w:pStyle w:val="ListParagraph"/>
        <w:numPr>
          <w:ilvl w:val="3"/>
          <w:numId w:val="17"/>
        </w:numPr>
        <w:tabs>
          <w:tab w:val="left" w:pos="934"/>
          <w:tab w:val="left" w:pos="935"/>
        </w:tabs>
        <w:spacing w:before="43" w:after="0" w:line="278" w:lineRule="auto"/>
        <w:ind w:left="933" w:right="218" w:hanging="420"/>
        <w:jc w:val="left"/>
        <w:rPr>
          <w:sz w:val="21"/>
        </w:rPr>
      </w:pPr>
      <w:r>
        <w:rPr>
          <w:spacing w:val="-1"/>
          <w:sz w:val="21"/>
        </w:rPr>
        <w:t>单个评估项目经风险分析存在有风险时，其评估结果应根据风险等级评定“存在几级风险”并</w:t>
      </w:r>
      <w:r>
        <w:rPr>
          <w:spacing w:val="-11"/>
          <w:sz w:val="21"/>
        </w:rPr>
        <w:t>描述伤害的“后果”；</w:t>
      </w:r>
    </w:p>
    <w:p>
      <w:pPr>
        <w:pStyle w:val="ListParagraph"/>
        <w:numPr>
          <w:ilvl w:val="3"/>
          <w:numId w:val="17"/>
        </w:numPr>
        <w:tabs>
          <w:tab w:val="left" w:pos="934"/>
          <w:tab w:val="left" w:pos="935"/>
        </w:tabs>
        <w:spacing w:before="0" w:after="0" w:line="240" w:lineRule="auto"/>
        <w:ind w:left="934" w:right="0" w:hanging="421"/>
        <w:jc w:val="left"/>
        <w:rPr>
          <w:sz w:val="21"/>
        </w:rPr>
      </w:pPr>
      <w:r>
        <w:rPr>
          <w:spacing w:val="-4"/>
          <w:sz w:val="21"/>
        </w:rPr>
        <w:t>单个评估项目经风险分析未存在风险时，其评估结果为“未发现风险”。</w:t>
      </w:r>
    </w:p>
    <w:p>
      <w:pPr>
        <w:pStyle w:val="BodyText"/>
        <w:spacing w:before="6"/>
        <w:rPr>
          <w:sz w:val="15"/>
        </w:rPr>
      </w:pPr>
    </w:p>
    <w:p>
      <w:pPr>
        <w:pStyle w:val="ListParagraph"/>
        <w:numPr>
          <w:ilvl w:val="1"/>
          <w:numId w:val="20"/>
        </w:numPr>
        <w:tabs>
          <w:tab w:val="left" w:pos="723"/>
          <w:tab w:val="left" w:pos="724"/>
        </w:tabs>
        <w:spacing w:before="0" w:after="0" w:line="240" w:lineRule="auto"/>
        <w:ind w:left="723" w:right="0" w:hanging="526"/>
        <w:jc w:val="left"/>
        <w:rPr>
          <w:rFonts w:ascii="黑体" w:eastAsia="黑体" w:hint="eastAsia"/>
          <w:sz w:val="21"/>
        </w:rPr>
      </w:pPr>
      <w:r>
        <w:rPr>
          <w:rFonts w:ascii="黑体" w:eastAsia="黑体" w:hint="eastAsia"/>
          <w:sz w:val="21"/>
        </w:rPr>
        <w:t>单个评估项目风险等级评定</w:t>
      </w:r>
    </w:p>
    <w:p>
      <w:pPr>
        <w:pStyle w:val="BodyText"/>
        <w:spacing w:before="7"/>
        <w:rPr>
          <w:rFonts w:ascii="黑体"/>
          <w:sz w:val="15"/>
        </w:rPr>
      </w:pPr>
    </w:p>
    <w:p>
      <w:pPr>
        <w:pStyle w:val="BodyText"/>
        <w:spacing w:line="278" w:lineRule="auto"/>
        <w:ind w:left="198" w:right="301" w:firstLine="420"/>
      </w:pPr>
      <w:r>
        <w:t>单个评估项目风险等级评定由伤害的严重程度（</w:t>
      </w:r>
      <w:r>
        <w:rPr>
          <w:rFonts w:ascii="Times New Roman" w:eastAsia="Times New Roman"/>
        </w:rPr>
        <w:t>S</w:t>
      </w:r>
      <w:r>
        <w:t>）和伤害发生的概率（</w:t>
      </w:r>
      <w:r>
        <w:rPr>
          <w:rFonts w:ascii="Times New Roman" w:eastAsia="Times New Roman"/>
        </w:rPr>
        <w:t>P</w:t>
      </w:r>
      <w:r>
        <w:t>）组合形成不同的风险等级，得出风险类别。</w:t>
      </w:r>
    </w:p>
    <w:p>
      <w:pPr>
        <w:pStyle w:val="BodyText"/>
        <w:spacing w:before="3"/>
        <w:rPr>
          <w:sz w:val="18"/>
        </w:rPr>
      </w:pPr>
    </w:p>
    <w:p>
      <w:pPr>
        <w:pStyle w:val="ListParagraph"/>
        <w:numPr>
          <w:ilvl w:val="2"/>
          <w:numId w:val="16"/>
        </w:numPr>
        <w:tabs>
          <w:tab w:val="left" w:pos="932"/>
          <w:tab w:val="left" w:pos="933"/>
        </w:tabs>
        <w:spacing w:before="0" w:after="0" w:line="240" w:lineRule="auto"/>
        <w:ind w:left="933" w:right="0" w:hanging="735"/>
        <w:jc w:val="left"/>
        <w:rPr>
          <w:rFonts w:ascii="黑体" w:eastAsia="黑体" w:hint="eastAsia"/>
          <w:sz w:val="21"/>
        </w:rPr>
      </w:pPr>
      <w:r>
        <w:rPr>
          <w:rFonts w:ascii="黑体" w:eastAsia="黑体" w:hint="eastAsia"/>
          <w:sz w:val="21"/>
        </w:rPr>
        <w:t>伤害的严重程度（S）</w:t>
      </w:r>
    </w:p>
    <w:p>
      <w:pPr>
        <w:pStyle w:val="BodyText"/>
        <w:spacing w:before="8"/>
        <w:rPr>
          <w:rFonts w:ascii="黑体"/>
        </w:rPr>
      </w:pPr>
    </w:p>
    <w:p>
      <w:pPr>
        <w:pStyle w:val="BodyText"/>
        <w:spacing w:line="278" w:lineRule="auto"/>
        <w:ind w:left="198" w:right="209" w:firstLine="420"/>
      </w:pPr>
      <w:r>
        <w:rPr>
          <w:spacing w:val="-9"/>
        </w:rPr>
        <w:t>根据风险情节对人身、财产和环境造成的后果，在一个风险情节中可能发生的伤害的严重程度应按</w:t>
      </w:r>
      <w:r>
        <w:t>表2内容实施。</w:t>
      </w:r>
    </w:p>
    <w:p>
      <w:pPr>
        <w:pStyle w:val="BodyText"/>
        <w:tabs>
          <w:tab w:val="left" w:pos="524"/>
        </w:tabs>
        <w:ind w:right="126"/>
        <w:jc w:val="center"/>
      </w:pPr>
      <w:r>
        <w:t>表2</w:t>
        <w:tab/>
        <w:t>伤害的严重程度（S）</w:t>
      </w:r>
    </w:p>
    <w:p>
      <w:pPr>
        <w:pStyle w:val="BodyText"/>
        <w:spacing w:before="12"/>
        <w:rPr>
          <w:sz w:val="13"/>
        </w:rPr>
      </w:pPr>
    </w:p>
    <w:tbl>
      <w:tblPr>
        <w:tblStyle w:val="TableNormal1"/>
        <w:tblW w:w="0" w:type="auto"/>
        <w:jc w:val="left"/>
        <w:tblInd w:w="31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330"/>
        <w:gridCol w:w="1476"/>
        <w:gridCol w:w="6335"/>
      </w:tblGrid>
      <w:tr>
        <w:tblPrEx>
          <w:tblW w:w="0" w:type="auto"/>
          <w:jc w:val="left"/>
          <w:tblInd w:w="31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468"/>
          <w:jc w:val="left"/>
        </w:trPr>
        <w:tc>
          <w:tcPr>
            <w:tcW w:w="1330" w:type="dxa"/>
            <w:tcBorders>
              <w:right w:val="single" w:sz="4" w:space="0" w:color="000000"/>
            </w:tcBorders>
          </w:tcPr>
          <w:p>
            <w:pPr>
              <w:pStyle w:val="TableParagraph"/>
              <w:spacing w:before="118"/>
              <w:ind w:left="304"/>
              <w:rPr>
                <w:sz w:val="18"/>
              </w:rPr>
            </w:pPr>
            <w:r>
              <w:rPr>
                <w:sz w:val="18"/>
              </w:rPr>
              <w:t>严重程度</w:t>
            </w:r>
          </w:p>
        </w:tc>
        <w:tc>
          <w:tcPr>
            <w:tcW w:w="1476" w:type="dxa"/>
            <w:tcBorders>
              <w:left w:val="single" w:sz="4" w:space="0" w:color="000000"/>
              <w:right w:val="single" w:sz="4" w:space="0" w:color="000000"/>
            </w:tcBorders>
          </w:tcPr>
          <w:p>
            <w:pPr>
              <w:pStyle w:val="TableParagraph"/>
              <w:spacing w:before="118"/>
              <w:ind w:left="187" w:right="159"/>
              <w:jc w:val="center"/>
              <w:rPr>
                <w:sz w:val="18"/>
              </w:rPr>
            </w:pPr>
            <w:r>
              <w:rPr>
                <w:sz w:val="18"/>
              </w:rPr>
              <w:t>严重程度等级</w:t>
            </w:r>
          </w:p>
        </w:tc>
        <w:tc>
          <w:tcPr>
            <w:tcW w:w="6335" w:type="dxa"/>
            <w:tcBorders>
              <w:left w:val="single" w:sz="4" w:space="0" w:color="000000"/>
            </w:tcBorders>
          </w:tcPr>
          <w:p>
            <w:pPr>
              <w:pStyle w:val="TableParagraph"/>
              <w:spacing w:before="118"/>
              <w:ind w:left="2708" w:right="3116"/>
              <w:jc w:val="center"/>
              <w:rPr>
                <w:sz w:val="18"/>
              </w:rPr>
            </w:pPr>
            <w:r>
              <w:rPr>
                <w:sz w:val="18"/>
              </w:rPr>
              <w:t>说 明</w:t>
            </w:r>
          </w:p>
        </w:tc>
      </w:tr>
      <w:tr>
        <w:tblPrEx>
          <w:tblW w:w="0" w:type="auto"/>
          <w:jc w:val="left"/>
          <w:tblInd w:w="318" w:type="dxa"/>
          <w:tblLayout w:type="fixed"/>
          <w:tblCellMar>
            <w:top w:w="0" w:type="dxa"/>
            <w:left w:w="0" w:type="dxa"/>
            <w:bottom w:w="0" w:type="dxa"/>
            <w:right w:w="0" w:type="dxa"/>
          </w:tblCellMar>
          <w:tblLook w:val="01E0"/>
        </w:tblPrEx>
        <w:trPr>
          <w:trHeight w:val="467"/>
          <w:jc w:val="left"/>
        </w:trPr>
        <w:tc>
          <w:tcPr>
            <w:tcW w:w="1330" w:type="dxa"/>
            <w:tcBorders>
              <w:bottom w:val="single" w:sz="4" w:space="0" w:color="000000"/>
              <w:right w:val="single" w:sz="4" w:space="0" w:color="000000"/>
            </w:tcBorders>
          </w:tcPr>
          <w:p>
            <w:pPr>
              <w:pStyle w:val="TableParagraph"/>
              <w:spacing w:before="118"/>
              <w:ind w:left="18"/>
              <w:jc w:val="center"/>
              <w:rPr>
                <w:sz w:val="18"/>
              </w:rPr>
            </w:pPr>
            <w:r>
              <w:rPr>
                <w:sz w:val="18"/>
              </w:rPr>
              <w:t>高</w:t>
            </w:r>
          </w:p>
        </w:tc>
        <w:tc>
          <w:tcPr>
            <w:tcW w:w="1476" w:type="dxa"/>
            <w:tcBorders>
              <w:left w:val="single" w:sz="4" w:space="0" w:color="000000"/>
              <w:bottom w:val="single" w:sz="4" w:space="0" w:color="000000"/>
              <w:right w:val="single" w:sz="4" w:space="0" w:color="000000"/>
            </w:tcBorders>
          </w:tcPr>
          <w:p>
            <w:pPr>
              <w:pStyle w:val="TableParagraph"/>
              <w:spacing w:before="128"/>
              <w:ind w:left="26"/>
              <w:jc w:val="center"/>
              <w:rPr>
                <w:rFonts w:ascii="Times New Roman"/>
                <w:sz w:val="18"/>
              </w:rPr>
            </w:pPr>
            <w:r>
              <w:rPr>
                <w:rFonts w:ascii="Times New Roman"/>
                <w:sz w:val="18"/>
              </w:rPr>
              <w:t>1</w:t>
            </w:r>
          </w:p>
        </w:tc>
        <w:tc>
          <w:tcPr>
            <w:tcW w:w="6335" w:type="dxa"/>
            <w:tcBorders>
              <w:left w:val="single" w:sz="4" w:space="0" w:color="000000"/>
              <w:bottom w:val="single" w:sz="4" w:space="0" w:color="000000"/>
            </w:tcBorders>
          </w:tcPr>
          <w:p>
            <w:pPr>
              <w:pStyle w:val="TableParagraph"/>
              <w:spacing w:before="118"/>
              <w:ind w:left="117"/>
              <w:rPr>
                <w:sz w:val="18"/>
              </w:rPr>
            </w:pPr>
            <w:r>
              <w:rPr>
                <w:sz w:val="18"/>
              </w:rPr>
              <w:t>死亡、系统（安全部件）缺失、违背现行标准和政府指令、严重的环境损害</w:t>
            </w:r>
          </w:p>
        </w:tc>
      </w:tr>
      <w:tr>
        <w:tblPrEx>
          <w:tblW w:w="0" w:type="auto"/>
          <w:jc w:val="left"/>
          <w:tblInd w:w="318" w:type="dxa"/>
          <w:tblLayout w:type="fixed"/>
          <w:tblCellMar>
            <w:top w:w="0" w:type="dxa"/>
            <w:left w:w="0" w:type="dxa"/>
            <w:bottom w:w="0" w:type="dxa"/>
            <w:right w:w="0" w:type="dxa"/>
          </w:tblCellMar>
          <w:tblLook w:val="01E0"/>
        </w:tblPrEx>
        <w:trPr>
          <w:trHeight w:val="467"/>
          <w:jc w:val="left"/>
        </w:trPr>
        <w:tc>
          <w:tcPr>
            <w:tcW w:w="1330" w:type="dxa"/>
            <w:tcBorders>
              <w:top w:val="single" w:sz="4" w:space="0" w:color="000000"/>
              <w:bottom w:val="single" w:sz="4" w:space="0" w:color="000000"/>
              <w:right w:val="single" w:sz="4" w:space="0" w:color="000000"/>
            </w:tcBorders>
          </w:tcPr>
          <w:p>
            <w:pPr>
              <w:pStyle w:val="TableParagraph"/>
              <w:spacing w:before="118"/>
              <w:ind w:left="18"/>
              <w:jc w:val="center"/>
              <w:rPr>
                <w:sz w:val="18"/>
              </w:rPr>
            </w:pPr>
            <w:r>
              <w:rPr>
                <w:sz w:val="18"/>
              </w:rPr>
              <w:t>中</w:t>
            </w:r>
          </w:p>
        </w:tc>
        <w:tc>
          <w:tcPr>
            <w:tcW w:w="1476" w:type="dxa"/>
            <w:tcBorders>
              <w:top w:val="single" w:sz="4" w:space="0" w:color="000000"/>
              <w:left w:val="single" w:sz="4" w:space="0" w:color="000000"/>
              <w:bottom w:val="single" w:sz="4" w:space="0" w:color="000000"/>
              <w:right w:val="single" w:sz="4" w:space="0" w:color="000000"/>
            </w:tcBorders>
          </w:tcPr>
          <w:p>
            <w:pPr>
              <w:pStyle w:val="TableParagraph"/>
              <w:spacing w:before="128"/>
              <w:ind w:left="26"/>
              <w:jc w:val="center"/>
              <w:rPr>
                <w:rFonts w:ascii="Times New Roman"/>
                <w:sz w:val="18"/>
              </w:rPr>
            </w:pPr>
            <w:r>
              <w:rPr>
                <w:rFonts w:ascii="Times New Roman"/>
                <w:sz w:val="18"/>
              </w:rPr>
              <w:t>2</w:t>
            </w:r>
          </w:p>
        </w:tc>
        <w:tc>
          <w:tcPr>
            <w:tcW w:w="6335" w:type="dxa"/>
            <w:tcBorders>
              <w:top w:val="single" w:sz="4" w:space="0" w:color="000000"/>
              <w:left w:val="single" w:sz="4" w:space="0" w:color="000000"/>
              <w:bottom w:val="single" w:sz="4" w:space="0" w:color="000000"/>
            </w:tcBorders>
          </w:tcPr>
          <w:p>
            <w:pPr>
              <w:pStyle w:val="TableParagraph"/>
              <w:spacing w:before="118"/>
              <w:ind w:left="117"/>
              <w:rPr>
                <w:sz w:val="18"/>
              </w:rPr>
            </w:pPr>
            <w:r>
              <w:rPr>
                <w:sz w:val="18"/>
              </w:rPr>
              <w:t>严重损伤、严重职业病、主要系统和部件功能降低、环境损害</w:t>
            </w:r>
          </w:p>
        </w:tc>
      </w:tr>
      <w:tr>
        <w:tblPrEx>
          <w:tblW w:w="0" w:type="auto"/>
          <w:jc w:val="left"/>
          <w:tblInd w:w="318" w:type="dxa"/>
          <w:tblLayout w:type="fixed"/>
          <w:tblCellMar>
            <w:top w:w="0" w:type="dxa"/>
            <w:left w:w="0" w:type="dxa"/>
            <w:bottom w:w="0" w:type="dxa"/>
            <w:right w:w="0" w:type="dxa"/>
          </w:tblCellMar>
          <w:tblLook w:val="01E0"/>
        </w:tblPrEx>
        <w:trPr>
          <w:trHeight w:val="468"/>
          <w:jc w:val="left"/>
        </w:trPr>
        <w:tc>
          <w:tcPr>
            <w:tcW w:w="1330" w:type="dxa"/>
            <w:tcBorders>
              <w:top w:val="single" w:sz="4" w:space="0" w:color="000000"/>
              <w:bottom w:val="single" w:sz="4" w:space="0" w:color="000000"/>
              <w:right w:val="single" w:sz="4" w:space="0" w:color="000000"/>
            </w:tcBorders>
          </w:tcPr>
          <w:p>
            <w:pPr>
              <w:pStyle w:val="TableParagraph"/>
              <w:spacing w:before="119"/>
              <w:ind w:left="18"/>
              <w:jc w:val="center"/>
              <w:rPr>
                <w:sz w:val="18"/>
              </w:rPr>
            </w:pPr>
            <w:r>
              <w:rPr>
                <w:sz w:val="18"/>
              </w:rPr>
              <w:t>低</w:t>
            </w:r>
          </w:p>
        </w:tc>
        <w:tc>
          <w:tcPr>
            <w:tcW w:w="1476" w:type="dxa"/>
            <w:tcBorders>
              <w:top w:val="single" w:sz="4" w:space="0" w:color="000000"/>
              <w:left w:val="single" w:sz="4" w:space="0" w:color="000000"/>
              <w:bottom w:val="single" w:sz="4" w:space="0" w:color="000000"/>
              <w:right w:val="single" w:sz="4" w:space="0" w:color="000000"/>
            </w:tcBorders>
          </w:tcPr>
          <w:p>
            <w:pPr>
              <w:pStyle w:val="TableParagraph"/>
              <w:spacing w:before="129"/>
              <w:ind w:left="26"/>
              <w:jc w:val="center"/>
              <w:rPr>
                <w:rFonts w:ascii="Times New Roman"/>
                <w:sz w:val="18"/>
              </w:rPr>
            </w:pPr>
            <w:r>
              <w:rPr>
                <w:rFonts w:ascii="Times New Roman"/>
                <w:sz w:val="18"/>
              </w:rPr>
              <w:t>3</w:t>
            </w:r>
          </w:p>
        </w:tc>
        <w:tc>
          <w:tcPr>
            <w:tcW w:w="6335" w:type="dxa"/>
            <w:tcBorders>
              <w:top w:val="single" w:sz="4" w:space="0" w:color="000000"/>
              <w:left w:val="single" w:sz="4" w:space="0" w:color="000000"/>
              <w:bottom w:val="single" w:sz="4" w:space="0" w:color="000000"/>
            </w:tcBorders>
          </w:tcPr>
          <w:p>
            <w:pPr>
              <w:pStyle w:val="TableParagraph"/>
              <w:spacing w:before="119"/>
              <w:ind w:left="117"/>
              <w:rPr>
                <w:sz w:val="18"/>
              </w:rPr>
            </w:pPr>
            <w:r>
              <w:rPr>
                <w:sz w:val="18"/>
              </w:rPr>
              <w:t>较小损伤、较轻职业病、次要系统和部件功能降低、环境损害</w:t>
            </w:r>
          </w:p>
        </w:tc>
      </w:tr>
      <w:tr>
        <w:tblPrEx>
          <w:tblW w:w="0" w:type="auto"/>
          <w:jc w:val="left"/>
          <w:tblInd w:w="318" w:type="dxa"/>
          <w:tblLayout w:type="fixed"/>
          <w:tblCellMar>
            <w:top w:w="0" w:type="dxa"/>
            <w:left w:w="0" w:type="dxa"/>
            <w:bottom w:w="0" w:type="dxa"/>
            <w:right w:w="0" w:type="dxa"/>
          </w:tblCellMar>
          <w:tblLook w:val="01E0"/>
        </w:tblPrEx>
        <w:trPr>
          <w:trHeight w:val="467"/>
          <w:jc w:val="left"/>
        </w:trPr>
        <w:tc>
          <w:tcPr>
            <w:tcW w:w="1330" w:type="dxa"/>
            <w:tcBorders>
              <w:top w:val="single" w:sz="4" w:space="0" w:color="000000"/>
              <w:right w:val="single" w:sz="4" w:space="0" w:color="000000"/>
            </w:tcBorders>
          </w:tcPr>
          <w:p>
            <w:pPr>
              <w:pStyle w:val="TableParagraph"/>
              <w:spacing w:before="118"/>
              <w:ind w:left="288"/>
              <w:rPr>
                <w:sz w:val="18"/>
              </w:rPr>
            </w:pPr>
            <w:r>
              <w:rPr>
                <w:sz w:val="18"/>
              </w:rPr>
              <w:t>可忽略</w:t>
            </w:r>
          </w:p>
        </w:tc>
        <w:tc>
          <w:tcPr>
            <w:tcW w:w="1476" w:type="dxa"/>
            <w:tcBorders>
              <w:top w:val="single" w:sz="4" w:space="0" w:color="000000"/>
              <w:left w:val="single" w:sz="4" w:space="0" w:color="000000"/>
              <w:right w:val="single" w:sz="4" w:space="0" w:color="000000"/>
            </w:tcBorders>
          </w:tcPr>
          <w:p>
            <w:pPr>
              <w:pStyle w:val="TableParagraph"/>
              <w:spacing w:before="128"/>
              <w:ind w:right="59"/>
              <w:jc w:val="center"/>
              <w:rPr>
                <w:rFonts w:ascii="Times New Roman"/>
                <w:sz w:val="18"/>
              </w:rPr>
            </w:pPr>
            <w:r>
              <w:rPr>
                <w:rFonts w:ascii="Times New Roman"/>
                <w:sz w:val="18"/>
              </w:rPr>
              <w:t>4</w:t>
            </w:r>
          </w:p>
        </w:tc>
        <w:tc>
          <w:tcPr>
            <w:tcW w:w="6335" w:type="dxa"/>
            <w:tcBorders>
              <w:top w:val="single" w:sz="4" w:space="0" w:color="000000"/>
              <w:left w:val="single" w:sz="4" w:space="0" w:color="000000"/>
            </w:tcBorders>
          </w:tcPr>
          <w:p>
            <w:pPr>
              <w:pStyle w:val="TableParagraph"/>
              <w:spacing w:before="118"/>
              <w:ind w:left="117"/>
              <w:rPr>
                <w:sz w:val="18"/>
              </w:rPr>
            </w:pPr>
            <w:r>
              <w:rPr>
                <w:sz w:val="18"/>
              </w:rPr>
              <w:t>不会引起伤害、职业病及系统、环境损害</w:t>
            </w:r>
          </w:p>
        </w:tc>
      </w:tr>
    </w:tbl>
    <w:p>
      <w:pPr>
        <w:pStyle w:val="BodyText"/>
        <w:spacing w:before="10"/>
        <w:rPr>
          <w:sz w:val="19"/>
        </w:rPr>
      </w:pPr>
    </w:p>
    <w:p>
      <w:pPr>
        <w:pStyle w:val="ListParagraph"/>
        <w:numPr>
          <w:ilvl w:val="2"/>
          <w:numId w:val="16"/>
        </w:numPr>
        <w:tabs>
          <w:tab w:val="left" w:pos="932"/>
          <w:tab w:val="left" w:pos="933"/>
        </w:tabs>
        <w:spacing w:before="1" w:after="0" w:line="240" w:lineRule="auto"/>
        <w:ind w:left="932" w:right="0" w:hanging="735"/>
        <w:jc w:val="left"/>
        <w:rPr>
          <w:rFonts w:ascii="黑体" w:eastAsia="黑体" w:hint="eastAsia"/>
          <w:sz w:val="21"/>
        </w:rPr>
      </w:pPr>
      <w:r>
        <w:rPr>
          <w:rFonts w:ascii="黑体" w:eastAsia="黑体" w:hint="eastAsia"/>
          <w:sz w:val="21"/>
        </w:rPr>
        <w:t>伤害发生的概率（P）</w:t>
      </w:r>
    </w:p>
    <w:p>
      <w:pPr>
        <w:pStyle w:val="BodyText"/>
        <w:spacing w:before="7"/>
        <w:rPr>
          <w:rFonts w:ascii="黑体"/>
        </w:rPr>
      </w:pPr>
    </w:p>
    <w:p>
      <w:pPr>
        <w:pStyle w:val="BodyText"/>
        <w:spacing w:before="1" w:line="278" w:lineRule="auto"/>
        <w:ind w:left="198" w:right="115" w:firstLine="420"/>
      </w:pPr>
      <w:r>
        <w:t>根据风险情节发生的概率、暴露于危险中的频次和持续时间以及影响、避免或限制伤害的可能性， 评估伤害发生的概率等级。伤害发生的概率等级见表 3。</w:t>
      </w:r>
    </w:p>
    <w:p>
      <w:pPr>
        <w:spacing w:after="0" w:line="278" w:lineRule="auto"/>
        <w:sectPr>
          <w:footerReference w:type="default" r:id="rId7"/>
          <w:pgSz w:w="11910" w:h="16840"/>
          <w:pgMar w:top="1600" w:right="920" w:bottom="1120" w:left="1220" w:header="0" w:footer="892"/>
          <w:pgNumType w:start="4"/>
          <w:cols w:space="708"/>
        </w:sectPr>
      </w:pPr>
    </w:p>
    <w:p>
      <w:pPr>
        <w:pStyle w:val="BodyText"/>
        <w:spacing w:before="4"/>
        <w:rPr>
          <w:sz w:val="20"/>
        </w:rPr>
      </w:pPr>
    </w:p>
    <w:p>
      <w:pPr>
        <w:pStyle w:val="BodyText"/>
        <w:tabs>
          <w:tab w:val="left" w:pos="578"/>
        </w:tabs>
        <w:spacing w:before="70"/>
        <w:ind w:right="10"/>
        <w:jc w:val="center"/>
      </w:pPr>
      <w:r>
        <w:t>表</w:t>
      </w:r>
      <w:r>
        <w:rPr>
          <w:spacing w:val="-53"/>
        </w:rPr>
        <w:t xml:space="preserve"> </w:t>
      </w:r>
      <w:r>
        <w:t>3</w:t>
        <w:tab/>
        <w:t>伤害发生的概率等级（P）</w:t>
      </w:r>
    </w:p>
    <w:p>
      <w:pPr>
        <w:pStyle w:val="BodyText"/>
        <w:spacing w:before="12"/>
        <w:rPr>
          <w:sz w:val="23"/>
        </w:rPr>
      </w:pPr>
    </w:p>
    <w:tbl>
      <w:tblPr>
        <w:tblStyle w:val="TableNormal2"/>
        <w:tblW w:w="0" w:type="auto"/>
        <w:jc w:val="left"/>
        <w:tblInd w:w="31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635"/>
        <w:gridCol w:w="1303"/>
        <w:gridCol w:w="6213"/>
      </w:tblGrid>
      <w:tr>
        <w:tblPrEx>
          <w:tblW w:w="0" w:type="auto"/>
          <w:jc w:val="left"/>
          <w:tblInd w:w="31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467"/>
          <w:jc w:val="left"/>
        </w:trPr>
        <w:tc>
          <w:tcPr>
            <w:tcW w:w="1635" w:type="dxa"/>
            <w:tcBorders>
              <w:right w:val="single" w:sz="4" w:space="0" w:color="000000"/>
            </w:tcBorders>
          </w:tcPr>
          <w:p>
            <w:pPr>
              <w:pStyle w:val="TableParagraph"/>
              <w:spacing w:before="119"/>
              <w:ind w:right="345"/>
              <w:jc w:val="right"/>
              <w:rPr>
                <w:sz w:val="18"/>
              </w:rPr>
            </w:pPr>
            <w:r>
              <w:rPr>
                <w:sz w:val="18"/>
              </w:rPr>
              <w:t>发生的概率</w:t>
            </w:r>
          </w:p>
        </w:tc>
        <w:tc>
          <w:tcPr>
            <w:tcW w:w="1303" w:type="dxa"/>
            <w:tcBorders>
              <w:left w:val="single" w:sz="4" w:space="0" w:color="000000"/>
              <w:right w:val="single" w:sz="4" w:space="0" w:color="000000"/>
            </w:tcBorders>
          </w:tcPr>
          <w:p>
            <w:pPr>
              <w:pStyle w:val="TableParagraph"/>
              <w:spacing w:before="119"/>
              <w:ind w:left="101" w:right="71"/>
              <w:jc w:val="center"/>
              <w:rPr>
                <w:sz w:val="18"/>
              </w:rPr>
            </w:pPr>
            <w:r>
              <w:rPr>
                <w:sz w:val="18"/>
              </w:rPr>
              <w:t>概率频次等级</w:t>
            </w:r>
          </w:p>
        </w:tc>
        <w:tc>
          <w:tcPr>
            <w:tcW w:w="6213" w:type="dxa"/>
            <w:tcBorders>
              <w:left w:val="single" w:sz="4" w:space="0" w:color="000000"/>
            </w:tcBorders>
          </w:tcPr>
          <w:p>
            <w:pPr>
              <w:pStyle w:val="TableParagraph"/>
              <w:spacing w:before="119"/>
              <w:ind w:left="2620" w:right="3082"/>
              <w:jc w:val="center"/>
              <w:rPr>
                <w:sz w:val="18"/>
              </w:rPr>
            </w:pPr>
            <w:r>
              <w:rPr>
                <w:sz w:val="18"/>
              </w:rPr>
              <w:t>说 明</w:t>
            </w:r>
          </w:p>
        </w:tc>
      </w:tr>
      <w:tr>
        <w:tblPrEx>
          <w:tblW w:w="0" w:type="auto"/>
          <w:jc w:val="left"/>
          <w:tblInd w:w="313" w:type="dxa"/>
          <w:tblLayout w:type="fixed"/>
          <w:tblCellMar>
            <w:top w:w="0" w:type="dxa"/>
            <w:left w:w="0" w:type="dxa"/>
            <w:bottom w:w="0" w:type="dxa"/>
            <w:right w:w="0" w:type="dxa"/>
          </w:tblCellMar>
          <w:tblLook w:val="01E0"/>
        </w:tblPrEx>
        <w:trPr>
          <w:trHeight w:val="467"/>
          <w:jc w:val="left"/>
        </w:trPr>
        <w:tc>
          <w:tcPr>
            <w:tcW w:w="1635" w:type="dxa"/>
            <w:tcBorders>
              <w:bottom w:val="single" w:sz="4" w:space="0" w:color="000000"/>
              <w:right w:val="single" w:sz="4" w:space="0" w:color="000000"/>
            </w:tcBorders>
          </w:tcPr>
          <w:p>
            <w:pPr>
              <w:pStyle w:val="TableParagraph"/>
              <w:spacing w:before="118"/>
              <w:ind w:left="617" w:right="597"/>
              <w:jc w:val="center"/>
              <w:rPr>
                <w:sz w:val="18"/>
              </w:rPr>
            </w:pPr>
            <w:r>
              <w:rPr>
                <w:sz w:val="18"/>
              </w:rPr>
              <w:t>频繁</w:t>
            </w:r>
          </w:p>
        </w:tc>
        <w:tc>
          <w:tcPr>
            <w:tcW w:w="1303" w:type="dxa"/>
            <w:tcBorders>
              <w:left w:val="single" w:sz="4" w:space="0" w:color="000000"/>
              <w:bottom w:val="single" w:sz="4" w:space="0" w:color="000000"/>
              <w:right w:val="single" w:sz="4" w:space="0" w:color="000000"/>
            </w:tcBorders>
          </w:tcPr>
          <w:p>
            <w:pPr>
              <w:pStyle w:val="TableParagraph"/>
              <w:spacing w:before="128"/>
              <w:ind w:left="30"/>
              <w:jc w:val="center"/>
              <w:rPr>
                <w:rFonts w:ascii="Times New Roman"/>
                <w:sz w:val="18"/>
              </w:rPr>
            </w:pPr>
            <w:r>
              <w:rPr>
                <w:rFonts w:ascii="Times New Roman"/>
                <w:w w:val="99"/>
                <w:sz w:val="18"/>
              </w:rPr>
              <w:t>A</w:t>
            </w:r>
          </w:p>
        </w:tc>
        <w:tc>
          <w:tcPr>
            <w:tcW w:w="6213" w:type="dxa"/>
            <w:tcBorders>
              <w:left w:val="single" w:sz="4" w:space="0" w:color="000000"/>
              <w:bottom w:val="single" w:sz="4" w:space="0" w:color="000000"/>
            </w:tcBorders>
          </w:tcPr>
          <w:p>
            <w:pPr>
              <w:pStyle w:val="TableParagraph"/>
              <w:spacing w:before="118"/>
              <w:ind w:left="119"/>
              <w:rPr>
                <w:sz w:val="18"/>
              </w:rPr>
            </w:pPr>
            <w:r>
              <w:rPr>
                <w:sz w:val="18"/>
              </w:rPr>
              <w:t>在使用周期内，系统或部件可能会经常发生</w:t>
            </w:r>
          </w:p>
        </w:tc>
      </w:tr>
      <w:tr>
        <w:tblPrEx>
          <w:tblW w:w="0" w:type="auto"/>
          <w:jc w:val="left"/>
          <w:tblInd w:w="313" w:type="dxa"/>
          <w:tblLayout w:type="fixed"/>
          <w:tblCellMar>
            <w:top w:w="0" w:type="dxa"/>
            <w:left w:w="0" w:type="dxa"/>
            <w:bottom w:w="0" w:type="dxa"/>
            <w:right w:w="0" w:type="dxa"/>
          </w:tblCellMar>
          <w:tblLook w:val="01E0"/>
        </w:tblPrEx>
        <w:trPr>
          <w:trHeight w:val="467"/>
          <w:jc w:val="left"/>
        </w:trPr>
        <w:tc>
          <w:tcPr>
            <w:tcW w:w="1635" w:type="dxa"/>
            <w:tcBorders>
              <w:top w:val="single" w:sz="4" w:space="0" w:color="000000"/>
              <w:bottom w:val="single" w:sz="4" w:space="0" w:color="000000"/>
              <w:right w:val="single" w:sz="4" w:space="0" w:color="000000"/>
            </w:tcBorders>
          </w:tcPr>
          <w:p>
            <w:pPr>
              <w:pStyle w:val="TableParagraph"/>
              <w:spacing w:before="118"/>
              <w:ind w:left="547"/>
              <w:rPr>
                <w:sz w:val="18"/>
              </w:rPr>
            </w:pPr>
            <w:r>
              <w:rPr>
                <w:sz w:val="18"/>
              </w:rPr>
              <w:t>很可能</w:t>
            </w:r>
          </w:p>
        </w:tc>
        <w:tc>
          <w:tcPr>
            <w:tcW w:w="1303" w:type="dxa"/>
            <w:tcBorders>
              <w:top w:val="single" w:sz="4" w:space="0" w:color="000000"/>
              <w:left w:val="single" w:sz="4" w:space="0" w:color="000000"/>
              <w:bottom w:val="single" w:sz="4" w:space="0" w:color="000000"/>
              <w:right w:val="single" w:sz="4" w:space="0" w:color="000000"/>
            </w:tcBorders>
          </w:tcPr>
          <w:p>
            <w:pPr>
              <w:pStyle w:val="TableParagraph"/>
              <w:spacing w:before="128"/>
              <w:ind w:left="30"/>
              <w:jc w:val="center"/>
              <w:rPr>
                <w:rFonts w:ascii="Times New Roman"/>
                <w:sz w:val="18"/>
              </w:rPr>
            </w:pPr>
            <w:r>
              <w:rPr>
                <w:rFonts w:ascii="Times New Roman"/>
                <w:sz w:val="18"/>
              </w:rPr>
              <w:t>B</w:t>
            </w:r>
          </w:p>
        </w:tc>
        <w:tc>
          <w:tcPr>
            <w:tcW w:w="6213" w:type="dxa"/>
            <w:tcBorders>
              <w:top w:val="single" w:sz="4" w:space="0" w:color="000000"/>
              <w:left w:val="single" w:sz="4" w:space="0" w:color="000000"/>
              <w:bottom w:val="single" w:sz="4" w:space="0" w:color="000000"/>
            </w:tcBorders>
          </w:tcPr>
          <w:p>
            <w:pPr>
              <w:pStyle w:val="TableParagraph"/>
              <w:spacing w:before="118"/>
              <w:ind w:left="119"/>
              <w:rPr>
                <w:sz w:val="18"/>
              </w:rPr>
            </w:pPr>
            <w:r>
              <w:rPr>
                <w:sz w:val="18"/>
              </w:rPr>
              <w:t>在使用周期内，系统或部件可能会发生数次</w:t>
            </w:r>
          </w:p>
        </w:tc>
      </w:tr>
      <w:tr>
        <w:tblPrEx>
          <w:tblW w:w="0" w:type="auto"/>
          <w:jc w:val="left"/>
          <w:tblInd w:w="313" w:type="dxa"/>
          <w:tblLayout w:type="fixed"/>
          <w:tblCellMar>
            <w:top w:w="0" w:type="dxa"/>
            <w:left w:w="0" w:type="dxa"/>
            <w:bottom w:w="0" w:type="dxa"/>
            <w:right w:w="0" w:type="dxa"/>
          </w:tblCellMar>
          <w:tblLook w:val="01E0"/>
        </w:tblPrEx>
        <w:trPr>
          <w:trHeight w:val="467"/>
          <w:jc w:val="left"/>
        </w:trPr>
        <w:tc>
          <w:tcPr>
            <w:tcW w:w="1635" w:type="dxa"/>
            <w:tcBorders>
              <w:top w:val="single" w:sz="4" w:space="0" w:color="000000"/>
              <w:bottom w:val="single" w:sz="4" w:space="0" w:color="000000"/>
              <w:right w:val="single" w:sz="4" w:space="0" w:color="000000"/>
            </w:tcBorders>
          </w:tcPr>
          <w:p>
            <w:pPr>
              <w:pStyle w:val="TableParagraph"/>
              <w:spacing w:before="118"/>
              <w:ind w:left="617" w:right="597"/>
              <w:jc w:val="center"/>
              <w:rPr>
                <w:sz w:val="18"/>
              </w:rPr>
            </w:pPr>
            <w:r>
              <w:rPr>
                <w:sz w:val="18"/>
              </w:rPr>
              <w:t>偶尔</w:t>
            </w:r>
          </w:p>
        </w:tc>
        <w:tc>
          <w:tcPr>
            <w:tcW w:w="1303" w:type="dxa"/>
            <w:tcBorders>
              <w:top w:val="single" w:sz="4" w:space="0" w:color="000000"/>
              <w:left w:val="single" w:sz="4" w:space="0" w:color="000000"/>
              <w:bottom w:val="single" w:sz="4" w:space="0" w:color="000000"/>
              <w:right w:val="single" w:sz="4" w:space="0" w:color="000000"/>
            </w:tcBorders>
          </w:tcPr>
          <w:p>
            <w:pPr>
              <w:pStyle w:val="TableParagraph"/>
              <w:spacing w:before="128"/>
              <w:ind w:left="30"/>
              <w:jc w:val="center"/>
              <w:rPr>
                <w:rFonts w:ascii="Times New Roman"/>
                <w:sz w:val="18"/>
              </w:rPr>
            </w:pPr>
            <w:r>
              <w:rPr>
                <w:rFonts w:ascii="Times New Roman"/>
                <w:sz w:val="18"/>
              </w:rPr>
              <w:t>C</w:t>
            </w:r>
          </w:p>
        </w:tc>
        <w:tc>
          <w:tcPr>
            <w:tcW w:w="6213" w:type="dxa"/>
            <w:tcBorders>
              <w:top w:val="single" w:sz="4" w:space="0" w:color="000000"/>
              <w:left w:val="single" w:sz="4" w:space="0" w:color="000000"/>
              <w:bottom w:val="single" w:sz="4" w:space="0" w:color="000000"/>
            </w:tcBorders>
          </w:tcPr>
          <w:p>
            <w:pPr>
              <w:pStyle w:val="TableParagraph"/>
              <w:spacing w:before="118"/>
              <w:ind w:left="119"/>
              <w:rPr>
                <w:sz w:val="18"/>
              </w:rPr>
            </w:pPr>
            <w:r>
              <w:rPr>
                <w:sz w:val="18"/>
              </w:rPr>
              <w:t>在使用周期内，系统或部件有可能发生二次</w:t>
            </w:r>
          </w:p>
        </w:tc>
      </w:tr>
      <w:tr>
        <w:tblPrEx>
          <w:tblW w:w="0" w:type="auto"/>
          <w:jc w:val="left"/>
          <w:tblInd w:w="313" w:type="dxa"/>
          <w:tblLayout w:type="fixed"/>
          <w:tblCellMar>
            <w:top w:w="0" w:type="dxa"/>
            <w:left w:w="0" w:type="dxa"/>
            <w:bottom w:w="0" w:type="dxa"/>
            <w:right w:w="0" w:type="dxa"/>
          </w:tblCellMar>
          <w:tblLook w:val="01E0"/>
        </w:tblPrEx>
        <w:trPr>
          <w:trHeight w:val="468"/>
          <w:jc w:val="left"/>
        </w:trPr>
        <w:tc>
          <w:tcPr>
            <w:tcW w:w="1635" w:type="dxa"/>
            <w:tcBorders>
              <w:top w:val="single" w:sz="4" w:space="0" w:color="000000"/>
              <w:bottom w:val="single" w:sz="4" w:space="0" w:color="000000"/>
              <w:right w:val="single" w:sz="4" w:space="0" w:color="000000"/>
            </w:tcBorders>
          </w:tcPr>
          <w:p>
            <w:pPr>
              <w:pStyle w:val="TableParagraph"/>
              <w:spacing w:before="119"/>
              <w:ind w:left="617" w:right="597"/>
              <w:jc w:val="center"/>
              <w:rPr>
                <w:sz w:val="18"/>
              </w:rPr>
            </w:pPr>
            <w:r>
              <w:rPr>
                <w:sz w:val="18"/>
              </w:rPr>
              <w:t>极少</w:t>
            </w:r>
          </w:p>
        </w:tc>
        <w:tc>
          <w:tcPr>
            <w:tcW w:w="1303" w:type="dxa"/>
            <w:tcBorders>
              <w:top w:val="single" w:sz="4" w:space="0" w:color="000000"/>
              <w:left w:val="single" w:sz="4" w:space="0" w:color="000000"/>
              <w:bottom w:val="single" w:sz="4" w:space="0" w:color="000000"/>
              <w:right w:val="single" w:sz="4" w:space="0" w:color="000000"/>
            </w:tcBorders>
          </w:tcPr>
          <w:p>
            <w:pPr>
              <w:pStyle w:val="TableParagraph"/>
              <w:spacing w:before="129"/>
              <w:ind w:left="30"/>
              <w:jc w:val="center"/>
              <w:rPr>
                <w:rFonts w:ascii="Times New Roman"/>
                <w:sz w:val="18"/>
              </w:rPr>
            </w:pPr>
            <w:r>
              <w:rPr>
                <w:rFonts w:ascii="Times New Roman"/>
                <w:w w:val="99"/>
                <w:sz w:val="18"/>
              </w:rPr>
              <w:t>D</w:t>
            </w:r>
          </w:p>
        </w:tc>
        <w:tc>
          <w:tcPr>
            <w:tcW w:w="6213" w:type="dxa"/>
            <w:tcBorders>
              <w:top w:val="single" w:sz="4" w:space="0" w:color="000000"/>
              <w:left w:val="single" w:sz="4" w:space="0" w:color="000000"/>
              <w:bottom w:val="single" w:sz="4" w:space="0" w:color="000000"/>
            </w:tcBorders>
          </w:tcPr>
          <w:p>
            <w:pPr>
              <w:pStyle w:val="TableParagraph"/>
              <w:spacing w:before="119"/>
              <w:ind w:left="119"/>
              <w:rPr>
                <w:sz w:val="18"/>
              </w:rPr>
            </w:pPr>
            <w:r>
              <w:rPr>
                <w:sz w:val="18"/>
              </w:rPr>
              <w:t>未必发生，但在使用周期内有可能发生一次</w:t>
            </w:r>
          </w:p>
        </w:tc>
      </w:tr>
      <w:tr>
        <w:tblPrEx>
          <w:tblW w:w="0" w:type="auto"/>
          <w:jc w:val="left"/>
          <w:tblInd w:w="313" w:type="dxa"/>
          <w:tblLayout w:type="fixed"/>
          <w:tblCellMar>
            <w:top w:w="0" w:type="dxa"/>
            <w:left w:w="0" w:type="dxa"/>
            <w:bottom w:w="0" w:type="dxa"/>
            <w:right w:w="0" w:type="dxa"/>
          </w:tblCellMar>
          <w:tblLook w:val="01E0"/>
        </w:tblPrEx>
        <w:trPr>
          <w:trHeight w:val="467"/>
          <w:jc w:val="left"/>
        </w:trPr>
        <w:tc>
          <w:tcPr>
            <w:tcW w:w="1635" w:type="dxa"/>
            <w:tcBorders>
              <w:top w:val="single" w:sz="4" w:space="0" w:color="000000"/>
              <w:bottom w:val="single" w:sz="4" w:space="0" w:color="000000"/>
              <w:right w:val="single" w:sz="4" w:space="0" w:color="000000"/>
            </w:tcBorders>
          </w:tcPr>
          <w:p>
            <w:pPr>
              <w:pStyle w:val="TableParagraph"/>
              <w:spacing w:before="118"/>
              <w:ind w:right="345"/>
              <w:jc w:val="right"/>
              <w:rPr>
                <w:sz w:val="18"/>
              </w:rPr>
            </w:pPr>
            <w:r>
              <w:rPr>
                <w:sz w:val="18"/>
              </w:rPr>
              <w:t>不大可能</w:t>
            </w:r>
          </w:p>
        </w:tc>
        <w:tc>
          <w:tcPr>
            <w:tcW w:w="1303" w:type="dxa"/>
            <w:tcBorders>
              <w:top w:val="single" w:sz="4" w:space="0" w:color="000000"/>
              <w:left w:val="single" w:sz="4" w:space="0" w:color="000000"/>
              <w:bottom w:val="single" w:sz="4" w:space="0" w:color="000000"/>
              <w:right w:val="single" w:sz="4" w:space="0" w:color="000000"/>
            </w:tcBorders>
          </w:tcPr>
          <w:p>
            <w:pPr>
              <w:pStyle w:val="TableParagraph"/>
              <w:spacing w:before="128"/>
              <w:ind w:left="29"/>
              <w:jc w:val="center"/>
              <w:rPr>
                <w:rFonts w:ascii="Times New Roman"/>
                <w:sz w:val="18"/>
              </w:rPr>
            </w:pPr>
            <w:r>
              <w:rPr>
                <w:rFonts w:ascii="Times New Roman"/>
                <w:sz w:val="18"/>
              </w:rPr>
              <w:t>E</w:t>
            </w:r>
          </w:p>
        </w:tc>
        <w:tc>
          <w:tcPr>
            <w:tcW w:w="6213" w:type="dxa"/>
            <w:tcBorders>
              <w:top w:val="single" w:sz="4" w:space="0" w:color="000000"/>
              <w:left w:val="single" w:sz="4" w:space="0" w:color="000000"/>
              <w:bottom w:val="single" w:sz="4" w:space="0" w:color="000000"/>
            </w:tcBorders>
          </w:tcPr>
          <w:p>
            <w:pPr>
              <w:pStyle w:val="TableParagraph"/>
              <w:spacing w:before="118"/>
              <w:ind w:left="119"/>
              <w:rPr>
                <w:sz w:val="18"/>
              </w:rPr>
            </w:pPr>
            <w:r>
              <w:rPr>
                <w:sz w:val="18"/>
              </w:rPr>
              <w:t>在使用周期内不大可能发生</w:t>
            </w:r>
          </w:p>
        </w:tc>
      </w:tr>
      <w:tr>
        <w:tblPrEx>
          <w:tblW w:w="0" w:type="auto"/>
          <w:jc w:val="left"/>
          <w:tblInd w:w="313" w:type="dxa"/>
          <w:tblLayout w:type="fixed"/>
          <w:tblCellMar>
            <w:top w:w="0" w:type="dxa"/>
            <w:left w:w="0" w:type="dxa"/>
            <w:bottom w:w="0" w:type="dxa"/>
            <w:right w:w="0" w:type="dxa"/>
          </w:tblCellMar>
          <w:tblLook w:val="01E0"/>
        </w:tblPrEx>
        <w:trPr>
          <w:trHeight w:val="467"/>
          <w:jc w:val="left"/>
        </w:trPr>
        <w:tc>
          <w:tcPr>
            <w:tcW w:w="1635" w:type="dxa"/>
            <w:tcBorders>
              <w:top w:val="single" w:sz="4" w:space="0" w:color="000000"/>
              <w:right w:val="single" w:sz="4" w:space="0" w:color="000000"/>
            </w:tcBorders>
          </w:tcPr>
          <w:p>
            <w:pPr>
              <w:pStyle w:val="TableParagraph"/>
              <w:spacing w:before="118"/>
              <w:ind w:left="547"/>
              <w:rPr>
                <w:sz w:val="18"/>
              </w:rPr>
            </w:pPr>
            <w:r>
              <w:rPr>
                <w:sz w:val="18"/>
              </w:rPr>
              <w:t>不可能</w:t>
            </w:r>
          </w:p>
        </w:tc>
        <w:tc>
          <w:tcPr>
            <w:tcW w:w="1303" w:type="dxa"/>
            <w:tcBorders>
              <w:top w:val="single" w:sz="4" w:space="0" w:color="000000"/>
              <w:left w:val="single" w:sz="4" w:space="0" w:color="000000"/>
              <w:right w:val="single" w:sz="4" w:space="0" w:color="000000"/>
            </w:tcBorders>
          </w:tcPr>
          <w:p>
            <w:pPr>
              <w:pStyle w:val="TableParagraph"/>
              <w:spacing w:before="128"/>
              <w:ind w:left="32"/>
              <w:jc w:val="center"/>
              <w:rPr>
                <w:rFonts w:ascii="Times New Roman"/>
                <w:sz w:val="18"/>
              </w:rPr>
            </w:pPr>
            <w:r>
              <w:rPr>
                <w:rFonts w:ascii="Times New Roman"/>
                <w:w w:val="99"/>
                <w:sz w:val="18"/>
              </w:rPr>
              <w:t>F</w:t>
            </w:r>
          </w:p>
        </w:tc>
        <w:tc>
          <w:tcPr>
            <w:tcW w:w="6213" w:type="dxa"/>
            <w:tcBorders>
              <w:top w:val="single" w:sz="4" w:space="0" w:color="000000"/>
              <w:left w:val="single" w:sz="4" w:space="0" w:color="000000"/>
            </w:tcBorders>
          </w:tcPr>
          <w:p>
            <w:pPr>
              <w:pStyle w:val="TableParagraph"/>
              <w:spacing w:before="118"/>
              <w:ind w:left="119"/>
              <w:rPr>
                <w:sz w:val="18"/>
              </w:rPr>
            </w:pPr>
            <w:r>
              <w:rPr>
                <w:sz w:val="18"/>
              </w:rPr>
              <w:t>概率几乎为零</w:t>
            </w:r>
          </w:p>
        </w:tc>
      </w:tr>
    </w:tbl>
    <w:p>
      <w:pPr>
        <w:pStyle w:val="ListParagraph"/>
        <w:numPr>
          <w:ilvl w:val="2"/>
          <w:numId w:val="24"/>
        </w:numPr>
        <w:tabs>
          <w:tab w:val="left" w:pos="933"/>
          <w:tab w:val="left" w:pos="934"/>
        </w:tabs>
        <w:spacing w:before="176" w:after="0" w:line="240" w:lineRule="auto"/>
        <w:ind w:left="933" w:right="0" w:hanging="736"/>
        <w:jc w:val="left"/>
        <w:rPr>
          <w:rFonts w:ascii="黑体" w:eastAsia="黑体" w:hint="eastAsia"/>
          <w:sz w:val="21"/>
        </w:rPr>
      </w:pPr>
      <w:r>
        <w:rPr>
          <w:rFonts w:ascii="黑体" w:eastAsia="黑体" w:hint="eastAsia"/>
          <w:sz w:val="21"/>
        </w:rPr>
        <w:t>风险等级</w:t>
      </w:r>
    </w:p>
    <w:p>
      <w:pPr>
        <w:pStyle w:val="BodyText"/>
        <w:spacing w:before="8"/>
        <w:rPr>
          <w:rFonts w:ascii="黑体"/>
        </w:rPr>
      </w:pPr>
    </w:p>
    <w:p>
      <w:pPr>
        <w:pStyle w:val="BodyText"/>
        <w:ind w:left="552"/>
      </w:pPr>
      <w:r>
        <w:t>确定方法按GB/T 20900-2007中4.5、第5章和第7章的要求。风险等级见表4。</w:t>
      </w:r>
    </w:p>
    <w:p>
      <w:pPr>
        <w:pStyle w:val="BodyText"/>
        <w:spacing w:before="8"/>
      </w:pPr>
    </w:p>
    <w:p>
      <w:pPr>
        <w:pStyle w:val="BodyText"/>
        <w:tabs>
          <w:tab w:val="left" w:pos="578"/>
        </w:tabs>
        <w:ind w:right="11"/>
        <w:jc w:val="center"/>
      </w:pPr>
      <w:r>
        <w:pict>
          <v:group id="_x0000_s1025" style="width:326.8pt;height:119.05pt;margin-top:73.69pt;margin-left:210.3pt;mso-position-horizontal-relative:page;position:absolute;z-index:-251658240" coordorigin="4206,1474" coordsize="6536,23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6536;height:468;left:4206;position:absolute;top:1473" stroked="f">
              <v:imagedata r:id="rId8" o:title=""/>
            </v:shape>
            <v:shape id="_x0000_s1027" type="#_x0000_t75" style="width:6536;height:468;left:4206;position:absolute;top:1952" stroked="f">
              <v:imagedata r:id="rId9" o:title=""/>
            </v:shape>
            <v:shape id="_x0000_s1028" type="#_x0000_t75" style="width:5118;height:468;left:4206;position:absolute;top:2430" stroked="f">
              <v:imagedata r:id="rId10" o:title=""/>
            </v:shape>
            <v:shape id="_x0000_s1029" type="#_x0000_t75" style="width:5118;height:468;left:4206;position:absolute;top:2907" stroked="f">
              <v:imagedata r:id="rId11" o:title=""/>
            </v:shape>
            <v:shape id="_x0000_s1030" type="#_x0000_t75" style="width:3408;height:468;left:4206;position:absolute;top:3386" stroked="f">
              <v:imagedata r:id="rId12" o:title=""/>
            </v:shape>
          </v:group>
        </w:pict>
      </w:r>
      <w:r>
        <w:t>表</w:t>
      </w:r>
      <w:r>
        <w:rPr>
          <w:spacing w:val="-53"/>
        </w:rPr>
        <w:t xml:space="preserve"> </w:t>
      </w:r>
      <w:r>
        <w:t>4</w:t>
        <w:tab/>
        <w:t>风险等级</w:t>
      </w:r>
    </w:p>
    <w:p>
      <w:pPr>
        <w:pStyle w:val="BodyText"/>
        <w:spacing w:before="12"/>
        <w:rPr>
          <w:sz w:val="13"/>
        </w:rPr>
      </w:pPr>
    </w:p>
    <w:tbl>
      <w:tblPr>
        <w:tblStyle w:val="TableNormal2"/>
        <w:tblW w:w="0" w:type="auto"/>
        <w:jc w:val="left"/>
        <w:tblInd w:w="22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2768"/>
        <w:gridCol w:w="1709"/>
        <w:gridCol w:w="1710"/>
        <w:gridCol w:w="1710"/>
        <w:gridCol w:w="1426"/>
      </w:tblGrid>
      <w:tr>
        <w:tblPrEx>
          <w:tblW w:w="0" w:type="auto"/>
          <w:jc w:val="left"/>
          <w:tblInd w:w="22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457"/>
          <w:jc w:val="left"/>
        </w:trPr>
        <w:tc>
          <w:tcPr>
            <w:tcW w:w="2768" w:type="dxa"/>
            <w:vMerge w:val="restart"/>
            <w:tcBorders>
              <w:right w:val="single" w:sz="4" w:space="0" w:color="000000"/>
            </w:tcBorders>
          </w:tcPr>
          <w:p>
            <w:pPr>
              <w:pStyle w:val="TableParagraph"/>
              <w:rPr>
                <w:sz w:val="18"/>
              </w:rPr>
            </w:pPr>
          </w:p>
          <w:p>
            <w:pPr>
              <w:pStyle w:val="TableParagraph"/>
              <w:spacing w:before="137"/>
              <w:ind w:left="843"/>
              <w:rPr>
                <w:sz w:val="18"/>
              </w:rPr>
            </w:pPr>
            <w:r>
              <w:rPr>
                <w:sz w:val="18"/>
              </w:rPr>
              <w:t>概率频次等级</w:t>
            </w:r>
          </w:p>
        </w:tc>
        <w:tc>
          <w:tcPr>
            <w:tcW w:w="6555" w:type="dxa"/>
            <w:gridSpan w:val="4"/>
            <w:tcBorders>
              <w:left w:val="single" w:sz="4" w:space="0" w:color="000000"/>
              <w:bottom w:val="single" w:sz="4" w:space="0" w:color="000000"/>
            </w:tcBorders>
          </w:tcPr>
          <w:p>
            <w:pPr>
              <w:pStyle w:val="TableParagraph"/>
              <w:spacing w:before="118"/>
              <w:ind w:left="2727" w:right="2688"/>
              <w:jc w:val="center"/>
              <w:rPr>
                <w:sz w:val="18"/>
              </w:rPr>
            </w:pPr>
            <w:r>
              <w:rPr>
                <w:sz w:val="18"/>
              </w:rPr>
              <w:t>严重程度等级</w:t>
            </w:r>
          </w:p>
        </w:tc>
      </w:tr>
      <w:tr>
        <w:tblPrEx>
          <w:tblW w:w="0" w:type="auto"/>
          <w:jc w:val="left"/>
          <w:tblInd w:w="228" w:type="dxa"/>
          <w:tblLayout w:type="fixed"/>
          <w:tblCellMar>
            <w:top w:w="0" w:type="dxa"/>
            <w:left w:w="0" w:type="dxa"/>
            <w:bottom w:w="0" w:type="dxa"/>
            <w:right w:w="0" w:type="dxa"/>
          </w:tblCellMar>
          <w:tblLook w:val="01E0"/>
        </w:tblPrEx>
        <w:trPr>
          <w:trHeight w:val="478"/>
          <w:jc w:val="left"/>
        </w:trPr>
        <w:tc>
          <w:tcPr>
            <w:tcW w:w="2768" w:type="dxa"/>
            <w:vMerge/>
            <w:tcBorders>
              <w:top w:val="nil"/>
              <w:right w:val="single" w:sz="4" w:space="0" w:color="000000"/>
            </w:tcBorders>
          </w:tcPr>
          <w:p>
            <w:pPr>
              <w:rPr>
                <w:sz w:val="2"/>
                <w:szCs w:val="2"/>
              </w:rPr>
            </w:pPr>
          </w:p>
        </w:tc>
        <w:tc>
          <w:tcPr>
            <w:tcW w:w="1709" w:type="dxa"/>
            <w:tcBorders>
              <w:top w:val="single" w:sz="4" w:space="0" w:color="000000"/>
              <w:left w:val="single" w:sz="4" w:space="0" w:color="000000"/>
              <w:right w:val="single" w:sz="4" w:space="0" w:color="000000"/>
            </w:tcBorders>
          </w:tcPr>
          <w:p>
            <w:pPr>
              <w:pStyle w:val="TableParagraph"/>
              <w:spacing w:before="129"/>
              <w:ind w:left="818"/>
              <w:rPr>
                <w:sz w:val="18"/>
              </w:rPr>
            </w:pPr>
            <w:r>
              <w:rPr>
                <w:sz w:val="18"/>
              </w:rPr>
              <w:t>1</w:t>
            </w:r>
          </w:p>
        </w:tc>
        <w:tc>
          <w:tcPr>
            <w:tcW w:w="1710" w:type="dxa"/>
            <w:tcBorders>
              <w:top w:val="single" w:sz="4" w:space="0" w:color="000000"/>
              <w:left w:val="single" w:sz="4" w:space="0" w:color="000000"/>
              <w:right w:val="single" w:sz="4" w:space="0" w:color="000000"/>
            </w:tcBorders>
          </w:tcPr>
          <w:p>
            <w:pPr>
              <w:pStyle w:val="TableParagraph"/>
              <w:spacing w:before="129"/>
              <w:ind w:left="818"/>
              <w:rPr>
                <w:sz w:val="18"/>
              </w:rPr>
            </w:pPr>
            <w:r>
              <w:rPr>
                <w:sz w:val="18"/>
              </w:rPr>
              <w:t>2</w:t>
            </w:r>
          </w:p>
        </w:tc>
        <w:tc>
          <w:tcPr>
            <w:tcW w:w="1710" w:type="dxa"/>
            <w:tcBorders>
              <w:top w:val="single" w:sz="4" w:space="0" w:color="000000"/>
              <w:left w:val="single" w:sz="4" w:space="0" w:color="000000"/>
              <w:right w:val="single" w:sz="4" w:space="0" w:color="000000"/>
            </w:tcBorders>
          </w:tcPr>
          <w:p>
            <w:pPr>
              <w:pStyle w:val="TableParagraph"/>
              <w:spacing w:before="129"/>
              <w:ind w:left="26"/>
              <w:jc w:val="center"/>
              <w:rPr>
                <w:sz w:val="18"/>
              </w:rPr>
            </w:pPr>
            <w:r>
              <w:rPr>
                <w:sz w:val="18"/>
              </w:rPr>
              <w:t>3</w:t>
            </w:r>
          </w:p>
        </w:tc>
        <w:tc>
          <w:tcPr>
            <w:tcW w:w="1426" w:type="dxa"/>
            <w:tcBorders>
              <w:top w:val="single" w:sz="4" w:space="0" w:color="000000"/>
              <w:left w:val="single" w:sz="4" w:space="0" w:color="000000"/>
            </w:tcBorders>
          </w:tcPr>
          <w:p>
            <w:pPr>
              <w:pStyle w:val="TableParagraph"/>
              <w:spacing w:before="129"/>
              <w:ind w:left="676"/>
              <w:rPr>
                <w:sz w:val="18"/>
              </w:rPr>
            </w:pPr>
            <w:r>
              <w:rPr>
                <w:sz w:val="18"/>
              </w:rPr>
              <w:t>4</w:t>
            </w:r>
          </w:p>
        </w:tc>
      </w:tr>
      <w:tr>
        <w:tblPrEx>
          <w:tblW w:w="0" w:type="auto"/>
          <w:jc w:val="left"/>
          <w:tblInd w:w="228" w:type="dxa"/>
          <w:tblLayout w:type="fixed"/>
          <w:tblCellMar>
            <w:top w:w="0" w:type="dxa"/>
            <w:left w:w="0" w:type="dxa"/>
            <w:bottom w:w="0" w:type="dxa"/>
            <w:right w:w="0" w:type="dxa"/>
          </w:tblCellMar>
          <w:tblLook w:val="01E0"/>
        </w:tblPrEx>
        <w:trPr>
          <w:trHeight w:val="467"/>
          <w:jc w:val="left"/>
        </w:trPr>
        <w:tc>
          <w:tcPr>
            <w:tcW w:w="2768" w:type="dxa"/>
            <w:tcBorders>
              <w:bottom w:val="single" w:sz="4" w:space="0" w:color="000000"/>
              <w:right w:val="single" w:sz="4" w:space="0" w:color="000000"/>
            </w:tcBorders>
          </w:tcPr>
          <w:p>
            <w:pPr>
              <w:pStyle w:val="TableParagraph"/>
              <w:spacing w:before="119"/>
              <w:ind w:left="19"/>
              <w:jc w:val="center"/>
              <w:rPr>
                <w:sz w:val="18"/>
              </w:rPr>
            </w:pPr>
            <w:r>
              <w:rPr>
                <w:sz w:val="18"/>
              </w:rPr>
              <w:t>A</w:t>
            </w:r>
          </w:p>
        </w:tc>
        <w:tc>
          <w:tcPr>
            <w:tcW w:w="1709" w:type="dxa"/>
            <w:tcBorders>
              <w:left w:val="single" w:sz="4" w:space="0" w:color="000000"/>
              <w:bottom w:val="single" w:sz="4" w:space="0" w:color="000000"/>
              <w:right w:val="single" w:sz="4" w:space="0" w:color="000000"/>
            </w:tcBorders>
          </w:tcPr>
          <w:p>
            <w:pPr>
              <w:pStyle w:val="TableParagraph"/>
              <w:spacing w:before="119"/>
              <w:ind w:left="774"/>
              <w:rPr>
                <w:sz w:val="18"/>
              </w:rPr>
            </w:pPr>
            <w:r>
              <w:rPr>
                <w:sz w:val="18"/>
              </w:rPr>
              <w:t>1A</w:t>
            </w:r>
          </w:p>
        </w:tc>
        <w:tc>
          <w:tcPr>
            <w:tcW w:w="1710" w:type="dxa"/>
            <w:tcBorders>
              <w:left w:val="single" w:sz="4" w:space="0" w:color="000000"/>
              <w:bottom w:val="single" w:sz="4" w:space="0" w:color="000000"/>
              <w:right w:val="single" w:sz="4" w:space="0" w:color="000000"/>
            </w:tcBorders>
          </w:tcPr>
          <w:p>
            <w:pPr>
              <w:pStyle w:val="TableParagraph"/>
              <w:spacing w:before="119"/>
              <w:ind w:left="773"/>
              <w:rPr>
                <w:sz w:val="18"/>
              </w:rPr>
            </w:pPr>
            <w:r>
              <w:rPr>
                <w:sz w:val="18"/>
              </w:rPr>
              <w:t>2A</w:t>
            </w:r>
          </w:p>
        </w:tc>
        <w:tc>
          <w:tcPr>
            <w:tcW w:w="1710" w:type="dxa"/>
            <w:tcBorders>
              <w:left w:val="single" w:sz="4" w:space="0" w:color="000000"/>
              <w:bottom w:val="single" w:sz="4" w:space="0" w:color="000000"/>
              <w:right w:val="single" w:sz="4" w:space="0" w:color="000000"/>
            </w:tcBorders>
          </w:tcPr>
          <w:p>
            <w:pPr>
              <w:pStyle w:val="TableParagraph"/>
              <w:spacing w:before="119"/>
              <w:ind w:left="752" w:right="727"/>
              <w:jc w:val="center"/>
              <w:rPr>
                <w:sz w:val="18"/>
              </w:rPr>
            </w:pPr>
            <w:r>
              <w:rPr>
                <w:sz w:val="18"/>
              </w:rPr>
              <w:t>3A</w:t>
            </w:r>
          </w:p>
        </w:tc>
        <w:tc>
          <w:tcPr>
            <w:tcW w:w="1426" w:type="dxa"/>
            <w:tcBorders>
              <w:left w:val="single" w:sz="4" w:space="0" w:color="000000"/>
              <w:bottom w:val="single" w:sz="4" w:space="0" w:color="000000"/>
            </w:tcBorders>
          </w:tcPr>
          <w:p>
            <w:pPr>
              <w:pStyle w:val="TableParagraph"/>
              <w:spacing w:before="119"/>
              <w:ind w:left="631"/>
              <w:rPr>
                <w:sz w:val="18"/>
              </w:rPr>
            </w:pPr>
            <w:r>
              <w:rPr>
                <w:sz w:val="18"/>
              </w:rPr>
              <w:t>4A</w:t>
            </w:r>
          </w:p>
        </w:tc>
      </w:tr>
      <w:tr>
        <w:tblPrEx>
          <w:tblW w:w="0" w:type="auto"/>
          <w:jc w:val="left"/>
          <w:tblInd w:w="228" w:type="dxa"/>
          <w:tblLayout w:type="fixed"/>
          <w:tblCellMar>
            <w:top w:w="0" w:type="dxa"/>
            <w:left w:w="0" w:type="dxa"/>
            <w:bottom w:w="0" w:type="dxa"/>
            <w:right w:w="0" w:type="dxa"/>
          </w:tblCellMar>
          <w:tblLook w:val="01E0"/>
        </w:tblPrEx>
        <w:trPr>
          <w:trHeight w:val="468"/>
          <w:jc w:val="left"/>
        </w:trPr>
        <w:tc>
          <w:tcPr>
            <w:tcW w:w="2768" w:type="dxa"/>
            <w:tcBorders>
              <w:top w:val="single" w:sz="4" w:space="0" w:color="000000"/>
              <w:bottom w:val="single" w:sz="4" w:space="0" w:color="000000"/>
              <w:right w:val="single" w:sz="4" w:space="0" w:color="000000"/>
            </w:tcBorders>
          </w:tcPr>
          <w:p>
            <w:pPr>
              <w:pStyle w:val="TableParagraph"/>
              <w:spacing w:before="120"/>
              <w:ind w:left="19"/>
              <w:jc w:val="center"/>
              <w:rPr>
                <w:sz w:val="18"/>
              </w:rPr>
            </w:pPr>
            <w:r>
              <w:rPr>
                <w:sz w:val="18"/>
              </w:rPr>
              <w:t>B</w:t>
            </w:r>
          </w:p>
        </w:tc>
        <w:tc>
          <w:tcPr>
            <w:tcW w:w="1709" w:type="dxa"/>
            <w:tcBorders>
              <w:top w:val="single" w:sz="4" w:space="0" w:color="000000"/>
              <w:left w:val="single" w:sz="4" w:space="0" w:color="000000"/>
              <w:bottom w:val="single" w:sz="4" w:space="0" w:color="000000"/>
              <w:right w:val="single" w:sz="4" w:space="0" w:color="000000"/>
            </w:tcBorders>
          </w:tcPr>
          <w:p>
            <w:pPr>
              <w:pStyle w:val="TableParagraph"/>
              <w:spacing w:before="120"/>
              <w:ind w:left="774"/>
              <w:rPr>
                <w:sz w:val="18"/>
              </w:rPr>
            </w:pPr>
            <w:r>
              <w:rPr>
                <w:sz w:val="18"/>
              </w:rPr>
              <w:t>1B</w:t>
            </w:r>
          </w:p>
        </w:tc>
        <w:tc>
          <w:tcPr>
            <w:tcW w:w="1710" w:type="dxa"/>
            <w:tcBorders>
              <w:top w:val="single" w:sz="4" w:space="0" w:color="000000"/>
              <w:left w:val="single" w:sz="4" w:space="0" w:color="000000"/>
              <w:bottom w:val="single" w:sz="4" w:space="0" w:color="000000"/>
              <w:right w:val="single" w:sz="4" w:space="0" w:color="000000"/>
            </w:tcBorders>
          </w:tcPr>
          <w:p>
            <w:pPr>
              <w:pStyle w:val="TableParagraph"/>
              <w:spacing w:before="120"/>
              <w:ind w:left="773"/>
              <w:rPr>
                <w:sz w:val="18"/>
              </w:rPr>
            </w:pPr>
            <w:r>
              <w:rPr>
                <w:sz w:val="18"/>
              </w:rPr>
              <w:t>2B</w:t>
            </w:r>
          </w:p>
        </w:tc>
        <w:tc>
          <w:tcPr>
            <w:tcW w:w="1710" w:type="dxa"/>
            <w:tcBorders>
              <w:top w:val="single" w:sz="4" w:space="0" w:color="000000"/>
              <w:left w:val="single" w:sz="4" w:space="0" w:color="000000"/>
              <w:bottom w:val="single" w:sz="4" w:space="0" w:color="000000"/>
              <w:right w:val="single" w:sz="4" w:space="0" w:color="000000"/>
            </w:tcBorders>
          </w:tcPr>
          <w:p>
            <w:pPr>
              <w:pStyle w:val="TableParagraph"/>
              <w:spacing w:before="120"/>
              <w:ind w:left="752" w:right="727"/>
              <w:jc w:val="center"/>
              <w:rPr>
                <w:sz w:val="18"/>
              </w:rPr>
            </w:pPr>
            <w:r>
              <w:rPr>
                <w:sz w:val="18"/>
              </w:rPr>
              <w:t>3B</w:t>
            </w:r>
          </w:p>
        </w:tc>
        <w:tc>
          <w:tcPr>
            <w:tcW w:w="1426" w:type="dxa"/>
            <w:tcBorders>
              <w:top w:val="single" w:sz="4" w:space="0" w:color="000000"/>
              <w:left w:val="single" w:sz="4" w:space="0" w:color="000000"/>
              <w:bottom w:val="single" w:sz="4" w:space="0" w:color="000000"/>
            </w:tcBorders>
          </w:tcPr>
          <w:p>
            <w:pPr>
              <w:pStyle w:val="TableParagraph"/>
              <w:spacing w:before="120"/>
              <w:ind w:left="631"/>
              <w:rPr>
                <w:sz w:val="18"/>
              </w:rPr>
            </w:pPr>
            <w:r>
              <w:rPr>
                <w:sz w:val="18"/>
              </w:rPr>
              <w:t>4B</w:t>
            </w:r>
          </w:p>
        </w:tc>
      </w:tr>
      <w:tr>
        <w:tblPrEx>
          <w:tblW w:w="0" w:type="auto"/>
          <w:jc w:val="left"/>
          <w:tblInd w:w="228" w:type="dxa"/>
          <w:tblLayout w:type="fixed"/>
          <w:tblCellMar>
            <w:top w:w="0" w:type="dxa"/>
            <w:left w:w="0" w:type="dxa"/>
            <w:bottom w:w="0" w:type="dxa"/>
            <w:right w:w="0" w:type="dxa"/>
          </w:tblCellMar>
          <w:tblLook w:val="01E0"/>
        </w:tblPrEx>
        <w:trPr>
          <w:trHeight w:val="467"/>
          <w:jc w:val="left"/>
        </w:trPr>
        <w:tc>
          <w:tcPr>
            <w:tcW w:w="2768" w:type="dxa"/>
            <w:tcBorders>
              <w:top w:val="single" w:sz="4" w:space="0" w:color="000000"/>
              <w:bottom w:val="single" w:sz="4" w:space="0" w:color="000000"/>
              <w:right w:val="single" w:sz="4" w:space="0" w:color="000000"/>
            </w:tcBorders>
          </w:tcPr>
          <w:p>
            <w:pPr>
              <w:pStyle w:val="TableParagraph"/>
              <w:spacing w:before="118"/>
              <w:ind w:left="19"/>
              <w:jc w:val="center"/>
              <w:rPr>
                <w:sz w:val="18"/>
              </w:rPr>
            </w:pPr>
            <w:r>
              <w:rPr>
                <w:sz w:val="18"/>
              </w:rPr>
              <w:t>C</w:t>
            </w:r>
          </w:p>
        </w:tc>
        <w:tc>
          <w:tcPr>
            <w:tcW w:w="1709" w:type="dxa"/>
            <w:tcBorders>
              <w:top w:val="single" w:sz="4" w:space="0" w:color="000000"/>
              <w:left w:val="single" w:sz="4" w:space="0" w:color="000000"/>
              <w:bottom w:val="single" w:sz="4" w:space="0" w:color="000000"/>
              <w:right w:val="single" w:sz="4" w:space="0" w:color="000000"/>
            </w:tcBorders>
          </w:tcPr>
          <w:p>
            <w:pPr>
              <w:pStyle w:val="TableParagraph"/>
              <w:spacing w:before="118"/>
              <w:ind w:left="774"/>
              <w:rPr>
                <w:sz w:val="18"/>
              </w:rPr>
            </w:pPr>
            <w:r>
              <w:rPr>
                <w:sz w:val="18"/>
              </w:rPr>
              <w:t>1C</w:t>
            </w:r>
          </w:p>
        </w:tc>
        <w:tc>
          <w:tcPr>
            <w:tcW w:w="1710" w:type="dxa"/>
            <w:tcBorders>
              <w:top w:val="single" w:sz="4" w:space="0" w:color="000000"/>
              <w:left w:val="single" w:sz="4" w:space="0" w:color="000000"/>
              <w:bottom w:val="single" w:sz="4" w:space="0" w:color="000000"/>
              <w:right w:val="single" w:sz="4" w:space="0" w:color="000000"/>
            </w:tcBorders>
          </w:tcPr>
          <w:p>
            <w:pPr>
              <w:pStyle w:val="TableParagraph"/>
              <w:spacing w:before="118"/>
              <w:ind w:left="773"/>
              <w:rPr>
                <w:sz w:val="18"/>
              </w:rPr>
            </w:pPr>
            <w:r>
              <w:rPr>
                <w:sz w:val="18"/>
              </w:rPr>
              <w:t>2C</w:t>
            </w:r>
          </w:p>
        </w:tc>
        <w:tc>
          <w:tcPr>
            <w:tcW w:w="1710" w:type="dxa"/>
            <w:tcBorders>
              <w:top w:val="single" w:sz="4" w:space="0" w:color="000000"/>
              <w:left w:val="single" w:sz="4" w:space="0" w:color="000000"/>
              <w:bottom w:val="single" w:sz="4" w:space="0" w:color="000000"/>
              <w:right w:val="single" w:sz="4" w:space="0" w:color="000000"/>
            </w:tcBorders>
          </w:tcPr>
          <w:p>
            <w:pPr>
              <w:pStyle w:val="TableParagraph"/>
              <w:spacing w:before="118"/>
              <w:ind w:left="752" w:right="727"/>
              <w:jc w:val="center"/>
              <w:rPr>
                <w:sz w:val="18"/>
              </w:rPr>
            </w:pPr>
            <w:r>
              <w:rPr>
                <w:sz w:val="18"/>
              </w:rPr>
              <w:t>3C</w:t>
            </w:r>
          </w:p>
        </w:tc>
        <w:tc>
          <w:tcPr>
            <w:tcW w:w="1426" w:type="dxa"/>
            <w:tcBorders>
              <w:top w:val="single" w:sz="4" w:space="0" w:color="000000"/>
              <w:left w:val="single" w:sz="4" w:space="0" w:color="000000"/>
              <w:bottom w:val="single" w:sz="4" w:space="0" w:color="000000"/>
            </w:tcBorders>
          </w:tcPr>
          <w:p>
            <w:pPr>
              <w:pStyle w:val="TableParagraph"/>
              <w:spacing w:before="118"/>
              <w:ind w:left="631"/>
              <w:rPr>
                <w:sz w:val="18"/>
              </w:rPr>
            </w:pPr>
            <w:r>
              <w:rPr>
                <w:sz w:val="18"/>
              </w:rPr>
              <w:t>4C</w:t>
            </w:r>
          </w:p>
        </w:tc>
      </w:tr>
      <w:tr>
        <w:tblPrEx>
          <w:tblW w:w="0" w:type="auto"/>
          <w:jc w:val="left"/>
          <w:tblInd w:w="228" w:type="dxa"/>
          <w:tblLayout w:type="fixed"/>
          <w:tblCellMar>
            <w:top w:w="0" w:type="dxa"/>
            <w:left w:w="0" w:type="dxa"/>
            <w:bottom w:w="0" w:type="dxa"/>
            <w:right w:w="0" w:type="dxa"/>
          </w:tblCellMar>
          <w:tblLook w:val="01E0"/>
        </w:tblPrEx>
        <w:trPr>
          <w:trHeight w:val="467"/>
          <w:jc w:val="left"/>
        </w:trPr>
        <w:tc>
          <w:tcPr>
            <w:tcW w:w="2768" w:type="dxa"/>
            <w:tcBorders>
              <w:top w:val="single" w:sz="4" w:space="0" w:color="000000"/>
              <w:bottom w:val="single" w:sz="4" w:space="0" w:color="000000"/>
              <w:right w:val="single" w:sz="4" w:space="0" w:color="000000"/>
            </w:tcBorders>
          </w:tcPr>
          <w:p>
            <w:pPr>
              <w:pStyle w:val="TableParagraph"/>
              <w:spacing w:before="118"/>
              <w:ind w:left="19"/>
              <w:jc w:val="center"/>
              <w:rPr>
                <w:sz w:val="18"/>
              </w:rPr>
            </w:pPr>
            <w:r>
              <w:rPr>
                <w:sz w:val="18"/>
              </w:rPr>
              <w:t>D</w:t>
            </w:r>
          </w:p>
        </w:tc>
        <w:tc>
          <w:tcPr>
            <w:tcW w:w="1709" w:type="dxa"/>
            <w:tcBorders>
              <w:top w:val="single" w:sz="4" w:space="0" w:color="000000"/>
              <w:left w:val="single" w:sz="4" w:space="0" w:color="000000"/>
              <w:bottom w:val="single" w:sz="4" w:space="0" w:color="000000"/>
              <w:right w:val="single" w:sz="4" w:space="0" w:color="000000"/>
            </w:tcBorders>
          </w:tcPr>
          <w:p>
            <w:pPr>
              <w:pStyle w:val="TableParagraph"/>
              <w:spacing w:before="118"/>
              <w:ind w:left="774"/>
              <w:rPr>
                <w:sz w:val="18"/>
              </w:rPr>
            </w:pPr>
            <w:r>
              <w:rPr>
                <w:sz w:val="18"/>
              </w:rPr>
              <w:t>1D</w:t>
            </w:r>
          </w:p>
        </w:tc>
        <w:tc>
          <w:tcPr>
            <w:tcW w:w="1710" w:type="dxa"/>
            <w:tcBorders>
              <w:top w:val="single" w:sz="4" w:space="0" w:color="000000"/>
              <w:left w:val="single" w:sz="4" w:space="0" w:color="000000"/>
              <w:bottom w:val="single" w:sz="4" w:space="0" w:color="000000"/>
              <w:right w:val="single" w:sz="4" w:space="0" w:color="000000"/>
            </w:tcBorders>
          </w:tcPr>
          <w:p>
            <w:pPr>
              <w:pStyle w:val="TableParagraph"/>
              <w:spacing w:before="118"/>
              <w:ind w:left="773"/>
              <w:rPr>
                <w:sz w:val="18"/>
              </w:rPr>
            </w:pPr>
            <w:r>
              <w:rPr>
                <w:sz w:val="18"/>
              </w:rPr>
              <w:t>2D</w:t>
            </w:r>
          </w:p>
        </w:tc>
        <w:tc>
          <w:tcPr>
            <w:tcW w:w="1710" w:type="dxa"/>
            <w:tcBorders>
              <w:top w:val="single" w:sz="4" w:space="0" w:color="000000"/>
              <w:left w:val="single" w:sz="4" w:space="0" w:color="000000"/>
              <w:bottom w:val="single" w:sz="4" w:space="0" w:color="000000"/>
              <w:right w:val="single" w:sz="4" w:space="0" w:color="000000"/>
            </w:tcBorders>
          </w:tcPr>
          <w:p>
            <w:pPr>
              <w:pStyle w:val="TableParagraph"/>
              <w:spacing w:before="118"/>
              <w:ind w:left="752" w:right="727"/>
              <w:jc w:val="center"/>
              <w:rPr>
                <w:sz w:val="18"/>
              </w:rPr>
            </w:pPr>
            <w:r>
              <w:rPr>
                <w:sz w:val="18"/>
              </w:rPr>
              <w:t>3D</w:t>
            </w:r>
          </w:p>
        </w:tc>
        <w:tc>
          <w:tcPr>
            <w:tcW w:w="1426" w:type="dxa"/>
            <w:tcBorders>
              <w:top w:val="single" w:sz="4" w:space="0" w:color="000000"/>
              <w:left w:val="single" w:sz="4" w:space="0" w:color="000000"/>
              <w:bottom w:val="single" w:sz="4" w:space="0" w:color="000000"/>
            </w:tcBorders>
          </w:tcPr>
          <w:p>
            <w:pPr>
              <w:pStyle w:val="TableParagraph"/>
              <w:spacing w:before="118"/>
              <w:ind w:left="631"/>
              <w:rPr>
                <w:sz w:val="18"/>
              </w:rPr>
            </w:pPr>
            <w:r>
              <w:rPr>
                <w:sz w:val="18"/>
              </w:rPr>
              <w:t>4D</w:t>
            </w:r>
          </w:p>
        </w:tc>
      </w:tr>
      <w:tr>
        <w:tblPrEx>
          <w:tblW w:w="0" w:type="auto"/>
          <w:jc w:val="left"/>
          <w:tblInd w:w="228" w:type="dxa"/>
          <w:tblLayout w:type="fixed"/>
          <w:tblCellMar>
            <w:top w:w="0" w:type="dxa"/>
            <w:left w:w="0" w:type="dxa"/>
            <w:bottom w:w="0" w:type="dxa"/>
            <w:right w:w="0" w:type="dxa"/>
          </w:tblCellMar>
          <w:tblLook w:val="01E0"/>
        </w:tblPrEx>
        <w:trPr>
          <w:trHeight w:val="468"/>
          <w:jc w:val="left"/>
        </w:trPr>
        <w:tc>
          <w:tcPr>
            <w:tcW w:w="2768" w:type="dxa"/>
            <w:tcBorders>
              <w:top w:val="single" w:sz="4" w:space="0" w:color="000000"/>
              <w:bottom w:val="single" w:sz="4" w:space="0" w:color="000000"/>
              <w:right w:val="single" w:sz="4" w:space="0" w:color="000000"/>
            </w:tcBorders>
          </w:tcPr>
          <w:p>
            <w:pPr>
              <w:pStyle w:val="TableParagraph"/>
              <w:spacing w:before="119"/>
              <w:ind w:left="19"/>
              <w:jc w:val="center"/>
              <w:rPr>
                <w:sz w:val="18"/>
              </w:rPr>
            </w:pPr>
            <w:r>
              <w:rPr>
                <w:sz w:val="18"/>
              </w:rPr>
              <w:t>E</w:t>
            </w:r>
          </w:p>
        </w:tc>
        <w:tc>
          <w:tcPr>
            <w:tcW w:w="1709" w:type="dxa"/>
            <w:tcBorders>
              <w:top w:val="single" w:sz="4" w:space="0" w:color="000000"/>
              <w:left w:val="single" w:sz="4" w:space="0" w:color="000000"/>
              <w:bottom w:val="single" w:sz="4" w:space="0" w:color="000000"/>
              <w:right w:val="single" w:sz="4" w:space="0" w:color="000000"/>
            </w:tcBorders>
          </w:tcPr>
          <w:p>
            <w:pPr>
              <w:pStyle w:val="TableParagraph"/>
              <w:spacing w:before="119"/>
              <w:ind w:left="774"/>
              <w:rPr>
                <w:sz w:val="18"/>
              </w:rPr>
            </w:pPr>
            <w:r>
              <w:rPr>
                <w:sz w:val="18"/>
              </w:rPr>
              <w:t>1E</w:t>
            </w:r>
          </w:p>
        </w:tc>
        <w:tc>
          <w:tcPr>
            <w:tcW w:w="1710" w:type="dxa"/>
            <w:tcBorders>
              <w:top w:val="single" w:sz="4" w:space="0" w:color="000000"/>
              <w:left w:val="single" w:sz="4" w:space="0" w:color="000000"/>
              <w:bottom w:val="single" w:sz="4" w:space="0" w:color="000000"/>
              <w:right w:val="single" w:sz="4" w:space="0" w:color="000000"/>
            </w:tcBorders>
          </w:tcPr>
          <w:p>
            <w:pPr>
              <w:pStyle w:val="TableParagraph"/>
              <w:spacing w:before="119"/>
              <w:ind w:left="773"/>
              <w:rPr>
                <w:sz w:val="18"/>
              </w:rPr>
            </w:pPr>
            <w:r>
              <w:rPr>
                <w:sz w:val="18"/>
              </w:rPr>
              <w:t>2E</w:t>
            </w:r>
          </w:p>
        </w:tc>
        <w:tc>
          <w:tcPr>
            <w:tcW w:w="1710" w:type="dxa"/>
            <w:tcBorders>
              <w:top w:val="single" w:sz="4" w:space="0" w:color="000000"/>
              <w:left w:val="single" w:sz="4" w:space="0" w:color="000000"/>
              <w:bottom w:val="single" w:sz="4" w:space="0" w:color="000000"/>
              <w:right w:val="single" w:sz="4" w:space="0" w:color="000000"/>
            </w:tcBorders>
          </w:tcPr>
          <w:p>
            <w:pPr>
              <w:pStyle w:val="TableParagraph"/>
              <w:spacing w:before="119"/>
              <w:ind w:left="752" w:right="727"/>
              <w:jc w:val="center"/>
              <w:rPr>
                <w:sz w:val="18"/>
              </w:rPr>
            </w:pPr>
            <w:r>
              <w:rPr>
                <w:sz w:val="18"/>
              </w:rPr>
              <w:t>3E</w:t>
            </w:r>
          </w:p>
        </w:tc>
        <w:tc>
          <w:tcPr>
            <w:tcW w:w="1426" w:type="dxa"/>
            <w:tcBorders>
              <w:top w:val="single" w:sz="4" w:space="0" w:color="000000"/>
              <w:left w:val="single" w:sz="4" w:space="0" w:color="000000"/>
              <w:bottom w:val="single" w:sz="4" w:space="0" w:color="000000"/>
            </w:tcBorders>
          </w:tcPr>
          <w:p>
            <w:pPr>
              <w:pStyle w:val="TableParagraph"/>
              <w:spacing w:before="119"/>
              <w:ind w:left="631"/>
              <w:rPr>
                <w:sz w:val="18"/>
              </w:rPr>
            </w:pPr>
            <w:r>
              <w:rPr>
                <w:sz w:val="18"/>
              </w:rPr>
              <w:t>4E</w:t>
            </w:r>
          </w:p>
        </w:tc>
      </w:tr>
      <w:tr>
        <w:tblPrEx>
          <w:tblW w:w="0" w:type="auto"/>
          <w:jc w:val="left"/>
          <w:tblInd w:w="228" w:type="dxa"/>
          <w:tblLayout w:type="fixed"/>
          <w:tblCellMar>
            <w:top w:w="0" w:type="dxa"/>
            <w:left w:w="0" w:type="dxa"/>
            <w:bottom w:w="0" w:type="dxa"/>
            <w:right w:w="0" w:type="dxa"/>
          </w:tblCellMar>
          <w:tblLook w:val="01E0"/>
        </w:tblPrEx>
        <w:trPr>
          <w:trHeight w:val="467"/>
          <w:jc w:val="left"/>
        </w:trPr>
        <w:tc>
          <w:tcPr>
            <w:tcW w:w="2768" w:type="dxa"/>
            <w:tcBorders>
              <w:top w:val="single" w:sz="4" w:space="0" w:color="000000"/>
              <w:right w:val="single" w:sz="4" w:space="0" w:color="000000"/>
            </w:tcBorders>
          </w:tcPr>
          <w:p>
            <w:pPr>
              <w:pStyle w:val="TableParagraph"/>
              <w:spacing w:before="118"/>
              <w:ind w:left="19"/>
              <w:jc w:val="center"/>
              <w:rPr>
                <w:sz w:val="18"/>
              </w:rPr>
            </w:pPr>
            <w:r>
              <w:rPr>
                <w:sz w:val="18"/>
              </w:rPr>
              <w:t>F</w:t>
            </w:r>
          </w:p>
        </w:tc>
        <w:tc>
          <w:tcPr>
            <w:tcW w:w="1709" w:type="dxa"/>
            <w:tcBorders>
              <w:top w:val="single" w:sz="4" w:space="0" w:color="000000"/>
              <w:left w:val="single" w:sz="4" w:space="0" w:color="000000"/>
              <w:right w:val="single" w:sz="4" w:space="0" w:color="000000"/>
            </w:tcBorders>
          </w:tcPr>
          <w:p>
            <w:pPr>
              <w:pStyle w:val="TableParagraph"/>
              <w:spacing w:before="118"/>
              <w:ind w:left="774"/>
              <w:rPr>
                <w:sz w:val="18"/>
              </w:rPr>
            </w:pPr>
            <w:r>
              <w:rPr>
                <w:sz w:val="18"/>
              </w:rPr>
              <w:t>1F</w:t>
            </w:r>
          </w:p>
        </w:tc>
        <w:tc>
          <w:tcPr>
            <w:tcW w:w="1710" w:type="dxa"/>
            <w:tcBorders>
              <w:top w:val="single" w:sz="4" w:space="0" w:color="000000"/>
              <w:left w:val="single" w:sz="4" w:space="0" w:color="000000"/>
              <w:right w:val="single" w:sz="4" w:space="0" w:color="000000"/>
            </w:tcBorders>
          </w:tcPr>
          <w:p>
            <w:pPr>
              <w:pStyle w:val="TableParagraph"/>
              <w:spacing w:before="118"/>
              <w:ind w:left="774"/>
              <w:rPr>
                <w:sz w:val="18"/>
              </w:rPr>
            </w:pPr>
            <w:r>
              <w:rPr>
                <w:sz w:val="18"/>
              </w:rPr>
              <w:t>2F</w:t>
            </w:r>
          </w:p>
        </w:tc>
        <w:tc>
          <w:tcPr>
            <w:tcW w:w="1710" w:type="dxa"/>
            <w:tcBorders>
              <w:top w:val="single" w:sz="4" w:space="0" w:color="000000"/>
              <w:left w:val="single" w:sz="4" w:space="0" w:color="000000"/>
              <w:right w:val="single" w:sz="4" w:space="0" w:color="000000"/>
            </w:tcBorders>
          </w:tcPr>
          <w:p>
            <w:pPr>
              <w:pStyle w:val="TableParagraph"/>
              <w:spacing w:before="118"/>
              <w:ind w:left="752" w:right="727"/>
              <w:jc w:val="center"/>
              <w:rPr>
                <w:sz w:val="18"/>
              </w:rPr>
            </w:pPr>
            <w:r>
              <w:rPr>
                <w:sz w:val="18"/>
              </w:rPr>
              <w:t>3F</w:t>
            </w:r>
          </w:p>
        </w:tc>
        <w:tc>
          <w:tcPr>
            <w:tcW w:w="1426" w:type="dxa"/>
            <w:tcBorders>
              <w:top w:val="single" w:sz="4" w:space="0" w:color="000000"/>
              <w:left w:val="single" w:sz="4" w:space="0" w:color="000000"/>
            </w:tcBorders>
          </w:tcPr>
          <w:p>
            <w:pPr>
              <w:pStyle w:val="TableParagraph"/>
              <w:spacing w:before="118"/>
              <w:ind w:left="631"/>
              <w:rPr>
                <w:sz w:val="18"/>
              </w:rPr>
            </w:pPr>
            <w:r>
              <w:rPr>
                <w:sz w:val="18"/>
              </w:rPr>
              <w:t>4F</w:t>
            </w:r>
          </w:p>
        </w:tc>
      </w:tr>
    </w:tbl>
    <w:p>
      <w:pPr>
        <w:pStyle w:val="BodyText"/>
        <w:spacing w:before="4"/>
        <w:rPr>
          <w:sz w:val="15"/>
        </w:rPr>
      </w:pPr>
    </w:p>
    <w:p>
      <w:pPr>
        <w:spacing w:before="0"/>
        <w:ind w:left="558" w:right="0" w:firstLine="0"/>
        <w:jc w:val="left"/>
        <w:rPr>
          <w:rFonts w:ascii="黑体" w:eastAsia="黑体" w:hint="eastAsia"/>
          <w:sz w:val="18"/>
        </w:rPr>
      </w:pPr>
      <w:r>
        <w:rPr>
          <w:rFonts w:ascii="黑体" w:eastAsia="黑体" w:hint="eastAsia"/>
          <w:sz w:val="18"/>
        </w:rPr>
        <w:t>示例：</w:t>
      </w:r>
    </w:p>
    <w:p>
      <w:pPr>
        <w:spacing w:before="82"/>
        <w:ind w:left="558" w:right="0" w:firstLine="0"/>
        <w:jc w:val="left"/>
        <w:rPr>
          <w:sz w:val="18"/>
        </w:rPr>
      </w:pPr>
      <w:r>
        <w:rPr>
          <w:sz w:val="18"/>
        </w:rPr>
        <w:t>根据表4，如果严重程度等级和概率频次等级分别评估为“1”级和“B”级，则组合风险等级为“1B”。</w:t>
      </w:r>
    </w:p>
    <w:p>
      <w:pPr>
        <w:pStyle w:val="BodyText"/>
        <w:spacing w:before="11"/>
        <w:rPr>
          <w:sz w:val="16"/>
        </w:rPr>
      </w:pPr>
    </w:p>
    <w:p>
      <w:pPr>
        <w:pStyle w:val="ListParagraph"/>
        <w:numPr>
          <w:ilvl w:val="2"/>
          <w:numId w:val="24"/>
        </w:numPr>
        <w:tabs>
          <w:tab w:val="left" w:pos="933"/>
          <w:tab w:val="left" w:pos="934"/>
        </w:tabs>
        <w:spacing w:before="1" w:after="0" w:line="240" w:lineRule="auto"/>
        <w:ind w:left="933" w:right="0" w:hanging="736"/>
        <w:jc w:val="left"/>
        <w:rPr>
          <w:rFonts w:ascii="黑体" w:eastAsia="黑体" w:hint="eastAsia"/>
          <w:sz w:val="21"/>
        </w:rPr>
      </w:pPr>
      <w:r>
        <w:rPr>
          <w:rFonts w:ascii="黑体" w:eastAsia="黑体" w:hint="eastAsia"/>
          <w:sz w:val="21"/>
        </w:rPr>
        <w:t>风险类别划分及加权赋值</w:t>
      </w:r>
    </w:p>
    <w:p>
      <w:pPr>
        <w:pStyle w:val="BodyText"/>
        <w:spacing w:before="6"/>
        <w:rPr>
          <w:rFonts w:ascii="黑体"/>
          <w:sz w:val="15"/>
        </w:rPr>
      </w:pPr>
    </w:p>
    <w:p>
      <w:pPr>
        <w:pStyle w:val="BodyText"/>
        <w:ind w:left="618"/>
      </w:pPr>
      <w:r>
        <w:t>将风险类别分为 4类。见表5。</w:t>
      </w:r>
    </w:p>
    <w:p>
      <w:pPr>
        <w:pStyle w:val="BodyText"/>
        <w:spacing w:before="7"/>
        <w:rPr>
          <w:sz w:val="15"/>
        </w:rPr>
      </w:pPr>
    </w:p>
    <w:p>
      <w:pPr>
        <w:pStyle w:val="BodyText"/>
        <w:tabs>
          <w:tab w:val="left" w:pos="578"/>
        </w:tabs>
        <w:ind w:right="11"/>
        <w:jc w:val="center"/>
      </w:pPr>
      <w:r>
        <w:pict>
          <v:group id="_x0000_s1031" style="width:56.1pt;height:47.35pt;margin-top:52.2pt;margin-left:76.74pt;mso-position-horizontal-relative:page;position:absolute;z-index:-251657216" coordorigin="1535,1044" coordsize="1122,947">
            <v:shape id="_x0000_s1032" type="#_x0000_t75" style="width:1122;height:468;left:1534;position:absolute;top:1044" stroked="f">
              <v:imagedata r:id="rId13" o:title=""/>
            </v:shape>
            <v:shape id="_x0000_s1033" type="#_x0000_t75" style="width:1122;height:468;left:1534;position:absolute;top:1522" stroked="f">
              <v:imagedata r:id="rId14" o:title=""/>
            </v:shape>
          </v:group>
        </w:pict>
      </w:r>
      <w:r>
        <w:t>表</w:t>
      </w:r>
      <w:r>
        <w:rPr>
          <w:spacing w:val="-53"/>
        </w:rPr>
        <w:t xml:space="preserve"> </w:t>
      </w:r>
      <w:r>
        <w:t>5</w:t>
        <w:tab/>
        <w:t>风险类别</w:t>
      </w:r>
    </w:p>
    <w:p>
      <w:pPr>
        <w:pStyle w:val="BodyText"/>
        <w:spacing w:before="3" w:after="1"/>
        <w:rPr>
          <w:sz w:val="19"/>
        </w:rPr>
      </w:pPr>
    </w:p>
    <w:tbl>
      <w:tblPr>
        <w:tblStyle w:val="TableNormal2"/>
        <w:tblW w:w="0" w:type="auto"/>
        <w:jc w:val="left"/>
        <w:tblInd w:w="31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143"/>
        <w:gridCol w:w="3269"/>
        <w:gridCol w:w="4740"/>
      </w:tblGrid>
      <w:tr>
        <w:tblPrEx>
          <w:tblW w:w="0" w:type="auto"/>
          <w:jc w:val="left"/>
          <w:tblInd w:w="31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468"/>
          <w:jc w:val="left"/>
        </w:trPr>
        <w:tc>
          <w:tcPr>
            <w:tcW w:w="1143" w:type="dxa"/>
            <w:tcBorders>
              <w:right w:val="single" w:sz="4" w:space="0" w:color="000000"/>
            </w:tcBorders>
          </w:tcPr>
          <w:p>
            <w:pPr>
              <w:pStyle w:val="TableParagraph"/>
              <w:spacing w:before="118"/>
              <w:ind w:left="191" w:right="171"/>
              <w:jc w:val="center"/>
              <w:rPr>
                <w:sz w:val="18"/>
              </w:rPr>
            </w:pPr>
            <w:r>
              <w:rPr>
                <w:sz w:val="18"/>
              </w:rPr>
              <w:t>风险类别</w:t>
            </w:r>
          </w:p>
        </w:tc>
        <w:tc>
          <w:tcPr>
            <w:tcW w:w="3269" w:type="dxa"/>
            <w:tcBorders>
              <w:left w:val="single" w:sz="4" w:space="0" w:color="000000"/>
              <w:right w:val="single" w:sz="4" w:space="0" w:color="000000"/>
            </w:tcBorders>
          </w:tcPr>
          <w:p>
            <w:pPr>
              <w:pStyle w:val="TableParagraph"/>
              <w:spacing w:before="118"/>
              <w:ind w:left="1464"/>
              <w:rPr>
                <w:sz w:val="18"/>
              </w:rPr>
            </w:pPr>
            <w:r>
              <w:rPr>
                <w:sz w:val="18"/>
              </w:rPr>
              <w:t>风险等级</w:t>
            </w:r>
          </w:p>
        </w:tc>
        <w:tc>
          <w:tcPr>
            <w:tcW w:w="4740" w:type="dxa"/>
            <w:tcBorders>
              <w:left w:val="single" w:sz="4" w:space="0" w:color="000000"/>
            </w:tcBorders>
          </w:tcPr>
          <w:p>
            <w:pPr>
              <w:pStyle w:val="TableParagraph"/>
              <w:spacing w:before="118"/>
              <w:ind w:left="1999" w:right="1600"/>
              <w:jc w:val="center"/>
              <w:rPr>
                <w:sz w:val="18"/>
              </w:rPr>
            </w:pPr>
            <w:r>
              <w:rPr>
                <w:sz w:val="18"/>
              </w:rPr>
              <w:t>所采取的措施</w:t>
            </w:r>
          </w:p>
        </w:tc>
      </w:tr>
      <w:tr>
        <w:tblPrEx>
          <w:tblW w:w="0" w:type="auto"/>
          <w:jc w:val="left"/>
          <w:tblInd w:w="313" w:type="dxa"/>
          <w:tblLayout w:type="fixed"/>
          <w:tblCellMar>
            <w:top w:w="0" w:type="dxa"/>
            <w:left w:w="0" w:type="dxa"/>
            <w:bottom w:w="0" w:type="dxa"/>
            <w:right w:w="0" w:type="dxa"/>
          </w:tblCellMar>
          <w:tblLook w:val="01E0"/>
        </w:tblPrEx>
        <w:trPr>
          <w:trHeight w:val="467"/>
          <w:jc w:val="left"/>
        </w:trPr>
        <w:tc>
          <w:tcPr>
            <w:tcW w:w="1143" w:type="dxa"/>
            <w:tcBorders>
              <w:bottom w:val="single" w:sz="4" w:space="0" w:color="000000"/>
              <w:right w:val="single" w:sz="4" w:space="0" w:color="000000"/>
            </w:tcBorders>
          </w:tcPr>
          <w:p>
            <w:pPr>
              <w:pStyle w:val="TableParagraph"/>
              <w:spacing w:before="119"/>
              <w:ind w:left="19"/>
              <w:jc w:val="center"/>
              <w:rPr>
                <w:sz w:val="18"/>
              </w:rPr>
            </w:pPr>
            <w:r>
              <w:rPr>
                <w:sz w:val="18"/>
              </w:rPr>
              <w:t>I</w:t>
            </w:r>
          </w:p>
        </w:tc>
        <w:tc>
          <w:tcPr>
            <w:tcW w:w="3269" w:type="dxa"/>
            <w:tcBorders>
              <w:left w:val="single" w:sz="4" w:space="0" w:color="000000"/>
              <w:bottom w:val="single" w:sz="4" w:space="0" w:color="000000"/>
              <w:right w:val="single" w:sz="4" w:space="0" w:color="000000"/>
            </w:tcBorders>
          </w:tcPr>
          <w:p>
            <w:pPr>
              <w:pStyle w:val="TableParagraph"/>
              <w:spacing w:before="119"/>
              <w:ind w:left="118"/>
              <w:rPr>
                <w:sz w:val="18"/>
              </w:rPr>
            </w:pPr>
            <w:r>
              <w:rPr>
                <w:sz w:val="18"/>
              </w:rPr>
              <w:t>1A、1B、1C、2A、2B</w:t>
            </w:r>
          </w:p>
        </w:tc>
        <w:tc>
          <w:tcPr>
            <w:tcW w:w="4740" w:type="dxa"/>
            <w:tcBorders>
              <w:left w:val="single" w:sz="4" w:space="0" w:color="000000"/>
              <w:bottom w:val="single" w:sz="4" w:space="0" w:color="000000"/>
            </w:tcBorders>
          </w:tcPr>
          <w:p>
            <w:pPr>
              <w:pStyle w:val="TableParagraph"/>
              <w:spacing w:before="119"/>
              <w:ind w:left="117"/>
              <w:rPr>
                <w:sz w:val="18"/>
              </w:rPr>
            </w:pPr>
            <w:r>
              <w:rPr>
                <w:sz w:val="18"/>
              </w:rPr>
              <w:t>需要立即采取防护措施消除或降低风险。</w:t>
            </w:r>
          </w:p>
        </w:tc>
      </w:tr>
      <w:tr>
        <w:tblPrEx>
          <w:tblW w:w="0" w:type="auto"/>
          <w:jc w:val="left"/>
          <w:tblInd w:w="313" w:type="dxa"/>
          <w:tblLayout w:type="fixed"/>
          <w:tblCellMar>
            <w:top w:w="0" w:type="dxa"/>
            <w:left w:w="0" w:type="dxa"/>
            <w:bottom w:w="0" w:type="dxa"/>
            <w:right w:w="0" w:type="dxa"/>
          </w:tblCellMar>
          <w:tblLook w:val="01E0"/>
        </w:tblPrEx>
        <w:trPr>
          <w:trHeight w:val="468"/>
          <w:jc w:val="left"/>
        </w:trPr>
        <w:tc>
          <w:tcPr>
            <w:tcW w:w="1143" w:type="dxa"/>
            <w:tcBorders>
              <w:top w:val="single" w:sz="4" w:space="0" w:color="000000"/>
              <w:bottom w:val="single" w:sz="4" w:space="0" w:color="000000"/>
              <w:right w:val="single" w:sz="4" w:space="0" w:color="000000"/>
            </w:tcBorders>
          </w:tcPr>
          <w:p>
            <w:pPr>
              <w:pStyle w:val="TableParagraph"/>
              <w:spacing w:before="119"/>
              <w:ind w:left="191" w:right="171"/>
              <w:jc w:val="center"/>
              <w:rPr>
                <w:sz w:val="18"/>
              </w:rPr>
            </w:pPr>
            <w:r>
              <w:rPr>
                <w:sz w:val="18"/>
              </w:rPr>
              <w:t>II</w:t>
            </w:r>
          </w:p>
        </w:tc>
        <w:tc>
          <w:tcPr>
            <w:tcW w:w="3269" w:type="dxa"/>
            <w:tcBorders>
              <w:top w:val="single" w:sz="4" w:space="0" w:color="000000"/>
              <w:left w:val="single" w:sz="4" w:space="0" w:color="000000"/>
              <w:bottom w:val="single" w:sz="4" w:space="0" w:color="000000"/>
              <w:right w:val="single" w:sz="4" w:space="0" w:color="000000"/>
            </w:tcBorders>
          </w:tcPr>
          <w:p>
            <w:pPr>
              <w:pStyle w:val="TableParagraph"/>
              <w:spacing w:before="119"/>
              <w:ind w:left="117"/>
              <w:rPr>
                <w:sz w:val="18"/>
              </w:rPr>
            </w:pPr>
            <w:r>
              <w:rPr>
                <w:sz w:val="18"/>
              </w:rPr>
              <w:t>1D、2C、3A、3B</w:t>
            </w:r>
          </w:p>
        </w:tc>
        <w:tc>
          <w:tcPr>
            <w:tcW w:w="4740" w:type="dxa"/>
            <w:tcBorders>
              <w:top w:val="single" w:sz="4" w:space="0" w:color="000000"/>
              <w:left w:val="single" w:sz="4" w:space="0" w:color="000000"/>
              <w:bottom w:val="single" w:sz="4" w:space="0" w:color="000000"/>
            </w:tcBorders>
          </w:tcPr>
          <w:p>
            <w:pPr>
              <w:pStyle w:val="TableParagraph"/>
              <w:spacing w:before="119"/>
              <w:ind w:left="117"/>
              <w:rPr>
                <w:sz w:val="18"/>
              </w:rPr>
            </w:pPr>
            <w:r>
              <w:rPr>
                <w:sz w:val="18"/>
              </w:rPr>
              <w:t>需要采取防护措施消除或降低风险。</w:t>
            </w:r>
          </w:p>
        </w:tc>
      </w:tr>
    </w:tbl>
    <w:p>
      <w:pPr>
        <w:spacing w:after="0"/>
        <w:rPr>
          <w:sz w:val="18"/>
        </w:rPr>
      </w:pPr>
      <w:r>
        <w:rPr>
          <w:sz w:val="18"/>
        </w:rPr>
        <w:br/>
      </w:r>
      <w:r>
        <w:rPr>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5" w:history="1">
        <w:r>
          <w:rPr>
            <w:rFonts w:ascii="SimSun" w:eastAsia="SimSun" w:hAnsi="SimSun" w:cs="SimSun"/>
            <w:b/>
            <w:bCs/>
            <w:color w:val="0000EE"/>
            <w:sz w:val="30"/>
            <w:szCs w:val="30"/>
            <w:u w:val="single" w:color="0000EE"/>
          </w:rPr>
          <w:t>https://d.book118.com/928032024057006035</w:t>
        </w:r>
      </w:hyperlink>
    </w:p>
    <w:p>
      <w:pPr>
        <w:spacing w:after="0"/>
        <w:rPr>
          <w:sz w:val="18"/>
        </w:rPr>
      </w:pPr>
    </w:p>
    <w:sectPr>
      <w:footerReference w:type="default" r:id="rId16"/>
      <w:pgSz w:w="11910" w:h="16840"/>
      <w:pgMar w:top="1600" w:right="920" w:bottom="1120" w:left="1220" w:header="0" w:footer="892"/>
      <w:pgNumType w:start="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6"/>
      </w:rPr>
    </w:pPr>
    <w:r>
      <w:pict>
        <v:shapetype id="_x0000_t202" coordsize="21600,21600" o:spt="202" path="m,l,21600r21600,l21600,xe">
          <v:stroke joinstyle="miter"/>
          <v:path gradientshapeok="t" o:connecttype="rect"/>
        </v:shapetype>
        <v:shape id="_x0000_s2049" type="#_x0000_t202" style="width:15pt;height:16.65pt;margin-top:779.62pt;margin-left:516.12pt;mso-position-horizontal-relative:page;mso-position-vertical-relative:page;position:absolute;z-index:-251658240" filled="f" stroked="f">
          <v:textbox inset="0,0,0,0">
            <w:txbxContent>
              <w:p>
                <w:pPr>
                  <w:spacing w:before="106"/>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6"/>
      </w:rPr>
    </w:pPr>
    <w:r>
      <w:pict>
        <v:shapetype id="_x0000_t202" coordsize="21600,21600" o:spt="202" path="m,l,21600r21600,l21600,xe">
          <v:stroke joinstyle="miter"/>
          <v:path gradientshapeok="t" o:connecttype="rect"/>
        </v:shapetype>
        <v:shape id="_x0000_s2050" type="#_x0000_t202" style="width:15pt;height:16.65pt;margin-top:779.62pt;margin-left:516.12pt;mso-position-horizontal-relative:page;mso-position-vertical-relative:page;position:absolute;z-index:-251657216" filled="f" stroked="f">
          <v:textbox inset="0,0,0,0">
            <w:txbxContent>
              <w:p>
                <w:pPr>
                  <w:spacing w:before="106"/>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6"/>
      </w:rPr>
    </w:pPr>
    <w:r>
      <w:pict>
        <v:shapetype id="_x0000_t202" coordsize="21600,21600" o:spt="202" path="m,l,21600r21600,l21600,xe">
          <v:stroke joinstyle="miter"/>
          <v:path gradientshapeok="t" o:connecttype="rect"/>
        </v:shapetype>
        <v:shape id="_x0000_s2051" type="#_x0000_t202" style="width:15pt;height:16.65pt;margin-top:779.62pt;margin-left:516.12pt;mso-position-horizontal-relative:page;mso-position-vertical-relative:page;position:absolute;z-index:-251656192" filled="f" stroked="f">
          <v:textbox inset="0,0,0,0">
            <w:txbxContent>
              <w:p>
                <w:pPr>
                  <w:spacing w:before="106"/>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6"/>
      </w:rPr>
    </w:pPr>
    <w:r>
      <w:pict>
        <v:shapetype id="_x0000_t202" coordsize="21600,21600" o:spt="202" path="m,l,21600r21600,l21600,xe">
          <v:stroke joinstyle="miter"/>
          <v:path gradientshapeok="t" o:connecttype="rect"/>
        </v:shapetype>
        <v:shape id="_x0000_s2052" type="#_x0000_t202" style="width:15pt;height:16.65pt;margin-top:779.62pt;margin-left:516.12pt;mso-position-horizontal-relative:page;mso-position-vertical-relative:page;position:absolute;z-index:-251655168" filled="f" stroked="f">
          <v:textbox inset="0,0,0,0">
            <w:txbxContent>
              <w:p>
                <w:pPr>
                  <w:spacing w:before="106"/>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6"/>
      </w:rPr>
    </w:pPr>
    <w:r>
      <w:pict>
        <v:shapetype id="_x0000_t202" coordsize="21600,21600" o:spt="202" path="m,l,21600r21600,l21600,xe">
          <v:stroke joinstyle="miter"/>
          <v:path gradientshapeok="t" o:connecttype="rect"/>
        </v:shapetype>
        <v:shape id="_x0000_s2053" type="#_x0000_t202" style="width:15pt;height:16.65pt;margin-top:779.62pt;margin-left:516.12pt;mso-position-horizontal-relative:page;mso-position-vertical-relative:page;position:absolute;z-index:-251654144" filled="f" stroked="f">
          <v:textbox inset="0,0,0,0">
            <w:txbxContent>
              <w:p>
                <w:pPr>
                  <w:spacing w:before="106"/>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6</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CD304"/>
    <w:multiLevelType w:val="hybridMultilevel"/>
    <w:tmpl w:val="00000000"/>
    <w:lvl w:ilvl="0">
      <w:start w:val="5"/>
      <w:numFmt w:val="lowerLetter"/>
      <w:lvlText w:val="%1）"/>
      <w:lvlJc w:val="left"/>
      <w:pPr>
        <w:ind w:left="116" w:hanging="275"/>
        <w:jc w:val="left"/>
      </w:pPr>
      <w:rPr>
        <w:rFonts w:ascii="宋体" w:eastAsia="宋体" w:hAnsi="宋体" w:cs="宋体" w:hint="default"/>
        <w:spacing w:val="0"/>
        <w:w w:val="100"/>
        <w:sz w:val="16"/>
        <w:szCs w:val="16"/>
        <w:lang w:val="zh-CN" w:eastAsia="zh-CN" w:bidi="zh-CN"/>
      </w:rPr>
    </w:lvl>
    <w:lvl w:ilvl="1">
      <w:start w:val="0"/>
      <w:numFmt w:val="bullet"/>
      <w:lvlText w:val="•"/>
      <w:lvlJc w:val="left"/>
      <w:pPr>
        <w:ind w:left="648" w:hanging="275"/>
      </w:pPr>
      <w:rPr>
        <w:rFonts w:hint="default"/>
        <w:lang w:val="zh-CN" w:eastAsia="zh-CN" w:bidi="zh-CN"/>
      </w:rPr>
    </w:lvl>
    <w:lvl w:ilvl="2">
      <w:start w:val="0"/>
      <w:numFmt w:val="bullet"/>
      <w:lvlText w:val="•"/>
      <w:lvlJc w:val="left"/>
      <w:pPr>
        <w:ind w:left="1177" w:hanging="275"/>
      </w:pPr>
      <w:rPr>
        <w:rFonts w:hint="default"/>
        <w:lang w:val="zh-CN" w:eastAsia="zh-CN" w:bidi="zh-CN"/>
      </w:rPr>
    </w:lvl>
    <w:lvl w:ilvl="3">
      <w:start w:val="0"/>
      <w:numFmt w:val="bullet"/>
      <w:lvlText w:val="•"/>
      <w:lvlJc w:val="left"/>
      <w:pPr>
        <w:ind w:left="1705" w:hanging="275"/>
      </w:pPr>
      <w:rPr>
        <w:rFonts w:hint="default"/>
        <w:lang w:val="zh-CN" w:eastAsia="zh-CN" w:bidi="zh-CN"/>
      </w:rPr>
    </w:lvl>
    <w:lvl w:ilvl="4">
      <w:start w:val="0"/>
      <w:numFmt w:val="bullet"/>
      <w:lvlText w:val="•"/>
      <w:lvlJc w:val="left"/>
      <w:pPr>
        <w:ind w:left="2234" w:hanging="275"/>
      </w:pPr>
      <w:rPr>
        <w:rFonts w:hint="default"/>
        <w:lang w:val="zh-CN" w:eastAsia="zh-CN" w:bidi="zh-CN"/>
      </w:rPr>
    </w:lvl>
    <w:lvl w:ilvl="5">
      <w:start w:val="0"/>
      <w:numFmt w:val="bullet"/>
      <w:lvlText w:val="•"/>
      <w:lvlJc w:val="left"/>
      <w:pPr>
        <w:ind w:left="2762" w:hanging="275"/>
      </w:pPr>
      <w:rPr>
        <w:rFonts w:hint="default"/>
        <w:lang w:val="zh-CN" w:eastAsia="zh-CN" w:bidi="zh-CN"/>
      </w:rPr>
    </w:lvl>
    <w:lvl w:ilvl="6">
      <w:start w:val="0"/>
      <w:numFmt w:val="bullet"/>
      <w:lvlText w:val="•"/>
      <w:lvlJc w:val="left"/>
      <w:pPr>
        <w:ind w:left="3291" w:hanging="275"/>
      </w:pPr>
      <w:rPr>
        <w:rFonts w:hint="default"/>
        <w:lang w:val="zh-CN" w:eastAsia="zh-CN" w:bidi="zh-CN"/>
      </w:rPr>
    </w:lvl>
    <w:lvl w:ilvl="7">
      <w:start w:val="0"/>
      <w:numFmt w:val="bullet"/>
      <w:lvlText w:val="•"/>
      <w:lvlJc w:val="left"/>
      <w:pPr>
        <w:ind w:left="3819" w:hanging="275"/>
      </w:pPr>
      <w:rPr>
        <w:rFonts w:hint="default"/>
        <w:lang w:val="zh-CN" w:eastAsia="zh-CN" w:bidi="zh-CN"/>
      </w:rPr>
    </w:lvl>
    <w:lvl w:ilvl="8">
      <w:start w:val="0"/>
      <w:numFmt w:val="bullet"/>
      <w:lvlText w:val="•"/>
      <w:lvlJc w:val="left"/>
      <w:pPr>
        <w:ind w:left="4348" w:hanging="275"/>
      </w:pPr>
      <w:rPr>
        <w:rFonts w:hint="default"/>
        <w:lang w:val="zh-CN" w:eastAsia="zh-CN" w:bidi="zh-CN"/>
      </w:rPr>
    </w:lvl>
  </w:abstractNum>
  <w:abstractNum w:abstractNumId="1">
    <w:nsid w:val="0303B0F0"/>
    <w:multiLevelType w:val="hybridMultilevel"/>
    <w:tmpl w:val="00000000"/>
    <w:lvl w:ilvl="0">
      <w:start w:val="4"/>
      <w:numFmt w:val="decimal"/>
      <w:lvlText w:val="%1"/>
      <w:lvlJc w:val="left"/>
      <w:pPr>
        <w:ind w:left="198" w:hanging="736"/>
        <w:jc w:val="left"/>
      </w:pPr>
      <w:rPr>
        <w:rFonts w:hint="default"/>
        <w:lang w:val="zh-CN" w:eastAsia="zh-CN" w:bidi="zh-CN"/>
      </w:rPr>
    </w:lvl>
    <w:lvl w:ilvl="1">
      <w:start w:val="4"/>
      <w:numFmt w:val="decimal"/>
      <w:lvlText w:val="%1.%2"/>
      <w:lvlJc w:val="left"/>
      <w:pPr>
        <w:ind w:left="198" w:hanging="736"/>
        <w:jc w:val="left"/>
      </w:pPr>
      <w:rPr>
        <w:rFonts w:hint="default"/>
        <w:lang w:val="zh-CN" w:eastAsia="zh-CN" w:bidi="zh-CN"/>
      </w:rPr>
    </w:lvl>
    <w:lvl w:ilvl="2">
      <w:start w:val="1"/>
      <w:numFmt w:val="decimal"/>
      <w:lvlText w:val="%1.%2.%3"/>
      <w:lvlJc w:val="left"/>
      <w:pPr>
        <w:ind w:left="198" w:hanging="736"/>
        <w:jc w:val="left"/>
      </w:pPr>
      <w:rPr>
        <w:rFonts w:ascii="黑体" w:eastAsia="黑体" w:hAnsi="黑体" w:cs="黑体" w:hint="default"/>
        <w:spacing w:val="-53"/>
        <w:w w:val="100"/>
        <w:sz w:val="21"/>
        <w:szCs w:val="21"/>
        <w:lang w:val="zh-CN" w:eastAsia="zh-CN" w:bidi="zh-CN"/>
      </w:rPr>
    </w:lvl>
    <w:lvl w:ilvl="3">
      <w:start w:val="0"/>
      <w:numFmt w:val="bullet"/>
      <w:lvlText w:val="•"/>
      <w:lvlJc w:val="left"/>
      <w:pPr>
        <w:ind w:left="3069" w:hanging="736"/>
      </w:pPr>
      <w:rPr>
        <w:rFonts w:hint="default"/>
        <w:lang w:val="zh-CN" w:eastAsia="zh-CN" w:bidi="zh-CN"/>
      </w:rPr>
    </w:lvl>
    <w:lvl w:ilvl="4">
      <w:start w:val="0"/>
      <w:numFmt w:val="bullet"/>
      <w:lvlText w:val="•"/>
      <w:lvlJc w:val="left"/>
      <w:pPr>
        <w:ind w:left="4025" w:hanging="736"/>
      </w:pPr>
      <w:rPr>
        <w:rFonts w:hint="default"/>
        <w:lang w:val="zh-CN" w:eastAsia="zh-CN" w:bidi="zh-CN"/>
      </w:rPr>
    </w:lvl>
    <w:lvl w:ilvl="5">
      <w:start w:val="0"/>
      <w:numFmt w:val="bullet"/>
      <w:lvlText w:val="•"/>
      <w:lvlJc w:val="left"/>
      <w:pPr>
        <w:ind w:left="4982" w:hanging="736"/>
      </w:pPr>
      <w:rPr>
        <w:rFonts w:hint="default"/>
        <w:lang w:val="zh-CN" w:eastAsia="zh-CN" w:bidi="zh-CN"/>
      </w:rPr>
    </w:lvl>
    <w:lvl w:ilvl="6">
      <w:start w:val="0"/>
      <w:numFmt w:val="bullet"/>
      <w:lvlText w:val="•"/>
      <w:lvlJc w:val="left"/>
      <w:pPr>
        <w:ind w:left="5938" w:hanging="736"/>
      </w:pPr>
      <w:rPr>
        <w:rFonts w:hint="default"/>
        <w:lang w:val="zh-CN" w:eastAsia="zh-CN" w:bidi="zh-CN"/>
      </w:rPr>
    </w:lvl>
    <w:lvl w:ilvl="7">
      <w:start w:val="0"/>
      <w:numFmt w:val="bullet"/>
      <w:lvlText w:val="•"/>
      <w:lvlJc w:val="left"/>
      <w:pPr>
        <w:ind w:left="6895" w:hanging="736"/>
      </w:pPr>
      <w:rPr>
        <w:rFonts w:hint="default"/>
        <w:lang w:val="zh-CN" w:eastAsia="zh-CN" w:bidi="zh-CN"/>
      </w:rPr>
    </w:lvl>
    <w:lvl w:ilvl="8">
      <w:start w:val="0"/>
      <w:numFmt w:val="bullet"/>
      <w:lvlText w:val="•"/>
      <w:lvlJc w:val="left"/>
      <w:pPr>
        <w:ind w:left="7851" w:hanging="736"/>
      </w:pPr>
      <w:rPr>
        <w:rFonts w:hint="default"/>
        <w:lang w:val="zh-CN" w:eastAsia="zh-CN" w:bidi="zh-CN"/>
      </w:rPr>
    </w:lvl>
  </w:abstractNum>
  <w:abstractNum w:abstractNumId="2">
    <w:nsid w:val="04CAC679"/>
    <w:multiLevelType w:val="hybridMultilevel"/>
    <w:tmpl w:val="00000000"/>
    <w:lvl w:ilvl="0">
      <w:start w:val="5"/>
      <w:numFmt w:val="decimal"/>
      <w:lvlText w:val="%1"/>
      <w:lvlJc w:val="left"/>
      <w:pPr>
        <w:ind w:left="198" w:hanging="736"/>
        <w:jc w:val="left"/>
      </w:pPr>
      <w:rPr>
        <w:rFonts w:hint="default"/>
        <w:lang w:val="zh-CN" w:eastAsia="zh-CN" w:bidi="zh-CN"/>
      </w:rPr>
    </w:lvl>
    <w:lvl w:ilvl="1">
      <w:start w:val="1"/>
      <w:numFmt w:val="decimal"/>
      <w:lvlText w:val="%1.%2"/>
      <w:lvlJc w:val="left"/>
      <w:pPr>
        <w:ind w:left="198" w:hanging="736"/>
        <w:jc w:val="left"/>
      </w:pPr>
      <w:rPr>
        <w:rFonts w:hint="default"/>
        <w:lang w:val="zh-CN" w:eastAsia="zh-CN" w:bidi="zh-CN"/>
      </w:rPr>
    </w:lvl>
    <w:lvl w:ilvl="2">
      <w:start w:val="1"/>
      <w:numFmt w:val="decimal"/>
      <w:lvlText w:val="%1.%2.%3"/>
      <w:lvlJc w:val="left"/>
      <w:pPr>
        <w:ind w:left="198" w:hanging="736"/>
        <w:jc w:val="left"/>
      </w:pPr>
      <w:rPr>
        <w:rFonts w:ascii="黑体" w:eastAsia="黑体" w:hAnsi="黑体" w:cs="黑体" w:hint="default"/>
        <w:spacing w:val="-16"/>
        <w:w w:val="100"/>
        <w:sz w:val="21"/>
        <w:szCs w:val="21"/>
        <w:lang w:val="zh-CN" w:eastAsia="zh-CN" w:bidi="zh-CN"/>
      </w:rPr>
    </w:lvl>
    <w:lvl w:ilvl="3">
      <w:start w:val="1"/>
      <w:numFmt w:val="lowerLetter"/>
      <w:lvlText w:val="%4)"/>
      <w:lvlJc w:val="left"/>
      <w:pPr>
        <w:ind w:left="933" w:hanging="421"/>
        <w:jc w:val="left"/>
      </w:pPr>
      <w:rPr>
        <w:rFonts w:ascii="宋体" w:eastAsia="宋体" w:hAnsi="宋体" w:cs="宋体" w:hint="default"/>
        <w:spacing w:val="-105"/>
        <w:w w:val="100"/>
        <w:sz w:val="21"/>
        <w:szCs w:val="21"/>
        <w:lang w:val="zh-CN" w:eastAsia="zh-CN" w:bidi="zh-CN"/>
      </w:rPr>
    </w:lvl>
    <w:lvl w:ilvl="4">
      <w:start w:val="0"/>
      <w:numFmt w:val="bullet"/>
      <w:lvlText w:val="•"/>
      <w:lvlJc w:val="left"/>
      <w:pPr>
        <w:ind w:left="3881" w:hanging="421"/>
      </w:pPr>
      <w:rPr>
        <w:rFonts w:hint="default"/>
        <w:lang w:val="zh-CN" w:eastAsia="zh-CN" w:bidi="zh-CN"/>
      </w:rPr>
    </w:lvl>
    <w:lvl w:ilvl="5">
      <w:start w:val="0"/>
      <w:numFmt w:val="bullet"/>
      <w:lvlText w:val="•"/>
      <w:lvlJc w:val="left"/>
      <w:pPr>
        <w:ind w:left="4861" w:hanging="421"/>
      </w:pPr>
      <w:rPr>
        <w:rFonts w:hint="default"/>
        <w:lang w:val="zh-CN" w:eastAsia="zh-CN" w:bidi="zh-CN"/>
      </w:rPr>
    </w:lvl>
    <w:lvl w:ilvl="6">
      <w:start w:val="0"/>
      <w:numFmt w:val="bullet"/>
      <w:lvlText w:val="•"/>
      <w:lvlJc w:val="left"/>
      <w:pPr>
        <w:ind w:left="5842" w:hanging="421"/>
      </w:pPr>
      <w:rPr>
        <w:rFonts w:hint="default"/>
        <w:lang w:val="zh-CN" w:eastAsia="zh-CN" w:bidi="zh-CN"/>
      </w:rPr>
    </w:lvl>
    <w:lvl w:ilvl="7">
      <w:start w:val="0"/>
      <w:numFmt w:val="bullet"/>
      <w:lvlText w:val="•"/>
      <w:lvlJc w:val="left"/>
      <w:pPr>
        <w:ind w:left="6822" w:hanging="421"/>
      </w:pPr>
      <w:rPr>
        <w:rFonts w:hint="default"/>
        <w:lang w:val="zh-CN" w:eastAsia="zh-CN" w:bidi="zh-CN"/>
      </w:rPr>
    </w:lvl>
    <w:lvl w:ilvl="8">
      <w:start w:val="0"/>
      <w:numFmt w:val="bullet"/>
      <w:lvlText w:val="•"/>
      <w:lvlJc w:val="left"/>
      <w:pPr>
        <w:ind w:left="7803" w:hanging="421"/>
      </w:pPr>
      <w:rPr>
        <w:rFonts w:hint="default"/>
        <w:lang w:val="zh-CN" w:eastAsia="zh-CN" w:bidi="zh-CN"/>
      </w:rPr>
    </w:lvl>
  </w:abstractNum>
  <w:abstractNum w:abstractNumId="3">
    <w:nsid w:val="0C9850E0"/>
    <w:multiLevelType w:val="hybridMultilevel"/>
    <w:tmpl w:val="00000000"/>
    <w:lvl w:ilvl="0">
      <w:start w:val="6"/>
      <w:numFmt w:val="lowerLetter"/>
      <w:lvlText w:val="%1)"/>
      <w:lvlJc w:val="left"/>
      <w:pPr>
        <w:ind w:left="116" w:hanging="181"/>
        <w:jc w:val="left"/>
      </w:pPr>
      <w:rPr>
        <w:rFonts w:ascii="宋体" w:eastAsia="宋体" w:hAnsi="宋体" w:cs="宋体" w:hint="default"/>
        <w:spacing w:val="-46"/>
        <w:w w:val="100"/>
        <w:sz w:val="16"/>
        <w:szCs w:val="16"/>
        <w:lang w:val="zh-CN" w:eastAsia="zh-CN" w:bidi="zh-CN"/>
      </w:rPr>
    </w:lvl>
    <w:lvl w:ilvl="1">
      <w:start w:val="0"/>
      <w:numFmt w:val="bullet"/>
      <w:lvlText w:val="•"/>
      <w:lvlJc w:val="left"/>
      <w:pPr>
        <w:ind w:left="648" w:hanging="181"/>
      </w:pPr>
      <w:rPr>
        <w:rFonts w:hint="default"/>
        <w:lang w:val="zh-CN" w:eastAsia="zh-CN" w:bidi="zh-CN"/>
      </w:rPr>
    </w:lvl>
    <w:lvl w:ilvl="2">
      <w:start w:val="0"/>
      <w:numFmt w:val="bullet"/>
      <w:lvlText w:val="•"/>
      <w:lvlJc w:val="left"/>
      <w:pPr>
        <w:ind w:left="1177" w:hanging="181"/>
      </w:pPr>
      <w:rPr>
        <w:rFonts w:hint="default"/>
        <w:lang w:val="zh-CN" w:eastAsia="zh-CN" w:bidi="zh-CN"/>
      </w:rPr>
    </w:lvl>
    <w:lvl w:ilvl="3">
      <w:start w:val="0"/>
      <w:numFmt w:val="bullet"/>
      <w:lvlText w:val="•"/>
      <w:lvlJc w:val="left"/>
      <w:pPr>
        <w:ind w:left="1705" w:hanging="181"/>
      </w:pPr>
      <w:rPr>
        <w:rFonts w:hint="default"/>
        <w:lang w:val="zh-CN" w:eastAsia="zh-CN" w:bidi="zh-CN"/>
      </w:rPr>
    </w:lvl>
    <w:lvl w:ilvl="4">
      <w:start w:val="0"/>
      <w:numFmt w:val="bullet"/>
      <w:lvlText w:val="•"/>
      <w:lvlJc w:val="left"/>
      <w:pPr>
        <w:ind w:left="2234" w:hanging="181"/>
      </w:pPr>
      <w:rPr>
        <w:rFonts w:hint="default"/>
        <w:lang w:val="zh-CN" w:eastAsia="zh-CN" w:bidi="zh-CN"/>
      </w:rPr>
    </w:lvl>
    <w:lvl w:ilvl="5">
      <w:start w:val="0"/>
      <w:numFmt w:val="bullet"/>
      <w:lvlText w:val="•"/>
      <w:lvlJc w:val="left"/>
      <w:pPr>
        <w:ind w:left="2762" w:hanging="181"/>
      </w:pPr>
      <w:rPr>
        <w:rFonts w:hint="default"/>
        <w:lang w:val="zh-CN" w:eastAsia="zh-CN" w:bidi="zh-CN"/>
      </w:rPr>
    </w:lvl>
    <w:lvl w:ilvl="6">
      <w:start w:val="0"/>
      <w:numFmt w:val="bullet"/>
      <w:lvlText w:val="•"/>
      <w:lvlJc w:val="left"/>
      <w:pPr>
        <w:ind w:left="3291" w:hanging="181"/>
      </w:pPr>
      <w:rPr>
        <w:rFonts w:hint="default"/>
        <w:lang w:val="zh-CN" w:eastAsia="zh-CN" w:bidi="zh-CN"/>
      </w:rPr>
    </w:lvl>
    <w:lvl w:ilvl="7">
      <w:start w:val="0"/>
      <w:numFmt w:val="bullet"/>
      <w:lvlText w:val="•"/>
      <w:lvlJc w:val="left"/>
      <w:pPr>
        <w:ind w:left="3819" w:hanging="181"/>
      </w:pPr>
      <w:rPr>
        <w:rFonts w:hint="default"/>
        <w:lang w:val="zh-CN" w:eastAsia="zh-CN" w:bidi="zh-CN"/>
      </w:rPr>
    </w:lvl>
    <w:lvl w:ilvl="8">
      <w:start w:val="0"/>
      <w:numFmt w:val="bullet"/>
      <w:lvlText w:val="•"/>
      <w:lvlJc w:val="left"/>
      <w:pPr>
        <w:ind w:left="4348" w:hanging="181"/>
      </w:pPr>
      <w:rPr>
        <w:rFonts w:hint="default"/>
        <w:lang w:val="zh-CN" w:eastAsia="zh-CN" w:bidi="zh-CN"/>
      </w:rPr>
    </w:lvl>
  </w:abstractNum>
  <w:abstractNum w:abstractNumId="4">
    <w:nsid w:val="1280889A"/>
    <w:multiLevelType w:val="hybridMultilevel"/>
    <w:tmpl w:val="00000000"/>
    <w:lvl w:ilvl="0">
      <w:start w:val="1"/>
      <w:numFmt w:val="decimal"/>
      <w:lvlText w:val="%1"/>
      <w:lvlJc w:val="left"/>
      <w:pPr>
        <w:ind w:left="570" w:hanging="316"/>
        <w:jc w:val="left"/>
      </w:pPr>
      <w:rPr>
        <w:rFonts w:ascii="宋体" w:eastAsia="宋体" w:hAnsi="宋体" w:cs="宋体" w:hint="default"/>
        <w:w w:val="100"/>
        <w:sz w:val="21"/>
        <w:szCs w:val="21"/>
        <w:lang w:val="zh-CN" w:eastAsia="zh-CN" w:bidi="zh-CN"/>
      </w:rPr>
    </w:lvl>
    <w:lvl w:ilvl="1">
      <w:start w:val="0"/>
      <w:numFmt w:val="bullet"/>
      <w:lvlText w:val="•"/>
      <w:lvlJc w:val="left"/>
      <w:pPr>
        <w:ind w:left="1498" w:hanging="316"/>
      </w:pPr>
      <w:rPr>
        <w:rFonts w:hint="default"/>
        <w:lang w:val="zh-CN" w:eastAsia="zh-CN" w:bidi="zh-CN"/>
      </w:rPr>
    </w:lvl>
    <w:lvl w:ilvl="2">
      <w:start w:val="0"/>
      <w:numFmt w:val="bullet"/>
      <w:lvlText w:val="•"/>
      <w:lvlJc w:val="left"/>
      <w:pPr>
        <w:ind w:left="2416" w:hanging="316"/>
      </w:pPr>
      <w:rPr>
        <w:rFonts w:hint="default"/>
        <w:lang w:val="zh-CN" w:eastAsia="zh-CN" w:bidi="zh-CN"/>
      </w:rPr>
    </w:lvl>
    <w:lvl w:ilvl="3">
      <w:start w:val="0"/>
      <w:numFmt w:val="bullet"/>
      <w:lvlText w:val="•"/>
      <w:lvlJc w:val="left"/>
      <w:pPr>
        <w:ind w:left="3335" w:hanging="316"/>
      </w:pPr>
      <w:rPr>
        <w:rFonts w:hint="default"/>
        <w:lang w:val="zh-CN" w:eastAsia="zh-CN" w:bidi="zh-CN"/>
      </w:rPr>
    </w:lvl>
    <w:lvl w:ilvl="4">
      <w:start w:val="0"/>
      <w:numFmt w:val="bullet"/>
      <w:lvlText w:val="•"/>
      <w:lvlJc w:val="left"/>
      <w:pPr>
        <w:ind w:left="4253" w:hanging="316"/>
      </w:pPr>
      <w:rPr>
        <w:rFonts w:hint="default"/>
        <w:lang w:val="zh-CN" w:eastAsia="zh-CN" w:bidi="zh-CN"/>
      </w:rPr>
    </w:lvl>
    <w:lvl w:ilvl="5">
      <w:start w:val="0"/>
      <w:numFmt w:val="bullet"/>
      <w:lvlText w:val="•"/>
      <w:lvlJc w:val="left"/>
      <w:pPr>
        <w:ind w:left="5172" w:hanging="316"/>
      </w:pPr>
      <w:rPr>
        <w:rFonts w:hint="default"/>
        <w:lang w:val="zh-CN" w:eastAsia="zh-CN" w:bidi="zh-CN"/>
      </w:rPr>
    </w:lvl>
    <w:lvl w:ilvl="6">
      <w:start w:val="0"/>
      <w:numFmt w:val="bullet"/>
      <w:lvlText w:val="•"/>
      <w:lvlJc w:val="left"/>
      <w:pPr>
        <w:ind w:left="6090" w:hanging="316"/>
      </w:pPr>
      <w:rPr>
        <w:rFonts w:hint="default"/>
        <w:lang w:val="zh-CN" w:eastAsia="zh-CN" w:bidi="zh-CN"/>
      </w:rPr>
    </w:lvl>
    <w:lvl w:ilvl="7">
      <w:start w:val="0"/>
      <w:numFmt w:val="bullet"/>
      <w:lvlText w:val="•"/>
      <w:lvlJc w:val="left"/>
      <w:pPr>
        <w:ind w:left="7009" w:hanging="316"/>
      </w:pPr>
      <w:rPr>
        <w:rFonts w:hint="default"/>
        <w:lang w:val="zh-CN" w:eastAsia="zh-CN" w:bidi="zh-CN"/>
      </w:rPr>
    </w:lvl>
    <w:lvl w:ilvl="8">
      <w:start w:val="0"/>
      <w:numFmt w:val="bullet"/>
      <w:lvlText w:val="•"/>
      <w:lvlJc w:val="left"/>
      <w:pPr>
        <w:ind w:left="7927" w:hanging="316"/>
      </w:pPr>
      <w:rPr>
        <w:rFonts w:hint="default"/>
        <w:lang w:val="zh-CN" w:eastAsia="zh-CN" w:bidi="zh-CN"/>
      </w:rPr>
    </w:lvl>
  </w:abstractNum>
  <w:abstractNum w:abstractNumId="5">
    <w:nsid w:val="1487AB1C"/>
    <w:multiLevelType w:val="hybridMultilevel"/>
    <w:tmpl w:val="00000000"/>
    <w:lvl w:ilvl="0">
      <w:start w:val="1"/>
      <w:numFmt w:val="decimal"/>
      <w:lvlText w:val="%1."/>
      <w:lvlJc w:val="left"/>
      <w:pPr>
        <w:ind w:left="692" w:hanging="270"/>
        <w:jc w:val="left"/>
      </w:pPr>
      <w:rPr>
        <w:rFonts w:ascii="宋体" w:eastAsia="宋体" w:hAnsi="宋体" w:cs="宋体" w:hint="default"/>
        <w:spacing w:val="-61"/>
        <w:w w:val="100"/>
        <w:sz w:val="18"/>
        <w:szCs w:val="18"/>
        <w:lang w:val="zh-CN" w:eastAsia="zh-CN" w:bidi="zh-CN"/>
      </w:rPr>
    </w:lvl>
    <w:lvl w:ilvl="1">
      <w:start w:val="0"/>
      <w:numFmt w:val="bullet"/>
      <w:lvlText w:val="•"/>
      <w:lvlJc w:val="left"/>
      <w:pPr>
        <w:ind w:left="1495" w:hanging="270"/>
      </w:pPr>
      <w:rPr>
        <w:rFonts w:hint="default"/>
        <w:lang w:val="zh-CN" w:eastAsia="zh-CN" w:bidi="zh-CN"/>
      </w:rPr>
    </w:lvl>
    <w:lvl w:ilvl="2">
      <w:start w:val="0"/>
      <w:numFmt w:val="bullet"/>
      <w:lvlText w:val="•"/>
      <w:lvlJc w:val="left"/>
      <w:pPr>
        <w:ind w:left="2291" w:hanging="270"/>
      </w:pPr>
      <w:rPr>
        <w:rFonts w:hint="default"/>
        <w:lang w:val="zh-CN" w:eastAsia="zh-CN" w:bidi="zh-CN"/>
      </w:rPr>
    </w:lvl>
    <w:lvl w:ilvl="3">
      <w:start w:val="0"/>
      <w:numFmt w:val="bullet"/>
      <w:lvlText w:val="•"/>
      <w:lvlJc w:val="left"/>
      <w:pPr>
        <w:ind w:left="3086" w:hanging="270"/>
      </w:pPr>
      <w:rPr>
        <w:rFonts w:hint="default"/>
        <w:lang w:val="zh-CN" w:eastAsia="zh-CN" w:bidi="zh-CN"/>
      </w:rPr>
    </w:lvl>
    <w:lvl w:ilvl="4">
      <w:start w:val="0"/>
      <w:numFmt w:val="bullet"/>
      <w:lvlText w:val="•"/>
      <w:lvlJc w:val="left"/>
      <w:pPr>
        <w:ind w:left="3882" w:hanging="270"/>
      </w:pPr>
      <w:rPr>
        <w:rFonts w:hint="default"/>
        <w:lang w:val="zh-CN" w:eastAsia="zh-CN" w:bidi="zh-CN"/>
      </w:rPr>
    </w:lvl>
    <w:lvl w:ilvl="5">
      <w:start w:val="0"/>
      <w:numFmt w:val="bullet"/>
      <w:lvlText w:val="•"/>
      <w:lvlJc w:val="left"/>
      <w:pPr>
        <w:ind w:left="4677" w:hanging="270"/>
      </w:pPr>
      <w:rPr>
        <w:rFonts w:hint="default"/>
        <w:lang w:val="zh-CN" w:eastAsia="zh-CN" w:bidi="zh-CN"/>
      </w:rPr>
    </w:lvl>
    <w:lvl w:ilvl="6">
      <w:start w:val="0"/>
      <w:numFmt w:val="bullet"/>
      <w:lvlText w:val="•"/>
      <w:lvlJc w:val="left"/>
      <w:pPr>
        <w:ind w:left="5473" w:hanging="270"/>
      </w:pPr>
      <w:rPr>
        <w:rFonts w:hint="default"/>
        <w:lang w:val="zh-CN" w:eastAsia="zh-CN" w:bidi="zh-CN"/>
      </w:rPr>
    </w:lvl>
    <w:lvl w:ilvl="7">
      <w:start w:val="0"/>
      <w:numFmt w:val="bullet"/>
      <w:lvlText w:val="•"/>
      <w:lvlJc w:val="left"/>
      <w:pPr>
        <w:ind w:left="6268" w:hanging="270"/>
      </w:pPr>
      <w:rPr>
        <w:rFonts w:hint="default"/>
        <w:lang w:val="zh-CN" w:eastAsia="zh-CN" w:bidi="zh-CN"/>
      </w:rPr>
    </w:lvl>
    <w:lvl w:ilvl="8">
      <w:start w:val="0"/>
      <w:numFmt w:val="bullet"/>
      <w:lvlText w:val="•"/>
      <w:lvlJc w:val="left"/>
      <w:pPr>
        <w:ind w:left="7064" w:hanging="270"/>
      </w:pPr>
      <w:rPr>
        <w:rFonts w:hint="default"/>
        <w:lang w:val="zh-CN" w:eastAsia="zh-CN" w:bidi="zh-CN"/>
      </w:rPr>
    </w:lvl>
  </w:abstractNum>
  <w:abstractNum w:abstractNumId="6">
    <w:nsid w:val="1809B834"/>
    <w:multiLevelType w:val="hybridMultilevel"/>
    <w:tmpl w:val="00000000"/>
    <w:lvl w:ilvl="0">
      <w:start w:val="1"/>
      <w:numFmt w:val="decimal"/>
      <w:lvlText w:val="（%1）"/>
      <w:lvlJc w:val="left"/>
      <w:pPr>
        <w:ind w:left="116" w:hanging="451"/>
        <w:jc w:val="left"/>
      </w:pPr>
      <w:rPr>
        <w:rFonts w:ascii="宋体" w:eastAsia="宋体" w:hAnsi="宋体" w:cs="宋体" w:hint="default"/>
        <w:spacing w:val="-10"/>
        <w:w w:val="100"/>
        <w:sz w:val="16"/>
        <w:szCs w:val="16"/>
        <w:lang w:val="zh-CN" w:eastAsia="zh-CN" w:bidi="zh-CN"/>
      </w:rPr>
    </w:lvl>
    <w:lvl w:ilvl="1">
      <w:start w:val="0"/>
      <w:numFmt w:val="bullet"/>
      <w:lvlText w:val="•"/>
      <w:lvlJc w:val="left"/>
      <w:pPr>
        <w:ind w:left="648" w:hanging="451"/>
      </w:pPr>
      <w:rPr>
        <w:rFonts w:hint="default"/>
        <w:lang w:val="zh-CN" w:eastAsia="zh-CN" w:bidi="zh-CN"/>
      </w:rPr>
    </w:lvl>
    <w:lvl w:ilvl="2">
      <w:start w:val="0"/>
      <w:numFmt w:val="bullet"/>
      <w:lvlText w:val="•"/>
      <w:lvlJc w:val="left"/>
      <w:pPr>
        <w:ind w:left="1177" w:hanging="451"/>
      </w:pPr>
      <w:rPr>
        <w:rFonts w:hint="default"/>
        <w:lang w:val="zh-CN" w:eastAsia="zh-CN" w:bidi="zh-CN"/>
      </w:rPr>
    </w:lvl>
    <w:lvl w:ilvl="3">
      <w:start w:val="0"/>
      <w:numFmt w:val="bullet"/>
      <w:lvlText w:val="•"/>
      <w:lvlJc w:val="left"/>
      <w:pPr>
        <w:ind w:left="1705" w:hanging="451"/>
      </w:pPr>
      <w:rPr>
        <w:rFonts w:hint="default"/>
        <w:lang w:val="zh-CN" w:eastAsia="zh-CN" w:bidi="zh-CN"/>
      </w:rPr>
    </w:lvl>
    <w:lvl w:ilvl="4">
      <w:start w:val="0"/>
      <w:numFmt w:val="bullet"/>
      <w:lvlText w:val="•"/>
      <w:lvlJc w:val="left"/>
      <w:pPr>
        <w:ind w:left="2234" w:hanging="451"/>
      </w:pPr>
      <w:rPr>
        <w:rFonts w:hint="default"/>
        <w:lang w:val="zh-CN" w:eastAsia="zh-CN" w:bidi="zh-CN"/>
      </w:rPr>
    </w:lvl>
    <w:lvl w:ilvl="5">
      <w:start w:val="0"/>
      <w:numFmt w:val="bullet"/>
      <w:lvlText w:val="•"/>
      <w:lvlJc w:val="left"/>
      <w:pPr>
        <w:ind w:left="2762" w:hanging="451"/>
      </w:pPr>
      <w:rPr>
        <w:rFonts w:hint="default"/>
        <w:lang w:val="zh-CN" w:eastAsia="zh-CN" w:bidi="zh-CN"/>
      </w:rPr>
    </w:lvl>
    <w:lvl w:ilvl="6">
      <w:start w:val="0"/>
      <w:numFmt w:val="bullet"/>
      <w:lvlText w:val="•"/>
      <w:lvlJc w:val="left"/>
      <w:pPr>
        <w:ind w:left="3291" w:hanging="451"/>
      </w:pPr>
      <w:rPr>
        <w:rFonts w:hint="default"/>
        <w:lang w:val="zh-CN" w:eastAsia="zh-CN" w:bidi="zh-CN"/>
      </w:rPr>
    </w:lvl>
    <w:lvl w:ilvl="7">
      <w:start w:val="0"/>
      <w:numFmt w:val="bullet"/>
      <w:lvlText w:val="•"/>
      <w:lvlJc w:val="left"/>
      <w:pPr>
        <w:ind w:left="3819" w:hanging="451"/>
      </w:pPr>
      <w:rPr>
        <w:rFonts w:hint="default"/>
        <w:lang w:val="zh-CN" w:eastAsia="zh-CN" w:bidi="zh-CN"/>
      </w:rPr>
    </w:lvl>
    <w:lvl w:ilvl="8">
      <w:start w:val="0"/>
      <w:numFmt w:val="bullet"/>
      <w:lvlText w:val="•"/>
      <w:lvlJc w:val="left"/>
      <w:pPr>
        <w:ind w:left="4348" w:hanging="451"/>
      </w:pPr>
      <w:rPr>
        <w:rFonts w:hint="default"/>
        <w:lang w:val="zh-CN" w:eastAsia="zh-CN" w:bidi="zh-CN"/>
      </w:rPr>
    </w:lvl>
  </w:abstractNum>
  <w:abstractNum w:abstractNumId="7">
    <w:nsid w:val="26657A51"/>
    <w:multiLevelType w:val="hybridMultilevel"/>
    <w:tmpl w:val="00000000"/>
    <w:lvl w:ilvl="0">
      <w:start w:val="1"/>
      <w:numFmt w:val="decimal"/>
      <w:lvlText w:val="%1"/>
      <w:lvlJc w:val="left"/>
      <w:pPr>
        <w:ind w:left="514" w:hanging="316"/>
        <w:jc w:val="left"/>
      </w:pPr>
      <w:rPr>
        <w:rFonts w:ascii="黑体" w:eastAsia="黑体" w:hAnsi="黑体" w:cs="黑体" w:hint="default"/>
        <w:spacing w:val="-1"/>
        <w:w w:val="100"/>
        <w:sz w:val="21"/>
        <w:szCs w:val="21"/>
        <w:lang w:val="zh-CN" w:eastAsia="zh-CN" w:bidi="zh-CN"/>
      </w:rPr>
    </w:lvl>
    <w:lvl w:ilvl="1">
      <w:start w:val="1"/>
      <w:numFmt w:val="decimal"/>
      <w:lvlText w:val="%1.%2"/>
      <w:lvlJc w:val="left"/>
      <w:pPr>
        <w:ind w:left="723" w:hanging="525"/>
        <w:jc w:val="left"/>
      </w:pPr>
      <w:rPr>
        <w:rFonts w:hint="default"/>
        <w:spacing w:val="-1"/>
        <w:w w:val="100"/>
        <w:lang w:val="zh-CN" w:eastAsia="zh-CN" w:bidi="zh-CN"/>
      </w:rPr>
    </w:lvl>
    <w:lvl w:ilvl="2">
      <w:start w:val="1"/>
      <w:numFmt w:val="lowerLetter"/>
      <w:lvlText w:val="%3)"/>
      <w:lvlJc w:val="left"/>
      <w:pPr>
        <w:ind w:left="1072" w:hanging="525"/>
        <w:jc w:val="left"/>
      </w:pPr>
      <w:rPr>
        <w:rFonts w:ascii="宋体" w:eastAsia="宋体" w:hAnsi="宋体" w:cs="宋体" w:hint="default"/>
        <w:spacing w:val="-2"/>
        <w:w w:val="100"/>
        <w:sz w:val="21"/>
        <w:szCs w:val="21"/>
        <w:lang w:val="zh-CN" w:eastAsia="zh-CN" w:bidi="zh-CN"/>
      </w:rPr>
    </w:lvl>
    <w:lvl w:ilvl="3">
      <w:start w:val="0"/>
      <w:numFmt w:val="bullet"/>
      <w:lvlText w:val="•"/>
      <w:lvlJc w:val="left"/>
      <w:pPr>
        <w:ind w:left="1080" w:hanging="525"/>
      </w:pPr>
      <w:rPr>
        <w:rFonts w:hint="default"/>
        <w:lang w:val="zh-CN" w:eastAsia="zh-CN" w:bidi="zh-CN"/>
      </w:rPr>
    </w:lvl>
    <w:lvl w:ilvl="4">
      <w:start w:val="0"/>
      <w:numFmt w:val="bullet"/>
      <w:lvlText w:val="•"/>
      <w:lvlJc w:val="left"/>
      <w:pPr>
        <w:ind w:left="2320" w:hanging="525"/>
      </w:pPr>
      <w:rPr>
        <w:rFonts w:hint="default"/>
        <w:lang w:val="zh-CN" w:eastAsia="zh-CN" w:bidi="zh-CN"/>
      </w:rPr>
    </w:lvl>
    <w:lvl w:ilvl="5">
      <w:start w:val="0"/>
      <w:numFmt w:val="bullet"/>
      <w:lvlText w:val="•"/>
      <w:lvlJc w:val="left"/>
      <w:pPr>
        <w:ind w:left="3561" w:hanging="525"/>
      </w:pPr>
      <w:rPr>
        <w:rFonts w:hint="default"/>
        <w:lang w:val="zh-CN" w:eastAsia="zh-CN" w:bidi="zh-CN"/>
      </w:rPr>
    </w:lvl>
    <w:lvl w:ilvl="6">
      <w:start w:val="0"/>
      <w:numFmt w:val="bullet"/>
      <w:lvlText w:val="•"/>
      <w:lvlJc w:val="left"/>
      <w:pPr>
        <w:ind w:left="4801" w:hanging="525"/>
      </w:pPr>
      <w:rPr>
        <w:rFonts w:hint="default"/>
        <w:lang w:val="zh-CN" w:eastAsia="zh-CN" w:bidi="zh-CN"/>
      </w:rPr>
    </w:lvl>
    <w:lvl w:ilvl="7">
      <w:start w:val="0"/>
      <w:numFmt w:val="bullet"/>
      <w:lvlText w:val="•"/>
      <w:lvlJc w:val="left"/>
      <w:pPr>
        <w:ind w:left="6042" w:hanging="525"/>
      </w:pPr>
      <w:rPr>
        <w:rFonts w:hint="default"/>
        <w:lang w:val="zh-CN" w:eastAsia="zh-CN" w:bidi="zh-CN"/>
      </w:rPr>
    </w:lvl>
    <w:lvl w:ilvl="8">
      <w:start w:val="0"/>
      <w:numFmt w:val="bullet"/>
      <w:lvlText w:val="•"/>
      <w:lvlJc w:val="left"/>
      <w:pPr>
        <w:ind w:left="7283" w:hanging="525"/>
      </w:pPr>
      <w:rPr>
        <w:rFonts w:hint="default"/>
        <w:lang w:val="zh-CN" w:eastAsia="zh-CN" w:bidi="zh-CN"/>
      </w:rPr>
    </w:lvl>
  </w:abstractNum>
  <w:abstractNum w:abstractNumId="8">
    <w:nsid w:val="2C1CAA2F"/>
    <w:multiLevelType w:val="hybridMultilevel"/>
    <w:tmpl w:val="00000000"/>
    <w:lvl w:ilvl="0">
      <w:start w:val="1"/>
      <w:numFmt w:val="lowerLetter"/>
      <w:lvlText w:val="%1）"/>
      <w:lvlJc w:val="left"/>
      <w:pPr>
        <w:ind w:left="116" w:hanging="271"/>
        <w:jc w:val="left"/>
      </w:pPr>
      <w:rPr>
        <w:rFonts w:ascii="宋体" w:eastAsia="宋体" w:hAnsi="宋体" w:cs="宋体" w:hint="default"/>
        <w:spacing w:val="-28"/>
        <w:w w:val="100"/>
        <w:sz w:val="16"/>
        <w:szCs w:val="16"/>
        <w:lang w:val="zh-CN" w:eastAsia="zh-CN" w:bidi="zh-CN"/>
      </w:rPr>
    </w:lvl>
    <w:lvl w:ilvl="1">
      <w:start w:val="0"/>
      <w:numFmt w:val="bullet"/>
      <w:lvlText w:val="•"/>
      <w:lvlJc w:val="left"/>
      <w:pPr>
        <w:ind w:left="648" w:hanging="271"/>
      </w:pPr>
      <w:rPr>
        <w:rFonts w:hint="default"/>
        <w:lang w:val="zh-CN" w:eastAsia="zh-CN" w:bidi="zh-CN"/>
      </w:rPr>
    </w:lvl>
    <w:lvl w:ilvl="2">
      <w:start w:val="0"/>
      <w:numFmt w:val="bullet"/>
      <w:lvlText w:val="•"/>
      <w:lvlJc w:val="left"/>
      <w:pPr>
        <w:ind w:left="1177" w:hanging="271"/>
      </w:pPr>
      <w:rPr>
        <w:rFonts w:hint="default"/>
        <w:lang w:val="zh-CN" w:eastAsia="zh-CN" w:bidi="zh-CN"/>
      </w:rPr>
    </w:lvl>
    <w:lvl w:ilvl="3">
      <w:start w:val="0"/>
      <w:numFmt w:val="bullet"/>
      <w:lvlText w:val="•"/>
      <w:lvlJc w:val="left"/>
      <w:pPr>
        <w:ind w:left="1705" w:hanging="271"/>
      </w:pPr>
      <w:rPr>
        <w:rFonts w:hint="default"/>
        <w:lang w:val="zh-CN" w:eastAsia="zh-CN" w:bidi="zh-CN"/>
      </w:rPr>
    </w:lvl>
    <w:lvl w:ilvl="4">
      <w:start w:val="0"/>
      <w:numFmt w:val="bullet"/>
      <w:lvlText w:val="•"/>
      <w:lvlJc w:val="left"/>
      <w:pPr>
        <w:ind w:left="2234" w:hanging="271"/>
      </w:pPr>
      <w:rPr>
        <w:rFonts w:hint="default"/>
        <w:lang w:val="zh-CN" w:eastAsia="zh-CN" w:bidi="zh-CN"/>
      </w:rPr>
    </w:lvl>
    <w:lvl w:ilvl="5">
      <w:start w:val="0"/>
      <w:numFmt w:val="bullet"/>
      <w:lvlText w:val="•"/>
      <w:lvlJc w:val="left"/>
      <w:pPr>
        <w:ind w:left="2762" w:hanging="271"/>
      </w:pPr>
      <w:rPr>
        <w:rFonts w:hint="default"/>
        <w:lang w:val="zh-CN" w:eastAsia="zh-CN" w:bidi="zh-CN"/>
      </w:rPr>
    </w:lvl>
    <w:lvl w:ilvl="6">
      <w:start w:val="0"/>
      <w:numFmt w:val="bullet"/>
      <w:lvlText w:val="•"/>
      <w:lvlJc w:val="left"/>
      <w:pPr>
        <w:ind w:left="3291" w:hanging="271"/>
      </w:pPr>
      <w:rPr>
        <w:rFonts w:hint="default"/>
        <w:lang w:val="zh-CN" w:eastAsia="zh-CN" w:bidi="zh-CN"/>
      </w:rPr>
    </w:lvl>
    <w:lvl w:ilvl="7">
      <w:start w:val="0"/>
      <w:numFmt w:val="bullet"/>
      <w:lvlText w:val="•"/>
      <w:lvlJc w:val="left"/>
      <w:pPr>
        <w:ind w:left="3819" w:hanging="271"/>
      </w:pPr>
      <w:rPr>
        <w:rFonts w:hint="default"/>
        <w:lang w:val="zh-CN" w:eastAsia="zh-CN" w:bidi="zh-CN"/>
      </w:rPr>
    </w:lvl>
    <w:lvl w:ilvl="8">
      <w:start w:val="0"/>
      <w:numFmt w:val="bullet"/>
      <w:lvlText w:val="•"/>
      <w:lvlJc w:val="left"/>
      <w:pPr>
        <w:ind w:left="4348" w:hanging="271"/>
      </w:pPr>
      <w:rPr>
        <w:rFonts w:hint="default"/>
        <w:lang w:val="zh-CN" w:eastAsia="zh-CN" w:bidi="zh-CN"/>
      </w:rPr>
    </w:lvl>
  </w:abstractNum>
  <w:abstractNum w:abstractNumId="9">
    <w:nsid w:val="387391B1"/>
    <w:multiLevelType w:val="hybridMultilevel"/>
    <w:tmpl w:val="00000000"/>
    <w:lvl w:ilvl="0">
      <w:start w:val="1"/>
      <w:numFmt w:val="decimal"/>
      <w:lvlText w:val="%1"/>
      <w:lvlJc w:val="left"/>
      <w:pPr>
        <w:ind w:left="570" w:hanging="316"/>
        <w:jc w:val="left"/>
      </w:pPr>
      <w:rPr>
        <w:rFonts w:ascii="宋体" w:eastAsia="宋体" w:hAnsi="宋体" w:cs="宋体" w:hint="default"/>
        <w:w w:val="100"/>
        <w:sz w:val="21"/>
        <w:szCs w:val="21"/>
        <w:lang w:val="zh-CN" w:eastAsia="zh-CN" w:bidi="zh-CN"/>
      </w:rPr>
    </w:lvl>
    <w:lvl w:ilvl="1">
      <w:start w:val="0"/>
      <w:numFmt w:val="bullet"/>
      <w:lvlText w:val="•"/>
      <w:lvlJc w:val="left"/>
      <w:pPr>
        <w:ind w:left="1498" w:hanging="316"/>
      </w:pPr>
      <w:rPr>
        <w:rFonts w:hint="default"/>
        <w:lang w:val="zh-CN" w:eastAsia="zh-CN" w:bidi="zh-CN"/>
      </w:rPr>
    </w:lvl>
    <w:lvl w:ilvl="2">
      <w:start w:val="0"/>
      <w:numFmt w:val="bullet"/>
      <w:lvlText w:val="•"/>
      <w:lvlJc w:val="left"/>
      <w:pPr>
        <w:ind w:left="2416" w:hanging="316"/>
      </w:pPr>
      <w:rPr>
        <w:rFonts w:hint="default"/>
        <w:lang w:val="zh-CN" w:eastAsia="zh-CN" w:bidi="zh-CN"/>
      </w:rPr>
    </w:lvl>
    <w:lvl w:ilvl="3">
      <w:start w:val="0"/>
      <w:numFmt w:val="bullet"/>
      <w:lvlText w:val="•"/>
      <w:lvlJc w:val="left"/>
      <w:pPr>
        <w:ind w:left="3335" w:hanging="316"/>
      </w:pPr>
      <w:rPr>
        <w:rFonts w:hint="default"/>
        <w:lang w:val="zh-CN" w:eastAsia="zh-CN" w:bidi="zh-CN"/>
      </w:rPr>
    </w:lvl>
    <w:lvl w:ilvl="4">
      <w:start w:val="0"/>
      <w:numFmt w:val="bullet"/>
      <w:lvlText w:val="•"/>
      <w:lvlJc w:val="left"/>
      <w:pPr>
        <w:ind w:left="4253" w:hanging="316"/>
      </w:pPr>
      <w:rPr>
        <w:rFonts w:hint="default"/>
        <w:lang w:val="zh-CN" w:eastAsia="zh-CN" w:bidi="zh-CN"/>
      </w:rPr>
    </w:lvl>
    <w:lvl w:ilvl="5">
      <w:start w:val="0"/>
      <w:numFmt w:val="bullet"/>
      <w:lvlText w:val="•"/>
      <w:lvlJc w:val="left"/>
      <w:pPr>
        <w:ind w:left="5172" w:hanging="316"/>
      </w:pPr>
      <w:rPr>
        <w:rFonts w:hint="default"/>
        <w:lang w:val="zh-CN" w:eastAsia="zh-CN" w:bidi="zh-CN"/>
      </w:rPr>
    </w:lvl>
    <w:lvl w:ilvl="6">
      <w:start w:val="0"/>
      <w:numFmt w:val="bullet"/>
      <w:lvlText w:val="•"/>
      <w:lvlJc w:val="left"/>
      <w:pPr>
        <w:ind w:left="6090" w:hanging="316"/>
      </w:pPr>
      <w:rPr>
        <w:rFonts w:hint="default"/>
        <w:lang w:val="zh-CN" w:eastAsia="zh-CN" w:bidi="zh-CN"/>
      </w:rPr>
    </w:lvl>
    <w:lvl w:ilvl="7">
      <w:start w:val="0"/>
      <w:numFmt w:val="bullet"/>
      <w:lvlText w:val="•"/>
      <w:lvlJc w:val="left"/>
      <w:pPr>
        <w:ind w:left="7009" w:hanging="316"/>
      </w:pPr>
      <w:rPr>
        <w:rFonts w:hint="default"/>
        <w:lang w:val="zh-CN" w:eastAsia="zh-CN" w:bidi="zh-CN"/>
      </w:rPr>
    </w:lvl>
    <w:lvl w:ilvl="8">
      <w:start w:val="0"/>
      <w:numFmt w:val="bullet"/>
      <w:lvlText w:val="•"/>
      <w:lvlJc w:val="left"/>
      <w:pPr>
        <w:ind w:left="7927" w:hanging="316"/>
      </w:pPr>
      <w:rPr>
        <w:rFonts w:hint="default"/>
        <w:lang w:val="zh-CN" w:eastAsia="zh-CN" w:bidi="zh-CN"/>
      </w:rPr>
    </w:lvl>
  </w:abstractNum>
  <w:abstractNum w:abstractNumId="10">
    <w:nsid w:val="484A5DF3"/>
    <w:multiLevelType w:val="hybridMultilevel"/>
    <w:tmpl w:val="00000000"/>
    <w:lvl w:ilvl="0">
      <w:start w:val="7"/>
      <w:numFmt w:val="lowerLetter"/>
      <w:lvlText w:val="%1)"/>
      <w:lvlJc w:val="left"/>
      <w:pPr>
        <w:ind w:left="386" w:hanging="270"/>
        <w:jc w:val="left"/>
      </w:pPr>
      <w:rPr>
        <w:rFonts w:ascii="宋体" w:eastAsia="宋体" w:hAnsi="宋体" w:cs="宋体" w:hint="default"/>
        <w:w w:val="100"/>
        <w:sz w:val="18"/>
        <w:szCs w:val="18"/>
        <w:lang w:val="zh-CN" w:eastAsia="zh-CN" w:bidi="zh-CN"/>
      </w:rPr>
    </w:lvl>
    <w:lvl w:ilvl="1">
      <w:start w:val="0"/>
      <w:numFmt w:val="bullet"/>
      <w:lvlText w:val="•"/>
      <w:lvlJc w:val="left"/>
      <w:pPr>
        <w:ind w:left="882" w:hanging="270"/>
      </w:pPr>
      <w:rPr>
        <w:rFonts w:hint="default"/>
        <w:lang w:val="zh-CN" w:eastAsia="zh-CN" w:bidi="zh-CN"/>
      </w:rPr>
    </w:lvl>
    <w:lvl w:ilvl="2">
      <w:start w:val="0"/>
      <w:numFmt w:val="bullet"/>
      <w:lvlText w:val="•"/>
      <w:lvlJc w:val="left"/>
      <w:pPr>
        <w:ind w:left="1385" w:hanging="270"/>
      </w:pPr>
      <w:rPr>
        <w:rFonts w:hint="default"/>
        <w:lang w:val="zh-CN" w:eastAsia="zh-CN" w:bidi="zh-CN"/>
      </w:rPr>
    </w:lvl>
    <w:lvl w:ilvl="3">
      <w:start w:val="0"/>
      <w:numFmt w:val="bullet"/>
      <w:lvlText w:val="•"/>
      <w:lvlJc w:val="left"/>
      <w:pPr>
        <w:ind w:left="1887" w:hanging="270"/>
      </w:pPr>
      <w:rPr>
        <w:rFonts w:hint="default"/>
        <w:lang w:val="zh-CN" w:eastAsia="zh-CN" w:bidi="zh-CN"/>
      </w:rPr>
    </w:lvl>
    <w:lvl w:ilvl="4">
      <w:start w:val="0"/>
      <w:numFmt w:val="bullet"/>
      <w:lvlText w:val="•"/>
      <w:lvlJc w:val="left"/>
      <w:pPr>
        <w:ind w:left="2390" w:hanging="270"/>
      </w:pPr>
      <w:rPr>
        <w:rFonts w:hint="default"/>
        <w:lang w:val="zh-CN" w:eastAsia="zh-CN" w:bidi="zh-CN"/>
      </w:rPr>
    </w:lvl>
    <w:lvl w:ilvl="5">
      <w:start w:val="0"/>
      <w:numFmt w:val="bullet"/>
      <w:lvlText w:val="•"/>
      <w:lvlJc w:val="left"/>
      <w:pPr>
        <w:ind w:left="2892" w:hanging="270"/>
      </w:pPr>
      <w:rPr>
        <w:rFonts w:hint="default"/>
        <w:lang w:val="zh-CN" w:eastAsia="zh-CN" w:bidi="zh-CN"/>
      </w:rPr>
    </w:lvl>
    <w:lvl w:ilvl="6">
      <w:start w:val="0"/>
      <w:numFmt w:val="bullet"/>
      <w:lvlText w:val="•"/>
      <w:lvlJc w:val="left"/>
      <w:pPr>
        <w:ind w:left="3395" w:hanging="270"/>
      </w:pPr>
      <w:rPr>
        <w:rFonts w:hint="default"/>
        <w:lang w:val="zh-CN" w:eastAsia="zh-CN" w:bidi="zh-CN"/>
      </w:rPr>
    </w:lvl>
    <w:lvl w:ilvl="7">
      <w:start w:val="0"/>
      <w:numFmt w:val="bullet"/>
      <w:lvlText w:val="•"/>
      <w:lvlJc w:val="left"/>
      <w:pPr>
        <w:ind w:left="3897" w:hanging="270"/>
      </w:pPr>
      <w:rPr>
        <w:rFonts w:hint="default"/>
        <w:lang w:val="zh-CN" w:eastAsia="zh-CN" w:bidi="zh-CN"/>
      </w:rPr>
    </w:lvl>
    <w:lvl w:ilvl="8">
      <w:start w:val="0"/>
      <w:numFmt w:val="bullet"/>
      <w:lvlText w:val="•"/>
      <w:lvlJc w:val="left"/>
      <w:pPr>
        <w:ind w:left="4400" w:hanging="270"/>
      </w:pPr>
      <w:rPr>
        <w:rFonts w:hint="default"/>
        <w:lang w:val="zh-CN" w:eastAsia="zh-CN" w:bidi="zh-CN"/>
      </w:rPr>
    </w:lvl>
  </w:abstractNum>
  <w:abstractNum w:abstractNumId="11">
    <w:nsid w:val="4BF81BE8"/>
    <w:multiLevelType w:val="hybridMultilevel"/>
    <w:tmpl w:val="00000000"/>
    <w:lvl w:ilvl="0">
      <w:start w:val="3"/>
      <w:numFmt w:val="lowerLetter"/>
      <w:lvlText w:val="%1）"/>
      <w:lvlJc w:val="left"/>
      <w:pPr>
        <w:ind w:left="387" w:hanging="271"/>
        <w:jc w:val="left"/>
      </w:pPr>
      <w:rPr>
        <w:rFonts w:ascii="宋体" w:eastAsia="宋体" w:hAnsi="宋体" w:cs="宋体" w:hint="default"/>
        <w:spacing w:val="-8"/>
        <w:w w:val="100"/>
        <w:sz w:val="16"/>
        <w:szCs w:val="16"/>
        <w:lang w:val="zh-CN" w:eastAsia="zh-CN" w:bidi="zh-CN"/>
      </w:rPr>
    </w:lvl>
    <w:lvl w:ilvl="1">
      <w:start w:val="0"/>
      <w:numFmt w:val="bullet"/>
      <w:lvlText w:val="•"/>
      <w:lvlJc w:val="left"/>
      <w:pPr>
        <w:ind w:left="882" w:hanging="271"/>
      </w:pPr>
      <w:rPr>
        <w:rFonts w:hint="default"/>
        <w:lang w:val="zh-CN" w:eastAsia="zh-CN" w:bidi="zh-CN"/>
      </w:rPr>
    </w:lvl>
    <w:lvl w:ilvl="2">
      <w:start w:val="0"/>
      <w:numFmt w:val="bullet"/>
      <w:lvlText w:val="•"/>
      <w:lvlJc w:val="left"/>
      <w:pPr>
        <w:ind w:left="1385" w:hanging="271"/>
      </w:pPr>
      <w:rPr>
        <w:rFonts w:hint="default"/>
        <w:lang w:val="zh-CN" w:eastAsia="zh-CN" w:bidi="zh-CN"/>
      </w:rPr>
    </w:lvl>
    <w:lvl w:ilvl="3">
      <w:start w:val="0"/>
      <w:numFmt w:val="bullet"/>
      <w:lvlText w:val="•"/>
      <w:lvlJc w:val="left"/>
      <w:pPr>
        <w:ind w:left="1887" w:hanging="271"/>
      </w:pPr>
      <w:rPr>
        <w:rFonts w:hint="default"/>
        <w:lang w:val="zh-CN" w:eastAsia="zh-CN" w:bidi="zh-CN"/>
      </w:rPr>
    </w:lvl>
    <w:lvl w:ilvl="4">
      <w:start w:val="0"/>
      <w:numFmt w:val="bullet"/>
      <w:lvlText w:val="•"/>
      <w:lvlJc w:val="left"/>
      <w:pPr>
        <w:ind w:left="2390" w:hanging="271"/>
      </w:pPr>
      <w:rPr>
        <w:rFonts w:hint="default"/>
        <w:lang w:val="zh-CN" w:eastAsia="zh-CN" w:bidi="zh-CN"/>
      </w:rPr>
    </w:lvl>
    <w:lvl w:ilvl="5">
      <w:start w:val="0"/>
      <w:numFmt w:val="bullet"/>
      <w:lvlText w:val="•"/>
      <w:lvlJc w:val="left"/>
      <w:pPr>
        <w:ind w:left="2892" w:hanging="271"/>
      </w:pPr>
      <w:rPr>
        <w:rFonts w:hint="default"/>
        <w:lang w:val="zh-CN" w:eastAsia="zh-CN" w:bidi="zh-CN"/>
      </w:rPr>
    </w:lvl>
    <w:lvl w:ilvl="6">
      <w:start w:val="0"/>
      <w:numFmt w:val="bullet"/>
      <w:lvlText w:val="•"/>
      <w:lvlJc w:val="left"/>
      <w:pPr>
        <w:ind w:left="3395" w:hanging="271"/>
      </w:pPr>
      <w:rPr>
        <w:rFonts w:hint="default"/>
        <w:lang w:val="zh-CN" w:eastAsia="zh-CN" w:bidi="zh-CN"/>
      </w:rPr>
    </w:lvl>
    <w:lvl w:ilvl="7">
      <w:start w:val="0"/>
      <w:numFmt w:val="bullet"/>
      <w:lvlText w:val="•"/>
      <w:lvlJc w:val="left"/>
      <w:pPr>
        <w:ind w:left="3897" w:hanging="271"/>
      </w:pPr>
      <w:rPr>
        <w:rFonts w:hint="default"/>
        <w:lang w:val="zh-CN" w:eastAsia="zh-CN" w:bidi="zh-CN"/>
      </w:rPr>
    </w:lvl>
    <w:lvl w:ilvl="8">
      <w:start w:val="0"/>
      <w:numFmt w:val="bullet"/>
      <w:lvlText w:val="•"/>
      <w:lvlJc w:val="left"/>
      <w:pPr>
        <w:ind w:left="4400" w:hanging="271"/>
      </w:pPr>
      <w:rPr>
        <w:rFonts w:hint="default"/>
        <w:lang w:val="zh-CN" w:eastAsia="zh-CN" w:bidi="zh-CN"/>
      </w:rPr>
    </w:lvl>
  </w:abstractNum>
  <w:abstractNum w:abstractNumId="12">
    <w:nsid w:val="4CC377DC"/>
    <w:multiLevelType w:val="hybridMultilevel"/>
    <w:tmpl w:val="00000000"/>
    <w:lvl w:ilvl="0">
      <w:start w:val="1"/>
      <w:numFmt w:val="decimal"/>
      <w:lvlText w:val="%1"/>
      <w:lvlJc w:val="left"/>
      <w:pPr>
        <w:ind w:left="514" w:hanging="316"/>
        <w:jc w:val="left"/>
      </w:pPr>
      <w:rPr>
        <w:rFonts w:ascii="黑体" w:eastAsia="黑体" w:hAnsi="黑体" w:cs="黑体" w:hint="default"/>
        <w:spacing w:val="-1"/>
        <w:w w:val="100"/>
        <w:sz w:val="21"/>
        <w:szCs w:val="21"/>
        <w:lang w:val="zh-CN" w:eastAsia="zh-CN" w:bidi="zh-CN"/>
      </w:rPr>
    </w:lvl>
    <w:lvl w:ilvl="1">
      <w:start w:val="1"/>
      <w:numFmt w:val="decimal"/>
      <w:lvlText w:val="%1.%2"/>
      <w:lvlJc w:val="left"/>
      <w:pPr>
        <w:ind w:left="723" w:hanging="525"/>
        <w:jc w:val="left"/>
      </w:pPr>
      <w:rPr>
        <w:rFonts w:hint="default"/>
        <w:spacing w:val="-1"/>
        <w:w w:val="100"/>
        <w:lang w:val="zh-CN" w:eastAsia="zh-CN" w:bidi="zh-CN"/>
      </w:rPr>
    </w:lvl>
    <w:lvl w:ilvl="2">
      <w:start w:val="1"/>
      <w:numFmt w:val="lowerLetter"/>
      <w:lvlText w:val="%3)"/>
      <w:lvlJc w:val="left"/>
      <w:pPr>
        <w:ind w:left="1072" w:hanging="525"/>
        <w:jc w:val="left"/>
      </w:pPr>
      <w:rPr>
        <w:rFonts w:ascii="宋体" w:eastAsia="宋体" w:hAnsi="宋体" w:cs="宋体" w:hint="default"/>
        <w:spacing w:val="-2"/>
        <w:w w:val="100"/>
        <w:sz w:val="21"/>
        <w:szCs w:val="21"/>
        <w:lang w:val="zh-CN" w:eastAsia="zh-CN" w:bidi="zh-CN"/>
      </w:rPr>
    </w:lvl>
    <w:lvl w:ilvl="3">
      <w:start w:val="0"/>
      <w:numFmt w:val="bullet"/>
      <w:lvlText w:val="•"/>
      <w:lvlJc w:val="left"/>
      <w:pPr>
        <w:ind w:left="1080" w:hanging="525"/>
      </w:pPr>
      <w:rPr>
        <w:rFonts w:hint="default"/>
        <w:lang w:val="zh-CN" w:eastAsia="zh-CN" w:bidi="zh-CN"/>
      </w:rPr>
    </w:lvl>
    <w:lvl w:ilvl="4">
      <w:start w:val="0"/>
      <w:numFmt w:val="bullet"/>
      <w:lvlText w:val="•"/>
      <w:lvlJc w:val="left"/>
      <w:pPr>
        <w:ind w:left="2320" w:hanging="525"/>
      </w:pPr>
      <w:rPr>
        <w:rFonts w:hint="default"/>
        <w:lang w:val="zh-CN" w:eastAsia="zh-CN" w:bidi="zh-CN"/>
      </w:rPr>
    </w:lvl>
    <w:lvl w:ilvl="5">
      <w:start w:val="0"/>
      <w:numFmt w:val="bullet"/>
      <w:lvlText w:val="•"/>
      <w:lvlJc w:val="left"/>
      <w:pPr>
        <w:ind w:left="3561" w:hanging="525"/>
      </w:pPr>
      <w:rPr>
        <w:rFonts w:hint="default"/>
        <w:lang w:val="zh-CN" w:eastAsia="zh-CN" w:bidi="zh-CN"/>
      </w:rPr>
    </w:lvl>
    <w:lvl w:ilvl="6">
      <w:start w:val="0"/>
      <w:numFmt w:val="bullet"/>
      <w:lvlText w:val="•"/>
      <w:lvlJc w:val="left"/>
      <w:pPr>
        <w:ind w:left="4801" w:hanging="525"/>
      </w:pPr>
      <w:rPr>
        <w:rFonts w:hint="default"/>
        <w:lang w:val="zh-CN" w:eastAsia="zh-CN" w:bidi="zh-CN"/>
      </w:rPr>
    </w:lvl>
    <w:lvl w:ilvl="7">
      <w:start w:val="0"/>
      <w:numFmt w:val="bullet"/>
      <w:lvlText w:val="•"/>
      <w:lvlJc w:val="left"/>
      <w:pPr>
        <w:ind w:left="6042" w:hanging="525"/>
      </w:pPr>
      <w:rPr>
        <w:rFonts w:hint="default"/>
        <w:lang w:val="zh-CN" w:eastAsia="zh-CN" w:bidi="zh-CN"/>
      </w:rPr>
    </w:lvl>
    <w:lvl w:ilvl="8">
      <w:start w:val="0"/>
      <w:numFmt w:val="bullet"/>
      <w:lvlText w:val="•"/>
      <w:lvlJc w:val="left"/>
      <w:pPr>
        <w:ind w:left="7283" w:hanging="525"/>
      </w:pPr>
      <w:rPr>
        <w:rFonts w:hint="default"/>
        <w:lang w:val="zh-CN" w:eastAsia="zh-CN" w:bidi="zh-CN"/>
      </w:rPr>
    </w:lvl>
  </w:abstractNum>
  <w:abstractNum w:abstractNumId="13">
    <w:nsid w:val="504D8D6D"/>
    <w:multiLevelType w:val="hybridMultilevel"/>
    <w:tmpl w:val="00000000"/>
    <w:lvl w:ilvl="0">
      <w:start w:val="1"/>
      <w:numFmt w:val="lowerLetter"/>
      <w:lvlText w:val="%1)"/>
      <w:lvlJc w:val="left"/>
      <w:pPr>
        <w:ind w:left="934" w:hanging="421"/>
        <w:jc w:val="left"/>
      </w:pPr>
      <w:rPr>
        <w:rFonts w:ascii="宋体" w:eastAsia="宋体" w:hAnsi="宋体" w:cs="宋体" w:hint="default"/>
        <w:spacing w:val="-2"/>
        <w:w w:val="100"/>
        <w:sz w:val="21"/>
        <w:szCs w:val="21"/>
        <w:lang w:val="zh-CN" w:eastAsia="zh-CN" w:bidi="zh-CN"/>
      </w:rPr>
    </w:lvl>
    <w:lvl w:ilvl="1">
      <w:start w:val="0"/>
      <w:numFmt w:val="bullet"/>
      <w:lvlText w:val="•"/>
      <w:lvlJc w:val="left"/>
      <w:pPr>
        <w:ind w:left="1822" w:hanging="421"/>
      </w:pPr>
      <w:rPr>
        <w:rFonts w:hint="default"/>
        <w:lang w:val="zh-CN" w:eastAsia="zh-CN" w:bidi="zh-CN"/>
      </w:rPr>
    </w:lvl>
    <w:lvl w:ilvl="2">
      <w:start w:val="0"/>
      <w:numFmt w:val="bullet"/>
      <w:lvlText w:val="•"/>
      <w:lvlJc w:val="left"/>
      <w:pPr>
        <w:ind w:left="2704" w:hanging="421"/>
      </w:pPr>
      <w:rPr>
        <w:rFonts w:hint="default"/>
        <w:lang w:val="zh-CN" w:eastAsia="zh-CN" w:bidi="zh-CN"/>
      </w:rPr>
    </w:lvl>
    <w:lvl w:ilvl="3">
      <w:start w:val="0"/>
      <w:numFmt w:val="bullet"/>
      <w:lvlText w:val="•"/>
      <w:lvlJc w:val="left"/>
      <w:pPr>
        <w:ind w:left="3587" w:hanging="421"/>
      </w:pPr>
      <w:rPr>
        <w:rFonts w:hint="default"/>
        <w:lang w:val="zh-CN" w:eastAsia="zh-CN" w:bidi="zh-CN"/>
      </w:rPr>
    </w:lvl>
    <w:lvl w:ilvl="4">
      <w:start w:val="0"/>
      <w:numFmt w:val="bullet"/>
      <w:lvlText w:val="•"/>
      <w:lvlJc w:val="left"/>
      <w:pPr>
        <w:ind w:left="4469" w:hanging="421"/>
      </w:pPr>
      <w:rPr>
        <w:rFonts w:hint="default"/>
        <w:lang w:val="zh-CN" w:eastAsia="zh-CN" w:bidi="zh-CN"/>
      </w:rPr>
    </w:lvl>
    <w:lvl w:ilvl="5">
      <w:start w:val="0"/>
      <w:numFmt w:val="bullet"/>
      <w:lvlText w:val="•"/>
      <w:lvlJc w:val="left"/>
      <w:pPr>
        <w:ind w:left="5352" w:hanging="421"/>
      </w:pPr>
      <w:rPr>
        <w:rFonts w:hint="default"/>
        <w:lang w:val="zh-CN" w:eastAsia="zh-CN" w:bidi="zh-CN"/>
      </w:rPr>
    </w:lvl>
    <w:lvl w:ilvl="6">
      <w:start w:val="0"/>
      <w:numFmt w:val="bullet"/>
      <w:lvlText w:val="•"/>
      <w:lvlJc w:val="left"/>
      <w:pPr>
        <w:ind w:left="6234" w:hanging="421"/>
      </w:pPr>
      <w:rPr>
        <w:rFonts w:hint="default"/>
        <w:lang w:val="zh-CN" w:eastAsia="zh-CN" w:bidi="zh-CN"/>
      </w:rPr>
    </w:lvl>
    <w:lvl w:ilvl="7">
      <w:start w:val="0"/>
      <w:numFmt w:val="bullet"/>
      <w:lvlText w:val="•"/>
      <w:lvlJc w:val="left"/>
      <w:pPr>
        <w:ind w:left="7117" w:hanging="421"/>
      </w:pPr>
      <w:rPr>
        <w:rFonts w:hint="default"/>
        <w:lang w:val="zh-CN" w:eastAsia="zh-CN" w:bidi="zh-CN"/>
      </w:rPr>
    </w:lvl>
    <w:lvl w:ilvl="8">
      <w:start w:val="0"/>
      <w:numFmt w:val="bullet"/>
      <w:lvlText w:val="•"/>
      <w:lvlJc w:val="left"/>
      <w:pPr>
        <w:ind w:left="7999" w:hanging="421"/>
      </w:pPr>
      <w:rPr>
        <w:rFonts w:hint="default"/>
        <w:lang w:val="zh-CN" w:eastAsia="zh-CN" w:bidi="zh-CN"/>
      </w:rPr>
    </w:lvl>
  </w:abstractNum>
  <w:abstractNum w:abstractNumId="14">
    <w:nsid w:val="532CB984"/>
    <w:multiLevelType w:val="hybridMultilevel"/>
    <w:tmpl w:val="00000000"/>
    <w:lvl w:ilvl="0">
      <w:start w:val="1"/>
      <w:numFmt w:val="decimal"/>
      <w:lvlText w:val="%1."/>
      <w:lvlJc w:val="left"/>
      <w:pPr>
        <w:ind w:left="513" w:hanging="315"/>
        <w:jc w:val="left"/>
      </w:pPr>
      <w:rPr>
        <w:rFonts w:ascii="宋体" w:eastAsia="宋体" w:hAnsi="宋体" w:cs="宋体" w:hint="default"/>
        <w:spacing w:val="-2"/>
        <w:w w:val="100"/>
        <w:sz w:val="21"/>
        <w:szCs w:val="21"/>
        <w:lang w:val="zh-CN" w:eastAsia="zh-CN" w:bidi="zh-CN"/>
      </w:rPr>
    </w:lvl>
    <w:lvl w:ilvl="1">
      <w:start w:val="0"/>
      <w:numFmt w:val="bullet"/>
      <w:lvlText w:val="•"/>
      <w:lvlJc w:val="left"/>
      <w:pPr>
        <w:ind w:left="1444" w:hanging="315"/>
      </w:pPr>
      <w:rPr>
        <w:rFonts w:hint="default"/>
        <w:lang w:val="zh-CN" w:eastAsia="zh-CN" w:bidi="zh-CN"/>
      </w:rPr>
    </w:lvl>
    <w:lvl w:ilvl="2">
      <w:start w:val="0"/>
      <w:numFmt w:val="bullet"/>
      <w:lvlText w:val="•"/>
      <w:lvlJc w:val="left"/>
      <w:pPr>
        <w:ind w:left="2368" w:hanging="315"/>
      </w:pPr>
      <w:rPr>
        <w:rFonts w:hint="default"/>
        <w:lang w:val="zh-CN" w:eastAsia="zh-CN" w:bidi="zh-CN"/>
      </w:rPr>
    </w:lvl>
    <w:lvl w:ilvl="3">
      <w:start w:val="0"/>
      <w:numFmt w:val="bullet"/>
      <w:lvlText w:val="•"/>
      <w:lvlJc w:val="left"/>
      <w:pPr>
        <w:ind w:left="3293" w:hanging="315"/>
      </w:pPr>
      <w:rPr>
        <w:rFonts w:hint="default"/>
        <w:lang w:val="zh-CN" w:eastAsia="zh-CN" w:bidi="zh-CN"/>
      </w:rPr>
    </w:lvl>
    <w:lvl w:ilvl="4">
      <w:start w:val="0"/>
      <w:numFmt w:val="bullet"/>
      <w:lvlText w:val="•"/>
      <w:lvlJc w:val="left"/>
      <w:pPr>
        <w:ind w:left="4217" w:hanging="315"/>
      </w:pPr>
      <w:rPr>
        <w:rFonts w:hint="default"/>
        <w:lang w:val="zh-CN" w:eastAsia="zh-CN" w:bidi="zh-CN"/>
      </w:rPr>
    </w:lvl>
    <w:lvl w:ilvl="5">
      <w:start w:val="0"/>
      <w:numFmt w:val="bullet"/>
      <w:lvlText w:val="•"/>
      <w:lvlJc w:val="left"/>
      <w:pPr>
        <w:ind w:left="5142" w:hanging="315"/>
      </w:pPr>
      <w:rPr>
        <w:rFonts w:hint="default"/>
        <w:lang w:val="zh-CN" w:eastAsia="zh-CN" w:bidi="zh-CN"/>
      </w:rPr>
    </w:lvl>
    <w:lvl w:ilvl="6">
      <w:start w:val="0"/>
      <w:numFmt w:val="bullet"/>
      <w:lvlText w:val="•"/>
      <w:lvlJc w:val="left"/>
      <w:pPr>
        <w:ind w:left="6066" w:hanging="315"/>
      </w:pPr>
      <w:rPr>
        <w:rFonts w:hint="default"/>
        <w:lang w:val="zh-CN" w:eastAsia="zh-CN" w:bidi="zh-CN"/>
      </w:rPr>
    </w:lvl>
    <w:lvl w:ilvl="7">
      <w:start w:val="0"/>
      <w:numFmt w:val="bullet"/>
      <w:lvlText w:val="•"/>
      <w:lvlJc w:val="left"/>
      <w:pPr>
        <w:ind w:left="6991" w:hanging="315"/>
      </w:pPr>
      <w:rPr>
        <w:rFonts w:hint="default"/>
        <w:lang w:val="zh-CN" w:eastAsia="zh-CN" w:bidi="zh-CN"/>
      </w:rPr>
    </w:lvl>
    <w:lvl w:ilvl="8">
      <w:start w:val="0"/>
      <w:numFmt w:val="bullet"/>
      <w:lvlText w:val="•"/>
      <w:lvlJc w:val="left"/>
      <w:pPr>
        <w:ind w:left="7915" w:hanging="315"/>
      </w:pPr>
      <w:rPr>
        <w:rFonts w:hint="default"/>
        <w:lang w:val="zh-CN" w:eastAsia="zh-CN" w:bidi="zh-CN"/>
      </w:rPr>
    </w:lvl>
  </w:abstractNum>
  <w:abstractNum w:abstractNumId="15">
    <w:nsid w:val="5733001D"/>
    <w:multiLevelType w:val="hybridMultilevel"/>
    <w:tmpl w:val="00000000"/>
    <w:lvl w:ilvl="0">
      <w:start w:val="5"/>
      <w:numFmt w:val="decimal"/>
      <w:lvlText w:val="%1"/>
      <w:lvlJc w:val="left"/>
      <w:pPr>
        <w:ind w:left="933" w:hanging="735"/>
        <w:jc w:val="left"/>
      </w:pPr>
      <w:rPr>
        <w:rFonts w:hint="default"/>
        <w:lang w:val="zh-CN" w:eastAsia="zh-CN" w:bidi="zh-CN"/>
      </w:rPr>
    </w:lvl>
    <w:lvl w:ilvl="1">
      <w:start w:val="2"/>
      <w:numFmt w:val="decimal"/>
      <w:lvlText w:val="%1.%2"/>
      <w:lvlJc w:val="left"/>
      <w:pPr>
        <w:ind w:left="933" w:hanging="735"/>
        <w:jc w:val="left"/>
      </w:pPr>
      <w:rPr>
        <w:rFonts w:hint="default"/>
        <w:lang w:val="zh-CN" w:eastAsia="zh-CN" w:bidi="zh-CN"/>
      </w:rPr>
    </w:lvl>
    <w:lvl w:ilvl="2">
      <w:start w:val="1"/>
      <w:numFmt w:val="decimal"/>
      <w:lvlText w:val="%1.%2.%3"/>
      <w:lvlJc w:val="left"/>
      <w:pPr>
        <w:ind w:left="933" w:hanging="735"/>
        <w:jc w:val="left"/>
      </w:pPr>
      <w:rPr>
        <w:rFonts w:ascii="黑体" w:eastAsia="黑体" w:hAnsi="黑体" w:cs="黑体" w:hint="default"/>
        <w:spacing w:val="-1"/>
        <w:w w:val="100"/>
        <w:sz w:val="21"/>
        <w:szCs w:val="21"/>
        <w:lang w:val="zh-CN" w:eastAsia="zh-CN" w:bidi="zh-CN"/>
      </w:rPr>
    </w:lvl>
    <w:lvl w:ilvl="3">
      <w:start w:val="0"/>
      <w:numFmt w:val="bullet"/>
      <w:lvlText w:val="•"/>
      <w:lvlJc w:val="left"/>
      <w:pPr>
        <w:ind w:left="3587" w:hanging="735"/>
      </w:pPr>
      <w:rPr>
        <w:rFonts w:hint="default"/>
        <w:lang w:val="zh-CN" w:eastAsia="zh-CN" w:bidi="zh-CN"/>
      </w:rPr>
    </w:lvl>
    <w:lvl w:ilvl="4">
      <w:start w:val="0"/>
      <w:numFmt w:val="bullet"/>
      <w:lvlText w:val="•"/>
      <w:lvlJc w:val="left"/>
      <w:pPr>
        <w:ind w:left="4469" w:hanging="735"/>
      </w:pPr>
      <w:rPr>
        <w:rFonts w:hint="default"/>
        <w:lang w:val="zh-CN" w:eastAsia="zh-CN" w:bidi="zh-CN"/>
      </w:rPr>
    </w:lvl>
    <w:lvl w:ilvl="5">
      <w:start w:val="0"/>
      <w:numFmt w:val="bullet"/>
      <w:lvlText w:val="•"/>
      <w:lvlJc w:val="left"/>
      <w:pPr>
        <w:ind w:left="5352" w:hanging="735"/>
      </w:pPr>
      <w:rPr>
        <w:rFonts w:hint="default"/>
        <w:lang w:val="zh-CN" w:eastAsia="zh-CN" w:bidi="zh-CN"/>
      </w:rPr>
    </w:lvl>
    <w:lvl w:ilvl="6">
      <w:start w:val="0"/>
      <w:numFmt w:val="bullet"/>
      <w:lvlText w:val="•"/>
      <w:lvlJc w:val="left"/>
      <w:pPr>
        <w:ind w:left="6234" w:hanging="735"/>
      </w:pPr>
      <w:rPr>
        <w:rFonts w:hint="default"/>
        <w:lang w:val="zh-CN" w:eastAsia="zh-CN" w:bidi="zh-CN"/>
      </w:rPr>
    </w:lvl>
    <w:lvl w:ilvl="7">
      <w:start w:val="0"/>
      <w:numFmt w:val="bullet"/>
      <w:lvlText w:val="•"/>
      <w:lvlJc w:val="left"/>
      <w:pPr>
        <w:ind w:left="7117" w:hanging="735"/>
      </w:pPr>
      <w:rPr>
        <w:rFonts w:hint="default"/>
        <w:lang w:val="zh-CN" w:eastAsia="zh-CN" w:bidi="zh-CN"/>
      </w:rPr>
    </w:lvl>
    <w:lvl w:ilvl="8">
      <w:start w:val="0"/>
      <w:numFmt w:val="bullet"/>
      <w:lvlText w:val="•"/>
      <w:lvlJc w:val="left"/>
      <w:pPr>
        <w:ind w:left="7999" w:hanging="735"/>
      </w:pPr>
      <w:rPr>
        <w:rFonts w:hint="default"/>
        <w:lang w:val="zh-CN" w:eastAsia="zh-CN" w:bidi="zh-CN"/>
      </w:rPr>
    </w:lvl>
  </w:abstractNum>
  <w:abstractNum w:abstractNumId="16">
    <w:nsid w:val="589F5C98"/>
    <w:multiLevelType w:val="hybridMultilevel"/>
    <w:tmpl w:val="00000000"/>
    <w:lvl w:ilvl="0">
      <w:start w:val="6"/>
      <w:numFmt w:val="decimal"/>
      <w:lvlText w:val="%1"/>
      <w:lvlJc w:val="left"/>
      <w:pPr>
        <w:ind w:left="198" w:hanging="737"/>
        <w:jc w:val="left"/>
      </w:pPr>
      <w:rPr>
        <w:rFonts w:hint="default"/>
        <w:lang w:val="zh-CN" w:eastAsia="zh-CN" w:bidi="zh-CN"/>
      </w:rPr>
    </w:lvl>
    <w:lvl w:ilvl="1">
      <w:start w:val="1"/>
      <w:numFmt w:val="decimal"/>
      <w:lvlText w:val="%1.%2"/>
      <w:lvlJc w:val="left"/>
      <w:pPr>
        <w:ind w:left="198" w:hanging="737"/>
        <w:jc w:val="left"/>
      </w:pPr>
      <w:rPr>
        <w:rFonts w:hint="default"/>
        <w:lang w:val="zh-CN" w:eastAsia="zh-CN" w:bidi="zh-CN"/>
      </w:rPr>
    </w:lvl>
    <w:lvl w:ilvl="2">
      <w:start w:val="1"/>
      <w:numFmt w:val="decimal"/>
      <w:lvlText w:val="%1.%2.%3"/>
      <w:lvlJc w:val="left"/>
      <w:pPr>
        <w:ind w:left="198" w:hanging="737"/>
        <w:jc w:val="left"/>
      </w:pPr>
      <w:rPr>
        <w:rFonts w:ascii="黑体" w:eastAsia="黑体" w:hAnsi="黑体" w:cs="黑体" w:hint="default"/>
        <w:spacing w:val="-15"/>
        <w:w w:val="100"/>
        <w:sz w:val="21"/>
        <w:szCs w:val="21"/>
        <w:lang w:val="zh-CN" w:eastAsia="zh-CN" w:bidi="zh-CN"/>
      </w:rPr>
    </w:lvl>
    <w:lvl w:ilvl="3">
      <w:start w:val="0"/>
      <w:numFmt w:val="bullet"/>
      <w:lvlText w:val="•"/>
      <w:lvlJc w:val="left"/>
      <w:pPr>
        <w:ind w:left="3069" w:hanging="737"/>
      </w:pPr>
      <w:rPr>
        <w:rFonts w:hint="default"/>
        <w:lang w:val="zh-CN" w:eastAsia="zh-CN" w:bidi="zh-CN"/>
      </w:rPr>
    </w:lvl>
    <w:lvl w:ilvl="4">
      <w:start w:val="0"/>
      <w:numFmt w:val="bullet"/>
      <w:lvlText w:val="•"/>
      <w:lvlJc w:val="left"/>
      <w:pPr>
        <w:ind w:left="4025" w:hanging="737"/>
      </w:pPr>
      <w:rPr>
        <w:rFonts w:hint="default"/>
        <w:lang w:val="zh-CN" w:eastAsia="zh-CN" w:bidi="zh-CN"/>
      </w:rPr>
    </w:lvl>
    <w:lvl w:ilvl="5">
      <w:start w:val="0"/>
      <w:numFmt w:val="bullet"/>
      <w:lvlText w:val="•"/>
      <w:lvlJc w:val="left"/>
      <w:pPr>
        <w:ind w:left="4982" w:hanging="737"/>
      </w:pPr>
      <w:rPr>
        <w:rFonts w:hint="default"/>
        <w:lang w:val="zh-CN" w:eastAsia="zh-CN" w:bidi="zh-CN"/>
      </w:rPr>
    </w:lvl>
    <w:lvl w:ilvl="6">
      <w:start w:val="0"/>
      <w:numFmt w:val="bullet"/>
      <w:lvlText w:val="•"/>
      <w:lvlJc w:val="left"/>
      <w:pPr>
        <w:ind w:left="5938" w:hanging="737"/>
      </w:pPr>
      <w:rPr>
        <w:rFonts w:hint="default"/>
        <w:lang w:val="zh-CN" w:eastAsia="zh-CN" w:bidi="zh-CN"/>
      </w:rPr>
    </w:lvl>
    <w:lvl w:ilvl="7">
      <w:start w:val="0"/>
      <w:numFmt w:val="bullet"/>
      <w:lvlText w:val="•"/>
      <w:lvlJc w:val="left"/>
      <w:pPr>
        <w:ind w:left="6895" w:hanging="737"/>
      </w:pPr>
      <w:rPr>
        <w:rFonts w:hint="default"/>
        <w:lang w:val="zh-CN" w:eastAsia="zh-CN" w:bidi="zh-CN"/>
      </w:rPr>
    </w:lvl>
    <w:lvl w:ilvl="8">
      <w:start w:val="0"/>
      <w:numFmt w:val="bullet"/>
      <w:lvlText w:val="•"/>
      <w:lvlJc w:val="left"/>
      <w:pPr>
        <w:ind w:left="7851" w:hanging="737"/>
      </w:pPr>
      <w:rPr>
        <w:rFonts w:hint="default"/>
        <w:lang w:val="zh-CN" w:eastAsia="zh-CN" w:bidi="zh-CN"/>
      </w:rPr>
    </w:lvl>
  </w:abstractNum>
  <w:abstractNum w:abstractNumId="17">
    <w:nsid w:val="5B31B4B8"/>
    <w:multiLevelType w:val="hybridMultilevel"/>
    <w:tmpl w:val="00000000"/>
    <w:lvl w:ilvl="0">
      <w:start w:val="5"/>
      <w:numFmt w:val="decimal"/>
      <w:lvlText w:val="%1"/>
      <w:lvlJc w:val="left"/>
      <w:pPr>
        <w:ind w:left="933" w:hanging="735"/>
        <w:jc w:val="left"/>
      </w:pPr>
      <w:rPr>
        <w:rFonts w:hint="default"/>
        <w:lang w:val="zh-CN" w:eastAsia="zh-CN" w:bidi="zh-CN"/>
      </w:rPr>
    </w:lvl>
    <w:lvl w:ilvl="1">
      <w:start w:val="2"/>
      <w:numFmt w:val="decimal"/>
      <w:lvlText w:val="%1.%2"/>
      <w:lvlJc w:val="left"/>
      <w:pPr>
        <w:ind w:left="933" w:hanging="735"/>
        <w:jc w:val="left"/>
      </w:pPr>
      <w:rPr>
        <w:rFonts w:hint="default"/>
        <w:lang w:val="zh-CN" w:eastAsia="zh-CN" w:bidi="zh-CN"/>
      </w:rPr>
    </w:lvl>
    <w:lvl w:ilvl="2">
      <w:start w:val="1"/>
      <w:numFmt w:val="decimal"/>
      <w:lvlText w:val="%1.%2.%3"/>
      <w:lvlJc w:val="left"/>
      <w:pPr>
        <w:ind w:left="933" w:hanging="735"/>
        <w:jc w:val="left"/>
      </w:pPr>
      <w:rPr>
        <w:rFonts w:ascii="黑体" w:eastAsia="黑体" w:hAnsi="黑体" w:cs="黑体" w:hint="default"/>
        <w:spacing w:val="-1"/>
        <w:w w:val="100"/>
        <w:sz w:val="21"/>
        <w:szCs w:val="21"/>
        <w:lang w:val="zh-CN" w:eastAsia="zh-CN" w:bidi="zh-CN"/>
      </w:rPr>
    </w:lvl>
    <w:lvl w:ilvl="3">
      <w:start w:val="0"/>
      <w:numFmt w:val="bullet"/>
      <w:lvlText w:val="•"/>
      <w:lvlJc w:val="left"/>
      <w:pPr>
        <w:ind w:left="3587" w:hanging="735"/>
      </w:pPr>
      <w:rPr>
        <w:rFonts w:hint="default"/>
        <w:lang w:val="zh-CN" w:eastAsia="zh-CN" w:bidi="zh-CN"/>
      </w:rPr>
    </w:lvl>
    <w:lvl w:ilvl="4">
      <w:start w:val="0"/>
      <w:numFmt w:val="bullet"/>
      <w:lvlText w:val="•"/>
      <w:lvlJc w:val="left"/>
      <w:pPr>
        <w:ind w:left="4469" w:hanging="735"/>
      </w:pPr>
      <w:rPr>
        <w:rFonts w:hint="default"/>
        <w:lang w:val="zh-CN" w:eastAsia="zh-CN" w:bidi="zh-CN"/>
      </w:rPr>
    </w:lvl>
    <w:lvl w:ilvl="5">
      <w:start w:val="0"/>
      <w:numFmt w:val="bullet"/>
      <w:lvlText w:val="•"/>
      <w:lvlJc w:val="left"/>
      <w:pPr>
        <w:ind w:left="5352" w:hanging="735"/>
      </w:pPr>
      <w:rPr>
        <w:rFonts w:hint="default"/>
        <w:lang w:val="zh-CN" w:eastAsia="zh-CN" w:bidi="zh-CN"/>
      </w:rPr>
    </w:lvl>
    <w:lvl w:ilvl="6">
      <w:start w:val="0"/>
      <w:numFmt w:val="bullet"/>
      <w:lvlText w:val="•"/>
      <w:lvlJc w:val="left"/>
      <w:pPr>
        <w:ind w:left="6234" w:hanging="735"/>
      </w:pPr>
      <w:rPr>
        <w:rFonts w:hint="default"/>
        <w:lang w:val="zh-CN" w:eastAsia="zh-CN" w:bidi="zh-CN"/>
      </w:rPr>
    </w:lvl>
    <w:lvl w:ilvl="7">
      <w:start w:val="0"/>
      <w:numFmt w:val="bullet"/>
      <w:lvlText w:val="•"/>
      <w:lvlJc w:val="left"/>
      <w:pPr>
        <w:ind w:left="7117" w:hanging="735"/>
      </w:pPr>
      <w:rPr>
        <w:rFonts w:hint="default"/>
        <w:lang w:val="zh-CN" w:eastAsia="zh-CN" w:bidi="zh-CN"/>
      </w:rPr>
    </w:lvl>
    <w:lvl w:ilvl="8">
      <w:start w:val="0"/>
      <w:numFmt w:val="bullet"/>
      <w:lvlText w:val="•"/>
      <w:lvlJc w:val="left"/>
      <w:pPr>
        <w:ind w:left="7999" w:hanging="735"/>
      </w:pPr>
      <w:rPr>
        <w:rFonts w:hint="default"/>
        <w:lang w:val="zh-CN" w:eastAsia="zh-CN" w:bidi="zh-CN"/>
      </w:rPr>
    </w:lvl>
  </w:abstractNum>
  <w:abstractNum w:abstractNumId="18">
    <w:nsid w:val="5B7C4BA2"/>
    <w:multiLevelType w:val="hybridMultilevel"/>
    <w:tmpl w:val="00000000"/>
    <w:lvl w:ilvl="0">
      <w:start w:val="1"/>
      <w:numFmt w:val="lowerLetter"/>
      <w:lvlText w:val="%1)"/>
      <w:lvlJc w:val="left"/>
      <w:pPr>
        <w:ind w:left="116" w:hanging="312"/>
        <w:jc w:val="left"/>
      </w:pPr>
      <w:rPr>
        <w:rFonts w:ascii="宋体" w:eastAsia="宋体" w:hAnsi="宋体" w:cs="宋体" w:hint="default"/>
        <w:w w:val="100"/>
        <w:sz w:val="18"/>
        <w:szCs w:val="18"/>
        <w:lang w:val="zh-CN" w:eastAsia="zh-CN" w:bidi="zh-CN"/>
      </w:rPr>
    </w:lvl>
    <w:lvl w:ilvl="1">
      <w:start w:val="0"/>
      <w:numFmt w:val="bullet"/>
      <w:lvlText w:val="•"/>
      <w:lvlJc w:val="left"/>
      <w:pPr>
        <w:ind w:left="648" w:hanging="312"/>
      </w:pPr>
      <w:rPr>
        <w:rFonts w:hint="default"/>
        <w:lang w:val="zh-CN" w:eastAsia="zh-CN" w:bidi="zh-CN"/>
      </w:rPr>
    </w:lvl>
    <w:lvl w:ilvl="2">
      <w:start w:val="0"/>
      <w:numFmt w:val="bullet"/>
      <w:lvlText w:val="•"/>
      <w:lvlJc w:val="left"/>
      <w:pPr>
        <w:ind w:left="1177" w:hanging="312"/>
      </w:pPr>
      <w:rPr>
        <w:rFonts w:hint="default"/>
        <w:lang w:val="zh-CN" w:eastAsia="zh-CN" w:bidi="zh-CN"/>
      </w:rPr>
    </w:lvl>
    <w:lvl w:ilvl="3">
      <w:start w:val="0"/>
      <w:numFmt w:val="bullet"/>
      <w:lvlText w:val="•"/>
      <w:lvlJc w:val="left"/>
      <w:pPr>
        <w:ind w:left="1705" w:hanging="312"/>
      </w:pPr>
      <w:rPr>
        <w:rFonts w:hint="default"/>
        <w:lang w:val="zh-CN" w:eastAsia="zh-CN" w:bidi="zh-CN"/>
      </w:rPr>
    </w:lvl>
    <w:lvl w:ilvl="4">
      <w:start w:val="0"/>
      <w:numFmt w:val="bullet"/>
      <w:lvlText w:val="•"/>
      <w:lvlJc w:val="left"/>
      <w:pPr>
        <w:ind w:left="2234" w:hanging="312"/>
      </w:pPr>
      <w:rPr>
        <w:rFonts w:hint="default"/>
        <w:lang w:val="zh-CN" w:eastAsia="zh-CN" w:bidi="zh-CN"/>
      </w:rPr>
    </w:lvl>
    <w:lvl w:ilvl="5">
      <w:start w:val="0"/>
      <w:numFmt w:val="bullet"/>
      <w:lvlText w:val="•"/>
      <w:lvlJc w:val="left"/>
      <w:pPr>
        <w:ind w:left="2762" w:hanging="312"/>
      </w:pPr>
      <w:rPr>
        <w:rFonts w:hint="default"/>
        <w:lang w:val="zh-CN" w:eastAsia="zh-CN" w:bidi="zh-CN"/>
      </w:rPr>
    </w:lvl>
    <w:lvl w:ilvl="6">
      <w:start w:val="0"/>
      <w:numFmt w:val="bullet"/>
      <w:lvlText w:val="•"/>
      <w:lvlJc w:val="left"/>
      <w:pPr>
        <w:ind w:left="3291" w:hanging="312"/>
      </w:pPr>
      <w:rPr>
        <w:rFonts w:hint="default"/>
        <w:lang w:val="zh-CN" w:eastAsia="zh-CN" w:bidi="zh-CN"/>
      </w:rPr>
    </w:lvl>
    <w:lvl w:ilvl="7">
      <w:start w:val="0"/>
      <w:numFmt w:val="bullet"/>
      <w:lvlText w:val="•"/>
      <w:lvlJc w:val="left"/>
      <w:pPr>
        <w:ind w:left="3819" w:hanging="312"/>
      </w:pPr>
      <w:rPr>
        <w:rFonts w:hint="default"/>
        <w:lang w:val="zh-CN" w:eastAsia="zh-CN" w:bidi="zh-CN"/>
      </w:rPr>
    </w:lvl>
    <w:lvl w:ilvl="8">
      <w:start w:val="0"/>
      <w:numFmt w:val="bullet"/>
      <w:lvlText w:val="•"/>
      <w:lvlJc w:val="left"/>
      <w:pPr>
        <w:ind w:left="4348" w:hanging="312"/>
      </w:pPr>
      <w:rPr>
        <w:rFonts w:hint="default"/>
        <w:lang w:val="zh-CN" w:eastAsia="zh-CN" w:bidi="zh-CN"/>
      </w:rPr>
    </w:lvl>
  </w:abstractNum>
  <w:abstractNum w:abstractNumId="19">
    <w:nsid w:val="5F0CFA63"/>
    <w:multiLevelType w:val="hybridMultilevel"/>
    <w:tmpl w:val="00000000"/>
    <w:lvl w:ilvl="0">
      <w:start w:val="1"/>
      <w:numFmt w:val="decimal"/>
      <w:lvlText w:val="（%1）"/>
      <w:lvlJc w:val="left"/>
      <w:pPr>
        <w:ind w:left="566" w:hanging="451"/>
        <w:jc w:val="left"/>
      </w:pPr>
      <w:rPr>
        <w:rFonts w:ascii="黑体" w:eastAsia="黑体" w:hAnsi="黑体" w:cs="黑体" w:hint="default"/>
        <w:spacing w:val="-90"/>
        <w:w w:val="100"/>
        <w:sz w:val="16"/>
        <w:szCs w:val="16"/>
        <w:lang w:val="zh-CN" w:eastAsia="zh-CN" w:bidi="zh-CN"/>
      </w:rPr>
    </w:lvl>
    <w:lvl w:ilvl="1">
      <w:start w:val="0"/>
      <w:numFmt w:val="bullet"/>
      <w:lvlText w:val="•"/>
      <w:lvlJc w:val="left"/>
      <w:pPr>
        <w:ind w:left="1340" w:hanging="451"/>
      </w:pPr>
      <w:rPr>
        <w:rFonts w:hint="default"/>
        <w:lang w:val="zh-CN" w:eastAsia="zh-CN" w:bidi="zh-CN"/>
      </w:rPr>
    </w:lvl>
    <w:lvl w:ilvl="2">
      <w:start w:val="0"/>
      <w:numFmt w:val="bullet"/>
      <w:lvlText w:val="•"/>
      <w:lvlJc w:val="left"/>
      <w:pPr>
        <w:ind w:left="2121" w:hanging="451"/>
      </w:pPr>
      <w:rPr>
        <w:rFonts w:hint="default"/>
        <w:lang w:val="zh-CN" w:eastAsia="zh-CN" w:bidi="zh-CN"/>
      </w:rPr>
    </w:lvl>
    <w:lvl w:ilvl="3">
      <w:start w:val="0"/>
      <w:numFmt w:val="bullet"/>
      <w:lvlText w:val="•"/>
      <w:lvlJc w:val="left"/>
      <w:pPr>
        <w:ind w:left="2902" w:hanging="451"/>
      </w:pPr>
      <w:rPr>
        <w:rFonts w:hint="default"/>
        <w:lang w:val="zh-CN" w:eastAsia="zh-CN" w:bidi="zh-CN"/>
      </w:rPr>
    </w:lvl>
    <w:lvl w:ilvl="4">
      <w:start w:val="0"/>
      <w:numFmt w:val="bullet"/>
      <w:lvlText w:val="•"/>
      <w:lvlJc w:val="left"/>
      <w:pPr>
        <w:ind w:left="3683" w:hanging="451"/>
      </w:pPr>
      <w:rPr>
        <w:rFonts w:hint="default"/>
        <w:lang w:val="zh-CN" w:eastAsia="zh-CN" w:bidi="zh-CN"/>
      </w:rPr>
    </w:lvl>
    <w:lvl w:ilvl="5">
      <w:start w:val="0"/>
      <w:numFmt w:val="bullet"/>
      <w:lvlText w:val="•"/>
      <w:lvlJc w:val="left"/>
      <w:pPr>
        <w:ind w:left="4463" w:hanging="451"/>
      </w:pPr>
      <w:rPr>
        <w:rFonts w:hint="default"/>
        <w:lang w:val="zh-CN" w:eastAsia="zh-CN" w:bidi="zh-CN"/>
      </w:rPr>
    </w:lvl>
    <w:lvl w:ilvl="6">
      <w:start w:val="0"/>
      <w:numFmt w:val="bullet"/>
      <w:lvlText w:val="•"/>
      <w:lvlJc w:val="left"/>
      <w:pPr>
        <w:ind w:left="5244" w:hanging="451"/>
      </w:pPr>
      <w:rPr>
        <w:rFonts w:hint="default"/>
        <w:lang w:val="zh-CN" w:eastAsia="zh-CN" w:bidi="zh-CN"/>
      </w:rPr>
    </w:lvl>
    <w:lvl w:ilvl="7">
      <w:start w:val="0"/>
      <w:numFmt w:val="bullet"/>
      <w:lvlText w:val="•"/>
      <w:lvlJc w:val="left"/>
      <w:pPr>
        <w:ind w:left="6025" w:hanging="451"/>
      </w:pPr>
      <w:rPr>
        <w:rFonts w:hint="default"/>
        <w:lang w:val="zh-CN" w:eastAsia="zh-CN" w:bidi="zh-CN"/>
      </w:rPr>
    </w:lvl>
    <w:lvl w:ilvl="8">
      <w:start w:val="0"/>
      <w:numFmt w:val="bullet"/>
      <w:lvlText w:val="•"/>
      <w:lvlJc w:val="left"/>
      <w:pPr>
        <w:ind w:left="6806" w:hanging="451"/>
      </w:pPr>
      <w:rPr>
        <w:rFonts w:hint="default"/>
        <w:lang w:val="zh-CN" w:eastAsia="zh-CN" w:bidi="zh-CN"/>
      </w:rPr>
    </w:lvl>
  </w:abstractNum>
  <w:abstractNum w:abstractNumId="20">
    <w:nsid w:val="61B7673C"/>
    <w:multiLevelType w:val="hybridMultilevel"/>
    <w:tmpl w:val="00000000"/>
    <w:lvl w:ilvl="0">
      <w:start w:val="1"/>
      <w:numFmt w:val="lowerLetter"/>
      <w:lvlText w:val="%1）"/>
      <w:lvlJc w:val="left"/>
      <w:pPr>
        <w:ind w:left="387" w:hanging="271"/>
        <w:jc w:val="left"/>
      </w:pPr>
      <w:rPr>
        <w:rFonts w:ascii="宋体" w:eastAsia="宋体" w:hAnsi="宋体" w:cs="宋体" w:hint="default"/>
        <w:w w:val="100"/>
        <w:sz w:val="16"/>
        <w:szCs w:val="16"/>
        <w:lang w:val="zh-CN" w:eastAsia="zh-CN" w:bidi="zh-CN"/>
      </w:rPr>
    </w:lvl>
    <w:lvl w:ilvl="1">
      <w:start w:val="0"/>
      <w:numFmt w:val="bullet"/>
      <w:lvlText w:val="•"/>
      <w:lvlJc w:val="left"/>
      <w:pPr>
        <w:ind w:left="882" w:hanging="271"/>
      </w:pPr>
      <w:rPr>
        <w:rFonts w:hint="default"/>
        <w:lang w:val="zh-CN" w:eastAsia="zh-CN" w:bidi="zh-CN"/>
      </w:rPr>
    </w:lvl>
    <w:lvl w:ilvl="2">
      <w:start w:val="0"/>
      <w:numFmt w:val="bullet"/>
      <w:lvlText w:val="•"/>
      <w:lvlJc w:val="left"/>
      <w:pPr>
        <w:ind w:left="1385" w:hanging="271"/>
      </w:pPr>
      <w:rPr>
        <w:rFonts w:hint="default"/>
        <w:lang w:val="zh-CN" w:eastAsia="zh-CN" w:bidi="zh-CN"/>
      </w:rPr>
    </w:lvl>
    <w:lvl w:ilvl="3">
      <w:start w:val="0"/>
      <w:numFmt w:val="bullet"/>
      <w:lvlText w:val="•"/>
      <w:lvlJc w:val="left"/>
      <w:pPr>
        <w:ind w:left="1887" w:hanging="271"/>
      </w:pPr>
      <w:rPr>
        <w:rFonts w:hint="default"/>
        <w:lang w:val="zh-CN" w:eastAsia="zh-CN" w:bidi="zh-CN"/>
      </w:rPr>
    </w:lvl>
    <w:lvl w:ilvl="4">
      <w:start w:val="0"/>
      <w:numFmt w:val="bullet"/>
      <w:lvlText w:val="•"/>
      <w:lvlJc w:val="left"/>
      <w:pPr>
        <w:ind w:left="2390" w:hanging="271"/>
      </w:pPr>
      <w:rPr>
        <w:rFonts w:hint="default"/>
        <w:lang w:val="zh-CN" w:eastAsia="zh-CN" w:bidi="zh-CN"/>
      </w:rPr>
    </w:lvl>
    <w:lvl w:ilvl="5">
      <w:start w:val="0"/>
      <w:numFmt w:val="bullet"/>
      <w:lvlText w:val="•"/>
      <w:lvlJc w:val="left"/>
      <w:pPr>
        <w:ind w:left="2892" w:hanging="271"/>
      </w:pPr>
      <w:rPr>
        <w:rFonts w:hint="default"/>
        <w:lang w:val="zh-CN" w:eastAsia="zh-CN" w:bidi="zh-CN"/>
      </w:rPr>
    </w:lvl>
    <w:lvl w:ilvl="6">
      <w:start w:val="0"/>
      <w:numFmt w:val="bullet"/>
      <w:lvlText w:val="•"/>
      <w:lvlJc w:val="left"/>
      <w:pPr>
        <w:ind w:left="3395" w:hanging="271"/>
      </w:pPr>
      <w:rPr>
        <w:rFonts w:hint="default"/>
        <w:lang w:val="zh-CN" w:eastAsia="zh-CN" w:bidi="zh-CN"/>
      </w:rPr>
    </w:lvl>
    <w:lvl w:ilvl="7">
      <w:start w:val="0"/>
      <w:numFmt w:val="bullet"/>
      <w:lvlText w:val="•"/>
      <w:lvlJc w:val="left"/>
      <w:pPr>
        <w:ind w:left="3897" w:hanging="271"/>
      </w:pPr>
      <w:rPr>
        <w:rFonts w:hint="default"/>
        <w:lang w:val="zh-CN" w:eastAsia="zh-CN" w:bidi="zh-CN"/>
      </w:rPr>
    </w:lvl>
    <w:lvl w:ilvl="8">
      <w:start w:val="0"/>
      <w:numFmt w:val="bullet"/>
      <w:lvlText w:val="•"/>
      <w:lvlJc w:val="left"/>
      <w:pPr>
        <w:ind w:left="4400" w:hanging="271"/>
      </w:pPr>
      <w:rPr>
        <w:rFonts w:hint="default"/>
        <w:lang w:val="zh-CN" w:eastAsia="zh-CN" w:bidi="zh-CN"/>
      </w:rPr>
    </w:lvl>
  </w:abstractNum>
  <w:abstractNum w:abstractNumId="21">
    <w:nsid w:val="62EFD6B2"/>
    <w:multiLevelType w:val="hybridMultilevel"/>
    <w:tmpl w:val="00000000"/>
    <w:lvl w:ilvl="0">
      <w:start w:val="6"/>
      <w:numFmt w:val="decimal"/>
      <w:lvlText w:val="%1"/>
      <w:lvlJc w:val="left"/>
      <w:pPr>
        <w:ind w:left="198" w:hanging="737"/>
        <w:jc w:val="left"/>
      </w:pPr>
      <w:rPr>
        <w:rFonts w:hint="default"/>
        <w:lang w:val="zh-CN" w:eastAsia="zh-CN" w:bidi="zh-CN"/>
      </w:rPr>
    </w:lvl>
    <w:lvl w:ilvl="1">
      <w:start w:val="2"/>
      <w:numFmt w:val="decimal"/>
      <w:lvlText w:val="%1.%2"/>
      <w:lvlJc w:val="left"/>
      <w:pPr>
        <w:ind w:left="198" w:hanging="737"/>
        <w:jc w:val="left"/>
      </w:pPr>
      <w:rPr>
        <w:rFonts w:hint="default"/>
        <w:lang w:val="zh-CN" w:eastAsia="zh-CN" w:bidi="zh-CN"/>
      </w:rPr>
    </w:lvl>
    <w:lvl w:ilvl="2">
      <w:start w:val="1"/>
      <w:numFmt w:val="decimal"/>
      <w:lvlText w:val="%1.%2.%3"/>
      <w:lvlJc w:val="left"/>
      <w:pPr>
        <w:ind w:left="198" w:hanging="737"/>
        <w:jc w:val="left"/>
      </w:pPr>
      <w:rPr>
        <w:rFonts w:ascii="黑体" w:eastAsia="黑体" w:hAnsi="黑体" w:cs="黑体" w:hint="default"/>
        <w:spacing w:val="-14"/>
        <w:w w:val="100"/>
        <w:sz w:val="21"/>
        <w:szCs w:val="21"/>
        <w:lang w:val="zh-CN" w:eastAsia="zh-CN" w:bidi="zh-CN"/>
      </w:rPr>
    </w:lvl>
    <w:lvl w:ilvl="3">
      <w:start w:val="1"/>
      <w:numFmt w:val="lowerLetter"/>
      <w:lvlText w:val="%4)"/>
      <w:lvlJc w:val="left"/>
      <w:pPr>
        <w:ind w:left="1049" w:hanging="431"/>
        <w:jc w:val="left"/>
      </w:pPr>
      <w:rPr>
        <w:rFonts w:ascii="宋体" w:eastAsia="宋体" w:hAnsi="宋体" w:cs="宋体" w:hint="default"/>
        <w:w w:val="100"/>
        <w:sz w:val="21"/>
        <w:szCs w:val="21"/>
        <w:lang w:val="zh-CN" w:eastAsia="zh-CN" w:bidi="zh-CN"/>
      </w:rPr>
    </w:lvl>
    <w:lvl w:ilvl="4">
      <w:start w:val="0"/>
      <w:numFmt w:val="bullet"/>
      <w:lvlText w:val="•"/>
      <w:lvlJc w:val="left"/>
      <w:pPr>
        <w:ind w:left="3948" w:hanging="431"/>
      </w:pPr>
      <w:rPr>
        <w:rFonts w:hint="default"/>
        <w:lang w:val="zh-CN" w:eastAsia="zh-CN" w:bidi="zh-CN"/>
      </w:rPr>
    </w:lvl>
    <w:lvl w:ilvl="5">
      <w:start w:val="0"/>
      <w:numFmt w:val="bullet"/>
      <w:lvlText w:val="•"/>
      <w:lvlJc w:val="left"/>
      <w:pPr>
        <w:ind w:left="4917" w:hanging="431"/>
      </w:pPr>
      <w:rPr>
        <w:rFonts w:hint="default"/>
        <w:lang w:val="zh-CN" w:eastAsia="zh-CN" w:bidi="zh-CN"/>
      </w:rPr>
    </w:lvl>
    <w:lvl w:ilvl="6">
      <w:start w:val="0"/>
      <w:numFmt w:val="bullet"/>
      <w:lvlText w:val="•"/>
      <w:lvlJc w:val="left"/>
      <w:pPr>
        <w:ind w:left="5886" w:hanging="431"/>
      </w:pPr>
      <w:rPr>
        <w:rFonts w:hint="default"/>
        <w:lang w:val="zh-CN" w:eastAsia="zh-CN" w:bidi="zh-CN"/>
      </w:rPr>
    </w:lvl>
    <w:lvl w:ilvl="7">
      <w:start w:val="0"/>
      <w:numFmt w:val="bullet"/>
      <w:lvlText w:val="•"/>
      <w:lvlJc w:val="left"/>
      <w:pPr>
        <w:ind w:left="6856" w:hanging="431"/>
      </w:pPr>
      <w:rPr>
        <w:rFonts w:hint="default"/>
        <w:lang w:val="zh-CN" w:eastAsia="zh-CN" w:bidi="zh-CN"/>
      </w:rPr>
    </w:lvl>
    <w:lvl w:ilvl="8">
      <w:start w:val="0"/>
      <w:numFmt w:val="bullet"/>
      <w:lvlText w:val="•"/>
      <w:lvlJc w:val="left"/>
      <w:pPr>
        <w:ind w:left="7825" w:hanging="431"/>
      </w:pPr>
      <w:rPr>
        <w:rFonts w:hint="default"/>
        <w:lang w:val="zh-CN" w:eastAsia="zh-CN" w:bidi="zh-CN"/>
      </w:rPr>
    </w:lvl>
  </w:abstractNum>
  <w:abstractNum w:abstractNumId="22">
    <w:nsid w:val="67967223"/>
    <w:multiLevelType w:val="hybridMultilevel"/>
    <w:tmpl w:val="00000000"/>
    <w:lvl w:ilvl="0">
      <w:start w:val="3"/>
      <w:numFmt w:val="decimal"/>
      <w:lvlText w:val="（%1）"/>
      <w:lvlJc w:val="left"/>
      <w:pPr>
        <w:ind w:left="567" w:hanging="451"/>
        <w:jc w:val="left"/>
      </w:pPr>
      <w:rPr>
        <w:rFonts w:ascii="宋体" w:eastAsia="宋体" w:hAnsi="宋体" w:cs="宋体" w:hint="default"/>
        <w:spacing w:val="-46"/>
        <w:w w:val="100"/>
        <w:sz w:val="16"/>
        <w:szCs w:val="16"/>
        <w:lang w:val="zh-CN" w:eastAsia="zh-CN" w:bidi="zh-CN"/>
      </w:rPr>
    </w:lvl>
    <w:lvl w:ilvl="1">
      <w:start w:val="0"/>
      <w:numFmt w:val="bullet"/>
      <w:lvlText w:val="•"/>
      <w:lvlJc w:val="left"/>
      <w:pPr>
        <w:ind w:left="1044" w:hanging="451"/>
      </w:pPr>
      <w:rPr>
        <w:rFonts w:hint="default"/>
        <w:lang w:val="zh-CN" w:eastAsia="zh-CN" w:bidi="zh-CN"/>
      </w:rPr>
    </w:lvl>
    <w:lvl w:ilvl="2">
      <w:start w:val="0"/>
      <w:numFmt w:val="bullet"/>
      <w:lvlText w:val="•"/>
      <w:lvlJc w:val="left"/>
      <w:pPr>
        <w:ind w:left="1529" w:hanging="451"/>
      </w:pPr>
      <w:rPr>
        <w:rFonts w:hint="default"/>
        <w:lang w:val="zh-CN" w:eastAsia="zh-CN" w:bidi="zh-CN"/>
      </w:rPr>
    </w:lvl>
    <w:lvl w:ilvl="3">
      <w:start w:val="0"/>
      <w:numFmt w:val="bullet"/>
      <w:lvlText w:val="•"/>
      <w:lvlJc w:val="left"/>
      <w:pPr>
        <w:ind w:left="2013" w:hanging="451"/>
      </w:pPr>
      <w:rPr>
        <w:rFonts w:hint="default"/>
        <w:lang w:val="zh-CN" w:eastAsia="zh-CN" w:bidi="zh-CN"/>
      </w:rPr>
    </w:lvl>
    <w:lvl w:ilvl="4">
      <w:start w:val="0"/>
      <w:numFmt w:val="bullet"/>
      <w:lvlText w:val="•"/>
      <w:lvlJc w:val="left"/>
      <w:pPr>
        <w:ind w:left="2498" w:hanging="451"/>
      </w:pPr>
      <w:rPr>
        <w:rFonts w:hint="default"/>
        <w:lang w:val="zh-CN" w:eastAsia="zh-CN" w:bidi="zh-CN"/>
      </w:rPr>
    </w:lvl>
    <w:lvl w:ilvl="5">
      <w:start w:val="0"/>
      <w:numFmt w:val="bullet"/>
      <w:lvlText w:val="•"/>
      <w:lvlJc w:val="left"/>
      <w:pPr>
        <w:ind w:left="2982" w:hanging="451"/>
      </w:pPr>
      <w:rPr>
        <w:rFonts w:hint="default"/>
        <w:lang w:val="zh-CN" w:eastAsia="zh-CN" w:bidi="zh-CN"/>
      </w:rPr>
    </w:lvl>
    <w:lvl w:ilvl="6">
      <w:start w:val="0"/>
      <w:numFmt w:val="bullet"/>
      <w:lvlText w:val="•"/>
      <w:lvlJc w:val="left"/>
      <w:pPr>
        <w:ind w:left="3467" w:hanging="451"/>
      </w:pPr>
      <w:rPr>
        <w:rFonts w:hint="default"/>
        <w:lang w:val="zh-CN" w:eastAsia="zh-CN" w:bidi="zh-CN"/>
      </w:rPr>
    </w:lvl>
    <w:lvl w:ilvl="7">
      <w:start w:val="0"/>
      <w:numFmt w:val="bullet"/>
      <w:lvlText w:val="•"/>
      <w:lvlJc w:val="left"/>
      <w:pPr>
        <w:ind w:left="3951" w:hanging="451"/>
      </w:pPr>
      <w:rPr>
        <w:rFonts w:hint="default"/>
        <w:lang w:val="zh-CN" w:eastAsia="zh-CN" w:bidi="zh-CN"/>
      </w:rPr>
    </w:lvl>
    <w:lvl w:ilvl="8">
      <w:start w:val="0"/>
      <w:numFmt w:val="bullet"/>
      <w:lvlText w:val="•"/>
      <w:lvlJc w:val="left"/>
      <w:pPr>
        <w:ind w:left="4436" w:hanging="451"/>
      </w:pPr>
      <w:rPr>
        <w:rFonts w:hint="default"/>
        <w:lang w:val="zh-CN" w:eastAsia="zh-CN" w:bidi="zh-CN"/>
      </w:rPr>
    </w:lvl>
  </w:abstractNum>
  <w:abstractNum w:abstractNumId="23">
    <w:nsid w:val="760873C0"/>
    <w:multiLevelType w:val="hybridMultilevel"/>
    <w:tmpl w:val="00000000"/>
    <w:lvl w:ilvl="0">
      <w:start w:val="1"/>
      <w:numFmt w:val="lowerLetter"/>
      <w:lvlText w:val="%1）"/>
      <w:lvlJc w:val="left"/>
      <w:pPr>
        <w:ind w:left="116" w:hanging="271"/>
        <w:jc w:val="left"/>
      </w:pPr>
      <w:rPr>
        <w:rFonts w:ascii="宋体" w:eastAsia="宋体" w:hAnsi="宋体" w:cs="宋体" w:hint="default"/>
        <w:spacing w:val="-5"/>
        <w:w w:val="100"/>
        <w:sz w:val="16"/>
        <w:szCs w:val="16"/>
        <w:lang w:val="zh-CN" w:eastAsia="zh-CN" w:bidi="zh-CN"/>
      </w:rPr>
    </w:lvl>
    <w:lvl w:ilvl="1">
      <w:start w:val="0"/>
      <w:numFmt w:val="bullet"/>
      <w:lvlText w:val="•"/>
      <w:lvlJc w:val="left"/>
      <w:pPr>
        <w:ind w:left="648" w:hanging="271"/>
      </w:pPr>
      <w:rPr>
        <w:rFonts w:hint="default"/>
        <w:lang w:val="zh-CN" w:eastAsia="zh-CN" w:bidi="zh-CN"/>
      </w:rPr>
    </w:lvl>
    <w:lvl w:ilvl="2">
      <w:start w:val="0"/>
      <w:numFmt w:val="bullet"/>
      <w:lvlText w:val="•"/>
      <w:lvlJc w:val="left"/>
      <w:pPr>
        <w:ind w:left="1177" w:hanging="271"/>
      </w:pPr>
      <w:rPr>
        <w:rFonts w:hint="default"/>
        <w:lang w:val="zh-CN" w:eastAsia="zh-CN" w:bidi="zh-CN"/>
      </w:rPr>
    </w:lvl>
    <w:lvl w:ilvl="3">
      <w:start w:val="0"/>
      <w:numFmt w:val="bullet"/>
      <w:lvlText w:val="•"/>
      <w:lvlJc w:val="left"/>
      <w:pPr>
        <w:ind w:left="1705" w:hanging="271"/>
      </w:pPr>
      <w:rPr>
        <w:rFonts w:hint="default"/>
        <w:lang w:val="zh-CN" w:eastAsia="zh-CN" w:bidi="zh-CN"/>
      </w:rPr>
    </w:lvl>
    <w:lvl w:ilvl="4">
      <w:start w:val="0"/>
      <w:numFmt w:val="bullet"/>
      <w:lvlText w:val="•"/>
      <w:lvlJc w:val="left"/>
      <w:pPr>
        <w:ind w:left="2234" w:hanging="271"/>
      </w:pPr>
      <w:rPr>
        <w:rFonts w:hint="default"/>
        <w:lang w:val="zh-CN" w:eastAsia="zh-CN" w:bidi="zh-CN"/>
      </w:rPr>
    </w:lvl>
    <w:lvl w:ilvl="5">
      <w:start w:val="0"/>
      <w:numFmt w:val="bullet"/>
      <w:lvlText w:val="•"/>
      <w:lvlJc w:val="left"/>
      <w:pPr>
        <w:ind w:left="2762" w:hanging="271"/>
      </w:pPr>
      <w:rPr>
        <w:rFonts w:hint="default"/>
        <w:lang w:val="zh-CN" w:eastAsia="zh-CN" w:bidi="zh-CN"/>
      </w:rPr>
    </w:lvl>
    <w:lvl w:ilvl="6">
      <w:start w:val="0"/>
      <w:numFmt w:val="bullet"/>
      <w:lvlText w:val="•"/>
      <w:lvlJc w:val="left"/>
      <w:pPr>
        <w:ind w:left="3291" w:hanging="271"/>
      </w:pPr>
      <w:rPr>
        <w:rFonts w:hint="default"/>
        <w:lang w:val="zh-CN" w:eastAsia="zh-CN" w:bidi="zh-CN"/>
      </w:rPr>
    </w:lvl>
    <w:lvl w:ilvl="7">
      <w:start w:val="0"/>
      <w:numFmt w:val="bullet"/>
      <w:lvlText w:val="•"/>
      <w:lvlJc w:val="left"/>
      <w:pPr>
        <w:ind w:left="3819" w:hanging="271"/>
      </w:pPr>
      <w:rPr>
        <w:rFonts w:hint="default"/>
        <w:lang w:val="zh-CN" w:eastAsia="zh-CN" w:bidi="zh-CN"/>
      </w:rPr>
    </w:lvl>
    <w:lvl w:ilvl="8">
      <w:start w:val="0"/>
      <w:numFmt w:val="bullet"/>
      <w:lvlText w:val="•"/>
      <w:lvlJc w:val="left"/>
      <w:pPr>
        <w:ind w:left="4348" w:hanging="271"/>
      </w:pPr>
      <w:rPr>
        <w:rFonts w:hint="default"/>
        <w:lang w:val="zh-CN" w:eastAsia="zh-CN" w:bidi="zh-CN"/>
      </w:rPr>
    </w:lvl>
  </w:abstractNum>
  <w:num w:numId="1">
    <w:abstractNumId w:val="5"/>
  </w:num>
  <w:num w:numId="2">
    <w:abstractNumId w:val="19"/>
  </w:num>
  <w:num w:numId="3">
    <w:abstractNumId w:val="14"/>
  </w:num>
  <w:num w:numId="4">
    <w:abstractNumId w:val="8"/>
  </w:num>
  <w:num w:numId="5">
    <w:abstractNumId w:val="20"/>
  </w:num>
  <w:num w:numId="6">
    <w:abstractNumId w:val="18"/>
  </w:num>
  <w:num w:numId="7">
    <w:abstractNumId w:val="3"/>
  </w:num>
  <w:num w:numId="8">
    <w:abstractNumId w:val="10"/>
  </w:num>
  <w:num w:numId="9">
    <w:abstractNumId w:val="0"/>
  </w:num>
  <w:num w:numId="10">
    <w:abstractNumId w:val="23"/>
  </w:num>
  <w:num w:numId="11">
    <w:abstractNumId w:val="11"/>
  </w:num>
  <w:num w:numId="12">
    <w:abstractNumId w:val="22"/>
  </w:num>
  <w:num w:numId="13">
    <w:abstractNumId w:val="6"/>
  </w:num>
  <w:num w:numId="14">
    <w:abstractNumId w:val="21"/>
  </w:num>
  <w:num w:numId="15">
    <w:abstractNumId w:val="16"/>
  </w:num>
  <w:num w:numId="16">
    <w:abstractNumId w:val="17"/>
  </w:num>
  <w:num w:numId="17">
    <w:abstractNumId w:val="2"/>
  </w:num>
  <w:num w:numId="18">
    <w:abstractNumId w:val="13"/>
  </w:num>
  <w:num w:numId="19">
    <w:abstractNumId w:val="1"/>
  </w:num>
  <w:num w:numId="20">
    <w:abstractNumId w:val="12"/>
  </w:num>
  <w:num w:numId="21">
    <w:abstractNumId w:val="9"/>
  </w:num>
  <w:num w:numId="22">
    <w:abstractNumId w:val="4"/>
  </w:num>
  <w:num w:numId="23">
    <w:abstractNumId w:val="7"/>
  </w:num>
  <w:num w:numId="24">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zh-CN" w:eastAsia="zh-CN" w:bidi="zh-CN"/>
    </w:rPr>
  </w:style>
  <w:style w:type="paragraph" w:styleId="Heading1">
    <w:name w:val="heading 1"/>
    <w:basedOn w:val="Normal"/>
    <w:uiPriority w:val="1"/>
    <w:qFormat/>
    <w:pPr>
      <w:outlineLvl w:val="0"/>
    </w:pPr>
    <w:rPr>
      <w:rFonts w:ascii="黑体" w:eastAsia="黑体" w:hAnsi="黑体" w:cs="黑体"/>
      <w:sz w:val="36"/>
      <w:szCs w:val="36"/>
      <w:lang w:val="zh-CN" w:eastAsia="zh-CN" w:bidi="zh-CN"/>
    </w:rPr>
  </w:style>
  <w:style w:type="paragraph" w:styleId="Heading2">
    <w:name w:val="heading 2"/>
    <w:basedOn w:val="Normal"/>
    <w:uiPriority w:val="1"/>
    <w:qFormat/>
    <w:pPr>
      <w:spacing w:before="56"/>
      <w:ind w:right="11"/>
      <w:jc w:val="center"/>
      <w:outlineLvl w:val="1"/>
    </w:pPr>
    <w:rPr>
      <w:rFonts w:ascii="黑体" w:eastAsia="黑体" w:hAnsi="黑体" w:cs="黑体"/>
      <w:sz w:val="32"/>
      <w:szCs w:val="32"/>
      <w:lang w:val="zh-CN" w:eastAsia="zh-CN" w:bidi="zh-CN"/>
    </w:rPr>
  </w:style>
  <w:style w:type="paragraph" w:styleId="Heading3">
    <w:name w:val="heading 3"/>
    <w:basedOn w:val="Normal"/>
    <w:uiPriority w:val="1"/>
    <w:qFormat/>
    <w:pPr>
      <w:spacing w:before="132"/>
      <w:ind w:left="1598"/>
      <w:outlineLvl w:val="2"/>
    </w:pPr>
    <w:rPr>
      <w:rFonts w:ascii="宋体" w:eastAsia="宋体" w:hAnsi="宋体" w:cs="宋体"/>
      <w:sz w:val="28"/>
      <w:szCs w:val="28"/>
      <w:lang w:val="zh-CN" w:eastAsia="zh-CN" w:bidi="zh-CN"/>
    </w:rPr>
  </w:style>
  <w:style w:type="paragraph" w:styleId="Heading4">
    <w:name w:val="heading 4"/>
    <w:basedOn w:val="Normal"/>
    <w:uiPriority w:val="1"/>
    <w:qFormat/>
    <w:pPr>
      <w:spacing w:line="263" w:lineRule="exact"/>
      <w:ind w:left="3636"/>
      <w:outlineLvl w:val="3"/>
    </w:pPr>
    <w:rPr>
      <w:rFonts w:ascii="Times New Roman" w:eastAsia="Times New Roman" w:hAnsi="Times New Roman" w:cs="Times New Roman"/>
      <w:sz w:val="24"/>
      <w:szCs w:val="24"/>
      <w:lang w:val="zh-CN" w:eastAsia="zh-CN" w:bidi="zh-CN"/>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zh-CN" w:eastAsia="zh-CN" w:bidi="zh-CN"/>
    </w:rPr>
  </w:style>
  <w:style w:type="paragraph" w:styleId="Title">
    <w:name w:val="Title"/>
    <w:basedOn w:val="Normal"/>
    <w:uiPriority w:val="1"/>
    <w:qFormat/>
    <w:pPr>
      <w:spacing w:before="27"/>
      <w:ind w:left="996"/>
    </w:pPr>
    <w:rPr>
      <w:rFonts w:ascii="黑体" w:eastAsia="黑体" w:hAnsi="黑体" w:cs="黑体"/>
      <w:sz w:val="52"/>
      <w:szCs w:val="52"/>
      <w:lang w:val="zh-CN" w:eastAsia="zh-CN" w:bidi="zh-CN"/>
    </w:rPr>
  </w:style>
  <w:style w:type="paragraph" w:styleId="ListParagraph">
    <w:name w:val="List Paragraph"/>
    <w:basedOn w:val="Normal"/>
    <w:uiPriority w:val="1"/>
    <w:qFormat/>
    <w:pPr>
      <w:ind w:left="723" w:hanging="421"/>
    </w:pPr>
    <w:rPr>
      <w:rFonts w:ascii="宋体" w:eastAsia="宋体" w:hAnsi="宋体" w:cs="宋体"/>
      <w:lang w:val="zh-CN" w:eastAsia="zh-CN" w:bidi="zh-CN"/>
    </w:rPr>
  </w:style>
  <w:style w:type="paragraph" w:customStyle="1" w:styleId="TableParagraph">
    <w:name w:val="Table Paragraph"/>
    <w:basedOn w:val="Normal"/>
    <w:uiPriority w:val="1"/>
    <w:qFormat/>
    <w:rPr>
      <w:rFonts w:ascii="宋体" w:eastAsia="宋体" w:hAnsi="宋体" w:cs="宋体"/>
      <w:lang w:val="zh-CN" w:eastAsia="zh-CN" w:bidi="zh-C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image" Target="media/image6.png" /><Relationship Id="rId14" Type="http://schemas.openxmlformats.org/officeDocument/2006/relationships/image" Target="media/image7.png" /><Relationship Id="rId15" Type="http://schemas.openxmlformats.org/officeDocument/2006/relationships/hyperlink" Target="https://d.book118.com/928032024057006035" TargetMode="External" /><Relationship Id="rId16" Type="http://schemas.openxmlformats.org/officeDocument/2006/relationships/footer" Target="footer5.xm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image" Target="media/image1.png" /><Relationship Id="rId9"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&lt;4D6963726F736F667420576F7264202D20444234315420313538352D32303138CDA8D3C3C7C5A1A2C3C5CABDC6F0D6D8BBFAB0B2C8ABC6C0B9C0B9E6D4F22E646F63&gt;</dc:title>
  <dc:creator>Songzheng</dc:creator>
  <cp:revision>0</cp:revision>
  <dcterms:created xsi:type="dcterms:W3CDTF">2024-02-12T08:42:55Z</dcterms:created>
  <dcterms:modified xsi:type="dcterms:W3CDTF">2024-02-12T08:42:55Z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2018-10-09T00:00:00Z</vt:filetime>
  </property>
  <property fmtid="{D5CDD505-2E9C-101B-9397-08002B2CF9AE}" pid="3" name="Creator">
    <vt:lpwstr>PScript5.dll Version 5.2.2</vt:lpwstr>
  </property>
  <property fmtid="{D5CDD505-2E9C-101B-9397-08002B2CF9AE}" pid="4" name="LastSaved">
    <vt:filetime>2024-02-12T00:00:00Z</vt:filetime>
  </property>
</Properties>
</file>