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2018-2023年石家庄信息工程职业学院高职单招（数学／语文／英语）历年常考试题库含答案解析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在《灯下漫笔》一文中，鲁迅认为青年的使命是（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B.赞颂固有精神文明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“多行不义必自毙”出自（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“蜗角虚名，蝇头微利”的修辞手法是（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A.比喻、对偶、用典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B.排比、比喻、夸张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C.对偶、拟人、用典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D.拟人、对比、对偶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《大同》选自（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C.《礼记》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与“古道西风瘦马”构成反衬关系的景象是（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A.枯藤老树昏鸦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B.夕阳西下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C.小桥流水人家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D.断肠人在天涯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《张中丞传后叙》最突出的写作特色是（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A.抒情与叙事并重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B.议论与叙事并重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C.议论与抒情并重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D.描写与抒情并重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对“岂得之难而失之易欤 抑本其成败之迹，而皆自于人欤 ”一句理解准确的一项是（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A.强调得天下困难而失天下容易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B.强调“得”“失”都是人事决定的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C.否定“得”与“失”的难易都是由人事决定的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D.否定得天下困难，承认失天下容易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老舍的长篇小说代表作有（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A.《鼓书艺人》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B.《骆驼祥子》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下列作品不属郁达夫所创作的小说是（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A.《春风沉醉的晚上》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B.《伤逝》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C.《薄奠》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D.《迟桂花》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下列人物中属于道家学派的有（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A.孔子和孟子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C.荀子和韩非子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D.孔子和老子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下面属于茅盾创作的三部曲系列小说的是（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A.《爱情三部曲》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B.《蚀》三部曲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C.《迎春花》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D.《激流三部曲》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“望洋兴叹”一语出自（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A.《老子》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古语“多行不义必自毙”出自（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https://d.book118.com/928045054132006040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28045054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