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ind w:left="7605"/>
        <w:rPr>
          <w:rFonts w:ascii="SimHei" w:eastAsia="SimHei" w:hAnsi="SimHei" w:cs="SimHei"/>
        </w:rPr>
      </w:pPr>
      <w:r>
        <w:rPr>
          <w:rFonts w:ascii="SimHei" w:eastAsia="SimHei" w:hAnsi="SimHei" w:cs="SimHei"/>
          <w:spacing w:val="7"/>
          <w:position w:val="1"/>
        </w:rPr>
        <w:t>T/</w:t>
      </w:r>
      <w:r>
        <w:rPr>
          <w:rFonts w:ascii="SimHei" w:eastAsia="SimHei" w:hAnsi="SimHei" w:cs="SimHei"/>
          <w:position w:val="1"/>
        </w:rPr>
        <w:t>CI</w:t>
      </w:r>
      <w:r>
        <w:rPr>
          <w:rFonts w:ascii="SimHei" w:eastAsia="SimHei" w:hAnsi="SimHei" w:cs="SimHei"/>
          <w:spacing w:val="7"/>
          <w:position w:val="1"/>
        </w:rPr>
        <w:t xml:space="preserve"> </w:t>
      </w:r>
      <w:r>
        <w:rPr>
          <w:rFonts w:ascii="SimHei" w:eastAsia="SimHei" w:hAnsi="SimHei" w:cs="SimHei"/>
          <w:position w:val="1"/>
        </w:rPr>
        <w:t>XXX</w:t>
      </w:r>
      <w:r>
        <w:rPr>
          <w:spacing w:val="7"/>
          <w:position w:val="1"/>
        </w:rPr>
        <w:t>—</w:t>
      </w:r>
      <w:r>
        <w:rPr>
          <w:rFonts w:ascii="SimHei" w:eastAsia="SimHei" w:hAnsi="SimHei" w:cs="SimHei"/>
          <w:spacing w:val="7"/>
          <w:position w:val="1"/>
        </w:rPr>
        <w:t>2023</w:t>
      </w:r>
    </w:p>
    <w:p>
      <w:pPr>
        <w:spacing w:line="309" w:lineRule="auto"/>
        <w:rPr>
          <w:rFonts w:ascii="Arial"/>
          <w:sz w:val="21"/>
        </w:rPr>
      </w:pPr>
    </w:p>
    <w:p>
      <w:pPr>
        <w:spacing w:line="310" w:lineRule="auto"/>
        <w:rPr>
          <w:rFonts w:ascii="Arial"/>
          <w:sz w:val="21"/>
        </w:rPr>
      </w:pPr>
    </w:p>
    <w:p>
      <w:pPr>
        <w:spacing w:line="310" w:lineRule="auto"/>
        <w:rPr>
          <w:rFonts w:ascii="Arial"/>
          <w:sz w:val="21"/>
        </w:rPr>
      </w:pPr>
    </w:p>
    <w:p>
      <w:pPr>
        <w:spacing w:before="100" w:line="226" w:lineRule="auto"/>
        <w:ind w:left="2029"/>
        <w:outlineLvl w:val="0"/>
        <w:rPr>
          <w:rFonts w:ascii="SimHei" w:eastAsia="SimHei" w:hAnsi="SimHei" w:cs="SimHei"/>
          <w:sz w:val="31"/>
          <w:szCs w:val="31"/>
        </w:rPr>
      </w:pPr>
      <w:r>
        <w:rPr>
          <w:rFonts w:ascii="SimHei" w:eastAsia="SimHei" w:hAnsi="SimHei" w:cs="SimHei"/>
          <w:spacing w:val="9"/>
          <w:sz w:val="31"/>
          <w:szCs w:val="31"/>
        </w:rPr>
        <w:t>石英晶体元器件行业绿色工厂评价规范</w:t>
      </w:r>
    </w:p>
    <w:p>
      <w:pPr>
        <w:spacing w:line="315" w:lineRule="auto"/>
        <w:rPr>
          <w:rFonts w:ascii="Arial"/>
          <w:sz w:val="21"/>
        </w:rPr>
      </w:pPr>
    </w:p>
    <w:p>
      <w:pPr>
        <w:spacing w:line="315"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1"/>
          <w:sz w:val="20"/>
          <w:szCs w:val="20"/>
        </w:rPr>
        <w:t xml:space="preserve">  </w:t>
      </w:r>
      <w:r>
        <w:rPr>
          <w:rFonts w:ascii="SimHei" w:eastAsia="SimHei" w:hAnsi="SimHei" w:cs="SimHei"/>
          <w:spacing w:val="-3"/>
          <w:sz w:val="20"/>
          <w:szCs w:val="20"/>
        </w:rPr>
        <w:t>范围</w:t>
      </w:r>
    </w:p>
    <w:p>
      <w:pPr>
        <w:pStyle w:val="BodyText"/>
        <w:spacing w:before="261" w:line="238" w:lineRule="auto"/>
        <w:ind w:right="16" w:firstLine="421"/>
      </w:pPr>
      <w:r>
        <w:rPr>
          <w:spacing w:val="8"/>
        </w:rPr>
        <w:t>本文件规定了石英晶体元器件行业绿色工厂</w:t>
      </w:r>
      <w:r>
        <w:rPr>
          <w:spacing w:val="7"/>
        </w:rPr>
        <w:t>评价的评价原则、评价要求、评价方法和评价程序、</w:t>
      </w:r>
      <w:r>
        <w:t xml:space="preserve"> </w:t>
      </w:r>
      <w:r>
        <w:rPr>
          <w:spacing w:val="6"/>
        </w:rPr>
        <w:t>评价报告。</w:t>
      </w:r>
    </w:p>
    <w:p>
      <w:pPr>
        <w:pStyle w:val="BodyText"/>
        <w:spacing w:before="29" w:line="238" w:lineRule="auto"/>
        <w:ind w:left="4" w:right="105" w:firstLine="418"/>
      </w:pPr>
      <w:r>
        <w:rPr>
          <w:spacing w:val="10"/>
        </w:rPr>
        <w:t>本文件适用于石英晶体元器件行业绿色工厂的评价，可用于企业自我评价，第二方（相关方）</w:t>
      </w:r>
      <w:r>
        <w:rPr>
          <w:spacing w:val="13"/>
        </w:rPr>
        <w:t xml:space="preserve"> </w:t>
      </w:r>
      <w:r>
        <w:rPr>
          <w:spacing w:val="7"/>
        </w:rPr>
        <w:t>或第三方组织评价。</w:t>
      </w:r>
    </w:p>
    <w:p>
      <w:pPr>
        <w:spacing w:before="268" w:line="230" w:lineRule="auto"/>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pStyle w:val="BodyText"/>
        <w:spacing w:before="262" w:line="243" w:lineRule="auto"/>
        <w:ind w:left="1" w:firstLine="428"/>
      </w:pPr>
      <w:r>
        <w:rPr>
          <w:spacing w:val="11"/>
        </w:rPr>
        <w:t>下列文件中的内容通过文中的规范性引用而构成本文</w:t>
      </w:r>
      <w:r>
        <w:rPr>
          <w:spacing w:val="10"/>
        </w:rPr>
        <w:t>件必不可少的条款。其中，注日期的引用</w:t>
      </w:r>
      <w:r>
        <w:t xml:space="preserve">  </w:t>
      </w:r>
      <w:r>
        <w:rPr>
          <w:spacing w:val="8"/>
        </w:rPr>
        <w:t>文件，仅该日期对应的版本适用于本文件；不注日期的引用文件，其最新版本（包括所有的修改</w:t>
      </w:r>
      <w:r>
        <w:rPr>
          <w:spacing w:val="7"/>
        </w:rPr>
        <w:t>单）</w:t>
      </w:r>
      <w:r>
        <w:t xml:space="preserve"> </w:t>
      </w:r>
      <w:r>
        <w:rPr>
          <w:spacing w:val="7"/>
        </w:rPr>
        <w:t>适用于本文件。</w:t>
      </w:r>
    </w:p>
    <w:p>
      <w:pPr>
        <w:pStyle w:val="BodyText"/>
        <w:spacing w:before="28" w:line="226" w:lineRule="auto"/>
        <w:ind w:left="419"/>
      </w:pPr>
      <w:r>
        <w:t>GB</w:t>
      </w:r>
      <w:r>
        <w:rPr>
          <w:spacing w:val="7"/>
        </w:rPr>
        <w:t>/T 7119  节水型企业评价导则</w:t>
      </w:r>
    </w:p>
    <w:p>
      <w:pPr>
        <w:pStyle w:val="BodyText"/>
        <w:spacing w:before="26" w:line="228" w:lineRule="auto"/>
        <w:ind w:left="419"/>
      </w:pPr>
      <w:r>
        <w:t>GB</w:t>
      </w:r>
      <w:r>
        <w:rPr>
          <w:spacing w:val="7"/>
        </w:rPr>
        <w:t xml:space="preserve"> 8978</w:t>
      </w:r>
      <w:r>
        <w:rPr>
          <w:spacing w:val="12"/>
        </w:rPr>
        <w:t xml:space="preserve">  </w:t>
      </w:r>
      <w:r>
        <w:rPr>
          <w:spacing w:val="7"/>
        </w:rPr>
        <w:t>污水综合排放标准</w:t>
      </w:r>
    </w:p>
    <w:p>
      <w:pPr>
        <w:pStyle w:val="BodyText"/>
        <w:spacing w:before="27" w:line="228" w:lineRule="auto"/>
        <w:ind w:left="419"/>
      </w:pPr>
      <w:r>
        <w:t>GB</w:t>
      </w:r>
      <w:r>
        <w:rPr>
          <w:spacing w:val="8"/>
        </w:rPr>
        <w:t xml:space="preserve"> 12348</w:t>
      </w:r>
      <w:r>
        <w:rPr>
          <w:spacing w:val="11"/>
        </w:rPr>
        <w:t xml:space="preserve">  </w:t>
      </w:r>
      <w:r>
        <w:rPr>
          <w:spacing w:val="8"/>
        </w:rPr>
        <w:t>工业企业厂界环境噪声排放标准</w:t>
      </w:r>
    </w:p>
    <w:p>
      <w:pPr>
        <w:pStyle w:val="BodyText"/>
        <w:spacing w:before="24" w:line="227" w:lineRule="auto"/>
        <w:ind w:left="419"/>
      </w:pPr>
      <w:r>
        <w:t>GB</w:t>
      </w:r>
      <w:r>
        <w:rPr>
          <w:spacing w:val="7"/>
        </w:rPr>
        <w:t>/T 12497</w:t>
      </w:r>
      <w:r>
        <w:rPr>
          <w:spacing w:val="14"/>
        </w:rPr>
        <w:t xml:space="preserve">  </w:t>
      </w:r>
      <w:r>
        <w:rPr>
          <w:spacing w:val="7"/>
        </w:rPr>
        <w:t>三相异步电动机经济运行</w:t>
      </w:r>
    </w:p>
    <w:p>
      <w:pPr>
        <w:pStyle w:val="BodyText"/>
        <w:spacing w:before="28" w:line="228" w:lineRule="auto"/>
        <w:ind w:left="419"/>
      </w:pPr>
      <w:r>
        <w:t>GB</w:t>
      </w:r>
      <w:r>
        <w:rPr>
          <w:spacing w:val="4"/>
        </w:rPr>
        <w:t>/T</w:t>
      </w:r>
      <w:r>
        <w:rPr>
          <w:spacing w:val="35"/>
        </w:rPr>
        <w:t xml:space="preserve"> </w:t>
      </w:r>
      <w:r>
        <w:rPr>
          <w:spacing w:val="4"/>
        </w:rPr>
        <w:t>13462</w:t>
      </w:r>
      <w:r>
        <w:rPr>
          <w:spacing w:val="21"/>
        </w:rPr>
        <w:t xml:space="preserve">  </w:t>
      </w:r>
      <w:r>
        <w:rPr>
          <w:spacing w:val="4"/>
        </w:rPr>
        <w:t>电力变压器经济运行</w:t>
      </w:r>
    </w:p>
    <w:p>
      <w:pPr>
        <w:pStyle w:val="BodyText"/>
        <w:spacing w:before="24" w:line="228" w:lineRule="auto"/>
        <w:ind w:left="419"/>
      </w:pPr>
      <w:r>
        <w:t>GB</w:t>
      </w:r>
      <w:r>
        <w:rPr>
          <w:spacing w:val="30"/>
        </w:rPr>
        <w:t xml:space="preserve"> </w:t>
      </w:r>
      <w:r>
        <w:rPr>
          <w:spacing w:val="7"/>
        </w:rPr>
        <w:t xml:space="preserve">13690  化学品分类和危险性公示  </w:t>
      </w:r>
      <w:r>
        <w:rPr>
          <w:spacing w:val="6"/>
        </w:rPr>
        <w:t>通则</w:t>
      </w:r>
    </w:p>
    <w:p>
      <w:pPr>
        <w:pStyle w:val="BodyText"/>
        <w:spacing w:before="26" w:line="228" w:lineRule="auto"/>
        <w:ind w:left="419"/>
      </w:pPr>
      <w:r>
        <w:t>GB</w:t>
      </w:r>
      <w:r>
        <w:rPr>
          <w:spacing w:val="8"/>
        </w:rPr>
        <w:t xml:space="preserve"> 17167  用能单位能源计量器具配备和管理通则</w:t>
      </w:r>
    </w:p>
    <w:p>
      <w:pPr>
        <w:pStyle w:val="BodyText"/>
        <w:spacing w:before="25" w:line="228" w:lineRule="auto"/>
        <w:ind w:left="419"/>
      </w:pPr>
      <w:r>
        <w:t>GB</w:t>
      </w:r>
      <w:r>
        <w:rPr>
          <w:spacing w:val="7"/>
        </w:rPr>
        <w:t xml:space="preserve"> 18597</w:t>
      </w:r>
      <w:r>
        <w:rPr>
          <w:spacing w:val="18"/>
        </w:rPr>
        <w:t xml:space="preserve">  </w:t>
      </w:r>
      <w:r>
        <w:rPr>
          <w:spacing w:val="7"/>
        </w:rPr>
        <w:t>危险废物贮存污染控制标准</w:t>
      </w:r>
    </w:p>
    <w:p>
      <w:pPr>
        <w:pStyle w:val="BodyText"/>
        <w:spacing w:before="24" w:line="228" w:lineRule="auto"/>
        <w:ind w:left="419"/>
      </w:pPr>
      <w:r>
        <w:t>GB</w:t>
      </w:r>
      <w:r>
        <w:rPr>
          <w:spacing w:val="5"/>
        </w:rPr>
        <w:t>/T</w:t>
      </w:r>
      <w:r>
        <w:rPr>
          <w:spacing w:val="34"/>
        </w:rPr>
        <w:t xml:space="preserve"> </w:t>
      </w:r>
      <w:r>
        <w:rPr>
          <w:spacing w:val="5"/>
        </w:rPr>
        <w:t>19001  质量管理体系</w:t>
      </w:r>
      <w:r>
        <w:rPr>
          <w:spacing w:val="11"/>
        </w:rPr>
        <w:t xml:space="preserve">  </w:t>
      </w:r>
      <w:r>
        <w:rPr>
          <w:spacing w:val="5"/>
        </w:rPr>
        <w:t>要求</w:t>
      </w:r>
    </w:p>
    <w:p>
      <w:pPr>
        <w:pStyle w:val="BodyText"/>
        <w:spacing w:before="26" w:line="228" w:lineRule="auto"/>
        <w:ind w:left="419"/>
      </w:pPr>
      <w:r>
        <w:t>GB</w:t>
      </w:r>
      <w:r>
        <w:rPr>
          <w:spacing w:val="8"/>
        </w:rPr>
        <w:t>/T 23001  信息化和工业化融合管理</w:t>
      </w:r>
      <w:r>
        <w:rPr>
          <w:spacing w:val="7"/>
        </w:rPr>
        <w:t>体系</w:t>
      </w:r>
    </w:p>
    <w:p>
      <w:pPr>
        <w:pStyle w:val="BodyText"/>
        <w:spacing w:before="27" w:line="228" w:lineRule="auto"/>
        <w:ind w:left="419"/>
      </w:pPr>
      <w:r>
        <w:t>GB</w:t>
      </w:r>
      <w:r>
        <w:rPr>
          <w:spacing w:val="7"/>
        </w:rPr>
        <w:t>/T 23331  能源管理体系</w:t>
      </w:r>
      <w:r>
        <w:rPr>
          <w:spacing w:val="16"/>
        </w:rPr>
        <w:t xml:space="preserve">  </w:t>
      </w:r>
      <w:r>
        <w:rPr>
          <w:spacing w:val="7"/>
        </w:rPr>
        <w:t>要求与使用指南</w:t>
      </w:r>
    </w:p>
    <w:p>
      <w:pPr>
        <w:pStyle w:val="BodyText"/>
        <w:spacing w:before="24" w:line="228" w:lineRule="auto"/>
        <w:ind w:left="419"/>
      </w:pPr>
      <w:r>
        <w:t>GB</w:t>
      </w:r>
      <w:r>
        <w:rPr>
          <w:spacing w:val="7"/>
        </w:rPr>
        <w:t>/T 24001  环境管理体系  要求及使用指南</w:t>
      </w:r>
    </w:p>
    <w:p>
      <w:pPr>
        <w:pStyle w:val="BodyText"/>
        <w:spacing w:before="27" w:line="228" w:lineRule="auto"/>
        <w:ind w:left="419"/>
      </w:pPr>
      <w:r>
        <w:t>GB</w:t>
      </w:r>
      <w:r>
        <w:rPr>
          <w:spacing w:val="8"/>
        </w:rPr>
        <w:t xml:space="preserve"> 24789  用水单位水计量器具配备和管理通则</w:t>
      </w:r>
    </w:p>
    <w:p>
      <w:pPr>
        <w:pStyle w:val="BodyText"/>
        <w:spacing w:before="24" w:line="227" w:lineRule="auto"/>
        <w:ind w:left="419"/>
      </w:pPr>
      <w:r>
        <w:t>GB</w:t>
      </w:r>
      <w:r>
        <w:rPr>
          <w:spacing w:val="8"/>
        </w:rPr>
        <w:t>/T 24851  建筑材料行业能源计量器具配备和管理要求</w:t>
      </w:r>
    </w:p>
    <w:p>
      <w:pPr>
        <w:pStyle w:val="BodyText"/>
        <w:spacing w:before="26" w:line="226" w:lineRule="auto"/>
        <w:ind w:left="419"/>
      </w:pPr>
      <w:r>
        <w:t>GB</w:t>
      </w:r>
      <w:r>
        <w:rPr>
          <w:spacing w:val="8"/>
        </w:rPr>
        <w:t>/T 29115  工业企业节约原材料评价</w:t>
      </w:r>
      <w:r>
        <w:rPr>
          <w:spacing w:val="7"/>
        </w:rPr>
        <w:t>导则</w:t>
      </w:r>
    </w:p>
    <w:p>
      <w:pPr>
        <w:pStyle w:val="BodyText"/>
        <w:spacing w:before="29" w:line="226" w:lineRule="auto"/>
        <w:ind w:left="419"/>
      </w:pPr>
      <w:r>
        <w:t>GB</w:t>
      </w:r>
      <w:r>
        <w:rPr>
          <w:spacing w:val="8"/>
        </w:rPr>
        <w:t>/T 32150  工业企业温室气体排放核算和报告通则</w:t>
      </w:r>
    </w:p>
    <w:p>
      <w:pPr>
        <w:pStyle w:val="BodyText"/>
        <w:spacing w:before="26" w:line="226" w:lineRule="auto"/>
        <w:ind w:left="419"/>
      </w:pPr>
      <w:r>
        <w:t>GB</w:t>
      </w:r>
      <w:r>
        <w:rPr>
          <w:spacing w:val="6"/>
        </w:rPr>
        <w:t>/T 36132-2018  绿色工厂评价通则</w:t>
      </w:r>
    </w:p>
    <w:p>
      <w:pPr>
        <w:pStyle w:val="BodyText"/>
        <w:spacing w:before="28" w:line="228" w:lineRule="auto"/>
        <w:ind w:left="419"/>
        <w:sectPr>
          <w:footerReference w:type="default" r:id="rId4"/>
          <w:pgSz w:w="11906" w:h="16839"/>
          <w:pgMar w:top="1406" w:right="1047" w:bottom="1313" w:left="1705" w:header="0" w:footer="1134" w:gutter="0"/>
          <w:cols w:space="708"/>
        </w:sectPr>
      </w:pPr>
      <w:r>
        <w:t>GB</w:t>
      </w:r>
      <w:r>
        <w:rPr>
          <w:spacing w:val="8"/>
        </w:rPr>
        <w:t>/T 45001  职业健康安全管理体系 要求及使用指南</w:t>
      </w:r>
    </w:p>
    <w:p>
      <w:pPr>
        <w:pStyle w:val="BodyText"/>
        <w:spacing w:before="25" w:line="227" w:lineRule="auto"/>
        <w:ind w:left="419"/>
      </w:pPr>
      <w:r>
        <w:t>GB</w:t>
      </w:r>
      <w:r>
        <w:rPr>
          <w:spacing w:val="7"/>
        </w:rPr>
        <w:t xml:space="preserve"> 50033</w:t>
      </w:r>
      <w:r>
        <w:rPr>
          <w:spacing w:val="12"/>
        </w:rPr>
        <w:t xml:space="preserve">  </w:t>
      </w:r>
      <w:r>
        <w:rPr>
          <w:spacing w:val="7"/>
        </w:rPr>
        <w:t>建筑采光设计标准</w:t>
      </w:r>
    </w:p>
    <w:p>
      <w:pPr>
        <w:pStyle w:val="BodyText"/>
        <w:spacing w:before="27" w:line="227" w:lineRule="auto"/>
        <w:ind w:left="419"/>
      </w:pPr>
      <w:r>
        <w:t>GB</w:t>
      </w:r>
      <w:r>
        <w:rPr>
          <w:spacing w:val="8"/>
        </w:rPr>
        <w:t xml:space="preserve"> 50034  建筑照明设计标准(附条文说明)</w:t>
      </w:r>
    </w:p>
    <w:p>
      <w:pPr>
        <w:pStyle w:val="BodyText"/>
        <w:spacing w:before="26" w:line="226" w:lineRule="auto"/>
        <w:ind w:left="427"/>
      </w:pPr>
      <w:r>
        <w:rPr>
          <w:spacing w:val="8"/>
        </w:rPr>
        <w:t>《生产安全事故报告和调查处理条例》（国务院令第493号）</w:t>
      </w:r>
    </w:p>
    <w:p>
      <w:pPr>
        <w:pStyle w:val="BodyText"/>
        <w:spacing w:before="28" w:line="227" w:lineRule="auto"/>
        <w:ind w:left="427"/>
      </w:pPr>
      <w:r>
        <w:rPr>
          <w:spacing w:val="9"/>
        </w:rPr>
        <w:t>《高耗能落后机电设备（产品）淘汰目录》（第一批至第四批）</w:t>
      </w:r>
    </w:p>
    <w:p>
      <w:pPr>
        <w:pStyle w:val="BodyText"/>
        <w:spacing w:before="25" w:line="241" w:lineRule="auto"/>
        <w:ind w:left="6" w:right="86" w:firstLine="420"/>
      </w:pPr>
      <w:r>
        <w:rPr>
          <w:spacing w:val="11"/>
        </w:rPr>
        <w:t>《部分工业行业淘汰落后生产工艺装备和产品指导目录（201</w:t>
      </w:r>
      <w:r>
        <w:rPr>
          <w:spacing w:val="10"/>
        </w:rPr>
        <w:t>0年本）</w:t>
      </w:r>
      <w:r>
        <w:rPr>
          <w:spacing w:val="-60"/>
        </w:rPr>
        <w:t xml:space="preserve"> </w:t>
      </w:r>
      <w:r>
        <w:rPr>
          <w:spacing w:val="10"/>
        </w:rPr>
        <w:t>》（工产业[2010]第122</w:t>
      </w:r>
      <w:r>
        <w:t xml:space="preserve"> </w:t>
      </w:r>
      <w:r>
        <w:rPr>
          <w:spacing w:val="-3"/>
        </w:rPr>
        <w:t>号）</w:t>
      </w:r>
    </w:p>
    <w:p>
      <w:pPr>
        <w:pStyle w:val="BodyText"/>
        <w:spacing w:before="134" w:line="228" w:lineRule="auto"/>
        <w:ind w:left="427"/>
      </w:pPr>
      <w:r>
        <w:rPr>
          <w:spacing w:val="8"/>
        </w:rPr>
        <w:t>《工业项目建设用地控制指标》（国土资发</w:t>
      </w:r>
      <w:r>
        <w:rPr>
          <w:spacing w:val="7"/>
        </w:rPr>
        <w:t>〔2008〕24</w:t>
      </w:r>
      <w:r>
        <w:rPr>
          <w:spacing w:val="-35"/>
        </w:rPr>
        <w:t xml:space="preserve"> </w:t>
      </w:r>
      <w:r>
        <w:rPr>
          <w:spacing w:val="7"/>
        </w:rPr>
        <w:t>号）</w:t>
      </w:r>
    </w:p>
    <w:p>
      <w:pPr>
        <w:spacing w:before="283" w:line="231" w:lineRule="auto"/>
        <w:ind w:left="1"/>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10"/>
          <w:sz w:val="20"/>
          <w:szCs w:val="20"/>
        </w:rPr>
        <w:t xml:space="preserve">  </w:t>
      </w:r>
      <w:r>
        <w:rPr>
          <w:rFonts w:ascii="SimHei" w:eastAsia="SimHei" w:hAnsi="SimHei" w:cs="SimHei"/>
          <w:spacing w:val="6"/>
          <w:sz w:val="20"/>
          <w:szCs w:val="20"/>
        </w:rPr>
        <w:t>术语和定义</w:t>
      </w:r>
    </w:p>
    <w:p>
      <w:pPr>
        <w:pStyle w:val="BodyText"/>
        <w:spacing w:before="261" w:line="227" w:lineRule="auto"/>
        <w:ind w:left="428"/>
      </w:pPr>
      <w:r>
        <w:rPr>
          <w:spacing w:val="8"/>
        </w:rPr>
        <w:t>下列术语和定义适用于本文件。</w:t>
      </w:r>
    </w:p>
    <w:p>
      <w:pPr>
        <w:spacing w:line="227" w:lineRule="auto"/>
        <w:sectPr>
          <w:footerReference w:type="default" r:id="rId5"/>
          <w:type w:val="nextPage"/>
          <w:pgSz w:w="11906" w:h="16839"/>
          <w:pgMar w:top="1406" w:right="1047" w:bottom="1313" w:left="1705" w:header="0" w:footer="1134" w:gutter="0"/>
          <w:pgNumType w:start="2"/>
          <w:cols w:space="708"/>
          <w:titlePg w:val="0"/>
        </w:sectPr>
      </w:pPr>
    </w:p>
    <w:p>
      <w:pPr>
        <w:spacing w:before="125" w:line="265" w:lineRule="exact"/>
        <w:ind w:left="7609"/>
        <w:rPr>
          <w:rFonts w:ascii="SimHei" w:eastAsia="SimHei" w:hAnsi="SimHei" w:cs="SimHei"/>
          <w:sz w:val="20"/>
          <w:szCs w:val="20"/>
        </w:rPr>
      </w:pPr>
      <w:r>
        <w:rPr>
          <w:rFonts w:ascii="SimHei" w:eastAsia="SimHei" w:hAnsi="SimHei" w:cs="SimHei"/>
          <w:spacing w:val="7"/>
          <w:position w:val="1"/>
          <w:sz w:val="20"/>
          <w:szCs w:val="20"/>
        </w:rPr>
        <w:t>T/</w:t>
      </w:r>
      <w:r>
        <w:rPr>
          <w:rFonts w:ascii="SimHei" w:eastAsia="SimHei" w:hAnsi="SimHei" w:cs="SimHei"/>
          <w:position w:val="1"/>
          <w:sz w:val="20"/>
          <w:szCs w:val="20"/>
        </w:rPr>
        <w:t>CI</w:t>
      </w:r>
      <w:r>
        <w:rPr>
          <w:rFonts w:ascii="SimHei" w:eastAsia="SimHei" w:hAnsi="SimHei" w:cs="SimHei"/>
          <w:spacing w:val="7"/>
          <w:position w:val="1"/>
          <w:sz w:val="20"/>
          <w:szCs w:val="20"/>
        </w:rPr>
        <w:t xml:space="preserve"> </w:t>
      </w:r>
      <w:r>
        <w:rPr>
          <w:rFonts w:ascii="SimHei" w:eastAsia="SimHei" w:hAnsi="SimHei" w:cs="SimHei"/>
          <w:position w:val="1"/>
          <w:sz w:val="20"/>
          <w:szCs w:val="20"/>
        </w:rPr>
        <w:t>XXX</w:t>
      </w:r>
      <w:r>
        <w:rPr>
          <w:rFonts w:ascii="SimHei" w:eastAsia="SimHei" w:hAnsi="SimHei" w:cs="SimHei"/>
          <w:spacing w:val="7"/>
          <w:position w:val="1"/>
          <w:sz w:val="20"/>
          <w:szCs w:val="20"/>
        </w:rPr>
        <w:t>—2023</w:t>
      </w:r>
    </w:p>
    <w:p>
      <w:pPr>
        <w:spacing w:before="58" w:line="191" w:lineRule="auto"/>
        <w:ind w:left="5"/>
        <w:rPr>
          <w:rFonts w:ascii="SimHei" w:eastAsia="SimHei" w:hAnsi="SimHei" w:cs="SimHei"/>
          <w:sz w:val="20"/>
          <w:szCs w:val="20"/>
        </w:rPr>
      </w:pPr>
      <w:r>
        <w:rPr>
          <w:rFonts w:ascii="SimHei" w:eastAsia="SimHei" w:hAnsi="SimHei" w:cs="SimHei"/>
          <w:spacing w:val="2"/>
          <w:sz w:val="20"/>
          <w:szCs w:val="20"/>
        </w:rPr>
        <w:t>3.1</w:t>
      </w:r>
    </w:p>
    <w:p>
      <w:pPr>
        <w:spacing w:before="34" w:line="226" w:lineRule="auto"/>
        <w:ind w:left="426"/>
        <w:rPr>
          <w:rFonts w:ascii="SimHei" w:eastAsia="SimHei" w:hAnsi="SimHei" w:cs="SimHei"/>
          <w:sz w:val="20"/>
          <w:szCs w:val="20"/>
        </w:rPr>
      </w:pPr>
      <w:r>
        <w:rPr>
          <w:rFonts w:ascii="SimHei" w:eastAsia="SimHei" w:hAnsi="SimHei" w:cs="SimHei"/>
          <w:spacing w:val="17"/>
          <w:sz w:val="20"/>
          <w:szCs w:val="20"/>
        </w:rPr>
        <w:t>绿色工厂</w:t>
      </w:r>
      <w:r>
        <w:rPr>
          <w:rFonts w:ascii="SimHei" w:eastAsia="SimHei" w:hAnsi="SimHei" w:cs="SimHei"/>
          <w:spacing w:val="17"/>
          <w:sz w:val="20"/>
          <w:szCs w:val="20"/>
        </w:rPr>
        <w:t xml:space="preserve"> </w:t>
      </w:r>
      <w:r>
        <w:rPr>
          <w:rFonts w:ascii="SimHei" w:eastAsia="SimHei" w:hAnsi="SimHei" w:cs="SimHei"/>
          <w:sz w:val="20"/>
          <w:szCs w:val="20"/>
        </w:rPr>
        <w:t>green</w:t>
      </w:r>
      <w:r>
        <w:rPr>
          <w:rFonts w:ascii="SimHei" w:eastAsia="SimHei" w:hAnsi="SimHei" w:cs="SimHei"/>
          <w:spacing w:val="17"/>
          <w:sz w:val="20"/>
          <w:szCs w:val="20"/>
        </w:rPr>
        <w:t xml:space="preserve"> </w:t>
      </w:r>
      <w:r>
        <w:rPr>
          <w:rFonts w:ascii="SimHei" w:eastAsia="SimHei" w:hAnsi="SimHei" w:cs="SimHei"/>
          <w:sz w:val="20"/>
          <w:szCs w:val="20"/>
        </w:rPr>
        <w:t>factory</w:t>
      </w:r>
    </w:p>
    <w:p>
      <w:pPr>
        <w:pStyle w:val="BodyText"/>
        <w:spacing w:before="28" w:line="239" w:lineRule="auto"/>
        <w:ind w:left="457" w:right="1200" w:hanging="27"/>
      </w:pPr>
      <w:r>
        <w:rPr>
          <w:spacing w:val="9"/>
        </w:rPr>
        <w:t>实现了用地集约化、原料无害化、生产洁净化</w:t>
      </w:r>
      <w:r>
        <w:rPr>
          <w:spacing w:val="8"/>
        </w:rPr>
        <w:t>、废物资源化、能源低碳化的工厂。</w:t>
      </w:r>
      <w:r>
        <w:t xml:space="preserve"> </w:t>
      </w:r>
      <w:r>
        <w:rPr>
          <w:spacing w:val="4"/>
        </w:rPr>
        <w:t>[来源：</w:t>
      </w:r>
      <w:r>
        <w:t>GB</w:t>
      </w:r>
      <w:r>
        <w:rPr>
          <w:spacing w:val="4"/>
        </w:rPr>
        <w:t>/T 36132-2018，3.1]</w:t>
      </w:r>
    </w:p>
    <w:p>
      <w:pPr>
        <w:spacing w:before="57" w:line="191" w:lineRule="auto"/>
        <w:ind w:left="5"/>
        <w:rPr>
          <w:rFonts w:ascii="SimHei" w:eastAsia="SimHei" w:hAnsi="SimHei" w:cs="SimHei"/>
          <w:sz w:val="20"/>
          <w:szCs w:val="20"/>
        </w:rPr>
      </w:pPr>
      <w:r>
        <w:rPr>
          <w:rFonts w:ascii="SimHei" w:eastAsia="SimHei" w:hAnsi="SimHei" w:cs="SimHei"/>
          <w:spacing w:val="2"/>
          <w:sz w:val="20"/>
          <w:szCs w:val="20"/>
        </w:rPr>
        <w:t>3.2</w:t>
      </w:r>
    </w:p>
    <w:p>
      <w:pPr>
        <w:spacing w:before="34" w:line="226" w:lineRule="auto"/>
        <w:ind w:left="423"/>
        <w:rPr>
          <w:rFonts w:ascii="SimHei" w:eastAsia="SimHei" w:hAnsi="SimHei" w:cs="SimHei"/>
          <w:sz w:val="20"/>
          <w:szCs w:val="20"/>
        </w:rPr>
      </w:pPr>
      <w:r>
        <w:rPr>
          <w:rFonts w:ascii="SimHei" w:eastAsia="SimHei" w:hAnsi="SimHei" w:cs="SimHei"/>
          <w:spacing w:val="16"/>
          <w:sz w:val="20"/>
          <w:szCs w:val="20"/>
        </w:rPr>
        <w:t>石英晶体元器件行业</w:t>
      </w:r>
      <w:r>
        <w:rPr>
          <w:rFonts w:ascii="SimHei" w:eastAsia="SimHei" w:hAnsi="SimHei" w:cs="SimHei"/>
          <w:spacing w:val="16"/>
          <w:sz w:val="20"/>
          <w:szCs w:val="20"/>
        </w:rPr>
        <w:t xml:space="preserve">  </w:t>
      </w:r>
      <w:r>
        <w:rPr>
          <w:rFonts w:ascii="SimHei" w:eastAsia="SimHei" w:hAnsi="SimHei" w:cs="SimHei"/>
          <w:sz w:val="20"/>
          <w:szCs w:val="20"/>
        </w:rPr>
        <w:t>Quartz</w:t>
      </w:r>
      <w:r>
        <w:rPr>
          <w:rFonts w:ascii="SimHei" w:eastAsia="SimHei" w:hAnsi="SimHei" w:cs="SimHei"/>
          <w:spacing w:val="16"/>
          <w:sz w:val="20"/>
          <w:szCs w:val="20"/>
        </w:rPr>
        <w:t xml:space="preserve"> </w:t>
      </w:r>
      <w:r>
        <w:rPr>
          <w:rFonts w:ascii="SimHei" w:eastAsia="SimHei" w:hAnsi="SimHei" w:cs="SimHei"/>
          <w:sz w:val="20"/>
          <w:szCs w:val="20"/>
        </w:rPr>
        <w:t>crystal</w:t>
      </w:r>
      <w:r>
        <w:rPr>
          <w:rFonts w:ascii="SimHei" w:eastAsia="SimHei" w:hAnsi="SimHei" w:cs="SimHei"/>
          <w:spacing w:val="16"/>
          <w:sz w:val="20"/>
          <w:szCs w:val="20"/>
        </w:rPr>
        <w:t xml:space="preserve"> </w:t>
      </w:r>
      <w:r>
        <w:rPr>
          <w:rFonts w:ascii="SimHei" w:eastAsia="SimHei" w:hAnsi="SimHei" w:cs="SimHei"/>
          <w:sz w:val="20"/>
          <w:szCs w:val="20"/>
        </w:rPr>
        <w:t>components</w:t>
      </w:r>
      <w:r>
        <w:rPr>
          <w:rFonts w:ascii="SimHei" w:eastAsia="SimHei" w:hAnsi="SimHei" w:cs="SimHei"/>
          <w:spacing w:val="56"/>
          <w:sz w:val="20"/>
          <w:szCs w:val="20"/>
        </w:rPr>
        <w:t xml:space="preserve"> </w:t>
      </w:r>
      <w:r>
        <w:rPr>
          <w:rFonts w:ascii="SimHei" w:eastAsia="SimHei" w:hAnsi="SimHei" w:cs="SimHei"/>
          <w:sz w:val="20"/>
          <w:szCs w:val="20"/>
        </w:rPr>
        <w:t>industry</w:t>
      </w:r>
    </w:p>
    <w:p>
      <w:pPr>
        <w:pStyle w:val="BodyText"/>
        <w:spacing w:before="27" w:line="243" w:lineRule="auto"/>
        <w:ind w:left="7" w:right="73" w:firstLine="419"/>
      </w:pPr>
      <w:r>
        <w:rPr>
          <w:spacing w:val="11"/>
        </w:rPr>
        <w:t>石英晶体元器件行业是指从事石英晶体谐振器、振荡器、滤波器等</w:t>
      </w:r>
      <w:r>
        <w:rPr>
          <w:spacing w:val="10"/>
        </w:rPr>
        <w:t>产品的研发、生产和销售的</w:t>
      </w:r>
      <w:r>
        <w:t xml:space="preserve"> </w:t>
      </w:r>
      <w:r>
        <w:rPr>
          <w:spacing w:val="11"/>
        </w:rPr>
        <w:t>综合性行业。这个行业利用石英晶体的压电效应制造频率控制元</w:t>
      </w:r>
      <w:r>
        <w:rPr>
          <w:spacing w:val="10"/>
        </w:rPr>
        <w:t>器件，广泛应用于航天、军工、民</w:t>
      </w:r>
      <w:r>
        <w:t xml:space="preserve"> </w:t>
      </w:r>
      <w:r>
        <w:rPr>
          <w:spacing w:val="4"/>
        </w:rPr>
        <w:t>用、</w:t>
      </w:r>
      <w:r>
        <w:rPr>
          <w:spacing w:val="-46"/>
        </w:rPr>
        <w:t xml:space="preserve"> </w:t>
      </w:r>
      <w:r>
        <w:rPr>
          <w:spacing w:val="4"/>
        </w:rPr>
        <w:t>日常消费类电子等领域。</w:t>
      </w:r>
    </w:p>
    <w:p>
      <w:pPr>
        <w:spacing w:before="267" w:line="230" w:lineRule="auto"/>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10"/>
          <w:sz w:val="20"/>
          <w:szCs w:val="20"/>
        </w:rPr>
        <w:t xml:space="preserve">  </w:t>
      </w:r>
      <w:r>
        <w:rPr>
          <w:rFonts w:ascii="SimHei" w:eastAsia="SimHei" w:hAnsi="SimHei" w:cs="SimHei"/>
          <w:spacing w:val="6"/>
          <w:sz w:val="20"/>
          <w:szCs w:val="20"/>
        </w:rPr>
        <w:t>评价原则</w:t>
      </w:r>
    </w:p>
    <w:p>
      <w:pPr>
        <w:spacing w:before="264" w:line="230" w:lineRule="auto"/>
        <w:rPr>
          <w:rFonts w:ascii="SimHei" w:eastAsia="SimHei" w:hAnsi="SimHei" w:cs="SimHei"/>
          <w:sz w:val="20"/>
          <w:szCs w:val="20"/>
        </w:rPr>
      </w:pPr>
      <w:r>
        <w:rPr>
          <w:rFonts w:ascii="SimHei" w:eastAsia="SimHei" w:hAnsi="SimHei" w:cs="SimHei"/>
          <w:spacing w:val="6"/>
          <w:sz w:val="20"/>
          <w:szCs w:val="20"/>
        </w:rPr>
        <w:t>4.1</w:t>
      </w:r>
      <w:r>
        <w:rPr>
          <w:rFonts w:ascii="SimHei" w:eastAsia="SimHei" w:hAnsi="SimHei" w:cs="SimHei"/>
          <w:spacing w:val="11"/>
          <w:sz w:val="20"/>
          <w:szCs w:val="20"/>
        </w:rPr>
        <w:t xml:space="preserve">  </w:t>
      </w:r>
      <w:r>
        <w:rPr>
          <w:rFonts w:ascii="SimHei" w:eastAsia="SimHei" w:hAnsi="SimHei" w:cs="SimHei"/>
          <w:spacing w:val="6"/>
          <w:sz w:val="20"/>
          <w:szCs w:val="20"/>
        </w:rPr>
        <w:t>一致性原则</w:t>
      </w:r>
    </w:p>
    <w:p>
      <w:pPr>
        <w:pStyle w:val="BodyText"/>
        <w:spacing w:before="143" w:line="243" w:lineRule="auto"/>
        <w:ind w:left="4" w:right="70" w:firstLine="420"/>
        <w:jc w:val="both"/>
      </w:pPr>
      <w:r>
        <w:rPr>
          <w:spacing w:val="10"/>
        </w:rPr>
        <w:t>评价总体结构与</w:t>
      </w:r>
      <w:r>
        <w:t>GB</w:t>
      </w:r>
      <w:r>
        <w:rPr>
          <w:spacing w:val="10"/>
        </w:rPr>
        <w:t>/T 36132提出的相关评价指标体系和通用要求保持一致，包括基本要求、基</w:t>
      </w:r>
      <w:r>
        <w:rPr>
          <w:spacing w:val="3"/>
        </w:rPr>
        <w:t xml:space="preserve"> </w:t>
      </w:r>
      <w:r>
        <w:rPr>
          <w:spacing w:val="8"/>
        </w:rPr>
        <w:t>础设施、管理体系、能源与资源投入、产品、环境排放、绩效7项综合评价要求，下设一级指标、二</w:t>
      </w:r>
      <w:r>
        <w:rPr>
          <w:spacing w:val="11"/>
        </w:rPr>
        <w:t xml:space="preserve"> </w:t>
      </w:r>
      <w:r>
        <w:rPr>
          <w:spacing w:val="9"/>
        </w:rPr>
        <w:t>级指标、具体评价要求、分值、指标类型。指标类型分为必选要求、可选要求。</w:t>
      </w:r>
    </w:p>
    <w:p>
      <w:pPr>
        <w:spacing w:before="146" w:line="230" w:lineRule="auto"/>
        <w:rPr>
          <w:rFonts w:ascii="SimHei" w:eastAsia="SimHei" w:hAnsi="SimHei" w:cs="SimHei"/>
          <w:sz w:val="20"/>
          <w:szCs w:val="20"/>
        </w:rPr>
      </w:pPr>
      <w:r>
        <w:rPr>
          <w:rFonts w:ascii="SimHei" w:eastAsia="SimHei" w:hAnsi="SimHei" w:cs="SimHei"/>
          <w:spacing w:val="7"/>
          <w:sz w:val="20"/>
          <w:szCs w:val="20"/>
        </w:rPr>
        <w:t>4.2</w:t>
      </w:r>
      <w:r>
        <w:rPr>
          <w:rFonts w:ascii="SimHei" w:eastAsia="SimHei" w:hAnsi="SimHei" w:cs="SimHei"/>
          <w:spacing w:val="7"/>
          <w:sz w:val="20"/>
          <w:szCs w:val="20"/>
        </w:rPr>
        <w:t xml:space="preserve">  </w:t>
      </w:r>
      <w:r>
        <w:rPr>
          <w:rFonts w:ascii="SimHei" w:eastAsia="SimHei" w:hAnsi="SimHei" w:cs="SimHei"/>
          <w:spacing w:val="7"/>
          <w:sz w:val="20"/>
          <w:szCs w:val="20"/>
        </w:rPr>
        <w:t>行业性原则</w:t>
      </w:r>
    </w:p>
    <w:p>
      <w:pPr>
        <w:pStyle w:val="BodyText"/>
        <w:spacing w:before="144" w:line="226" w:lineRule="auto"/>
        <w:ind w:left="424"/>
      </w:pPr>
      <w:r>
        <w:rPr>
          <w:spacing w:val="9"/>
        </w:rPr>
        <w:t>评价要求在</w:t>
      </w:r>
      <w:r>
        <w:t>GB</w:t>
      </w:r>
      <w:r>
        <w:rPr>
          <w:spacing w:val="9"/>
        </w:rPr>
        <w:t>/T 36132的基础上突出</w:t>
      </w:r>
      <w:r>
        <w:rPr>
          <w:spacing w:val="8"/>
        </w:rPr>
        <w:t>石英晶体元器件行业特征和特性。</w:t>
      </w:r>
    </w:p>
    <w:p>
      <w:pPr>
        <w:spacing w:before="147" w:line="229" w:lineRule="auto"/>
        <w:rPr>
          <w:rFonts w:ascii="SimHei" w:eastAsia="SimHei" w:hAnsi="SimHei" w:cs="SimHei"/>
          <w:sz w:val="20"/>
          <w:szCs w:val="20"/>
        </w:rPr>
      </w:pPr>
      <w:r>
        <w:rPr>
          <w:rFonts w:ascii="SimHei" w:eastAsia="SimHei" w:hAnsi="SimHei" w:cs="SimHei"/>
          <w:spacing w:val="6"/>
          <w:sz w:val="20"/>
          <w:szCs w:val="20"/>
        </w:rPr>
        <w:t>4.3</w:t>
      </w:r>
      <w:r>
        <w:rPr>
          <w:rFonts w:ascii="SimHei" w:eastAsia="SimHei" w:hAnsi="SimHei" w:cs="SimHei"/>
          <w:spacing w:val="11"/>
          <w:sz w:val="20"/>
          <w:szCs w:val="20"/>
        </w:rPr>
        <w:t xml:space="preserve">  </w:t>
      </w:r>
      <w:r>
        <w:rPr>
          <w:rFonts w:ascii="SimHei" w:eastAsia="SimHei" w:hAnsi="SimHei" w:cs="SimHei"/>
          <w:spacing w:val="6"/>
          <w:sz w:val="20"/>
          <w:szCs w:val="20"/>
        </w:rPr>
        <w:t>系统性原则</w:t>
      </w:r>
    </w:p>
    <w:p>
      <w:pPr>
        <w:pStyle w:val="BodyText"/>
        <w:spacing w:before="145" w:line="511" w:lineRule="exact"/>
        <w:jc w:val="right"/>
      </w:pPr>
      <w:r>
        <w:rPr>
          <w:spacing w:val="8"/>
          <w:position w:val="23"/>
        </w:rPr>
        <w:t>评价指标采取定性与定量相结合、过程与绩效</w:t>
      </w:r>
      <w:r>
        <w:rPr>
          <w:spacing w:val="7"/>
          <w:position w:val="23"/>
        </w:rPr>
        <w:t>相结合的方式，形成完整的综合性评价指标体系。</w:t>
      </w:r>
    </w:p>
    <w:p>
      <w:pPr>
        <w:spacing w:before="1" w:line="229" w:lineRule="auto"/>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10"/>
          <w:sz w:val="20"/>
          <w:szCs w:val="20"/>
        </w:rPr>
        <w:t xml:space="preserve">  </w:t>
      </w:r>
      <w:r>
        <w:rPr>
          <w:rFonts w:ascii="SimHei" w:eastAsia="SimHei" w:hAnsi="SimHei" w:cs="SimHei"/>
          <w:spacing w:val="6"/>
          <w:sz w:val="20"/>
          <w:szCs w:val="20"/>
        </w:rPr>
        <w:t>评价要求</w:t>
      </w:r>
    </w:p>
    <w:p>
      <w:pPr>
        <w:spacing w:before="265" w:line="230" w:lineRule="auto"/>
        <w:rPr>
          <w:rFonts w:ascii="SimHei" w:eastAsia="SimHei" w:hAnsi="SimHei" w:cs="SimHei"/>
          <w:sz w:val="20"/>
          <w:szCs w:val="20"/>
        </w:rPr>
      </w:pPr>
      <w:r>
        <w:rPr>
          <w:rFonts w:ascii="SimHei" w:eastAsia="SimHei" w:hAnsi="SimHei" w:cs="SimHei"/>
          <w:spacing w:val="7"/>
          <w:sz w:val="20"/>
          <w:szCs w:val="20"/>
        </w:rPr>
        <w:t>5.1</w:t>
      </w:r>
      <w:r>
        <w:rPr>
          <w:rFonts w:ascii="SimHei" w:eastAsia="SimHei" w:hAnsi="SimHei" w:cs="SimHei"/>
          <w:spacing w:val="7"/>
          <w:sz w:val="20"/>
          <w:szCs w:val="20"/>
        </w:rPr>
        <w:t xml:space="preserve">  </w:t>
      </w:r>
      <w:r>
        <w:rPr>
          <w:rFonts w:ascii="SimHei" w:eastAsia="SimHei" w:hAnsi="SimHei" w:cs="SimHei"/>
          <w:spacing w:val="7"/>
          <w:sz w:val="20"/>
          <w:szCs w:val="20"/>
        </w:rPr>
        <w:t>评价指标体系</w:t>
      </w:r>
    </w:p>
    <w:p>
      <w:pPr>
        <w:pStyle w:val="BodyText"/>
        <w:spacing w:before="141" w:line="246" w:lineRule="auto"/>
        <w:ind w:left="4" w:right="70" w:firstLine="420"/>
        <w:jc w:val="both"/>
      </w:pPr>
      <w:r>
        <w:rPr>
          <w:spacing w:val="11"/>
        </w:rPr>
        <w:t>评价指标体系包括一级指标和二级指标，一级指标包括基本要求、基础</w:t>
      </w:r>
      <w:r>
        <w:rPr>
          <w:spacing w:val="10"/>
        </w:rPr>
        <w:t>设施、管理体系、能源</w:t>
      </w:r>
      <w:r>
        <w:t xml:space="preserve"> </w:t>
      </w:r>
      <w:r>
        <w:rPr>
          <w:spacing w:val="8"/>
        </w:rPr>
        <w:t>与资源投入、产品、环境排放、绩效7个方面，在一级指标下设若干二级指标，在二级指标下设具体</w:t>
      </w:r>
      <w:r>
        <w:rPr>
          <w:spacing w:val="11"/>
        </w:rPr>
        <w:t xml:space="preserve"> </w:t>
      </w:r>
      <w:r>
        <w:rPr>
          <w:spacing w:val="8"/>
        </w:rPr>
        <w:t>评价指标。基本要求为工厂参与评价的基本条件，不参与评分；其他6个方面为具体评价指标，通过</w:t>
      </w:r>
      <w:r>
        <w:rPr>
          <w:spacing w:val="9"/>
        </w:rPr>
        <w:t xml:space="preserve"> </w:t>
      </w:r>
      <w:r>
        <w:rPr>
          <w:spacing w:val="8"/>
        </w:rPr>
        <w:t>评分来判断工厂满足要求的程度。</w:t>
      </w:r>
    </w:p>
    <w:p>
      <w:pPr>
        <w:pStyle w:val="BodyText"/>
        <w:spacing w:before="23" w:line="244" w:lineRule="auto"/>
        <w:ind w:left="6" w:right="73" w:firstLine="423"/>
        <w:jc w:val="both"/>
      </w:pPr>
      <w:r>
        <w:rPr>
          <w:spacing w:val="11"/>
        </w:rPr>
        <w:t>具体评价指标分为必选指标和可选指标，必选指标为工厂应</w:t>
      </w:r>
      <w:r>
        <w:rPr>
          <w:spacing w:val="10"/>
        </w:rPr>
        <w:t>达到的基础性要求，必选指标不达</w:t>
      </w:r>
      <w:r>
        <w:t xml:space="preserve"> </w:t>
      </w:r>
      <w:r>
        <w:rPr>
          <w:spacing w:val="11"/>
        </w:rPr>
        <w:t>标的不能评价为绿色工厂；可选指标为鼓励工厂达到的提高性指标</w:t>
      </w:r>
      <w:r>
        <w:rPr>
          <w:spacing w:val="10"/>
        </w:rPr>
        <w:t>，具有先进性，依据受评工厂的</w:t>
      </w:r>
      <w:r>
        <w:t xml:space="preserve"> </w:t>
      </w:r>
      <w:r>
        <w:rPr>
          <w:spacing w:val="8"/>
        </w:rPr>
        <w:t>实际情况确定可选要求的满足程度。</w:t>
      </w:r>
    </w:p>
    <w:p>
      <w:pPr>
        <w:spacing w:before="147" w:line="229" w:lineRule="auto"/>
        <w:rPr>
          <w:rFonts w:ascii="SimHei" w:eastAsia="SimHei" w:hAnsi="SimHei" w:cs="SimHei"/>
          <w:sz w:val="20"/>
          <w:szCs w:val="20"/>
        </w:rPr>
      </w:pPr>
      <w:r>
        <w:rPr>
          <w:rFonts w:ascii="SimHei" w:eastAsia="SimHei" w:hAnsi="SimHei" w:cs="SimHei"/>
          <w:spacing w:val="6"/>
          <w:sz w:val="20"/>
          <w:szCs w:val="20"/>
        </w:rPr>
        <w:t>5.2</w:t>
      </w:r>
      <w:r>
        <w:rPr>
          <w:rFonts w:ascii="SimHei" w:eastAsia="SimHei" w:hAnsi="SimHei" w:cs="SimHei"/>
          <w:spacing w:val="6"/>
          <w:sz w:val="20"/>
          <w:szCs w:val="20"/>
        </w:rPr>
        <w:t xml:space="preserve">  </w:t>
      </w:r>
      <w:r>
        <w:rPr>
          <w:rFonts w:ascii="SimHei" w:eastAsia="SimHei" w:hAnsi="SimHei" w:cs="SimHei"/>
          <w:spacing w:val="6"/>
          <w:sz w:val="20"/>
          <w:szCs w:val="20"/>
        </w:rPr>
        <w:t>评价等级</w:t>
      </w:r>
    </w:p>
    <w:p>
      <w:pPr>
        <w:pStyle w:val="BodyText"/>
        <w:spacing w:before="144" w:line="243" w:lineRule="auto"/>
        <w:ind w:left="8" w:firstLine="419"/>
        <w:jc w:val="both"/>
      </w:pPr>
      <w:r>
        <w:rPr>
          <w:spacing w:val="10"/>
        </w:rPr>
        <w:t xml:space="preserve">为全面、系统反映石英晶体元器件行业绿色工厂建设能力，对于具备绿色工厂建设能力的石英 </w:t>
      </w:r>
      <w:r>
        <w:rPr>
          <w:spacing w:val="8"/>
        </w:rPr>
        <w:t>晶体元器件生产企业，按照不同评价指标要求将工</w:t>
      </w:r>
      <w:r>
        <w:rPr>
          <w:spacing w:val="7"/>
        </w:rPr>
        <w:t>厂分为五星、四星、三星、二星、一星五个等级。</w:t>
      </w:r>
      <w:r>
        <w:t xml:space="preserve"> </w:t>
      </w:r>
      <w:r>
        <w:rPr>
          <w:spacing w:val="8"/>
        </w:rPr>
        <w:t>五星级最高，依次降低。各星级分值见表1。</w:t>
      </w:r>
    </w:p>
    <w:p>
      <w:pPr>
        <w:spacing w:before="146" w:line="229" w:lineRule="auto"/>
        <w:ind w:left="3496"/>
        <w:rPr>
          <w:rFonts w:ascii="SimHei" w:eastAsia="SimHei" w:hAnsi="SimHei" w:cs="SimHei"/>
          <w:sz w:val="20"/>
          <w:szCs w:val="20"/>
        </w:rPr>
      </w:pPr>
      <w:r>
        <w:rPr>
          <w:rFonts w:ascii="SimHei" w:eastAsia="SimHei" w:hAnsi="SimHei" w:cs="SimHei"/>
          <w:spacing w:val="7"/>
          <w:sz w:val="20"/>
          <w:szCs w:val="20"/>
        </w:rPr>
        <w:t>表1</w:t>
      </w:r>
      <w:r>
        <w:rPr>
          <w:rFonts w:ascii="SimHei" w:eastAsia="SimHei" w:hAnsi="SimHei" w:cs="SimHei"/>
          <w:spacing w:val="7"/>
          <w:sz w:val="20"/>
          <w:szCs w:val="20"/>
        </w:rPr>
        <w:t xml:space="preserve"> </w:t>
      </w:r>
      <w:r>
        <w:rPr>
          <w:rFonts w:ascii="SimHei" w:eastAsia="SimHei" w:hAnsi="SimHei" w:cs="SimHei"/>
          <w:spacing w:val="7"/>
          <w:sz w:val="20"/>
          <w:szCs w:val="20"/>
        </w:rPr>
        <w:t>绿色工厂星级划分</w:t>
      </w:r>
    </w:p>
    <w:tbl>
      <w:tblPr>
        <w:tblStyle w:val="TableNormal0"/>
        <w:tblW w:w="6385" w:type="dxa"/>
        <w:tblInd w:w="13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2"/>
        <w:gridCol w:w="3193"/>
      </w:tblGrid>
      <w:tr>
        <w:tblPrEx>
          <w:tblW w:w="6385" w:type="dxa"/>
          <w:tblInd w:w="13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2"/>
        </w:trPr>
        <w:tc>
          <w:tcPr>
            <w:tcW w:w="3192" w:type="dxa"/>
            <w:vAlign w:val="top"/>
          </w:tcPr>
          <w:p>
            <w:pPr>
              <w:spacing w:before="31" w:line="206" w:lineRule="auto"/>
              <w:ind w:left="1062"/>
              <w:rPr>
                <w:rFonts w:ascii="SimSun" w:eastAsia="SimSun" w:hAnsi="SimSun" w:cs="SimSun"/>
                <w:sz w:val="18"/>
                <w:szCs w:val="18"/>
              </w:rPr>
            </w:pPr>
            <w:r>
              <w:rPr>
                <w:rFonts w:ascii="SimSun" w:eastAsia="SimSun" w:hAnsi="SimSun" w:cs="SimSun"/>
                <w:spacing w:val="-2"/>
                <w:sz w:val="18"/>
                <w:szCs w:val="18"/>
              </w:rPr>
              <w:t>星级绿色工厂</w:t>
            </w:r>
          </w:p>
        </w:tc>
        <w:tc>
          <w:tcPr>
            <w:tcW w:w="3193" w:type="dxa"/>
            <w:vAlign w:val="top"/>
          </w:tcPr>
          <w:p>
            <w:pPr>
              <w:spacing w:before="31" w:line="206" w:lineRule="auto"/>
              <w:ind w:left="1422"/>
              <w:rPr>
                <w:rFonts w:ascii="SimSun" w:eastAsia="SimSun" w:hAnsi="SimSun" w:cs="SimSun"/>
                <w:sz w:val="18"/>
                <w:szCs w:val="18"/>
              </w:rPr>
            </w:pPr>
            <w:r>
              <w:rPr>
                <w:rFonts w:ascii="SimSun" w:eastAsia="SimSun" w:hAnsi="SimSun" w:cs="SimSun"/>
                <w:spacing w:val="-5"/>
                <w:sz w:val="18"/>
                <w:szCs w:val="18"/>
              </w:rPr>
              <w:t>分值</w:t>
            </w:r>
          </w:p>
        </w:tc>
      </w:tr>
      <w:tr>
        <w:tblPrEx>
          <w:tblW w:w="6385" w:type="dxa"/>
          <w:tblInd w:w="1341" w:type="dxa"/>
          <w:tblLayout w:type="fixed"/>
        </w:tblPrEx>
        <w:trPr>
          <w:trHeight w:val="238"/>
        </w:trPr>
        <w:tc>
          <w:tcPr>
            <w:tcW w:w="3192" w:type="dxa"/>
            <w:vAlign w:val="top"/>
          </w:tcPr>
          <w:p>
            <w:pPr>
              <w:spacing w:before="29" w:line="204" w:lineRule="auto"/>
              <w:ind w:left="1334"/>
              <w:rPr>
                <w:rFonts w:ascii="SimSun" w:eastAsia="SimSun" w:hAnsi="SimSun" w:cs="SimSun"/>
                <w:sz w:val="18"/>
                <w:szCs w:val="18"/>
              </w:rPr>
            </w:pPr>
            <w:r>
              <w:rPr>
                <w:rFonts w:ascii="SimSun" w:eastAsia="SimSun" w:hAnsi="SimSun" w:cs="SimSun"/>
                <w:spacing w:val="-4"/>
                <w:sz w:val="18"/>
                <w:szCs w:val="18"/>
              </w:rPr>
              <w:t>一星级</w:t>
            </w:r>
          </w:p>
        </w:tc>
        <w:tc>
          <w:tcPr>
            <w:tcW w:w="3193" w:type="dxa"/>
            <w:vAlign w:val="top"/>
          </w:tcPr>
          <w:p>
            <w:pPr>
              <w:spacing w:before="29" w:line="204" w:lineRule="auto"/>
              <w:ind w:left="1242"/>
              <w:rPr>
                <w:rFonts w:ascii="SimSun" w:eastAsia="SimSun" w:hAnsi="SimSun" w:cs="SimSun"/>
                <w:sz w:val="18"/>
                <w:szCs w:val="18"/>
              </w:rPr>
            </w:pPr>
            <w:r>
              <w:rPr>
                <w:rFonts w:ascii="SimSun" w:eastAsia="SimSun" w:hAnsi="SimSun" w:cs="SimSun"/>
                <w:spacing w:val="-2"/>
                <w:sz w:val="18"/>
                <w:szCs w:val="18"/>
              </w:rPr>
              <w:t>60≤X&lt;70</w:t>
            </w:r>
          </w:p>
        </w:tc>
      </w:tr>
      <w:tr>
        <w:tblPrEx>
          <w:tblW w:w="6385" w:type="dxa"/>
          <w:tblInd w:w="1341" w:type="dxa"/>
          <w:tblLayout w:type="fixed"/>
        </w:tblPrEx>
        <w:trPr>
          <w:trHeight w:val="237"/>
        </w:trPr>
        <w:tc>
          <w:tcPr>
            <w:tcW w:w="3192" w:type="dxa"/>
            <w:vAlign w:val="top"/>
          </w:tcPr>
          <w:p>
            <w:pPr>
              <w:spacing w:before="29" w:line="203" w:lineRule="auto"/>
              <w:ind w:left="1334"/>
              <w:rPr>
                <w:rFonts w:ascii="SimSun" w:eastAsia="SimSun" w:hAnsi="SimSun" w:cs="SimSun"/>
                <w:sz w:val="18"/>
                <w:szCs w:val="18"/>
              </w:rPr>
            </w:pPr>
            <w:r>
              <w:rPr>
                <w:rFonts w:ascii="SimSun" w:eastAsia="SimSun" w:hAnsi="SimSun" w:cs="SimSun"/>
                <w:spacing w:val="-4"/>
                <w:sz w:val="18"/>
                <w:szCs w:val="18"/>
              </w:rPr>
              <w:t>二星级</w:t>
            </w:r>
          </w:p>
        </w:tc>
        <w:tc>
          <w:tcPr>
            <w:tcW w:w="3193" w:type="dxa"/>
            <w:vAlign w:val="top"/>
          </w:tcPr>
          <w:p>
            <w:pPr>
              <w:spacing w:before="29" w:line="203" w:lineRule="auto"/>
              <w:ind w:left="1245"/>
              <w:rPr>
                <w:rFonts w:ascii="SimSun" w:eastAsia="SimSun" w:hAnsi="SimSun" w:cs="SimSun"/>
                <w:sz w:val="18"/>
                <w:szCs w:val="18"/>
              </w:rPr>
            </w:pPr>
            <w:r>
              <w:rPr>
                <w:rFonts w:ascii="SimSun" w:eastAsia="SimSun" w:hAnsi="SimSun" w:cs="SimSun"/>
                <w:spacing w:val="-2"/>
                <w:sz w:val="18"/>
                <w:szCs w:val="18"/>
              </w:rPr>
              <w:t>70≤X&lt;80</w:t>
            </w:r>
          </w:p>
        </w:tc>
      </w:tr>
    </w:tbl>
    <w:p>
      <w:pPr>
        <w:sectPr>
          <w:footerReference w:type="default" r:id="rId6"/>
          <w:pgSz w:w="11906" w:h="16839"/>
          <w:pgMar w:top="1431" w:right="1347" w:bottom="1312" w:left="1418" w:header="0" w:footer="1134" w:gutter="0"/>
          <w:pgNumType w:start="3"/>
          <w:cols w:space="708"/>
        </w:sectPr>
      </w:pPr>
    </w:p>
    <w:tbl>
      <w:tblPr>
        <w:tblStyle w:val="TableNormal1"/>
        <w:tblW w:w="6385" w:type="dxa"/>
        <w:tblInd w:w="13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2"/>
        <w:gridCol w:w="3193"/>
      </w:tblGrid>
      <w:tr>
        <w:tblPrEx>
          <w:tblW w:w="6385" w:type="dxa"/>
          <w:tblInd w:w="13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4"/>
        </w:trPr>
        <w:tc>
          <w:tcPr>
            <w:tcW w:w="3192" w:type="dxa"/>
            <w:vAlign w:val="top"/>
          </w:tcPr>
          <w:p>
            <w:pPr>
              <w:spacing w:before="63" w:line="221" w:lineRule="auto"/>
              <w:ind w:left="1332"/>
              <w:rPr>
                <w:rFonts w:ascii="SimSun" w:eastAsia="SimSun" w:hAnsi="SimSun" w:cs="SimSun"/>
                <w:sz w:val="18"/>
                <w:szCs w:val="18"/>
              </w:rPr>
            </w:pPr>
            <w:r>
              <w:rPr>
                <w:rFonts w:ascii="SimSun" w:eastAsia="SimSun" w:hAnsi="SimSun" w:cs="SimSun"/>
                <w:spacing w:val="-3"/>
                <w:sz w:val="18"/>
                <w:szCs w:val="18"/>
              </w:rPr>
              <w:t>三星级</w:t>
            </w:r>
          </w:p>
        </w:tc>
        <w:tc>
          <w:tcPr>
            <w:tcW w:w="3193" w:type="dxa"/>
            <w:vAlign w:val="top"/>
          </w:tcPr>
          <w:p>
            <w:pPr>
              <w:spacing w:before="62" w:line="236" w:lineRule="auto"/>
              <w:ind w:left="1241"/>
              <w:rPr>
                <w:rFonts w:ascii="SimSun" w:eastAsia="SimSun" w:hAnsi="SimSun" w:cs="SimSun"/>
                <w:sz w:val="18"/>
                <w:szCs w:val="18"/>
              </w:rPr>
            </w:pPr>
            <w:r>
              <w:rPr>
                <w:rFonts w:ascii="SimSun" w:eastAsia="SimSun" w:hAnsi="SimSun" w:cs="SimSun"/>
                <w:spacing w:val="-1"/>
                <w:sz w:val="18"/>
                <w:szCs w:val="18"/>
              </w:rPr>
              <w:t>80≤X&lt;90</w:t>
            </w:r>
          </w:p>
        </w:tc>
      </w:tr>
      <w:tr>
        <w:tblPrEx>
          <w:tblW w:w="6385" w:type="dxa"/>
          <w:tblInd w:w="1341" w:type="dxa"/>
          <w:tblLayout w:type="fixed"/>
        </w:tblPrEx>
        <w:trPr>
          <w:trHeight w:val="304"/>
        </w:trPr>
        <w:tc>
          <w:tcPr>
            <w:tcW w:w="3192" w:type="dxa"/>
            <w:vAlign w:val="top"/>
          </w:tcPr>
          <w:p>
            <w:pPr>
              <w:spacing w:before="63" w:line="221" w:lineRule="auto"/>
              <w:ind w:left="1348"/>
              <w:rPr>
                <w:rFonts w:ascii="SimSun" w:eastAsia="SimSun" w:hAnsi="SimSun" w:cs="SimSun"/>
                <w:sz w:val="18"/>
                <w:szCs w:val="18"/>
              </w:rPr>
            </w:pPr>
            <w:r>
              <w:rPr>
                <w:rFonts w:ascii="SimSun" w:eastAsia="SimSun" w:hAnsi="SimSun" w:cs="SimSun"/>
                <w:spacing w:val="-8"/>
                <w:sz w:val="18"/>
                <w:szCs w:val="18"/>
              </w:rPr>
              <w:t>四星级</w:t>
            </w:r>
          </w:p>
        </w:tc>
        <w:tc>
          <w:tcPr>
            <w:tcW w:w="3193" w:type="dxa"/>
            <w:vAlign w:val="top"/>
          </w:tcPr>
          <w:p>
            <w:pPr>
              <w:spacing w:before="63" w:line="236" w:lineRule="auto"/>
              <w:ind w:left="1241"/>
              <w:rPr>
                <w:rFonts w:ascii="SimSun" w:eastAsia="SimSun" w:hAnsi="SimSun" w:cs="SimSun"/>
                <w:sz w:val="18"/>
                <w:szCs w:val="18"/>
              </w:rPr>
            </w:pPr>
            <w:r>
              <w:rPr>
                <w:rFonts w:ascii="SimSun" w:eastAsia="SimSun" w:hAnsi="SimSun" w:cs="SimSun"/>
                <w:spacing w:val="-1"/>
                <w:sz w:val="18"/>
                <w:szCs w:val="18"/>
              </w:rPr>
              <w:t>90≤X&lt;95</w:t>
            </w:r>
          </w:p>
        </w:tc>
      </w:tr>
      <w:tr>
        <w:tblPrEx>
          <w:tblW w:w="6385" w:type="dxa"/>
          <w:tblInd w:w="1341" w:type="dxa"/>
          <w:tblLayout w:type="fixed"/>
        </w:tblPrEx>
        <w:trPr>
          <w:trHeight w:val="309"/>
        </w:trPr>
        <w:tc>
          <w:tcPr>
            <w:tcW w:w="3192" w:type="dxa"/>
            <w:vAlign w:val="top"/>
          </w:tcPr>
          <w:p>
            <w:pPr>
              <w:spacing w:before="66" w:line="221" w:lineRule="auto"/>
              <w:ind w:left="1334"/>
              <w:rPr>
                <w:rFonts w:ascii="SimSun" w:eastAsia="SimSun" w:hAnsi="SimSun" w:cs="SimSun"/>
                <w:sz w:val="18"/>
                <w:szCs w:val="18"/>
              </w:rPr>
            </w:pPr>
            <w:r>
              <w:rPr>
                <w:rFonts w:ascii="SimSun" w:eastAsia="SimSun" w:hAnsi="SimSun" w:cs="SimSun"/>
                <w:spacing w:val="-4"/>
                <w:sz w:val="18"/>
                <w:szCs w:val="18"/>
              </w:rPr>
              <w:t>五星级</w:t>
            </w:r>
          </w:p>
        </w:tc>
        <w:tc>
          <w:tcPr>
            <w:tcW w:w="3193" w:type="dxa"/>
            <w:vAlign w:val="top"/>
          </w:tcPr>
          <w:p>
            <w:pPr>
              <w:spacing w:before="66" w:line="236" w:lineRule="auto"/>
              <w:ind w:left="1375"/>
              <w:rPr>
                <w:rFonts w:ascii="SimSun" w:eastAsia="SimSun" w:hAnsi="SimSun" w:cs="SimSun"/>
                <w:sz w:val="18"/>
                <w:szCs w:val="18"/>
              </w:rPr>
            </w:pPr>
            <w:r>
              <w:rPr>
                <w:rFonts w:ascii="SimSun" w:eastAsia="SimSun" w:hAnsi="SimSun" w:cs="SimSun"/>
                <w:spacing w:val="-2"/>
                <w:sz w:val="18"/>
                <w:szCs w:val="18"/>
              </w:rPr>
              <w:t>95≤X</w:t>
            </w:r>
          </w:p>
        </w:tc>
      </w:tr>
    </w:tbl>
    <w:p>
      <w:pPr>
        <w:pStyle w:val="BodyText"/>
        <w:spacing w:before="28" w:line="356" w:lineRule="exact"/>
        <w:ind w:left="366"/>
        <w:rPr>
          <w:sz w:val="18"/>
          <w:szCs w:val="18"/>
        </w:rPr>
      </w:pPr>
      <w:r>
        <w:rPr>
          <w:rFonts w:ascii="SimHei" w:eastAsia="SimHei" w:hAnsi="SimHei" w:cs="SimHei"/>
          <w:position w:val="13"/>
          <w:sz w:val="18"/>
          <w:szCs w:val="18"/>
        </w:rPr>
        <w:t>注：</w:t>
      </w:r>
      <w:r>
        <w:rPr>
          <w:position w:val="13"/>
          <w:sz w:val="18"/>
          <w:szCs w:val="18"/>
        </w:rPr>
        <w:t>星级绿色工厂评价总分为100分。评价总分为各项评价要求分值得分的总和，表</w:t>
      </w:r>
      <w:r>
        <w:rPr>
          <w:spacing w:val="-1"/>
          <w:position w:val="13"/>
          <w:sz w:val="18"/>
          <w:szCs w:val="18"/>
        </w:rPr>
        <w:t>1中X代表得分总和。</w:t>
      </w:r>
    </w:p>
    <w:p>
      <w:pPr>
        <w:spacing w:before="1" w:line="229" w:lineRule="auto"/>
        <w:rPr>
          <w:rFonts w:ascii="SimHei" w:eastAsia="SimHei" w:hAnsi="SimHei" w:cs="SimHei"/>
          <w:sz w:val="20"/>
          <w:szCs w:val="20"/>
        </w:rPr>
      </w:pPr>
      <w:r>
        <w:rPr>
          <w:rFonts w:ascii="SimHei" w:eastAsia="SimHei" w:hAnsi="SimHei" w:cs="SimHei"/>
          <w:spacing w:val="7"/>
          <w:sz w:val="20"/>
          <w:szCs w:val="20"/>
        </w:rPr>
        <w:t>5.3</w:t>
      </w:r>
      <w:r>
        <w:rPr>
          <w:rFonts w:ascii="SimHei" w:eastAsia="SimHei" w:hAnsi="SimHei" w:cs="SimHei"/>
          <w:spacing w:val="7"/>
          <w:sz w:val="20"/>
          <w:szCs w:val="20"/>
        </w:rPr>
        <w:t xml:space="preserve">  </w:t>
      </w:r>
      <w:r>
        <w:rPr>
          <w:rFonts w:ascii="SimHei" w:eastAsia="SimHei" w:hAnsi="SimHei" w:cs="SimHei"/>
          <w:spacing w:val="7"/>
          <w:sz w:val="20"/>
          <w:szCs w:val="20"/>
        </w:rPr>
        <w:t>星级绿色工厂评价指标</w:t>
      </w:r>
    </w:p>
    <w:p>
      <w:pPr>
        <w:pStyle w:val="BodyText"/>
        <w:spacing w:before="145" w:line="226" w:lineRule="auto"/>
        <w:ind w:left="426"/>
      </w:pPr>
      <w:r>
        <w:rPr>
          <w:spacing w:val="8"/>
        </w:rPr>
        <w:t>石英晶体元器件行业星级绿色工厂评价指标应符合附录</w:t>
      </w:r>
      <w:r>
        <w:rPr>
          <w:spacing w:val="-41"/>
        </w:rPr>
        <w:t xml:space="preserve"> </w:t>
      </w:r>
      <w:r>
        <w:rPr>
          <w:spacing w:val="8"/>
        </w:rPr>
        <w:t>A</w:t>
      </w:r>
      <w:r>
        <w:rPr>
          <w:spacing w:val="-21"/>
        </w:rPr>
        <w:t xml:space="preserve"> </w:t>
      </w:r>
      <w:r>
        <w:rPr>
          <w:spacing w:val="8"/>
        </w:rPr>
        <w:t>的要求。</w:t>
      </w:r>
    </w:p>
    <w:p>
      <w:pPr>
        <w:spacing w:line="226" w:lineRule="auto"/>
        <w:sectPr>
          <w:footerReference w:type="default" r:id="rId7"/>
          <w:type w:val="nextPage"/>
          <w:pgSz w:w="11906" w:h="16839"/>
          <w:pgMar w:top="1431" w:right="1347" w:bottom="1312" w:left="1418" w:header="0" w:footer="1134" w:gutter="0"/>
          <w:pgNumType w:start="4"/>
          <w:cols w:space="708"/>
          <w:titlePg w:val="0"/>
        </w:sectPr>
      </w:pPr>
    </w:p>
    <w:p>
      <w:pPr>
        <w:pStyle w:val="BodyText"/>
        <w:spacing w:before="42" w:line="265" w:lineRule="exact"/>
        <w:ind w:left="7608"/>
        <w:rPr>
          <w:rFonts w:ascii="SimHei" w:eastAsia="SimHei" w:hAnsi="SimHei" w:cs="SimHei"/>
        </w:rPr>
      </w:pPr>
      <w:r>
        <w:rPr>
          <w:rFonts w:ascii="SimHei" w:eastAsia="SimHei" w:hAnsi="SimHei" w:cs="SimHei"/>
          <w:spacing w:val="7"/>
          <w:position w:val="1"/>
        </w:rPr>
        <w:t>T/</w:t>
      </w:r>
      <w:r>
        <w:rPr>
          <w:rFonts w:ascii="SimHei" w:eastAsia="SimHei" w:hAnsi="SimHei" w:cs="SimHei"/>
          <w:position w:val="1"/>
        </w:rPr>
        <w:t>CI</w:t>
      </w:r>
      <w:r>
        <w:rPr>
          <w:rFonts w:ascii="SimHei" w:eastAsia="SimHei" w:hAnsi="SimHei" w:cs="SimHei"/>
          <w:spacing w:val="7"/>
          <w:position w:val="1"/>
        </w:rPr>
        <w:t xml:space="preserve"> </w:t>
      </w:r>
      <w:r>
        <w:rPr>
          <w:rFonts w:ascii="SimHei" w:eastAsia="SimHei" w:hAnsi="SimHei" w:cs="SimHei"/>
          <w:position w:val="1"/>
        </w:rPr>
        <w:t>XXX</w:t>
      </w:r>
      <w:r>
        <w:rPr>
          <w:spacing w:val="7"/>
          <w:position w:val="1"/>
        </w:rPr>
        <w:t>—</w:t>
      </w:r>
      <w:r>
        <w:rPr>
          <w:rFonts w:ascii="SimHei" w:eastAsia="SimHei" w:hAnsi="SimHei" w:cs="SimHei"/>
          <w:spacing w:val="7"/>
          <w:position w:val="1"/>
        </w:rPr>
        <w:t>2023</w:t>
      </w:r>
    </w:p>
    <w:p>
      <w:pPr>
        <w:spacing w:before="128" w:line="230" w:lineRule="auto"/>
        <w:rPr>
          <w:rFonts w:ascii="SimHei" w:eastAsia="SimHei" w:hAnsi="SimHei" w:cs="SimHei"/>
          <w:sz w:val="20"/>
          <w:szCs w:val="20"/>
        </w:rPr>
      </w:pPr>
      <w:r>
        <w:rPr>
          <w:rFonts w:ascii="SimHei" w:eastAsia="SimHei" w:hAnsi="SimHei" w:cs="SimHei"/>
          <w:spacing w:val="6"/>
          <w:sz w:val="20"/>
          <w:szCs w:val="20"/>
        </w:rPr>
        <w:t>5.4</w:t>
      </w:r>
      <w:r>
        <w:rPr>
          <w:rFonts w:ascii="SimHei" w:eastAsia="SimHei" w:hAnsi="SimHei" w:cs="SimHei"/>
          <w:spacing w:val="6"/>
          <w:sz w:val="20"/>
          <w:szCs w:val="20"/>
        </w:rPr>
        <w:t xml:space="preserve">  </w:t>
      </w:r>
      <w:r>
        <w:rPr>
          <w:rFonts w:ascii="SimHei" w:eastAsia="SimHei" w:hAnsi="SimHei" w:cs="SimHei"/>
          <w:spacing w:val="6"/>
          <w:sz w:val="20"/>
          <w:szCs w:val="20"/>
        </w:rPr>
        <w:t>计算公式</w:t>
      </w:r>
    </w:p>
    <w:p>
      <w:pPr>
        <w:pStyle w:val="BodyText"/>
        <w:spacing w:before="141" w:line="227" w:lineRule="auto"/>
        <w:ind w:left="427"/>
      </w:pPr>
      <w:r>
        <w:rPr>
          <w:spacing w:val="8"/>
        </w:rPr>
        <w:t>各类绩效指标计算公式应符合</w:t>
      </w:r>
      <w:r>
        <w:t>GB</w:t>
      </w:r>
      <w:r>
        <w:rPr>
          <w:spacing w:val="8"/>
        </w:rPr>
        <w:t>/T 36132附录A的要</w:t>
      </w:r>
      <w:r>
        <w:rPr>
          <w:spacing w:val="7"/>
        </w:rPr>
        <w:t>求。</w:t>
      </w:r>
    </w:p>
    <w:p>
      <w:pPr>
        <w:spacing w:before="145" w:line="231" w:lineRule="auto"/>
        <w:rPr>
          <w:rFonts w:ascii="SimHei" w:eastAsia="SimHei" w:hAnsi="SimHei" w:cs="SimHei"/>
          <w:sz w:val="20"/>
          <w:szCs w:val="20"/>
        </w:rPr>
      </w:pPr>
      <w:r>
        <w:rPr>
          <w:rFonts w:ascii="SimHei" w:eastAsia="SimHei" w:hAnsi="SimHei" w:cs="SimHei"/>
          <w:spacing w:val="6"/>
          <w:sz w:val="20"/>
          <w:szCs w:val="20"/>
        </w:rPr>
        <w:t>5.5</w:t>
      </w:r>
      <w:r>
        <w:rPr>
          <w:rFonts w:ascii="SimHei" w:eastAsia="SimHei" w:hAnsi="SimHei" w:cs="SimHei"/>
          <w:spacing w:val="6"/>
          <w:sz w:val="20"/>
          <w:szCs w:val="20"/>
        </w:rPr>
        <w:t xml:space="preserve">  </w:t>
      </w:r>
      <w:r>
        <w:rPr>
          <w:rFonts w:ascii="SimHei" w:eastAsia="SimHei" w:hAnsi="SimHei" w:cs="SimHei"/>
          <w:spacing w:val="6"/>
          <w:sz w:val="20"/>
          <w:szCs w:val="20"/>
        </w:rPr>
        <w:t>权重系数</w:t>
      </w:r>
    </w:p>
    <w:p>
      <w:pPr>
        <w:pStyle w:val="BodyText"/>
        <w:spacing w:before="143" w:line="271" w:lineRule="exact"/>
        <w:ind w:left="425"/>
      </w:pPr>
      <w:r>
        <w:rPr>
          <w:spacing w:val="9"/>
          <w:position w:val="4"/>
        </w:rPr>
        <w:t>石英晶体元器件行业星级绿色工厂评价一级指标权重系数为：</w:t>
      </w:r>
    </w:p>
    <w:p>
      <w:pPr>
        <w:pStyle w:val="BodyText"/>
        <w:spacing w:before="1" w:line="226" w:lineRule="auto"/>
        <w:ind w:left="431"/>
      </w:pPr>
      <w:r>
        <w:rPr>
          <w:rFonts w:ascii="Calibri" w:eastAsia="Calibri" w:hAnsi="Calibri" w:cs="Calibri"/>
          <w:spacing w:val="7"/>
        </w:rPr>
        <w:t>—</w:t>
      </w:r>
      <w:r>
        <w:rPr>
          <w:rFonts w:ascii="Calibri" w:eastAsia="Calibri" w:hAnsi="Calibri" w:cs="Calibri"/>
          <w:spacing w:val="-25"/>
        </w:rPr>
        <w:t xml:space="preserve"> </w:t>
      </w:r>
      <w:r>
        <w:rPr>
          <w:rFonts w:ascii="Calibri" w:eastAsia="Calibri" w:hAnsi="Calibri" w:cs="Calibri"/>
          <w:spacing w:val="7"/>
        </w:rPr>
        <w:t>—</w:t>
      </w:r>
      <w:r>
        <w:rPr>
          <w:rFonts w:ascii="Calibri" w:eastAsia="Calibri" w:hAnsi="Calibri" w:cs="Calibri"/>
          <w:spacing w:val="-34"/>
        </w:rPr>
        <w:t xml:space="preserve"> </w:t>
      </w:r>
      <w:r>
        <w:rPr>
          <w:spacing w:val="7"/>
        </w:rPr>
        <w:t>基本要求采取一票否决制，应全部满足；</w:t>
      </w:r>
    </w:p>
    <w:p>
      <w:pPr>
        <w:pStyle w:val="BodyText"/>
        <w:spacing w:before="28" w:line="271" w:lineRule="exact"/>
        <w:ind w:left="414"/>
      </w:pPr>
      <w:r>
        <w:rPr>
          <w:rFonts w:ascii="Times New Roman" w:eastAsia="Times New Roman" w:hAnsi="Times New Roman" w:cs="Times New Roman"/>
          <w:spacing w:val="7"/>
          <w:position w:val="4"/>
        </w:rPr>
        <w:t>——</w:t>
      </w:r>
      <w:r>
        <w:rPr>
          <w:spacing w:val="7"/>
          <w:position w:val="4"/>
        </w:rPr>
        <w:t>基础设施30%；</w:t>
      </w:r>
    </w:p>
    <w:p>
      <w:pPr>
        <w:pStyle w:val="BodyText"/>
        <w:spacing w:before="1" w:line="227" w:lineRule="auto"/>
        <w:ind w:left="414"/>
      </w:pPr>
      <w:r>
        <w:rPr>
          <w:rFonts w:ascii="Times New Roman" w:eastAsia="Times New Roman" w:hAnsi="Times New Roman" w:cs="Times New Roman"/>
          <w:spacing w:val="6"/>
        </w:rPr>
        <w:t>——</w:t>
      </w:r>
      <w:r>
        <w:rPr>
          <w:rFonts w:ascii="Times New Roman" w:eastAsia="Times New Roman" w:hAnsi="Times New Roman" w:cs="Times New Roman"/>
          <w:spacing w:val="-34"/>
        </w:rPr>
        <w:t xml:space="preserve"> </w:t>
      </w:r>
      <w:r>
        <w:rPr>
          <w:spacing w:val="6"/>
        </w:rPr>
        <w:t>管理体系15%；</w:t>
      </w:r>
    </w:p>
    <w:p>
      <w:pPr>
        <w:pStyle w:val="BodyText"/>
        <w:spacing w:before="27" w:line="271" w:lineRule="exact"/>
        <w:ind w:left="414"/>
      </w:pPr>
      <w:r>
        <w:rPr>
          <w:rFonts w:ascii="Times New Roman" w:eastAsia="Times New Roman" w:hAnsi="Times New Roman" w:cs="Times New Roman"/>
          <w:spacing w:val="6"/>
          <w:position w:val="4"/>
        </w:rPr>
        <w:t>——</w:t>
      </w:r>
      <w:r>
        <w:rPr>
          <w:rFonts w:ascii="Times New Roman" w:eastAsia="Times New Roman" w:hAnsi="Times New Roman" w:cs="Times New Roman"/>
          <w:spacing w:val="-23"/>
          <w:position w:val="4"/>
        </w:rPr>
        <w:t xml:space="preserve"> </w:t>
      </w:r>
      <w:r>
        <w:rPr>
          <w:spacing w:val="6"/>
          <w:position w:val="4"/>
        </w:rPr>
        <w:t>能源与资源投入15%；</w:t>
      </w:r>
    </w:p>
    <w:p>
      <w:pPr>
        <w:pStyle w:val="BodyText"/>
        <w:spacing w:before="1" w:line="227" w:lineRule="auto"/>
        <w:ind w:left="414"/>
      </w:pPr>
      <w:r>
        <w:rPr>
          <w:rFonts w:ascii="Times New Roman" w:eastAsia="Times New Roman" w:hAnsi="Times New Roman" w:cs="Times New Roman"/>
          <w:spacing w:val="7"/>
        </w:rPr>
        <w:t>——</w:t>
      </w:r>
      <w:r>
        <w:rPr>
          <w:spacing w:val="7"/>
        </w:rPr>
        <w:t>产品10%；</w:t>
      </w:r>
    </w:p>
    <w:p>
      <w:pPr>
        <w:pStyle w:val="BodyText"/>
        <w:spacing w:before="27" w:line="271" w:lineRule="exact"/>
        <w:ind w:left="414"/>
      </w:pPr>
      <w:r>
        <w:rPr>
          <w:rFonts w:ascii="Times New Roman" w:eastAsia="Times New Roman" w:hAnsi="Times New Roman" w:cs="Times New Roman"/>
          <w:spacing w:val="7"/>
          <w:position w:val="4"/>
        </w:rPr>
        <w:t>——</w:t>
      </w:r>
      <w:r>
        <w:rPr>
          <w:spacing w:val="7"/>
          <w:position w:val="4"/>
        </w:rPr>
        <w:t>环境排放10%；</w:t>
      </w:r>
    </w:p>
    <w:p>
      <w:pPr>
        <w:pStyle w:val="BodyText"/>
        <w:spacing w:before="1" w:line="228" w:lineRule="auto"/>
        <w:ind w:left="414"/>
      </w:pPr>
      <w:r>
        <w:rPr>
          <w:rFonts w:ascii="Times New Roman" w:eastAsia="Times New Roman" w:hAnsi="Times New Roman" w:cs="Times New Roman"/>
          <w:spacing w:val="7"/>
        </w:rPr>
        <w:t>——</w:t>
      </w:r>
      <w:r>
        <w:rPr>
          <w:spacing w:val="7"/>
        </w:rPr>
        <w:t>绩效20%。</w:t>
      </w:r>
    </w:p>
    <w:p>
      <w:pPr>
        <w:pStyle w:val="BodyText"/>
        <w:spacing w:before="26" w:line="511" w:lineRule="exact"/>
        <w:ind w:left="427"/>
      </w:pPr>
      <w:r>
        <w:rPr>
          <w:spacing w:val="7"/>
          <w:position w:val="23"/>
        </w:rPr>
        <w:t>最终权重系数总和为</w:t>
      </w:r>
      <w:r>
        <w:rPr>
          <w:spacing w:val="-9"/>
          <w:position w:val="23"/>
        </w:rPr>
        <w:t xml:space="preserve"> </w:t>
      </w:r>
      <w:r>
        <w:rPr>
          <w:spacing w:val="7"/>
          <w:position w:val="23"/>
        </w:rPr>
        <w:t>100%，二级指标和具体评价要求见附录</w:t>
      </w:r>
      <w:r>
        <w:rPr>
          <w:spacing w:val="-43"/>
          <w:position w:val="23"/>
        </w:rPr>
        <w:t xml:space="preserve"> </w:t>
      </w:r>
      <w:r>
        <w:rPr>
          <w:spacing w:val="7"/>
          <w:position w:val="23"/>
        </w:rPr>
        <w:t>A。</w:t>
      </w:r>
    </w:p>
    <w:p>
      <w:pPr>
        <w:spacing w:line="229" w:lineRule="auto"/>
        <w:ind w:left="3"/>
        <w:rPr>
          <w:rFonts w:ascii="SimHei" w:eastAsia="SimHei" w:hAnsi="SimHei" w:cs="SimHei"/>
          <w:sz w:val="20"/>
          <w:szCs w:val="20"/>
        </w:rPr>
      </w:pP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评价方法和评价程序</w:t>
      </w:r>
    </w:p>
    <w:p>
      <w:pPr>
        <w:spacing w:before="266" w:line="229" w:lineRule="auto"/>
        <w:ind w:left="3"/>
        <w:rPr>
          <w:rFonts w:ascii="SimHei" w:eastAsia="SimHei" w:hAnsi="SimHei" w:cs="SimHei"/>
          <w:sz w:val="20"/>
          <w:szCs w:val="20"/>
        </w:rPr>
      </w:pPr>
      <w:r>
        <w:rPr>
          <w:rFonts w:ascii="SimHei" w:eastAsia="SimHei" w:hAnsi="SimHei" w:cs="SimHei"/>
          <w:spacing w:val="6"/>
          <w:sz w:val="20"/>
          <w:szCs w:val="20"/>
        </w:rPr>
        <w:t>6.1</w:t>
      </w:r>
      <w:r>
        <w:rPr>
          <w:rFonts w:ascii="SimHei" w:eastAsia="SimHei" w:hAnsi="SimHei" w:cs="SimHei"/>
          <w:spacing w:val="6"/>
          <w:sz w:val="20"/>
          <w:szCs w:val="20"/>
        </w:rPr>
        <w:t xml:space="preserve">  </w:t>
      </w:r>
      <w:r>
        <w:rPr>
          <w:rFonts w:ascii="SimHei" w:eastAsia="SimHei" w:hAnsi="SimHei" w:cs="SimHei"/>
          <w:spacing w:val="6"/>
          <w:sz w:val="20"/>
          <w:szCs w:val="20"/>
        </w:rPr>
        <w:t>评价方法</w:t>
      </w:r>
    </w:p>
    <w:p>
      <w:pPr>
        <w:pStyle w:val="BodyText"/>
        <w:spacing w:before="143"/>
        <w:ind w:left="8" w:right="43" w:hanging="5"/>
      </w:pPr>
      <w:r>
        <w:rPr>
          <w:rFonts w:ascii="SimHei" w:eastAsia="SimHei" w:hAnsi="SimHei" w:cs="SimHei"/>
          <w:spacing w:val="8"/>
        </w:rPr>
        <w:t>6.1.1</w:t>
      </w:r>
      <w:r>
        <w:rPr>
          <w:rFonts w:ascii="SimHei" w:eastAsia="SimHei" w:hAnsi="SimHei" w:cs="SimHei"/>
          <w:spacing w:val="8"/>
        </w:rPr>
        <w:t xml:space="preserve">  </w:t>
      </w:r>
      <w:r>
        <w:rPr>
          <w:spacing w:val="8"/>
        </w:rPr>
        <w:t>评价应由第三方组织实施。当评价结果用于对外宣告时，则评价方至少应包括独立于工厂、</w:t>
      </w:r>
      <w:r>
        <w:rPr>
          <w:spacing w:val="15"/>
        </w:rPr>
        <w:t xml:space="preserve"> </w:t>
      </w:r>
      <w:r>
        <w:rPr>
          <w:spacing w:val="8"/>
        </w:rPr>
        <w:t>具备相应能力的第三方组织。</w:t>
      </w:r>
    </w:p>
    <w:p>
      <w:pPr>
        <w:pStyle w:val="BodyText"/>
        <w:spacing w:before="21" w:line="229" w:lineRule="auto"/>
        <w:ind w:left="17" w:right="71" w:hanging="12"/>
        <w:rPr>
          <w:sz w:val="18"/>
          <w:szCs w:val="18"/>
        </w:rPr>
      </w:pPr>
      <w:r>
        <w:rPr>
          <w:rFonts w:ascii="SimHei" w:eastAsia="SimHei" w:hAnsi="SimHei" w:cs="SimHei"/>
          <w:spacing w:val="1"/>
          <w:sz w:val="18"/>
          <w:szCs w:val="18"/>
        </w:rPr>
        <w:t>注：</w:t>
      </w:r>
      <w:r>
        <w:rPr>
          <w:spacing w:val="1"/>
          <w:sz w:val="18"/>
          <w:szCs w:val="18"/>
        </w:rPr>
        <w:t>针对被评价工厂，第一方为被评价工厂，第二方为被评价工厂的相关方，第三方为与被评价工厂没有直接关系</w:t>
      </w:r>
      <w:r>
        <w:rPr>
          <w:spacing w:val="11"/>
          <w:sz w:val="18"/>
          <w:szCs w:val="18"/>
        </w:rPr>
        <w:t xml:space="preserve"> </w:t>
      </w:r>
      <w:r>
        <w:rPr>
          <w:spacing w:val="-4"/>
          <w:sz w:val="18"/>
          <w:szCs w:val="18"/>
        </w:rPr>
        <w:t>的其他组织。</w:t>
      </w:r>
    </w:p>
    <w:p>
      <w:pPr>
        <w:pStyle w:val="BodyText"/>
        <w:spacing w:before="26" w:line="245" w:lineRule="auto"/>
        <w:ind w:left="3"/>
      </w:pPr>
      <w:r>
        <w:rPr>
          <w:rFonts w:ascii="SimHei" w:eastAsia="SimHei" w:hAnsi="SimHei" w:cs="SimHei"/>
          <w:spacing w:val="7"/>
        </w:rPr>
        <w:t>6.1.2</w:t>
      </w:r>
      <w:r>
        <w:rPr>
          <w:rFonts w:ascii="SimHei" w:eastAsia="SimHei" w:hAnsi="SimHei" w:cs="SimHei"/>
          <w:spacing w:val="7"/>
        </w:rPr>
        <w:t xml:space="preserve">  </w:t>
      </w:r>
      <w:r>
        <w:rPr>
          <w:spacing w:val="7"/>
        </w:rPr>
        <w:t>实施评价的组织应查看受评工厂的报告、统计报表、原始记录、声明文件、分析/测试报</w:t>
      </w:r>
      <w:r>
        <w:rPr>
          <w:spacing w:val="6"/>
        </w:rPr>
        <w:t>告、</w:t>
      </w:r>
      <w:r>
        <w:t xml:space="preserve"> </w:t>
      </w:r>
      <w:r>
        <w:rPr>
          <w:spacing w:val="8"/>
        </w:rPr>
        <w:t>相关其他第三方认证证书等支持性文件，并根据实际情况，</w:t>
      </w:r>
      <w:r>
        <w:rPr>
          <w:spacing w:val="7"/>
        </w:rPr>
        <w:t>开展对相关人员的座谈；采用实地调查、</w:t>
      </w:r>
      <w:r>
        <w:t xml:space="preserve"> </w:t>
      </w:r>
      <w:r>
        <w:rPr>
          <w:spacing w:val="11"/>
        </w:rPr>
        <w:t>抽样调查等方式收集评价证据，并对评价证据进行分析，确保受评工厂对相关指标要求的符合性，</w:t>
      </w:r>
      <w:r>
        <w:rPr>
          <w:spacing w:val="4"/>
        </w:rPr>
        <w:t xml:space="preserve"> </w:t>
      </w:r>
      <w:r>
        <w:rPr>
          <w:spacing w:val="8"/>
        </w:rPr>
        <w:t>证据充分、完整、准确。</w:t>
      </w:r>
    </w:p>
    <w:p>
      <w:pPr>
        <w:pStyle w:val="BodyText"/>
        <w:spacing w:before="25"/>
        <w:ind w:left="19" w:right="70" w:hanging="16"/>
      </w:pPr>
      <w:r>
        <w:rPr>
          <w:rFonts w:ascii="SimHei" w:eastAsia="SimHei" w:hAnsi="SimHei" w:cs="SimHei"/>
          <w:spacing w:val="8"/>
        </w:rPr>
        <w:t>6.1.3</w:t>
      </w:r>
      <w:r>
        <w:rPr>
          <w:rFonts w:ascii="SimHei" w:eastAsia="SimHei" w:hAnsi="SimHei" w:cs="SimHei"/>
          <w:spacing w:val="8"/>
        </w:rPr>
        <w:t xml:space="preserve">  </w:t>
      </w:r>
      <w:r>
        <w:rPr>
          <w:spacing w:val="8"/>
        </w:rPr>
        <w:t>星级绿色工厂评价指标为必选指标加可选指标的综合评分方式</w:t>
      </w:r>
      <w:r>
        <w:rPr>
          <w:spacing w:val="7"/>
        </w:rPr>
        <w:t>，评价指标综合评分的总分为</w:t>
      </w:r>
      <w:r>
        <w:t xml:space="preserve"> </w:t>
      </w:r>
      <w:r>
        <w:rPr>
          <w:spacing w:val="-2"/>
        </w:rPr>
        <w:t>100</w:t>
      </w:r>
      <w:r>
        <w:rPr>
          <w:spacing w:val="-38"/>
        </w:rPr>
        <w:t xml:space="preserve"> </w:t>
      </w:r>
      <w:r>
        <w:rPr>
          <w:spacing w:val="-2"/>
        </w:rPr>
        <w:t>分。</w:t>
      </w:r>
    </w:p>
    <w:p>
      <w:pPr>
        <w:pStyle w:val="BodyText"/>
        <w:spacing w:before="25" w:line="239" w:lineRule="auto"/>
        <w:ind w:left="6" w:right="70" w:hanging="3"/>
      </w:pPr>
      <w:r>
        <w:rPr>
          <w:rFonts w:ascii="SimHei" w:eastAsia="SimHei" w:hAnsi="SimHei" w:cs="SimHei"/>
          <w:spacing w:val="8"/>
        </w:rPr>
        <w:t>6.1.4</w:t>
      </w:r>
      <w:r>
        <w:rPr>
          <w:rFonts w:ascii="SimHei" w:eastAsia="SimHei" w:hAnsi="SimHei" w:cs="SimHei"/>
          <w:spacing w:val="8"/>
        </w:rPr>
        <w:t xml:space="preserve">  </w:t>
      </w:r>
      <w:r>
        <w:rPr>
          <w:spacing w:val="8"/>
        </w:rPr>
        <w:t>星级绿色工厂评价应依据国家主管部门、石英晶体元器件行业</w:t>
      </w:r>
      <w:r>
        <w:rPr>
          <w:spacing w:val="7"/>
        </w:rPr>
        <w:t>先进水平或相关方要求确定评</w:t>
      </w:r>
      <w:r>
        <w:t xml:space="preserve"> </w:t>
      </w:r>
      <w:r>
        <w:rPr>
          <w:spacing w:val="9"/>
        </w:rPr>
        <w:t>分标准，当工厂的评价指标评分满足既定的评分标准时即可判定为星级绿色工厂。</w:t>
      </w:r>
    </w:p>
    <w:p>
      <w:pPr>
        <w:pStyle w:val="BodyText"/>
        <w:spacing w:before="28" w:line="228" w:lineRule="auto"/>
        <w:ind w:left="3"/>
      </w:pPr>
      <w:r>
        <w:rPr>
          <w:rFonts w:ascii="SimHei" w:eastAsia="SimHei" w:hAnsi="SimHei" w:cs="SimHei"/>
          <w:spacing w:val="7"/>
        </w:rPr>
        <w:t>6.1.5</w:t>
      </w:r>
      <w:r>
        <w:rPr>
          <w:rFonts w:ascii="SimHei" w:eastAsia="SimHei" w:hAnsi="SimHei" w:cs="SimHei"/>
          <w:spacing w:val="7"/>
        </w:rPr>
        <w:t xml:space="preserve">  </w:t>
      </w:r>
      <w:r>
        <w:rPr>
          <w:spacing w:val="7"/>
        </w:rPr>
        <w:t>星级绿色工厂每三年复审一次。</w:t>
      </w:r>
    </w:p>
    <w:p>
      <w:pPr>
        <w:spacing w:before="145" w:line="230" w:lineRule="auto"/>
        <w:ind w:left="3"/>
        <w:rPr>
          <w:rFonts w:ascii="SimHei" w:eastAsia="SimHei" w:hAnsi="SimHei" w:cs="SimHei"/>
          <w:sz w:val="20"/>
          <w:szCs w:val="20"/>
        </w:rPr>
      </w:pPr>
      <w:r>
        <w:rPr>
          <w:rFonts w:ascii="SimHei" w:eastAsia="SimHei" w:hAnsi="SimHei" w:cs="SimHei"/>
          <w:spacing w:val="6"/>
          <w:sz w:val="20"/>
          <w:szCs w:val="20"/>
        </w:rPr>
        <w:t>6.2</w:t>
      </w:r>
      <w:r>
        <w:rPr>
          <w:rFonts w:ascii="SimHei" w:eastAsia="SimHei" w:hAnsi="SimHei" w:cs="SimHei"/>
          <w:spacing w:val="6"/>
          <w:sz w:val="20"/>
          <w:szCs w:val="20"/>
        </w:rPr>
        <w:t xml:space="preserve">  </w:t>
      </w:r>
      <w:r>
        <w:rPr>
          <w:rFonts w:ascii="SimHei" w:eastAsia="SimHei" w:hAnsi="SimHei" w:cs="SimHei"/>
          <w:spacing w:val="6"/>
          <w:sz w:val="20"/>
          <w:szCs w:val="20"/>
        </w:rPr>
        <w:t>评价程序</w:t>
      </w:r>
    </w:p>
    <w:p>
      <w:pPr>
        <w:pStyle w:val="BodyText"/>
        <w:spacing w:before="142" w:line="226" w:lineRule="auto"/>
        <w:ind w:left="3"/>
      </w:pPr>
      <w:r>
        <w:rPr>
          <w:rFonts w:ascii="SimHei" w:eastAsia="SimHei" w:hAnsi="SimHei" w:cs="SimHei"/>
          <w:spacing w:val="7"/>
        </w:rPr>
        <w:t>6.2.1</w:t>
      </w:r>
      <w:r>
        <w:rPr>
          <w:rFonts w:ascii="SimHei" w:eastAsia="SimHei" w:hAnsi="SimHei" w:cs="SimHei"/>
          <w:spacing w:val="7"/>
        </w:rPr>
        <w:t xml:space="preserve">  </w:t>
      </w:r>
      <w:r>
        <w:rPr>
          <w:spacing w:val="7"/>
        </w:rPr>
        <w:t>实施评价的组织应建立规范的评价工作流程，评价流程如图</w:t>
      </w:r>
      <w:r>
        <w:rPr>
          <w:spacing w:val="-6"/>
        </w:rPr>
        <w:t xml:space="preserve"> </w:t>
      </w:r>
      <w:r>
        <w:rPr>
          <w:spacing w:val="7"/>
        </w:rPr>
        <w:t>1</w:t>
      </w:r>
      <w:r>
        <w:rPr>
          <w:spacing w:val="-38"/>
        </w:rPr>
        <w:t xml:space="preserve"> </w:t>
      </w:r>
      <w:r>
        <w:rPr>
          <w:spacing w:val="7"/>
        </w:rPr>
        <w:t>所示。</w:t>
      </w:r>
    </w:p>
    <w:p>
      <w:pPr>
        <w:spacing w:line="226" w:lineRule="auto"/>
        <w:sectPr>
          <w:footerReference w:type="default" r:id="rId8"/>
          <w:pgSz w:w="11906" w:h="16839"/>
          <w:pgMar w:top="1406" w:right="1063" w:bottom="1312" w:left="1702" w:header="0" w:footer="1134" w:gutter="0"/>
          <w:pgNumType w:start="5"/>
          <w:cols w:space="708"/>
        </w:sectPr>
      </w:pPr>
    </w:p>
    <w:p>
      <w:pPr>
        <w:spacing w:before="163" w:line="198" w:lineRule="auto"/>
        <w:jc w:val="right"/>
        <w:rPr>
          <w:rFonts w:ascii="Arial" w:eastAsia="Arial" w:hAnsi="Arial" w:cs="Arial"/>
          <w:sz w:val="22"/>
          <w:szCs w:val="22"/>
        </w:rPr>
      </w:pPr>
      <w:r>
        <w:rPr>
          <w:rFonts w:ascii="Arial" w:eastAsia="Arial" w:hAnsi="Arial" w:cs="Arial"/>
          <w:spacing w:val="-13"/>
          <w:sz w:val="22"/>
          <w:szCs w:val="22"/>
        </w:rPr>
        <w:t>T</w:t>
      </w:r>
      <w:r>
        <w:rPr>
          <w:rFonts w:ascii="Arial" w:eastAsia="Arial" w:hAnsi="Arial" w:cs="Arial"/>
          <w:spacing w:val="-12"/>
          <w:sz w:val="22"/>
          <w:szCs w:val="22"/>
        </w:rPr>
        <w:t>/Cl XXX—202</w:t>
      </w:r>
      <w:r>
        <w:rPr>
          <w:rFonts w:ascii="Arial" w:eastAsia="Arial" w:hAnsi="Arial" w:cs="Arial"/>
          <w:spacing w:val="-11"/>
          <w:sz w:val="22"/>
          <w:szCs w:val="22"/>
        </w:rPr>
        <w:t>3</w:t>
      </w:r>
    </w:p>
    <w:p>
      <w:pPr>
        <w:pStyle w:val="BodyText"/>
        <w:spacing w:before="16" w:line="4670" w:lineRule="exact"/>
        <w:ind w:firstLine="1360"/>
      </w:pPr>
      <w:r>
        <w:rPr>
          <w:position w:val="-93"/>
        </w:rPr>
        <w:pict>
          <v:group id="_x0000_i1025" style="width:323pt;height:233.5pt;mso-position-horizontal-relative:char;mso-position-vertical-relative:line" coordorigin="0,0" coordsize="6460,467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460;height:4670;position:absolute" filled="f" stroked="f">
              <v:imagedata r:id="rId9" o:title=""/>
            </v:shape>
            <v:shapetype id="_x0000_t202" coordsize="21600,21600" o:spt="202" path="m,l,21600r21600,l21600,xe">
              <v:stroke joinstyle="miter"/>
              <v:path gradientshapeok="t" o:connecttype="rect"/>
            </v:shapetype>
            <v:shape id="_x0000_s1027" type="#_x0000_t202" style="width:5965;height:4151;left:229;position:absolute;top:316" filled="f" stroked="f">
              <o:lock v:ext="edit" aspectratio="f"/>
              <v:textbox inset="0,0,0,0">
                <w:txbxContent>
                  <w:p>
                    <w:pPr>
                      <w:spacing w:before="19" w:line="224" w:lineRule="auto"/>
                      <w:ind w:left="4569"/>
                      <w:rPr>
                        <w:rFonts w:ascii="YouYuan" w:eastAsia="YouYuan" w:hAnsi="YouYuan" w:cs="YouYuan"/>
                        <w:sz w:val="16"/>
                        <w:szCs w:val="16"/>
                      </w:rPr>
                    </w:pPr>
                    <w:r>
                      <w:rPr>
                        <w:rFonts w:ascii="YouYuan" w:eastAsia="YouYuan" w:hAnsi="YouYuan" w:cs="YouYuan"/>
                        <w:spacing w:val="-6"/>
                        <w:w w:val="86"/>
                        <w:sz w:val="16"/>
                        <w:szCs w:val="16"/>
                      </w:rPr>
                      <w:t>不符合”</w:t>
                    </w:r>
                  </w:p>
                  <w:p>
                    <w:pPr>
                      <w:spacing w:line="384" w:lineRule="auto"/>
                      <w:rPr>
                        <w:rFonts w:ascii="Arial"/>
                        <w:sz w:val="21"/>
                      </w:rPr>
                    </w:pPr>
                  </w:p>
                  <w:p>
                    <w:pPr>
                      <w:spacing w:before="72" w:line="194" w:lineRule="auto"/>
                      <w:ind w:left="3149"/>
                      <w:rPr>
                        <w:rFonts w:ascii="KaiTi" w:eastAsia="KaiTi" w:hAnsi="KaiTi" w:cs="KaiTi"/>
                        <w:sz w:val="22"/>
                        <w:szCs w:val="22"/>
                      </w:rPr>
                    </w:pPr>
                    <w:r>
                      <w:rPr>
                        <w:rFonts w:ascii="KaiTi" w:eastAsia="KaiTi" w:hAnsi="KaiTi" w:cs="KaiTi"/>
                        <w:spacing w:val="-5"/>
                        <w:w w:val="81"/>
                        <w:sz w:val="22"/>
                        <w:szCs w:val="22"/>
                      </w:rPr>
                      <w:t>符合</w:t>
                    </w:r>
                  </w:p>
                  <w:p>
                    <w:pPr>
                      <w:spacing w:line="227" w:lineRule="auto"/>
                      <w:ind w:left="189"/>
                      <w:rPr>
                        <w:rFonts w:ascii="YouYuan" w:eastAsia="YouYuan" w:hAnsi="YouYuan" w:cs="YouYuan"/>
                        <w:sz w:val="14"/>
                        <w:szCs w:val="14"/>
                      </w:rPr>
                    </w:pPr>
                    <w:r>
                      <w:rPr>
                        <w:rFonts w:ascii="YouYuan" w:eastAsia="YouYuan" w:hAnsi="YouYuan" w:cs="YouYuan"/>
                        <w:spacing w:val="-3"/>
                        <w:w w:val="93"/>
                        <w:sz w:val="14"/>
                        <w:szCs w:val="14"/>
                      </w:rPr>
                      <w:t>基础设施</w:t>
                    </w:r>
                  </w:p>
                  <w:p>
                    <w:pPr>
                      <w:spacing w:line="255" w:lineRule="auto"/>
                      <w:rPr>
                        <w:rFonts w:ascii="Arial"/>
                        <w:sz w:val="21"/>
                      </w:rPr>
                    </w:pPr>
                  </w:p>
                  <w:p>
                    <w:pPr>
                      <w:spacing w:before="46" w:line="219" w:lineRule="auto"/>
                      <w:ind w:left="209"/>
                      <w:rPr>
                        <w:rFonts w:ascii="SimSun" w:eastAsia="SimSun" w:hAnsi="SimSun" w:cs="SimSun"/>
                        <w:sz w:val="14"/>
                        <w:szCs w:val="14"/>
                      </w:rPr>
                    </w:pPr>
                    <w:r>
                      <w:rPr>
                        <w:rFonts w:ascii="SimSun" w:eastAsia="SimSun" w:hAnsi="SimSun" w:cs="SimSun"/>
                        <w:spacing w:val="-13"/>
                        <w:sz w:val="14"/>
                        <w:szCs w:val="14"/>
                      </w:rPr>
                      <w:t>管理体系</w:t>
                    </w:r>
                  </w:p>
                  <w:p>
                    <w:pPr>
                      <w:spacing w:before="284" w:line="220" w:lineRule="auto"/>
                      <w:ind w:left="20"/>
                      <w:rPr>
                        <w:rFonts w:ascii="SimSun" w:eastAsia="SimSun" w:hAnsi="SimSun" w:cs="SimSun"/>
                        <w:sz w:val="14"/>
                        <w:szCs w:val="14"/>
                      </w:rPr>
                    </w:pPr>
                    <w:r>
                      <w:rPr>
                        <w:rFonts w:ascii="SimSun" w:eastAsia="SimSun" w:hAnsi="SimSun" w:cs="SimSun"/>
                        <w:spacing w:val="-12"/>
                        <w:w w:val="98"/>
                        <w:sz w:val="14"/>
                        <w:szCs w:val="14"/>
                      </w:rPr>
                      <w:t>能源与资源投入</w:t>
                    </w:r>
                  </w:p>
                  <w:p>
                    <w:pPr>
                      <w:spacing w:line="288" w:lineRule="auto"/>
                      <w:rPr>
                        <w:rFonts w:ascii="Arial"/>
                        <w:sz w:val="21"/>
                      </w:rPr>
                    </w:pPr>
                  </w:p>
                  <w:p>
                    <w:pPr>
                      <w:spacing w:before="43" w:line="223" w:lineRule="auto"/>
                      <w:ind w:left="330"/>
                      <w:rPr>
                        <w:rFonts w:ascii="SimHei" w:eastAsia="SimHei" w:hAnsi="SimHei" w:cs="SimHei"/>
                        <w:sz w:val="13"/>
                        <w:szCs w:val="13"/>
                      </w:rPr>
                    </w:pPr>
                    <w:r>
                      <w:rPr>
                        <w:rFonts w:ascii="SimHei" w:eastAsia="SimHei" w:hAnsi="SimHei" w:cs="SimHei"/>
                        <w:spacing w:val="-2"/>
                        <w:sz w:val="13"/>
                        <w:szCs w:val="13"/>
                      </w:rPr>
                      <w:t>产品</w:t>
                    </w:r>
                  </w:p>
                  <w:p>
                    <w:pPr>
                      <w:spacing w:line="255" w:lineRule="auto"/>
                      <w:rPr>
                        <w:rFonts w:ascii="Arial"/>
                        <w:sz w:val="21"/>
                      </w:rPr>
                    </w:pPr>
                  </w:p>
                  <w:p>
                    <w:pPr>
                      <w:spacing w:before="45" w:line="222" w:lineRule="auto"/>
                      <w:ind w:left="179"/>
                      <w:rPr>
                        <w:rFonts w:ascii="SimHei" w:eastAsia="SimHei" w:hAnsi="SimHei" w:cs="SimHei"/>
                        <w:sz w:val="14"/>
                        <w:szCs w:val="14"/>
                      </w:rPr>
                    </w:pPr>
                    <w:r>
                      <w:rPr>
                        <w:rFonts w:ascii="SimHei" w:eastAsia="SimHei" w:hAnsi="SimHei" w:cs="SimHei"/>
                        <w:spacing w:val="-9"/>
                        <w:sz w:val="14"/>
                        <w:szCs w:val="14"/>
                      </w:rPr>
                      <w:t>环境排放</w:t>
                    </w:r>
                  </w:p>
                  <w:p>
                    <w:pPr>
                      <w:spacing w:line="254" w:lineRule="auto"/>
                      <w:rPr>
                        <w:rFonts w:ascii="Arial"/>
                        <w:sz w:val="21"/>
                      </w:rPr>
                    </w:pPr>
                  </w:p>
                  <w:p>
                    <w:pPr>
                      <w:spacing w:before="46" w:line="221" w:lineRule="auto"/>
                      <w:ind w:left="209"/>
                      <w:rPr>
                        <w:rFonts w:ascii="SimHei" w:eastAsia="SimHei" w:hAnsi="SimHei" w:cs="SimHei"/>
                        <w:sz w:val="14"/>
                        <w:szCs w:val="14"/>
                      </w:rPr>
                    </w:pPr>
                    <w:r>
                      <w:rPr>
                        <w:rFonts w:ascii="SimHei" w:eastAsia="SimHei" w:hAnsi="SimHei" w:cs="SimHei"/>
                        <w:spacing w:val="-9"/>
                        <w:w w:val="96"/>
                        <w:sz w:val="14"/>
                        <w:szCs w:val="14"/>
                      </w:rPr>
                      <w:t>综合绩效</w:t>
                    </w:r>
                  </w:p>
                  <w:p>
                    <w:pPr>
                      <w:spacing w:line="257" w:lineRule="auto"/>
                      <w:rPr>
                        <w:rFonts w:ascii="Arial"/>
                        <w:sz w:val="21"/>
                      </w:rPr>
                    </w:pPr>
                  </w:p>
                  <w:p>
                    <w:pPr>
                      <w:spacing w:line="257" w:lineRule="auto"/>
                      <w:rPr>
                        <w:rFonts w:ascii="Arial"/>
                        <w:sz w:val="21"/>
                      </w:rPr>
                    </w:pPr>
                  </w:p>
                  <w:p>
                    <w:pPr>
                      <w:spacing w:before="45" w:line="222" w:lineRule="auto"/>
                      <w:ind w:right="8"/>
                      <w:jc w:val="right"/>
                      <w:rPr>
                        <w:rFonts w:ascii="SimHei" w:eastAsia="SimHei" w:hAnsi="SimHei" w:cs="SimHei"/>
                        <w:sz w:val="14"/>
                        <w:szCs w:val="14"/>
                      </w:rPr>
                    </w:pPr>
                    <w:r>
                      <w:rPr>
                        <w:rFonts w:ascii="SimHei" w:eastAsia="SimHei" w:hAnsi="SimHei" w:cs="SimHei"/>
                        <w:spacing w:val="-9"/>
                        <w:sz w:val="14"/>
                        <w:szCs w:val="14"/>
                      </w:rPr>
                      <w:t>终止评价</w:t>
                    </w:r>
                  </w:p>
                </w:txbxContent>
              </v:textbox>
            </v:shape>
            <v:shape id="_x0000_s1028" type="#_x0000_t202" style="width:635;height:202;left:4790;position:absolute;top:1675" filled="f" stroked="f">
              <o:lock v:ext="edit" aspectratio="f"/>
              <v:textbox inset="0,0,0,0">
                <w:txbxContent>
                  <w:p>
                    <w:pPr>
                      <w:spacing w:before="19" w:line="222" w:lineRule="auto"/>
                      <w:jc w:val="right"/>
                      <w:rPr>
                        <w:rFonts w:ascii="SimHei" w:eastAsia="SimHei" w:hAnsi="SimHei" w:cs="SimHei"/>
                        <w:sz w:val="16"/>
                        <w:szCs w:val="16"/>
                      </w:rPr>
                    </w:pPr>
                    <w:r>
                      <w:rPr>
                        <w:rFonts w:ascii="SimHei" w:eastAsia="SimHei" w:hAnsi="SimHei" w:cs="SimHei"/>
                        <w:spacing w:val="-15"/>
                        <w:w w:val="83"/>
                        <w:sz w:val="16"/>
                        <w:szCs w:val="16"/>
                      </w:rPr>
                      <w:t>“不符合”</w:t>
                    </w:r>
                  </w:p>
                </w:txbxContent>
              </v:textbox>
            </v:shape>
            <v:shape id="_x0000_s1029" type="#_x0000_t202" style="width:525;height:210;left:3209;position:absolute;top:276" filled="f" stroked="f">
              <o:lock v:ext="edit" aspectratio="f"/>
              <v:textbox inset="0,0,0,0">
                <w:txbxContent>
                  <w:p>
                    <w:pPr>
                      <w:spacing w:before="19" w:line="219" w:lineRule="auto"/>
                      <w:jc w:val="right"/>
                      <w:rPr>
                        <w:rFonts w:ascii="SimSun" w:eastAsia="SimSun" w:hAnsi="SimSun" w:cs="SimSun"/>
                        <w:sz w:val="17"/>
                        <w:szCs w:val="17"/>
                      </w:rPr>
                    </w:pPr>
                    <w:r>
                      <w:rPr>
                        <w:rFonts w:ascii="SimSun" w:eastAsia="SimSun" w:hAnsi="SimSun" w:cs="SimSun"/>
                        <w:spacing w:val="-11"/>
                        <w:w w:val="77"/>
                        <w:sz w:val="17"/>
                        <w:szCs w:val="17"/>
                      </w:rPr>
                      <w:t>基本</w:t>
                    </w:r>
                    <w:r>
                      <w:rPr>
                        <w:rFonts w:ascii="SimSun" w:eastAsia="SimSun" w:hAnsi="SimSun" w:cs="SimSun"/>
                        <w:spacing w:val="-10"/>
                        <w:w w:val="77"/>
                        <w:sz w:val="17"/>
                        <w:szCs w:val="17"/>
                      </w:rPr>
                      <w:t>要</w:t>
                    </w:r>
                    <w:r>
                      <w:rPr>
                        <w:rFonts w:ascii="SimSun" w:eastAsia="SimSun" w:hAnsi="SimSun" w:cs="SimSun"/>
                        <w:spacing w:val="-8"/>
                        <w:w w:val="77"/>
                        <w:sz w:val="17"/>
                        <w:szCs w:val="17"/>
                      </w:rPr>
                      <w:t>求</w:t>
                    </w:r>
                  </w:p>
                </w:txbxContent>
              </v:textbox>
            </v:shape>
            <v:shape id="_x0000_s1030" type="#_x0000_t202" style="width:547;height:182;left:3219;position:absolute;top:1645" filled="f" stroked="f">
              <o:lock v:ext="edit" aspectratio="f"/>
              <v:textbox inset="0,0,0,0">
                <w:txbxContent>
                  <w:p>
                    <w:pPr>
                      <w:spacing w:before="20" w:line="222" w:lineRule="auto"/>
                      <w:ind w:left="20"/>
                      <w:rPr>
                        <w:rFonts w:ascii="SimHei" w:eastAsia="SimHei" w:hAnsi="SimHei" w:cs="SimHei"/>
                        <w:sz w:val="14"/>
                        <w:szCs w:val="14"/>
                      </w:rPr>
                    </w:pPr>
                    <w:r>
                      <w:rPr>
                        <w:rFonts w:ascii="SimHei" w:eastAsia="SimHei" w:hAnsi="SimHei" w:cs="SimHei"/>
                        <w:spacing w:val="-10"/>
                        <w:sz w:val="14"/>
                        <w:szCs w:val="14"/>
                      </w:rPr>
                      <w:t>必选要求</w:t>
                    </w:r>
                  </w:p>
                </w:txbxContent>
              </v:textbox>
            </v:shape>
            <v:shape id="_x0000_s1031" type="#_x0000_t202" style="width:350;height:270;left:3340;position:absolute;top:2458" filled="f" stroked="f">
              <o:lock v:ext="edit" aspectratio="f"/>
              <v:textbox inset="0,0,0,0">
                <w:txbxContent>
                  <w:p>
                    <w:pPr>
                      <w:spacing w:before="19" w:line="219" w:lineRule="auto"/>
                      <w:jc w:val="right"/>
                      <w:rPr>
                        <w:rFonts w:ascii="KaiTi" w:eastAsia="KaiTi" w:hAnsi="KaiTi" w:cs="KaiTi"/>
                        <w:sz w:val="23"/>
                        <w:szCs w:val="23"/>
                      </w:rPr>
                    </w:pPr>
                    <w:r>
                      <w:rPr>
                        <w:rFonts w:ascii="KaiTi" w:eastAsia="KaiTi" w:hAnsi="KaiTi" w:cs="KaiTi"/>
                        <w:i/>
                        <w:iCs/>
                        <w:spacing w:val="-8"/>
                        <w:w w:val="68"/>
                        <w:sz w:val="23"/>
                        <w:szCs w:val="23"/>
                      </w:rPr>
                      <w:t>符</w:t>
                    </w:r>
                    <w:r>
                      <w:rPr>
                        <w:rFonts w:ascii="KaiTi" w:eastAsia="KaiTi" w:hAnsi="KaiTi" w:cs="KaiTi"/>
                        <w:i/>
                        <w:iCs/>
                        <w:w w:val="68"/>
                        <w:sz w:val="23"/>
                        <w:szCs w:val="23"/>
                      </w:rPr>
                      <w:t>合</w:t>
                    </w:r>
                  </w:p>
                </w:txbxContent>
              </v:textbox>
            </v:shape>
            <v:shape id="_x0000_s1032" type="#_x0000_t202" style="width:535;height:180;left:3250;position:absolute;top:3166" filled="f" stroked="f">
              <o:lock v:ext="edit" aspectratio="f"/>
              <v:textbox inset="0,0,0,0">
                <w:txbxContent>
                  <w:p>
                    <w:pPr>
                      <w:spacing w:before="19" w:line="221" w:lineRule="auto"/>
                      <w:ind w:left="20"/>
                      <w:rPr>
                        <w:rFonts w:ascii="SimSun" w:eastAsia="SimSun" w:hAnsi="SimSun" w:cs="SimSun"/>
                        <w:sz w:val="14"/>
                        <w:szCs w:val="14"/>
                      </w:rPr>
                    </w:pPr>
                    <w:r>
                      <w:rPr>
                        <w:rFonts w:ascii="SimSun" w:eastAsia="SimSun" w:hAnsi="SimSun" w:cs="SimSun"/>
                        <w:spacing w:val="-10"/>
                        <w:w w:val="98"/>
                        <w:sz w:val="14"/>
                        <w:szCs w:val="14"/>
                      </w:rPr>
                      <w:t>可选要求</w:t>
                    </w:r>
                  </w:p>
                </w:txbxContent>
              </v:textbox>
            </v:shape>
            <v:shape id="_x0000_s1033" type="#_x0000_t202" style="width:382;height:213;left:3310;position:absolute;top:4216" filled="f" stroked="f">
              <o:lock v:ext="edit" aspectratio="f"/>
              <v:textbox inset="0,0,0,0">
                <w:txbxContent>
                  <w:p>
                    <w:pPr>
                      <w:spacing w:before="19" w:line="224" w:lineRule="auto"/>
                      <w:jc w:val="right"/>
                      <w:rPr>
                        <w:rFonts w:ascii="YouYuan" w:eastAsia="YouYuan" w:hAnsi="YouYuan" w:cs="YouYuan"/>
                        <w:sz w:val="16"/>
                        <w:szCs w:val="16"/>
                      </w:rPr>
                    </w:pPr>
                    <w:r>
                      <w:rPr>
                        <w:rFonts w:ascii="YouYuan" w:eastAsia="YouYuan" w:hAnsi="YouYuan" w:cs="YouYuan"/>
                        <w:spacing w:val="-6"/>
                        <w:w w:val="74"/>
                        <w:sz w:val="16"/>
                        <w:szCs w:val="16"/>
                      </w:rPr>
                      <w:t>总得</w:t>
                    </w:r>
                    <w:r>
                      <w:rPr>
                        <w:rFonts w:ascii="YouYuan" w:eastAsia="YouYuan" w:hAnsi="YouYuan" w:cs="YouYuan"/>
                        <w:spacing w:val="-3"/>
                        <w:w w:val="74"/>
                        <w:sz w:val="16"/>
                        <w:szCs w:val="16"/>
                      </w:rPr>
                      <w:t>分</w:t>
                    </w:r>
                  </w:p>
                </w:txbxContent>
              </v:textbox>
            </v:shape>
            <w10:wrap type="none"/>
          </v:group>
        </w:pict>
      </w:r>
    </w:p>
    <w:p>
      <w:pPr>
        <w:spacing w:before="137" w:line="221" w:lineRule="auto"/>
        <w:ind w:left="4140"/>
        <w:rPr>
          <w:rFonts w:ascii="SimHei" w:eastAsia="SimHei" w:hAnsi="SimHei" w:cs="SimHei"/>
          <w:sz w:val="22"/>
          <w:szCs w:val="22"/>
        </w:rPr>
      </w:pPr>
      <w:r>
        <w:rPr>
          <w:rFonts w:ascii="SimHei" w:eastAsia="SimHei" w:hAnsi="SimHei" w:cs="SimHei"/>
          <w:spacing w:val="-9"/>
          <w:sz w:val="22"/>
          <w:szCs w:val="22"/>
        </w:rPr>
        <w:t>图1</w:t>
      </w:r>
      <w:r>
        <w:rPr>
          <w:rFonts w:ascii="SimHei" w:eastAsia="SimHei" w:hAnsi="SimHei" w:cs="SimHei"/>
          <w:spacing w:val="-29"/>
          <w:sz w:val="22"/>
          <w:szCs w:val="22"/>
        </w:rPr>
        <w:t xml:space="preserve"> </w:t>
      </w:r>
      <w:r>
        <w:rPr>
          <w:rFonts w:ascii="SimHei" w:eastAsia="SimHei" w:hAnsi="SimHei" w:cs="SimHei"/>
          <w:spacing w:val="-9"/>
          <w:sz w:val="22"/>
          <w:szCs w:val="22"/>
        </w:rPr>
        <w:t>评价流程</w:t>
      </w:r>
    </w:p>
    <w:p>
      <w:pPr>
        <w:pStyle w:val="BodyText"/>
        <w:spacing w:before="5" w:line="224" w:lineRule="auto"/>
        <w:ind w:left="30" w:right="29" w:hanging="10"/>
        <w:rPr>
          <w:sz w:val="22"/>
          <w:szCs w:val="22"/>
        </w:rPr>
      </w:pPr>
      <w:r>
        <w:rPr>
          <w:rFonts w:ascii="Times New Roman" w:eastAsia="Times New Roman" w:hAnsi="Times New Roman" w:cs="Times New Roman"/>
          <w:spacing w:val="-9"/>
          <w:sz w:val="22"/>
          <w:szCs w:val="22"/>
        </w:rPr>
        <w:t xml:space="preserve">6.2.2     </w:t>
      </w:r>
      <w:r>
        <w:rPr>
          <w:spacing w:val="-9"/>
          <w:sz w:val="22"/>
          <w:szCs w:val="22"/>
        </w:rPr>
        <w:t>第三方组织宜根据实际情况不定期对</w:t>
      </w:r>
      <w:r>
        <w:rPr>
          <w:spacing w:val="-10"/>
          <w:sz w:val="22"/>
          <w:szCs w:val="22"/>
        </w:rPr>
        <w:t>通过评价的企业开展监督，确保受评价方星级绿色工厂</w:t>
      </w:r>
      <w:r>
        <w:rPr>
          <w:sz w:val="22"/>
          <w:szCs w:val="22"/>
        </w:rPr>
        <w:t xml:space="preserve"> </w:t>
      </w:r>
      <w:r>
        <w:rPr>
          <w:spacing w:val="-14"/>
          <w:sz w:val="22"/>
          <w:szCs w:val="22"/>
        </w:rPr>
        <w:t>运行持续有效。</w:t>
      </w:r>
    </w:p>
    <w:p>
      <w:pPr>
        <w:spacing w:before="117" w:line="222" w:lineRule="auto"/>
        <w:ind w:left="10"/>
        <w:rPr>
          <w:rFonts w:ascii="SimHei" w:eastAsia="SimHei" w:hAnsi="SimHei" w:cs="SimHei"/>
          <w:sz w:val="21"/>
          <w:szCs w:val="21"/>
        </w:rPr>
      </w:pPr>
      <w:r>
        <w:rPr>
          <w:rFonts w:ascii="SimHei" w:eastAsia="SimHei" w:hAnsi="SimHei" w:cs="SimHei"/>
          <w:spacing w:val="-5"/>
          <w:sz w:val="19"/>
          <w:szCs w:val="19"/>
        </w:rPr>
        <w:t>6.3</w:t>
      </w:r>
      <w:r>
        <w:rPr>
          <w:rFonts w:ascii="SimHei" w:eastAsia="SimHei" w:hAnsi="SimHei" w:cs="SimHei"/>
          <w:spacing w:val="23"/>
          <w:sz w:val="19"/>
          <w:szCs w:val="19"/>
        </w:rPr>
        <w:t xml:space="preserve">  </w:t>
      </w:r>
      <w:r>
        <w:rPr>
          <w:rFonts w:ascii="SimHei" w:eastAsia="SimHei" w:hAnsi="SimHei" w:cs="SimHei"/>
          <w:spacing w:val="-5"/>
          <w:sz w:val="21"/>
          <w:szCs w:val="21"/>
        </w:rPr>
        <w:t>评价能力要求</w:t>
      </w:r>
    </w:p>
    <w:p>
      <w:pPr>
        <w:spacing w:before="157" w:line="221" w:lineRule="auto"/>
        <w:ind w:left="10"/>
        <w:rPr>
          <w:rFonts w:ascii="SimHei" w:eastAsia="SimHei" w:hAnsi="SimHei" w:cs="SimHei"/>
          <w:sz w:val="22"/>
          <w:szCs w:val="22"/>
        </w:rPr>
      </w:pPr>
      <w:r>
        <w:rPr>
          <w:rFonts w:ascii="SimHei" w:eastAsia="SimHei" w:hAnsi="SimHei" w:cs="SimHei"/>
          <w:spacing w:val="-8"/>
          <w:sz w:val="22"/>
          <w:szCs w:val="22"/>
        </w:rPr>
        <w:t>6.3.1</w:t>
      </w:r>
      <w:r>
        <w:rPr>
          <w:rFonts w:ascii="SimHei" w:eastAsia="SimHei" w:hAnsi="SimHei" w:cs="SimHei"/>
          <w:spacing w:val="-8"/>
          <w:sz w:val="22"/>
          <w:szCs w:val="22"/>
        </w:rPr>
        <w:t xml:space="preserve"> </w:t>
      </w:r>
      <w:r>
        <w:rPr>
          <w:rFonts w:ascii="SimHei" w:eastAsia="SimHei" w:hAnsi="SimHei" w:cs="SimHei"/>
          <w:spacing w:val="-8"/>
          <w:sz w:val="22"/>
          <w:szCs w:val="22"/>
        </w:rPr>
        <w:t>评价实施方的能力</w:t>
      </w:r>
    </w:p>
    <w:p>
      <w:pPr>
        <w:pStyle w:val="BodyText"/>
        <w:spacing w:before="127" w:line="222" w:lineRule="auto"/>
        <w:ind w:left="30" w:right="30" w:hanging="10"/>
        <w:rPr>
          <w:sz w:val="22"/>
          <w:szCs w:val="22"/>
        </w:rPr>
      </w:pPr>
      <w:hyperlink r:id="rId10" w:history="1">
        <w:r>
          <w:rPr>
            <w:spacing w:val="-9"/>
            <w:sz w:val="22"/>
            <w:szCs w:val="22"/>
          </w:rPr>
          <w:t>6.3.1.1</w:t>
        </w:r>
      </w:hyperlink>
      <w:r>
        <w:rPr>
          <w:spacing w:val="-9"/>
          <w:sz w:val="22"/>
          <w:szCs w:val="22"/>
        </w:rPr>
        <w:t xml:space="preserve"> 工厂自行开展绿色工厂评价时，应组织专门的绿色工厂评价工作组对本文件所述指标进行</w:t>
      </w:r>
      <w:r>
        <w:rPr>
          <w:spacing w:val="2"/>
          <w:sz w:val="22"/>
          <w:szCs w:val="22"/>
        </w:rPr>
        <w:t xml:space="preserve"> </w:t>
      </w:r>
      <w:r>
        <w:rPr>
          <w:spacing w:val="-14"/>
          <w:sz w:val="22"/>
          <w:szCs w:val="22"/>
        </w:rPr>
        <w:t>评价，可邀请外部行业专家参与。</w:t>
      </w:r>
    </w:p>
    <w:p>
      <w:pPr>
        <w:pStyle w:val="BodyText"/>
        <w:spacing w:before="11" w:line="222" w:lineRule="auto"/>
        <w:ind w:left="20" w:right="30" w:hanging="10"/>
        <w:rPr>
          <w:sz w:val="22"/>
          <w:szCs w:val="22"/>
        </w:rPr>
      </w:pPr>
      <w:hyperlink r:id="rId11" w:history="1">
        <w:r>
          <w:rPr>
            <w:spacing w:val="-9"/>
            <w:sz w:val="22"/>
            <w:szCs w:val="22"/>
          </w:rPr>
          <w:t>6.3.1.2</w:t>
        </w:r>
      </w:hyperlink>
      <w:r>
        <w:rPr>
          <w:spacing w:val="-9"/>
          <w:sz w:val="22"/>
          <w:szCs w:val="22"/>
        </w:rPr>
        <w:t xml:space="preserve"> 委托第三方进行绿色工厂评价时，评价实施方应具备相应资质，并熟悉石英晶体元器件行</w:t>
      </w:r>
      <w:r>
        <w:rPr>
          <w:spacing w:val="12"/>
          <w:sz w:val="22"/>
          <w:szCs w:val="22"/>
        </w:rPr>
        <w:t xml:space="preserve"> </w:t>
      </w:r>
      <w:r>
        <w:rPr>
          <w:spacing w:val="-11"/>
          <w:sz w:val="22"/>
          <w:szCs w:val="22"/>
        </w:rPr>
        <w:t>业生产与运行规律，有行业认证、评估、检测等相关服务经</w:t>
      </w:r>
      <w:r>
        <w:rPr>
          <w:spacing w:val="-12"/>
          <w:sz w:val="22"/>
          <w:szCs w:val="22"/>
        </w:rPr>
        <w:t>验。</w:t>
      </w:r>
    </w:p>
    <w:p>
      <w:pPr>
        <w:spacing w:before="120" w:line="221" w:lineRule="auto"/>
        <w:ind w:left="20"/>
        <w:rPr>
          <w:rFonts w:ascii="SimHei" w:eastAsia="SimHei" w:hAnsi="SimHei" w:cs="SimHei"/>
          <w:sz w:val="22"/>
          <w:szCs w:val="22"/>
        </w:rPr>
      </w:pPr>
      <w:r>
        <w:rPr>
          <w:rFonts w:ascii="SimHei" w:eastAsia="SimHei" w:hAnsi="SimHei" w:cs="SimHei"/>
          <w:spacing w:val="-10"/>
          <w:sz w:val="22"/>
          <w:szCs w:val="22"/>
        </w:rPr>
        <w:t>6.3.2</w:t>
      </w:r>
      <w:r>
        <w:rPr>
          <w:rFonts w:ascii="SimHei" w:eastAsia="SimHei" w:hAnsi="SimHei" w:cs="SimHei"/>
          <w:spacing w:val="-10"/>
          <w:sz w:val="22"/>
          <w:szCs w:val="22"/>
        </w:rPr>
        <w:t xml:space="preserve"> </w:t>
      </w:r>
      <w:r>
        <w:rPr>
          <w:rFonts w:ascii="SimHei" w:eastAsia="SimHei" w:hAnsi="SimHei" w:cs="SimHei"/>
          <w:spacing w:val="-10"/>
          <w:sz w:val="22"/>
          <w:szCs w:val="22"/>
        </w:rPr>
        <w:t>评价人员的能力</w:t>
      </w:r>
    </w:p>
    <w:p>
      <w:pPr>
        <w:pStyle w:val="BodyText"/>
        <w:spacing w:before="146" w:line="224" w:lineRule="auto"/>
        <w:ind w:left="30" w:firstLine="369"/>
        <w:rPr>
          <w:sz w:val="22"/>
          <w:szCs w:val="22"/>
        </w:rPr>
      </w:pPr>
      <w:r>
        <w:rPr>
          <w:spacing w:val="-8"/>
          <w:sz w:val="22"/>
          <w:szCs w:val="22"/>
        </w:rPr>
        <w:t>实施评价的人员组成应具备覆盖绿色制造评价需要的各种知识和能力。相关人员能力包括</w:t>
      </w:r>
      <w:r>
        <w:rPr>
          <w:spacing w:val="-9"/>
          <w:sz w:val="22"/>
          <w:szCs w:val="22"/>
        </w:rPr>
        <w:t>但不</w:t>
      </w:r>
      <w:r>
        <w:rPr>
          <w:sz w:val="22"/>
          <w:szCs w:val="22"/>
        </w:rPr>
        <w:t xml:space="preserve"> </w:t>
      </w:r>
      <w:r>
        <w:rPr>
          <w:spacing w:val="-12"/>
          <w:sz w:val="22"/>
          <w:szCs w:val="22"/>
        </w:rPr>
        <w:t>限于环保、低碳、节能、安全、质量、循环经济、可再生能源等工作经历。</w:t>
      </w:r>
    </w:p>
    <w:p>
      <w:pPr>
        <w:spacing w:before="237" w:line="222" w:lineRule="auto"/>
        <w:rPr>
          <w:rFonts w:ascii="SimHei" w:eastAsia="SimHei" w:hAnsi="SimHei" w:cs="SimHei"/>
          <w:sz w:val="22"/>
          <w:szCs w:val="22"/>
        </w:rPr>
      </w:pPr>
      <w:r>
        <w:rPr>
          <w:rFonts w:ascii="SimHei" w:eastAsia="SimHei" w:hAnsi="SimHei" w:cs="SimHei"/>
          <w:spacing w:val="-10"/>
          <w:sz w:val="22"/>
          <w:szCs w:val="22"/>
        </w:rPr>
        <w:t>7</w:t>
      </w:r>
      <w:r>
        <w:rPr>
          <w:rFonts w:ascii="SimHei" w:eastAsia="SimHei" w:hAnsi="SimHei" w:cs="SimHei"/>
          <w:spacing w:val="102"/>
          <w:sz w:val="22"/>
          <w:szCs w:val="22"/>
        </w:rPr>
        <w:t xml:space="preserve"> </w:t>
      </w:r>
      <w:r>
        <w:rPr>
          <w:rFonts w:ascii="SimHei" w:eastAsia="SimHei" w:hAnsi="SimHei" w:cs="SimHei"/>
          <w:spacing w:val="-10"/>
          <w:sz w:val="22"/>
          <w:szCs w:val="22"/>
        </w:rPr>
        <w:t>评价报告</w:t>
      </w:r>
    </w:p>
    <w:p>
      <w:pPr>
        <w:pStyle w:val="BodyText"/>
        <w:spacing w:before="265" w:line="218" w:lineRule="auto"/>
        <w:ind w:left="419"/>
        <w:rPr>
          <w:sz w:val="22"/>
          <w:szCs w:val="22"/>
        </w:rPr>
      </w:pPr>
      <w:r>
        <w:rPr>
          <w:spacing w:val="-6"/>
          <w:sz w:val="22"/>
          <w:szCs w:val="22"/>
        </w:rPr>
        <w:t>实施评价的组织应根据预评价(适用时)及现场评价形成评价报告，内容包括但不限于：</w:t>
      </w:r>
    </w:p>
    <w:p>
      <w:pPr>
        <w:pStyle w:val="BodyText"/>
        <w:spacing w:before="1" w:line="192" w:lineRule="auto"/>
        <w:ind w:left="409"/>
        <w:rPr>
          <w:sz w:val="21"/>
          <w:szCs w:val="21"/>
        </w:rPr>
      </w:pPr>
      <w:r>
        <w:rPr>
          <w:spacing w:val="-4"/>
          <w:sz w:val="19"/>
          <w:szCs w:val="19"/>
        </w:rPr>
        <w:t>a)</w:t>
      </w:r>
      <w:r>
        <w:rPr>
          <w:spacing w:val="34"/>
          <w:sz w:val="19"/>
          <w:szCs w:val="19"/>
        </w:rPr>
        <w:t xml:space="preserve">  </w:t>
      </w:r>
      <w:r>
        <w:rPr>
          <w:spacing w:val="-4"/>
          <w:sz w:val="21"/>
          <w:szCs w:val="21"/>
        </w:rPr>
        <w:t>实施评价的组织；</w:t>
      </w:r>
    </w:p>
    <w:p>
      <w:pPr>
        <w:pStyle w:val="BodyText"/>
        <w:spacing w:line="299" w:lineRule="exact"/>
        <w:ind w:left="439"/>
        <w:rPr>
          <w:sz w:val="22"/>
          <w:szCs w:val="22"/>
        </w:rPr>
      </w:pPr>
      <w:r>
        <w:rPr>
          <w:rFonts w:ascii="Arial" w:eastAsia="Arial" w:hAnsi="Arial" w:cs="Arial"/>
          <w:spacing w:val="-10"/>
          <w:position w:val="2"/>
          <w:sz w:val="22"/>
          <w:szCs w:val="22"/>
        </w:rPr>
        <w:t xml:space="preserve">b)    </w:t>
      </w:r>
      <w:r>
        <w:rPr>
          <w:spacing w:val="-10"/>
          <w:position w:val="2"/>
          <w:sz w:val="22"/>
          <w:szCs w:val="22"/>
        </w:rPr>
        <w:t>评价目的、范围及准则；</w:t>
      </w:r>
    </w:p>
    <w:p>
      <w:pPr>
        <w:pStyle w:val="BodyText"/>
        <w:spacing w:before="31" w:line="208" w:lineRule="auto"/>
        <w:ind w:left="839" w:hanging="420"/>
        <w:rPr>
          <w:sz w:val="22"/>
          <w:szCs w:val="22"/>
        </w:rPr>
      </w:pPr>
      <w:r>
        <w:rPr>
          <w:spacing w:val="-8"/>
          <w:sz w:val="22"/>
          <w:szCs w:val="22"/>
        </w:rPr>
        <w:t>c)  评价过程，主要包括评价组织安排、文件评审情况、现场评价情况、评价报</w:t>
      </w:r>
      <w:r>
        <w:rPr>
          <w:spacing w:val="-9"/>
          <w:sz w:val="22"/>
          <w:szCs w:val="22"/>
        </w:rPr>
        <w:t>告编制及内部</w:t>
      </w:r>
      <w:r>
        <w:rPr>
          <w:sz w:val="22"/>
          <w:szCs w:val="22"/>
        </w:rPr>
        <w:t xml:space="preserve"> </w:t>
      </w:r>
      <w:r>
        <w:rPr>
          <w:spacing w:val="-13"/>
          <w:sz w:val="22"/>
          <w:szCs w:val="22"/>
        </w:rPr>
        <w:t>技术评审情况；</w:t>
      </w:r>
    </w:p>
    <w:p>
      <w:pPr>
        <w:pStyle w:val="BodyText"/>
        <w:spacing w:before="1" w:line="245" w:lineRule="auto"/>
        <w:ind w:left="829" w:right="2" w:hanging="410"/>
        <w:rPr>
          <w:sz w:val="22"/>
          <w:szCs w:val="22"/>
        </w:rPr>
      </w:pPr>
      <w:r>
        <w:rPr>
          <w:rFonts w:ascii="Arial" w:eastAsia="Arial" w:hAnsi="Arial" w:cs="Arial"/>
          <w:spacing w:val="-8"/>
          <w:sz w:val="22"/>
          <w:szCs w:val="22"/>
        </w:rPr>
        <w:t>d)</w:t>
      </w:r>
      <w:r>
        <w:rPr>
          <w:rFonts w:ascii="Arial" w:eastAsia="Arial" w:hAnsi="Arial" w:cs="Arial"/>
          <w:spacing w:val="16"/>
          <w:sz w:val="22"/>
          <w:szCs w:val="22"/>
        </w:rPr>
        <w:t xml:space="preserve">   </w:t>
      </w:r>
      <w:r>
        <w:rPr>
          <w:spacing w:val="-8"/>
          <w:sz w:val="22"/>
          <w:szCs w:val="22"/>
        </w:rPr>
        <w:t>评价内容，包括基本要求、基础设施、管理体系、能源资源投</w:t>
      </w:r>
      <w:r>
        <w:rPr>
          <w:spacing w:val="-9"/>
          <w:sz w:val="22"/>
          <w:szCs w:val="22"/>
        </w:rPr>
        <w:t>入、产品、环境排放、绩效</w:t>
      </w:r>
      <w:r>
        <w:rPr>
          <w:spacing w:val="1"/>
          <w:sz w:val="22"/>
          <w:szCs w:val="22"/>
        </w:rPr>
        <w:t xml:space="preserve"> </w:t>
      </w:r>
      <w:r>
        <w:rPr>
          <w:spacing w:val="-10"/>
          <w:sz w:val="22"/>
          <w:szCs w:val="22"/>
        </w:rPr>
        <w:t>等；</w:t>
      </w:r>
    </w:p>
    <w:p>
      <w:pPr>
        <w:pStyle w:val="BodyText"/>
        <w:spacing w:before="2" w:line="237" w:lineRule="auto"/>
        <w:ind w:left="849" w:right="21" w:hanging="430"/>
        <w:rPr>
          <w:sz w:val="21"/>
          <w:szCs w:val="21"/>
        </w:rPr>
        <w:sectPr>
          <w:footerReference w:type="default" r:id="rId12"/>
          <w:pgSz w:w="11910" w:h="16840"/>
          <w:pgMar w:top="1431" w:right="1418" w:bottom="1286" w:left="1400" w:header="0" w:footer="1107" w:gutter="0"/>
          <w:pgNumType w:start="6"/>
          <w:cols w:space="708"/>
        </w:sectPr>
      </w:pPr>
      <w:r>
        <w:rPr>
          <w:spacing w:val="1"/>
          <w:sz w:val="19"/>
          <w:szCs w:val="19"/>
        </w:rPr>
        <w:t>e)</w:t>
      </w:r>
      <w:r>
        <w:rPr>
          <w:spacing w:val="26"/>
          <w:sz w:val="19"/>
          <w:szCs w:val="19"/>
        </w:rPr>
        <w:t xml:space="preserve">  </w:t>
      </w:r>
      <w:r>
        <w:rPr>
          <w:spacing w:val="1"/>
          <w:sz w:val="21"/>
          <w:szCs w:val="21"/>
        </w:rPr>
        <w:t>评价证据的核实情况，包括证明文件和数据真实性、计</w:t>
      </w:r>
      <w:r>
        <w:rPr>
          <w:sz w:val="21"/>
          <w:szCs w:val="21"/>
        </w:rPr>
        <w:t xml:space="preserve">算范围及计算方法、相关计量设备 </w:t>
      </w:r>
      <w:r>
        <w:rPr>
          <w:spacing w:val="-4"/>
          <w:sz w:val="21"/>
          <w:szCs w:val="21"/>
        </w:rPr>
        <w:t>和有关标准的执行等；</w:t>
      </w:r>
    </w:p>
    <w:p>
      <w:pPr>
        <w:pStyle w:val="BodyText"/>
        <w:spacing w:before="10" w:line="224" w:lineRule="auto"/>
        <w:ind w:left="439" w:right="1158" w:hanging="20"/>
        <w:rPr>
          <w:sz w:val="22"/>
          <w:szCs w:val="22"/>
        </w:rPr>
      </w:pPr>
      <w:r>
        <w:rPr>
          <w:spacing w:val="-2"/>
          <w:sz w:val="19"/>
          <w:szCs w:val="19"/>
        </w:rPr>
        <w:t>f)</w:t>
      </w:r>
      <w:r>
        <w:rPr>
          <w:spacing w:val="32"/>
          <w:sz w:val="19"/>
          <w:szCs w:val="19"/>
        </w:rPr>
        <w:t xml:space="preserve">  </w:t>
      </w:r>
      <w:r>
        <w:rPr>
          <w:spacing w:val="-2"/>
          <w:sz w:val="21"/>
          <w:szCs w:val="21"/>
        </w:rPr>
        <w:t>评价指标表，明确各评价指标得分情况，并判定受评工厂是否符合评价要求；</w:t>
      </w:r>
      <w:r>
        <w:rPr>
          <w:sz w:val="21"/>
          <w:szCs w:val="21"/>
        </w:rPr>
        <w:t xml:space="preserve"> </w:t>
      </w:r>
      <w:r>
        <w:rPr>
          <w:spacing w:val="-11"/>
          <w:sz w:val="22"/>
          <w:szCs w:val="22"/>
        </w:rPr>
        <w:t>g)</w:t>
      </w:r>
      <w:r>
        <w:rPr>
          <w:spacing w:val="82"/>
          <w:sz w:val="22"/>
          <w:szCs w:val="22"/>
        </w:rPr>
        <w:t xml:space="preserve"> </w:t>
      </w:r>
      <w:r>
        <w:rPr>
          <w:spacing w:val="-11"/>
          <w:sz w:val="22"/>
          <w:szCs w:val="22"/>
        </w:rPr>
        <w:t>评价识别的问题；</w:t>
      </w:r>
    </w:p>
    <w:p>
      <w:pPr>
        <w:pStyle w:val="BodyText"/>
        <w:spacing w:line="212" w:lineRule="auto"/>
        <w:ind w:left="419"/>
        <w:rPr>
          <w:sz w:val="21"/>
          <w:szCs w:val="21"/>
        </w:rPr>
      </w:pPr>
      <w:r>
        <w:rPr>
          <w:rFonts w:ascii="Times New Roman" w:eastAsia="Times New Roman" w:hAnsi="Times New Roman" w:cs="Times New Roman"/>
          <w:spacing w:val="-1"/>
          <w:sz w:val="19"/>
          <w:szCs w:val="19"/>
        </w:rPr>
        <w:t xml:space="preserve">h)     </w:t>
      </w:r>
      <w:r>
        <w:rPr>
          <w:spacing w:val="-1"/>
          <w:sz w:val="21"/>
          <w:szCs w:val="21"/>
        </w:rPr>
        <w:t>评价识别的星级绿色工厂主要创</w:t>
      </w:r>
      <w:r>
        <w:rPr>
          <w:spacing w:val="-2"/>
          <w:sz w:val="21"/>
          <w:szCs w:val="21"/>
        </w:rPr>
        <w:t>建做法、工作亮点等；</w:t>
      </w:r>
    </w:p>
    <w:p>
      <w:pPr>
        <w:pStyle w:val="BodyText"/>
        <w:spacing w:before="48" w:line="222" w:lineRule="auto"/>
        <w:ind w:left="439"/>
        <w:rPr>
          <w:sz w:val="22"/>
          <w:szCs w:val="22"/>
        </w:rPr>
      </w:pPr>
      <w:r>
        <w:rPr>
          <w:spacing w:val="-11"/>
          <w:sz w:val="22"/>
          <w:szCs w:val="22"/>
        </w:rPr>
        <w:t>i)  对持续创建星级绿色工厂提出的下一步工作计划或建议；</w:t>
      </w:r>
    </w:p>
    <w:p>
      <w:pPr>
        <w:pStyle w:val="BodyText"/>
        <w:spacing w:line="214" w:lineRule="auto"/>
        <w:ind w:left="459"/>
        <w:rPr>
          <w:sz w:val="22"/>
          <w:szCs w:val="22"/>
        </w:rPr>
      </w:pPr>
      <w:r>
        <w:rPr>
          <w:spacing w:val="-11"/>
          <w:sz w:val="22"/>
          <w:szCs w:val="22"/>
        </w:rPr>
        <w:t>j)</w:t>
      </w:r>
      <w:r>
        <w:rPr>
          <w:spacing w:val="71"/>
          <w:sz w:val="22"/>
          <w:szCs w:val="22"/>
        </w:rPr>
        <w:t xml:space="preserve"> </w:t>
      </w:r>
      <w:r>
        <w:rPr>
          <w:spacing w:val="-11"/>
          <w:sz w:val="22"/>
          <w:szCs w:val="22"/>
        </w:rPr>
        <w:t>相关支持材料等。</w:t>
      </w:r>
    </w:p>
    <w:p>
      <w:pPr>
        <w:spacing w:line="214" w:lineRule="auto"/>
        <w:rPr>
          <w:sz w:val="22"/>
          <w:szCs w:val="22"/>
        </w:rPr>
        <w:sectPr>
          <w:footerReference w:type="default" r:id="rId13"/>
          <w:type w:val="nextPage"/>
          <w:pgSz w:w="11910" w:h="16840"/>
          <w:pgMar w:top="1431" w:right="1418" w:bottom="1286" w:left="1400" w:header="0" w:footer="1107" w:gutter="0"/>
          <w:pgNumType w:start="7"/>
          <w:cols w:space="708"/>
          <w:titlePg w:val="0"/>
        </w:sectPr>
      </w:pPr>
    </w:p>
    <w:p>
      <w:pPr>
        <w:spacing w:line="369" w:lineRule="auto"/>
        <w:rPr>
          <w:rFonts w:ascii="Arial"/>
          <w:sz w:val="21"/>
        </w:rPr>
      </w:pPr>
    </w:p>
    <w:p>
      <w:pPr>
        <w:pStyle w:val="BodyText"/>
        <w:spacing w:before="65" w:line="265" w:lineRule="exact"/>
        <w:ind w:left="13077"/>
        <w:rPr>
          <w:rFonts w:ascii="SimHei" w:eastAsia="SimHei" w:hAnsi="SimHei" w:cs="SimHei"/>
        </w:rPr>
      </w:pPr>
      <w:r>
        <w:rPr>
          <w:rFonts w:ascii="SimHei" w:eastAsia="SimHei" w:hAnsi="SimHei" w:cs="SimHei"/>
          <w:spacing w:val="7"/>
          <w:position w:val="1"/>
        </w:rPr>
        <w:t>T/</w:t>
      </w:r>
      <w:r>
        <w:rPr>
          <w:rFonts w:ascii="SimHei" w:eastAsia="SimHei" w:hAnsi="SimHei" w:cs="SimHei"/>
          <w:position w:val="1"/>
        </w:rPr>
        <w:t>CI</w:t>
      </w:r>
      <w:r>
        <w:rPr>
          <w:rFonts w:ascii="SimHei" w:eastAsia="SimHei" w:hAnsi="SimHei" w:cs="SimHei"/>
          <w:spacing w:val="7"/>
          <w:position w:val="1"/>
        </w:rPr>
        <w:t xml:space="preserve"> </w:t>
      </w:r>
      <w:r>
        <w:rPr>
          <w:rFonts w:ascii="SimHei" w:eastAsia="SimHei" w:hAnsi="SimHei" w:cs="SimHei"/>
          <w:position w:val="1"/>
        </w:rPr>
        <w:t>XXX</w:t>
      </w:r>
      <w:r>
        <w:rPr>
          <w:spacing w:val="7"/>
          <w:position w:val="1"/>
        </w:rPr>
        <w:t>—</w:t>
      </w:r>
      <w:r>
        <w:rPr>
          <w:rFonts w:ascii="SimHei" w:eastAsia="SimHei" w:hAnsi="SimHei" w:cs="SimHei"/>
          <w:spacing w:val="7"/>
          <w:position w:val="1"/>
        </w:rPr>
        <w:t>2023</w:t>
      </w:r>
    </w:p>
    <w:p>
      <w:pPr>
        <w:pStyle w:val="BodyText"/>
        <w:spacing w:before="93" w:line="27" w:lineRule="exact"/>
        <w:ind w:left="7395"/>
        <w:rPr>
          <w:sz w:val="2"/>
          <w:szCs w:val="2"/>
        </w:rPr>
      </w:pPr>
      <w:r>
        <w:rPr>
          <w:rFonts w:ascii="SimHei" w:eastAsia="SimHei" w:hAnsi="SimHei" w:cs="SimHei"/>
          <w:spacing w:val="-1"/>
          <w:sz w:val="2"/>
          <w:szCs w:val="2"/>
        </w:rPr>
        <w:t>A</w:t>
      </w:r>
      <w:r>
        <w:rPr>
          <w:rFonts w:ascii="SimHei" w:eastAsia="SimHei" w:hAnsi="SimHei" w:cs="SimHei"/>
          <w:sz w:val="2"/>
          <w:szCs w:val="2"/>
        </w:rPr>
        <w:t xml:space="preserve">                   </w:t>
      </w:r>
      <w:r>
        <w:rPr>
          <w:spacing w:val="-1"/>
          <w:sz w:val="2"/>
          <w:szCs w:val="2"/>
        </w:rPr>
        <w:t>A</w:t>
      </w:r>
    </w:p>
    <w:p>
      <w:pPr>
        <w:spacing w:line="263" w:lineRule="auto"/>
        <w:rPr>
          <w:rFonts w:ascii="Arial"/>
          <w:sz w:val="21"/>
        </w:rPr>
      </w:pPr>
    </w:p>
    <w:p>
      <w:pPr>
        <w:spacing w:line="264" w:lineRule="auto"/>
        <w:rPr>
          <w:rFonts w:ascii="Arial"/>
          <w:sz w:val="21"/>
        </w:rPr>
      </w:pPr>
    </w:p>
    <w:p>
      <w:pPr>
        <w:spacing w:before="65" w:line="271" w:lineRule="exact"/>
        <w:ind w:left="6851"/>
        <w:rPr>
          <w:rFonts w:ascii="SimHei" w:eastAsia="SimHei" w:hAnsi="SimHei" w:cs="SimHei"/>
          <w:sz w:val="20"/>
          <w:szCs w:val="20"/>
        </w:rPr>
      </w:pPr>
      <w:r>
        <w:rPr>
          <w:rFonts w:ascii="SimHei" w:eastAsia="SimHei" w:hAnsi="SimHei" w:cs="SimHei"/>
          <w:spacing w:val="-4"/>
          <w:position w:val="4"/>
          <w:sz w:val="20"/>
          <w:szCs w:val="20"/>
        </w:rPr>
        <w:t>附</w:t>
      </w:r>
      <w:r>
        <w:rPr>
          <w:rFonts w:ascii="SimHei" w:eastAsia="SimHei" w:hAnsi="SimHei" w:cs="SimHei"/>
          <w:spacing w:val="6"/>
          <w:position w:val="4"/>
          <w:sz w:val="20"/>
          <w:szCs w:val="20"/>
        </w:rPr>
        <w:t xml:space="preserve">  </w:t>
      </w:r>
      <w:r>
        <w:rPr>
          <w:rFonts w:ascii="SimHei" w:eastAsia="SimHei" w:hAnsi="SimHei" w:cs="SimHei"/>
          <w:spacing w:val="-4"/>
          <w:position w:val="4"/>
          <w:sz w:val="20"/>
          <w:szCs w:val="20"/>
        </w:rPr>
        <w:t>录</w:t>
      </w:r>
      <w:r>
        <w:rPr>
          <w:rFonts w:ascii="SimHei" w:eastAsia="SimHei" w:hAnsi="SimHei" w:cs="SimHei"/>
          <w:spacing w:val="1"/>
          <w:position w:val="4"/>
          <w:sz w:val="20"/>
          <w:szCs w:val="20"/>
        </w:rPr>
        <w:t xml:space="preserve">   </w:t>
      </w:r>
      <w:r>
        <w:rPr>
          <w:rFonts w:ascii="SimHei" w:eastAsia="SimHei" w:hAnsi="SimHei" w:cs="SimHei"/>
          <w:spacing w:val="-4"/>
          <w:position w:val="4"/>
          <w:sz w:val="20"/>
          <w:szCs w:val="20"/>
        </w:rPr>
        <w:t>A</w:t>
      </w:r>
    </w:p>
    <w:p>
      <w:pPr>
        <w:spacing w:line="231" w:lineRule="auto"/>
        <w:ind w:left="6896"/>
        <w:rPr>
          <w:rFonts w:ascii="SimHei" w:eastAsia="SimHei" w:hAnsi="SimHei" w:cs="SimHei"/>
          <w:sz w:val="20"/>
          <w:szCs w:val="20"/>
        </w:rPr>
      </w:pPr>
      <w:r>
        <w:rPr>
          <w:rFonts w:ascii="SimHei" w:eastAsia="SimHei" w:hAnsi="SimHei" w:cs="SimHei"/>
          <w:spacing w:val="2"/>
          <w:sz w:val="20"/>
          <w:szCs w:val="20"/>
        </w:rPr>
        <w:t>（规范性）</w:t>
      </w:r>
    </w:p>
    <w:p>
      <w:pPr>
        <w:spacing w:before="21" w:line="229" w:lineRule="auto"/>
        <w:ind w:left="5616"/>
        <w:rPr>
          <w:rFonts w:ascii="SimHei" w:eastAsia="SimHei" w:hAnsi="SimHei" w:cs="SimHei"/>
          <w:sz w:val="20"/>
          <w:szCs w:val="20"/>
        </w:rPr>
      </w:pPr>
      <w:r>
        <w:rPr>
          <w:rFonts w:ascii="SimHei" w:eastAsia="SimHei" w:hAnsi="SimHei" w:cs="SimHei"/>
          <w:spacing w:val="9"/>
          <w:sz w:val="20"/>
          <w:szCs w:val="20"/>
        </w:rPr>
        <w:t>石英晶体元器件行业绿色工厂评价指标</w:t>
      </w:r>
    </w:p>
    <w:p>
      <w:pPr>
        <w:spacing w:line="242" w:lineRule="auto"/>
        <w:rPr>
          <w:rFonts w:ascii="Arial"/>
          <w:sz w:val="21"/>
        </w:rPr>
      </w:pPr>
    </w:p>
    <w:p>
      <w:pPr>
        <w:pStyle w:val="BodyText"/>
        <w:spacing w:before="65" w:line="226" w:lineRule="auto"/>
        <w:ind w:left="259"/>
      </w:pPr>
      <w:r>
        <w:rPr>
          <w:spacing w:val="8"/>
        </w:rPr>
        <w:t>石英晶体元器件行业星级绿色工厂评价指标见附录A.1。</w:t>
      </w:r>
    </w:p>
    <w:p>
      <w:pPr>
        <w:spacing w:before="26" w:line="224" w:lineRule="auto"/>
        <w:ind w:left="5306"/>
        <w:rPr>
          <w:rFonts w:ascii="SimHei" w:eastAsia="SimHei" w:hAnsi="SimHei" w:cs="SimHei"/>
          <w:sz w:val="20"/>
          <w:szCs w:val="20"/>
        </w:rPr>
      </w:pPr>
      <w:r>
        <w:rPr>
          <w:rFonts w:ascii="SimHei" w:eastAsia="SimHei" w:hAnsi="SimHei" w:cs="SimHei"/>
          <w:spacing w:val="8"/>
          <w:sz w:val="20"/>
          <w:szCs w:val="20"/>
        </w:rPr>
        <w:t>表A.1</w:t>
      </w:r>
      <w:r>
        <w:rPr>
          <w:rFonts w:ascii="SimHei" w:eastAsia="SimHei" w:hAnsi="SimHei" w:cs="SimHei"/>
          <w:spacing w:val="8"/>
          <w:sz w:val="20"/>
          <w:szCs w:val="20"/>
        </w:rPr>
        <w:t xml:space="preserve"> </w:t>
      </w:r>
      <w:r>
        <w:rPr>
          <w:rFonts w:ascii="SimHei" w:eastAsia="SimHei" w:hAnsi="SimHei" w:cs="SimHei"/>
          <w:spacing w:val="8"/>
          <w:sz w:val="20"/>
          <w:szCs w:val="20"/>
        </w:rPr>
        <w:t>石英晶体元器件行业绿色工厂评价指标</w:t>
      </w:r>
    </w:p>
    <w:tbl>
      <w:tblPr>
        <w:tblStyle w:val="TableNormal2"/>
        <w:tblW w:w="147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4"/>
        <w:gridCol w:w="1237"/>
        <w:gridCol w:w="712"/>
        <w:gridCol w:w="9598"/>
        <w:gridCol w:w="984"/>
        <w:gridCol w:w="1270"/>
      </w:tblGrid>
      <w:tr>
        <w:tblPrEx>
          <w:tblW w:w="147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7"/>
        </w:trPr>
        <w:tc>
          <w:tcPr>
            <w:tcW w:w="984" w:type="dxa"/>
            <w:vAlign w:val="top"/>
          </w:tcPr>
          <w:p>
            <w:pPr>
              <w:spacing w:before="178" w:line="221" w:lineRule="auto"/>
              <w:ind w:left="140"/>
              <w:rPr>
                <w:rFonts w:ascii="SimHei" w:eastAsia="SimHei" w:hAnsi="SimHei" w:cs="SimHei"/>
                <w:sz w:val="18"/>
                <w:szCs w:val="18"/>
              </w:rPr>
            </w:pPr>
            <w:r>
              <w:rPr>
                <w:rFonts w:ascii="SimHei" w:eastAsia="SimHei" w:hAnsi="SimHei" w:cs="SimHei"/>
                <w:spacing w:val="-3"/>
                <w:sz w:val="18"/>
                <w:szCs w:val="18"/>
              </w:rPr>
              <w:t>一级指标</w:t>
            </w:r>
          </w:p>
        </w:tc>
        <w:tc>
          <w:tcPr>
            <w:tcW w:w="1237" w:type="dxa"/>
            <w:vAlign w:val="top"/>
          </w:tcPr>
          <w:p>
            <w:pPr>
              <w:spacing w:before="178" w:line="221" w:lineRule="auto"/>
              <w:ind w:left="265"/>
              <w:rPr>
                <w:rFonts w:ascii="SimHei" w:eastAsia="SimHei" w:hAnsi="SimHei" w:cs="SimHei"/>
                <w:sz w:val="18"/>
                <w:szCs w:val="18"/>
              </w:rPr>
            </w:pPr>
            <w:r>
              <w:rPr>
                <w:rFonts w:ascii="SimHei" w:eastAsia="SimHei" w:hAnsi="SimHei" w:cs="SimHei"/>
                <w:spacing w:val="-3"/>
                <w:sz w:val="18"/>
                <w:szCs w:val="18"/>
              </w:rPr>
              <w:t>二级指标</w:t>
            </w:r>
          </w:p>
        </w:tc>
        <w:tc>
          <w:tcPr>
            <w:tcW w:w="712" w:type="dxa"/>
            <w:vAlign w:val="top"/>
          </w:tcPr>
          <w:p>
            <w:pPr>
              <w:spacing w:before="178" w:line="223" w:lineRule="auto"/>
              <w:ind w:left="179"/>
              <w:rPr>
                <w:rFonts w:ascii="SimHei" w:eastAsia="SimHei" w:hAnsi="SimHei" w:cs="SimHei"/>
                <w:sz w:val="18"/>
                <w:szCs w:val="18"/>
              </w:rPr>
            </w:pPr>
            <w:r>
              <w:rPr>
                <w:rFonts w:ascii="SimHei" w:eastAsia="SimHei" w:hAnsi="SimHei" w:cs="SimHei"/>
                <w:spacing w:val="-4"/>
                <w:sz w:val="18"/>
                <w:szCs w:val="18"/>
              </w:rPr>
              <w:t>序号</w:t>
            </w:r>
          </w:p>
        </w:tc>
        <w:tc>
          <w:tcPr>
            <w:tcW w:w="9598" w:type="dxa"/>
            <w:vAlign w:val="top"/>
          </w:tcPr>
          <w:p>
            <w:pPr>
              <w:spacing w:before="177" w:line="222" w:lineRule="auto"/>
              <w:ind w:left="4442"/>
              <w:rPr>
                <w:rFonts w:ascii="SimHei" w:eastAsia="SimHei" w:hAnsi="SimHei" w:cs="SimHei"/>
                <w:sz w:val="18"/>
                <w:szCs w:val="18"/>
              </w:rPr>
            </w:pPr>
            <w:r>
              <w:rPr>
                <w:rFonts w:ascii="SimHei" w:eastAsia="SimHei" w:hAnsi="SimHei" w:cs="SimHei"/>
                <w:spacing w:val="-2"/>
                <w:sz w:val="18"/>
                <w:szCs w:val="18"/>
              </w:rPr>
              <w:t>评价要求</w:t>
            </w:r>
          </w:p>
        </w:tc>
        <w:tc>
          <w:tcPr>
            <w:tcW w:w="984" w:type="dxa"/>
            <w:vAlign w:val="top"/>
          </w:tcPr>
          <w:p>
            <w:pPr>
              <w:spacing w:before="178" w:line="222" w:lineRule="auto"/>
              <w:ind w:left="323"/>
              <w:rPr>
                <w:rFonts w:ascii="SimHei" w:eastAsia="SimHei" w:hAnsi="SimHei" w:cs="SimHei"/>
                <w:sz w:val="18"/>
                <w:szCs w:val="18"/>
              </w:rPr>
            </w:pPr>
            <w:r>
              <w:rPr>
                <w:rFonts w:ascii="SimHei" w:eastAsia="SimHei" w:hAnsi="SimHei" w:cs="SimHei"/>
                <w:spacing w:val="-6"/>
                <w:sz w:val="18"/>
                <w:szCs w:val="18"/>
              </w:rPr>
              <w:t>分值</w:t>
            </w:r>
          </w:p>
        </w:tc>
        <w:tc>
          <w:tcPr>
            <w:tcW w:w="1270" w:type="dxa"/>
            <w:vAlign w:val="top"/>
          </w:tcPr>
          <w:p>
            <w:pPr>
              <w:spacing w:before="178" w:line="221" w:lineRule="auto"/>
              <w:ind w:left="280"/>
              <w:rPr>
                <w:rFonts w:ascii="SimHei" w:eastAsia="SimHei" w:hAnsi="SimHei" w:cs="SimHei"/>
                <w:sz w:val="18"/>
                <w:szCs w:val="18"/>
              </w:rPr>
            </w:pPr>
            <w:r>
              <w:rPr>
                <w:rFonts w:ascii="SimHei" w:eastAsia="SimHei" w:hAnsi="SimHei" w:cs="SimHei"/>
                <w:spacing w:val="-2"/>
                <w:sz w:val="18"/>
                <w:szCs w:val="18"/>
              </w:rPr>
              <w:t>指标类型</w:t>
            </w:r>
          </w:p>
        </w:tc>
      </w:tr>
      <w:tr>
        <w:tblPrEx>
          <w:tblW w:w="14785" w:type="dxa"/>
          <w:tblInd w:w="2" w:type="dxa"/>
          <w:tblLayout w:type="fixed"/>
        </w:tblPrEx>
        <w:trPr>
          <w:trHeight w:val="404"/>
        </w:trPr>
        <w:tc>
          <w:tcPr>
            <w:tcW w:w="984" w:type="dxa"/>
            <w:tcBorders>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tc>
        <w:tc>
          <w:tcPr>
            <w:tcW w:w="1237" w:type="dxa"/>
            <w:tcBorders>
              <w:bottom w:val="nil"/>
            </w:tcBorders>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59" w:line="221" w:lineRule="auto"/>
              <w:ind w:left="171"/>
            </w:pPr>
            <w:r>
              <w:rPr>
                <w:spacing w:val="-2"/>
              </w:rPr>
              <w:t>合规性要求</w:t>
            </w:r>
          </w:p>
        </w:tc>
        <w:tc>
          <w:tcPr>
            <w:tcW w:w="712" w:type="dxa"/>
            <w:vAlign w:val="top"/>
          </w:tcPr>
          <w:p>
            <w:pPr>
              <w:pStyle w:val="TableText"/>
              <w:spacing w:before="194" w:line="184" w:lineRule="auto"/>
              <w:ind w:left="327"/>
            </w:pPr>
            <w:r>
              <w:t>1</w:t>
            </w:r>
          </w:p>
        </w:tc>
        <w:tc>
          <w:tcPr>
            <w:tcW w:w="9598" w:type="dxa"/>
            <w:vAlign w:val="top"/>
          </w:tcPr>
          <w:p>
            <w:pPr>
              <w:pStyle w:val="TableText"/>
              <w:spacing w:before="111" w:line="219" w:lineRule="auto"/>
              <w:ind w:left="112"/>
            </w:pPr>
            <w:r>
              <w:rPr>
                <w:spacing w:val="-1"/>
              </w:rPr>
              <w:t>工厂应依法设立，在建设和生产过程中应符合有关标准要求。</w:t>
            </w:r>
          </w:p>
        </w:tc>
        <w:tc>
          <w:tcPr>
            <w:tcW w:w="984" w:type="dxa"/>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tc>
        <w:tc>
          <w:tcPr>
            <w:tcW w:w="1270" w:type="dxa"/>
            <w:vAlign w:val="top"/>
          </w:tcPr>
          <w:p>
            <w:pPr>
              <w:pStyle w:val="TableText"/>
              <w:spacing w:before="167" w:line="224" w:lineRule="auto"/>
              <w:ind w:left="463"/>
            </w:pPr>
            <w:r>
              <w:rPr>
                <w:spacing w:val="-5"/>
              </w:rPr>
              <w:t>必选</w:t>
            </w:r>
          </w:p>
        </w:tc>
      </w:tr>
    </w:tbl>
    <w:p>
      <w:pPr>
        <w:sectPr>
          <w:footerReference w:type="default" r:id="rId14"/>
          <w:pgSz w:w="16839" w:h="11906"/>
          <w:pgMar w:top="1012" w:right="1165" w:bottom="1311" w:left="882" w:header="0" w:footer="1134" w:gutter="0"/>
          <w:pgNumType w:start="8"/>
          <w:cols w:space="708"/>
        </w:sectPr>
      </w:pPr>
    </w:p>
    <w:tbl>
      <w:tblPr>
        <w:tblStyle w:val="TableNormal3"/>
        <w:tblW w:w="147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4"/>
        <w:gridCol w:w="1237"/>
        <w:gridCol w:w="712"/>
        <w:gridCol w:w="9598"/>
        <w:gridCol w:w="984"/>
        <w:gridCol w:w="1270"/>
      </w:tblGrid>
      <w:tr>
        <w:tblPrEx>
          <w:tblW w:w="1478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984" w:type="dxa"/>
            <w:vMerge w:val="restart"/>
            <w:tcBorders>
              <w:bottom w:val="nil"/>
            </w:tcBorders>
            <w:vAlign w:val="top"/>
          </w:tcPr>
          <w:p>
            <w:pPr>
              <w:pStyle w:val="TableText"/>
              <w:spacing w:before="58" w:line="219" w:lineRule="auto"/>
              <w:ind w:left="137"/>
            </w:pPr>
            <w:r>
              <w:rPr>
                <w:spacing w:val="-2"/>
              </w:rPr>
              <w:t>基本要求</w:t>
            </w:r>
          </w:p>
        </w:tc>
        <w:tc>
          <w:tcPr>
            <w:tcW w:w="1237" w:type="dxa"/>
            <w:vMerge w:val="restart"/>
            <w:tcBorders>
              <w:bottom w:val="nil"/>
            </w:tcBorders>
            <w:vAlign w:val="top"/>
          </w:tcPr>
          <w:p/>
        </w:tc>
        <w:tc>
          <w:tcPr>
            <w:tcW w:w="712" w:type="dxa"/>
            <w:vAlign w:val="top"/>
          </w:tcPr>
          <w:p/>
        </w:tc>
        <w:tc>
          <w:tcPr>
            <w:tcW w:w="9598" w:type="dxa"/>
            <w:vAlign w:val="top"/>
          </w:tcPr>
          <w:p/>
        </w:tc>
        <w:tc>
          <w:tcPr>
            <w:tcW w:w="984" w:type="dxa"/>
            <w:vMerge w:val="restart"/>
            <w:tcBorders>
              <w:bottom w:val="nil"/>
            </w:tcBorders>
            <w:vAlign w:val="top"/>
          </w:tcPr>
          <w:p>
            <w:pPr>
              <w:pStyle w:val="TableText"/>
              <w:spacing w:before="58" w:line="219" w:lineRule="auto"/>
              <w:ind w:left="142"/>
            </w:pPr>
            <w:r>
              <w:rPr>
                <w:spacing w:val="-3"/>
              </w:rPr>
              <w:t>一票否决</w:t>
            </w:r>
          </w:p>
        </w:tc>
        <w:tc>
          <w:tcPr>
            <w:tcW w:w="1270" w:type="dxa"/>
            <w:vAlign w:val="top"/>
          </w:tcPr>
          <w:p/>
        </w:tc>
      </w:tr>
      <w:tr>
        <w:tblPrEx>
          <w:tblW w:w="14785" w:type="dxa"/>
          <w:tblInd w:w="2" w:type="dxa"/>
          <w:tblLayout w:type="fixed"/>
        </w:tblPrEx>
        <w:trPr>
          <w:trHeight w:val="2003"/>
        </w:trPr>
        <w:tc>
          <w:tcPr>
            <w:tcW w:w="984" w:type="dxa"/>
            <w:vMerge/>
            <w:tcBorders>
              <w:top w:val="nil"/>
              <w:bottom w:val="nil"/>
            </w:tcBorders>
            <w:vAlign w:val="top"/>
          </w:tcPr>
          <w:p>
            <w:pPr>
              <w:rPr>
                <w:rFonts w:ascii="Arial"/>
                <w:sz w:val="21"/>
              </w:rPr>
            </w:pPr>
          </w:p>
        </w:tc>
        <w:tc>
          <w:tcPr>
            <w:tcW w:w="1237" w:type="dxa"/>
            <w:vMerge/>
            <w:tcBorders>
              <w:top w:val="nil"/>
            </w:tcBorders>
            <w:vAlign w:val="top"/>
          </w:tcPr>
          <w:p>
            <w:pPr>
              <w:rPr>
                <w:rFonts w:ascii="Arial"/>
                <w:sz w:val="21"/>
              </w:rPr>
            </w:pPr>
          </w:p>
        </w:tc>
        <w:tc>
          <w:tcPr>
            <w:tcW w:w="712" w:type="dxa"/>
            <w:vAlign w:val="top"/>
          </w:tcPr>
          <w:p>
            <w:pPr>
              <w:spacing w:line="310" w:lineRule="auto"/>
              <w:rPr>
                <w:rFonts w:ascii="Arial"/>
                <w:sz w:val="21"/>
              </w:rPr>
            </w:pPr>
          </w:p>
          <w:p>
            <w:pPr>
              <w:spacing w:line="310" w:lineRule="auto"/>
              <w:rPr>
                <w:rFonts w:ascii="Arial"/>
                <w:sz w:val="21"/>
              </w:rPr>
            </w:pPr>
          </w:p>
          <w:p>
            <w:pPr>
              <w:spacing w:line="311" w:lineRule="auto"/>
              <w:rPr>
                <w:rFonts w:ascii="Arial"/>
                <w:sz w:val="21"/>
              </w:rPr>
            </w:pPr>
          </w:p>
          <w:p>
            <w:pPr>
              <w:pStyle w:val="TableText"/>
              <w:spacing w:before="59" w:line="183" w:lineRule="auto"/>
              <w:ind w:left="316"/>
            </w:pPr>
            <w:r>
              <w:t>2</w:t>
            </w:r>
          </w:p>
        </w:tc>
        <w:tc>
          <w:tcPr>
            <w:tcW w:w="9598" w:type="dxa"/>
            <w:vAlign w:val="top"/>
          </w:tcPr>
          <w:p>
            <w:pPr>
              <w:pStyle w:val="TableText"/>
              <w:spacing w:before="112" w:line="218" w:lineRule="auto"/>
              <w:ind w:left="112"/>
            </w:pPr>
            <w:r>
              <w:rPr>
                <w:spacing w:val="-1"/>
              </w:rPr>
              <w:t>从评价日期向前追溯三年内，工厂未发生以下事故、事件及处罚：</w:t>
            </w:r>
          </w:p>
          <w:p>
            <w:pPr>
              <w:pStyle w:val="TableText"/>
              <w:spacing w:before="185" w:line="401" w:lineRule="exact"/>
              <w:ind w:left="111"/>
            </w:pPr>
            <w:r>
              <w:rPr>
                <w:position w:val="17"/>
              </w:rPr>
              <w:t>a）《生产安全事故报告和调查处理条例》中规定的或地方主管部门认定的较大及以</w:t>
            </w:r>
            <w:r>
              <w:rPr>
                <w:spacing w:val="-1"/>
                <w:position w:val="17"/>
              </w:rPr>
              <w:t>上生产安全事故；</w:t>
            </w:r>
          </w:p>
          <w:p>
            <w:pPr>
              <w:pStyle w:val="TableText"/>
              <w:spacing w:line="219" w:lineRule="auto"/>
              <w:ind w:left="107"/>
            </w:pPr>
            <w:r>
              <w:rPr>
                <w:spacing w:val="-1"/>
              </w:rPr>
              <w:t>b）发生环境违法违规行为并受到行政处罚；</w:t>
            </w:r>
          </w:p>
          <w:p>
            <w:pPr>
              <w:pStyle w:val="TableText"/>
              <w:spacing w:before="186" w:line="399" w:lineRule="exact"/>
              <w:ind w:left="114"/>
            </w:pPr>
            <w:r>
              <w:rPr>
                <w:position w:val="16"/>
              </w:rPr>
              <w:t>c）在有关主管部门开展的督查、监察工作中发现存在严</w:t>
            </w:r>
            <w:r>
              <w:rPr>
                <w:spacing w:val="-1"/>
                <w:position w:val="16"/>
              </w:rPr>
              <w:t>重问题并受到行政处罚；</w:t>
            </w:r>
          </w:p>
          <w:p>
            <w:pPr>
              <w:pStyle w:val="TableText"/>
              <w:spacing w:line="219" w:lineRule="auto"/>
              <w:ind w:left="114"/>
            </w:pPr>
            <w:r>
              <w:rPr>
                <w:spacing w:val="-1"/>
              </w:rPr>
              <w:t>d）被列为失信被执行人。</w:t>
            </w:r>
          </w:p>
        </w:tc>
        <w:tc>
          <w:tcPr>
            <w:tcW w:w="984" w:type="dxa"/>
            <w:vMerge/>
            <w:tcBorders>
              <w:top w:val="nil"/>
              <w:bottom w:val="nil"/>
            </w:tcBorders>
            <w:vAlign w:val="top"/>
          </w:tcPr>
          <w:p>
            <w:pPr>
              <w:rPr>
                <w:rFonts w:ascii="Arial"/>
                <w:sz w:val="21"/>
              </w:rPr>
            </w:pPr>
          </w:p>
        </w:tc>
        <w:tc>
          <w:tcPr>
            <w:tcW w:w="1270" w:type="dxa"/>
            <w:vAlign w:val="top"/>
          </w:tcPr>
          <w:p>
            <w:pPr>
              <w:spacing w:line="301" w:lineRule="auto"/>
              <w:rPr>
                <w:rFonts w:ascii="Arial"/>
                <w:sz w:val="21"/>
              </w:rPr>
            </w:pPr>
          </w:p>
          <w:p>
            <w:pPr>
              <w:spacing w:line="301" w:lineRule="auto"/>
              <w:rPr>
                <w:rFonts w:ascii="Arial"/>
                <w:sz w:val="21"/>
              </w:rPr>
            </w:pPr>
          </w:p>
          <w:p>
            <w:pPr>
              <w:spacing w:line="301" w:lineRule="auto"/>
              <w:rPr>
                <w:rFonts w:ascii="Arial"/>
                <w:sz w:val="21"/>
              </w:rPr>
            </w:pPr>
          </w:p>
          <w:p>
            <w:pPr>
              <w:pStyle w:val="TableText"/>
              <w:spacing w:before="59" w:line="224" w:lineRule="auto"/>
              <w:ind w:left="463"/>
            </w:pPr>
            <w:r>
              <w:rPr>
                <w:spacing w:val="-5"/>
              </w:rPr>
              <w:t>必选</w:t>
            </w:r>
          </w:p>
        </w:tc>
      </w:tr>
      <w:tr>
        <w:tblPrEx>
          <w:tblW w:w="14785" w:type="dxa"/>
          <w:tblInd w:w="2" w:type="dxa"/>
          <w:tblLayout w:type="fixed"/>
        </w:tblPrEx>
        <w:trPr>
          <w:trHeight w:val="404"/>
        </w:trPr>
        <w:tc>
          <w:tcPr>
            <w:tcW w:w="984" w:type="dxa"/>
            <w:vMerge/>
            <w:tcBorders>
              <w:top w:val="nil"/>
              <w:bottom w:val="nil"/>
            </w:tcBorders>
            <w:vAlign w:val="top"/>
          </w:tcPr>
          <w:p>
            <w:pPr>
              <w:rPr>
                <w:rFonts w:ascii="Arial"/>
                <w:sz w:val="21"/>
              </w:rPr>
            </w:pPr>
          </w:p>
        </w:tc>
        <w:tc>
          <w:tcPr>
            <w:tcW w:w="1237" w:type="dxa"/>
            <w:vMerge w:val="restart"/>
            <w:tcBorders>
              <w:bottom w:val="nil"/>
            </w:tcBorders>
            <w:vAlign w:val="top"/>
          </w:tcPr>
          <w:p>
            <w:pPr>
              <w:pStyle w:val="TableText"/>
              <w:spacing w:before="177" w:line="249" w:lineRule="auto"/>
              <w:ind w:left="440" w:right="168" w:hanging="267"/>
            </w:pPr>
            <w:r>
              <w:rPr>
                <w:spacing w:val="-2"/>
              </w:rPr>
              <w:t>最高管理者</w:t>
            </w:r>
            <w:r>
              <w:t xml:space="preserve"> </w:t>
            </w:r>
            <w:r>
              <w:rPr>
                <w:spacing w:val="-4"/>
              </w:rPr>
              <w:t>要求</w:t>
            </w:r>
          </w:p>
        </w:tc>
        <w:tc>
          <w:tcPr>
            <w:tcW w:w="712" w:type="dxa"/>
            <w:vAlign w:val="top"/>
          </w:tcPr>
          <w:p>
            <w:pPr>
              <w:pStyle w:val="TableText"/>
              <w:spacing w:before="197" w:line="183" w:lineRule="auto"/>
              <w:ind w:left="315"/>
            </w:pPr>
            <w:r>
              <w:t>6</w:t>
            </w:r>
          </w:p>
        </w:tc>
        <w:tc>
          <w:tcPr>
            <w:tcW w:w="9598" w:type="dxa"/>
            <w:vAlign w:val="top"/>
          </w:tcPr>
          <w:p>
            <w:pPr>
              <w:pStyle w:val="TableText"/>
              <w:spacing w:before="114" w:line="219" w:lineRule="auto"/>
              <w:ind w:left="112"/>
            </w:pPr>
            <w:r>
              <w:rPr>
                <w:spacing w:val="-1"/>
              </w:rPr>
              <w:t>最高管理者在绿色工厂的领导作用和承诺应满足</w:t>
            </w:r>
            <w:r>
              <w:rPr>
                <w:spacing w:val="-40"/>
              </w:rPr>
              <w:t xml:space="preserve"> </w:t>
            </w:r>
            <w:r>
              <w:rPr>
                <w:spacing w:val="-1"/>
              </w:rPr>
              <w:t>GB/T 36132</w:t>
            </w:r>
            <w:r>
              <w:rPr>
                <w:spacing w:val="-24"/>
              </w:rPr>
              <w:t xml:space="preserve"> </w:t>
            </w:r>
            <w:r>
              <w:rPr>
                <w:spacing w:val="-1"/>
              </w:rPr>
              <w:t>的要求。</w:t>
            </w:r>
          </w:p>
        </w:tc>
        <w:tc>
          <w:tcPr>
            <w:tcW w:w="984" w:type="dxa"/>
            <w:vMerge/>
            <w:tcBorders>
              <w:top w:val="nil"/>
              <w:bottom w:val="nil"/>
            </w:tcBorders>
            <w:vAlign w:val="top"/>
          </w:tcPr>
          <w:p>
            <w:pPr>
              <w:rPr>
                <w:rFonts w:ascii="Arial"/>
                <w:sz w:val="21"/>
              </w:rPr>
            </w:pPr>
          </w:p>
        </w:tc>
        <w:tc>
          <w:tcPr>
            <w:tcW w:w="1270" w:type="dxa"/>
            <w:vAlign w:val="top"/>
          </w:tcPr>
          <w:p>
            <w:pPr>
              <w:pStyle w:val="TableText"/>
              <w:spacing w:before="106" w:line="224" w:lineRule="auto"/>
              <w:ind w:left="461"/>
            </w:pPr>
            <w:r>
              <w:rPr>
                <w:spacing w:val="-5"/>
              </w:rPr>
              <w:t>必选</w:t>
            </w:r>
          </w:p>
        </w:tc>
      </w:tr>
      <w:tr>
        <w:tblPrEx>
          <w:tblW w:w="14785" w:type="dxa"/>
          <w:tblInd w:w="2" w:type="dxa"/>
          <w:tblLayout w:type="fixed"/>
        </w:tblPrEx>
        <w:trPr>
          <w:trHeight w:val="405"/>
        </w:trPr>
        <w:tc>
          <w:tcPr>
            <w:tcW w:w="984" w:type="dxa"/>
            <w:vMerge/>
            <w:tcBorders>
              <w:top w:val="nil"/>
              <w:bottom w:val="nil"/>
            </w:tcBorders>
            <w:vAlign w:val="top"/>
          </w:tcPr>
          <w:p>
            <w:pPr>
              <w:rPr>
                <w:rFonts w:ascii="Arial"/>
                <w:sz w:val="21"/>
              </w:rPr>
            </w:pPr>
          </w:p>
        </w:tc>
        <w:tc>
          <w:tcPr>
            <w:tcW w:w="1237" w:type="dxa"/>
            <w:vMerge/>
            <w:tcBorders>
              <w:top w:val="nil"/>
            </w:tcBorders>
            <w:vAlign w:val="top"/>
          </w:tcPr>
          <w:p>
            <w:pPr>
              <w:rPr>
                <w:rFonts w:ascii="Arial"/>
                <w:sz w:val="21"/>
              </w:rPr>
            </w:pPr>
          </w:p>
        </w:tc>
        <w:tc>
          <w:tcPr>
            <w:tcW w:w="712" w:type="dxa"/>
            <w:vAlign w:val="top"/>
          </w:tcPr>
          <w:p>
            <w:pPr>
              <w:pStyle w:val="TableText"/>
              <w:spacing w:before="199" w:line="182" w:lineRule="auto"/>
              <w:ind w:left="318"/>
            </w:pPr>
            <w:r>
              <w:t>7</w:t>
            </w:r>
          </w:p>
        </w:tc>
        <w:tc>
          <w:tcPr>
            <w:tcW w:w="9598" w:type="dxa"/>
            <w:vAlign w:val="top"/>
          </w:tcPr>
          <w:p>
            <w:pPr>
              <w:pStyle w:val="TableText"/>
              <w:spacing w:before="114" w:line="219" w:lineRule="auto"/>
              <w:ind w:left="112"/>
            </w:pPr>
            <w:r>
              <w:rPr>
                <w:spacing w:val="-1"/>
              </w:rPr>
              <w:t>最高管理者应确保在工厂内部分配并沟通与绿色工厂相关角色的职责和权限，应满足</w:t>
            </w:r>
            <w:r>
              <w:rPr>
                <w:spacing w:val="-25"/>
              </w:rPr>
              <w:t xml:space="preserve"> </w:t>
            </w:r>
            <w:r>
              <w:rPr>
                <w:spacing w:val="-1"/>
              </w:rPr>
              <w:t>GB/T 36132</w:t>
            </w:r>
            <w:r>
              <w:rPr>
                <w:spacing w:val="-24"/>
              </w:rPr>
              <w:t xml:space="preserve"> </w:t>
            </w:r>
            <w:r>
              <w:rPr>
                <w:spacing w:val="-1"/>
              </w:rPr>
              <w:t>的要求。</w:t>
            </w:r>
          </w:p>
        </w:tc>
        <w:tc>
          <w:tcPr>
            <w:tcW w:w="984" w:type="dxa"/>
            <w:vMerge/>
            <w:tcBorders>
              <w:top w:val="nil"/>
              <w:bottom w:val="nil"/>
            </w:tcBorders>
            <w:vAlign w:val="top"/>
          </w:tcPr>
          <w:p>
            <w:pPr>
              <w:rPr>
                <w:rFonts w:ascii="Arial"/>
                <w:sz w:val="21"/>
              </w:rPr>
            </w:pPr>
          </w:p>
        </w:tc>
        <w:tc>
          <w:tcPr>
            <w:tcW w:w="1270" w:type="dxa"/>
            <w:vAlign w:val="top"/>
          </w:tcPr>
          <w:p>
            <w:pPr>
              <w:pStyle w:val="TableText"/>
              <w:spacing w:before="108" w:line="224" w:lineRule="auto"/>
              <w:ind w:left="461"/>
            </w:pPr>
            <w:r>
              <w:rPr>
                <w:spacing w:val="-5"/>
              </w:rPr>
              <w:t>必选</w:t>
            </w:r>
          </w:p>
        </w:tc>
      </w:tr>
      <w:tr>
        <w:tblPrEx>
          <w:tblW w:w="14785" w:type="dxa"/>
          <w:tblInd w:w="2" w:type="dxa"/>
          <w:tblLayout w:type="fixed"/>
        </w:tblPrEx>
        <w:trPr>
          <w:trHeight w:val="405"/>
        </w:trPr>
        <w:tc>
          <w:tcPr>
            <w:tcW w:w="984" w:type="dxa"/>
            <w:vMerge/>
            <w:tcBorders>
              <w:top w:val="nil"/>
              <w:bottom w:val="nil"/>
            </w:tcBorders>
            <w:vAlign w:val="top"/>
          </w:tcPr>
          <w:p>
            <w:pPr>
              <w:rPr>
                <w:rFonts w:ascii="Arial"/>
                <w:sz w:val="21"/>
              </w:rPr>
            </w:pPr>
          </w:p>
        </w:tc>
        <w:tc>
          <w:tcPr>
            <w:tcW w:w="1237" w:type="dxa"/>
            <w:vMerge w:val="restart"/>
            <w:tcBorders>
              <w:bottom w:val="nil"/>
            </w:tcBorders>
            <w:vAlign w:val="top"/>
          </w:tcPr>
          <w:p>
            <w:pPr>
              <w:spacing w:line="327" w:lineRule="auto"/>
              <w:rPr>
                <w:rFonts w:ascii="Arial"/>
                <w:sz w:val="21"/>
              </w:rPr>
            </w:pPr>
          </w:p>
          <w:p>
            <w:pPr>
              <w:spacing w:line="328" w:lineRule="auto"/>
              <w:rPr>
                <w:rFonts w:ascii="Arial"/>
                <w:sz w:val="21"/>
              </w:rPr>
            </w:pPr>
          </w:p>
          <w:p>
            <w:pPr>
              <w:pStyle w:val="TableText"/>
              <w:spacing w:before="58" w:line="220" w:lineRule="auto"/>
              <w:ind w:left="343"/>
            </w:pPr>
            <w:r>
              <w:rPr>
                <w:spacing w:val="-3"/>
              </w:rPr>
              <w:t>工厂要求</w:t>
            </w:r>
          </w:p>
        </w:tc>
        <w:tc>
          <w:tcPr>
            <w:tcW w:w="712" w:type="dxa"/>
            <w:vAlign w:val="top"/>
          </w:tcPr>
          <w:p>
            <w:pPr>
              <w:pStyle w:val="TableText"/>
              <w:spacing w:before="199" w:line="183" w:lineRule="auto"/>
              <w:ind w:left="314"/>
            </w:pPr>
            <w:r>
              <w:t>8</w:t>
            </w:r>
          </w:p>
        </w:tc>
        <w:tc>
          <w:tcPr>
            <w:tcW w:w="9598" w:type="dxa"/>
            <w:vAlign w:val="top"/>
          </w:tcPr>
          <w:p>
            <w:pPr>
              <w:pStyle w:val="TableText"/>
              <w:spacing w:before="115" w:line="219" w:lineRule="auto"/>
              <w:ind w:left="110"/>
            </w:pPr>
            <w:r>
              <w:t>应设有绿色工厂管理机构，负责有关绿色工厂的制度建设、实施、考核及奖励工作</w:t>
            </w:r>
            <w:r>
              <w:rPr>
                <w:spacing w:val="-1"/>
              </w:rPr>
              <w:t>，建立目标责任制。</w:t>
            </w:r>
          </w:p>
        </w:tc>
        <w:tc>
          <w:tcPr>
            <w:tcW w:w="984" w:type="dxa"/>
            <w:vMerge/>
            <w:tcBorders>
              <w:top w:val="nil"/>
              <w:bottom w:val="nil"/>
            </w:tcBorders>
            <w:vAlign w:val="top"/>
          </w:tcPr>
          <w:p>
            <w:pPr>
              <w:rPr>
                <w:rFonts w:ascii="Arial"/>
                <w:sz w:val="21"/>
              </w:rPr>
            </w:pPr>
          </w:p>
        </w:tc>
        <w:tc>
          <w:tcPr>
            <w:tcW w:w="1270" w:type="dxa"/>
            <w:vAlign w:val="top"/>
          </w:tcPr>
          <w:p>
            <w:pPr>
              <w:pStyle w:val="TableText"/>
              <w:spacing w:before="108" w:line="224" w:lineRule="auto"/>
              <w:ind w:left="461"/>
            </w:pPr>
            <w:r>
              <w:rPr>
                <w:spacing w:val="-5"/>
              </w:rPr>
              <w:t>必选</w:t>
            </w:r>
          </w:p>
        </w:tc>
      </w:tr>
      <w:tr>
        <w:tblPrEx>
          <w:tblW w:w="14785" w:type="dxa"/>
          <w:tblInd w:w="2" w:type="dxa"/>
          <w:tblLayout w:type="fixed"/>
        </w:tblPrEx>
        <w:trPr>
          <w:trHeight w:val="405"/>
        </w:trPr>
        <w:tc>
          <w:tcPr>
            <w:tcW w:w="984" w:type="dxa"/>
            <w:vMerge/>
            <w:tcBorders>
              <w:top w:val="nil"/>
              <w:bottom w:val="nil"/>
            </w:tcBorders>
            <w:vAlign w:val="top"/>
          </w:tcPr>
          <w:p>
            <w:pPr>
              <w:rPr>
                <w:rFonts w:ascii="Arial"/>
                <w:sz w:val="21"/>
              </w:rPr>
            </w:pPr>
          </w:p>
        </w:tc>
        <w:tc>
          <w:tcPr>
            <w:tcW w:w="1237" w:type="dxa"/>
            <w:vMerge/>
            <w:tcBorders>
              <w:top w:val="nil"/>
              <w:bottom w:val="nil"/>
            </w:tcBorders>
            <w:vAlign w:val="top"/>
          </w:tcPr>
          <w:p>
            <w:pPr>
              <w:rPr>
                <w:rFonts w:ascii="Arial"/>
                <w:sz w:val="21"/>
              </w:rPr>
            </w:pPr>
          </w:p>
        </w:tc>
        <w:tc>
          <w:tcPr>
            <w:tcW w:w="712" w:type="dxa"/>
            <w:vAlign w:val="top"/>
          </w:tcPr>
          <w:p>
            <w:pPr>
              <w:pStyle w:val="TableText"/>
              <w:spacing w:before="199" w:line="183" w:lineRule="auto"/>
              <w:ind w:left="314"/>
            </w:pPr>
            <w:r>
              <w:t>9</w:t>
            </w:r>
          </w:p>
        </w:tc>
        <w:tc>
          <w:tcPr>
            <w:tcW w:w="9598" w:type="dxa"/>
            <w:vAlign w:val="top"/>
          </w:tcPr>
          <w:p>
            <w:pPr>
              <w:pStyle w:val="TableText"/>
              <w:spacing w:before="116" w:line="219" w:lineRule="auto"/>
              <w:ind w:left="110"/>
            </w:pPr>
            <w:r>
              <w:t>应有开展绿色工厂的中长期规划及年度目标、指标和实施方案，</w:t>
            </w:r>
            <w:r>
              <w:rPr>
                <w:spacing w:val="-1"/>
              </w:rPr>
              <w:t>明确指标且可量化。</w:t>
            </w:r>
          </w:p>
        </w:tc>
        <w:tc>
          <w:tcPr>
            <w:tcW w:w="984" w:type="dxa"/>
            <w:vMerge/>
            <w:tcBorders>
              <w:top w:val="nil"/>
              <w:bottom w:val="nil"/>
            </w:tcBorders>
            <w:vAlign w:val="top"/>
          </w:tcPr>
          <w:p>
            <w:pPr>
              <w:rPr>
                <w:rFonts w:ascii="Arial"/>
                <w:sz w:val="21"/>
              </w:rPr>
            </w:pPr>
          </w:p>
        </w:tc>
        <w:tc>
          <w:tcPr>
            <w:tcW w:w="1270" w:type="dxa"/>
            <w:vAlign w:val="top"/>
          </w:tcPr>
          <w:p>
            <w:pPr>
              <w:pStyle w:val="TableText"/>
              <w:spacing w:before="109" w:line="224" w:lineRule="auto"/>
              <w:ind w:left="461"/>
            </w:pPr>
            <w:r>
              <w:rPr>
                <w:spacing w:val="-5"/>
              </w:rPr>
              <w:t>必选</w:t>
            </w:r>
          </w:p>
        </w:tc>
      </w:tr>
      <w:tr>
        <w:tblPrEx>
          <w:tblW w:w="14785" w:type="dxa"/>
          <w:tblInd w:w="2" w:type="dxa"/>
          <w:tblLayout w:type="fixed"/>
        </w:tblPrEx>
        <w:trPr>
          <w:trHeight w:val="809"/>
        </w:trPr>
        <w:tc>
          <w:tcPr>
            <w:tcW w:w="984" w:type="dxa"/>
            <w:vMerge/>
            <w:tcBorders>
              <w:top w:val="nil"/>
            </w:tcBorders>
            <w:vAlign w:val="top"/>
          </w:tcPr>
          <w:p>
            <w:pPr>
              <w:rPr>
                <w:rFonts w:ascii="Arial"/>
                <w:sz w:val="21"/>
              </w:rPr>
            </w:pPr>
          </w:p>
        </w:tc>
        <w:tc>
          <w:tcPr>
            <w:tcW w:w="1237" w:type="dxa"/>
            <w:vMerge/>
            <w:tcBorders>
              <w:top w:val="nil"/>
            </w:tcBorders>
            <w:vAlign w:val="top"/>
          </w:tcPr>
          <w:p>
            <w:pPr>
              <w:rPr>
                <w:rFonts w:ascii="Arial"/>
                <w:sz w:val="21"/>
              </w:rPr>
            </w:pPr>
          </w:p>
        </w:tc>
        <w:tc>
          <w:tcPr>
            <w:tcW w:w="712" w:type="dxa"/>
            <w:vAlign w:val="top"/>
          </w:tcPr>
          <w:p>
            <w:pPr>
              <w:spacing w:line="337" w:lineRule="auto"/>
              <w:rPr>
                <w:rFonts w:ascii="Arial"/>
                <w:sz w:val="21"/>
              </w:rPr>
            </w:pPr>
          </w:p>
          <w:p>
            <w:pPr>
              <w:pStyle w:val="TableText"/>
              <w:spacing w:before="59" w:line="184" w:lineRule="auto"/>
              <w:ind w:left="284"/>
            </w:pPr>
            <w:r>
              <w:rPr>
                <w:spacing w:val="-10"/>
              </w:rPr>
              <w:t>10</w:t>
            </w:r>
          </w:p>
        </w:tc>
        <w:tc>
          <w:tcPr>
            <w:tcW w:w="9598" w:type="dxa"/>
            <w:vAlign w:val="top"/>
          </w:tcPr>
          <w:p>
            <w:pPr>
              <w:pStyle w:val="TableText"/>
              <w:spacing w:before="116" w:line="398" w:lineRule="exact"/>
              <w:ind w:right="14"/>
              <w:jc w:val="right"/>
            </w:pPr>
            <w:r>
              <w:rPr>
                <w:spacing w:val="-1"/>
                <w:position w:val="16"/>
              </w:rPr>
              <w:t>应定期为员工提供绿色制造相关知识的教育、培训，不同职责或岗位的员工</w:t>
            </w:r>
            <w:r>
              <w:rPr>
                <w:spacing w:val="-2"/>
                <w:position w:val="16"/>
              </w:rPr>
              <w:t>所接受的教育、培训内容包括但不限于节能、</w:t>
            </w:r>
          </w:p>
          <w:p>
            <w:pPr>
              <w:pStyle w:val="TableText"/>
              <w:spacing w:line="218" w:lineRule="auto"/>
              <w:ind w:left="110"/>
            </w:pPr>
            <w:r>
              <w:t>减排、节材、节水和气候变化等方面。工厂应对教育和培</w:t>
            </w:r>
            <w:r>
              <w:rPr>
                <w:spacing w:val="-1"/>
              </w:rPr>
              <w:t>训的结果进行考评。</w:t>
            </w:r>
          </w:p>
        </w:tc>
        <w:tc>
          <w:tcPr>
            <w:tcW w:w="984" w:type="dxa"/>
            <w:vMerge/>
            <w:tcBorders>
              <w:top w:val="nil"/>
            </w:tcBorders>
            <w:vAlign w:val="top"/>
          </w:tcPr>
          <w:p>
            <w:pPr>
              <w:rPr>
                <w:rFonts w:ascii="Arial"/>
                <w:sz w:val="21"/>
              </w:rPr>
            </w:pPr>
          </w:p>
        </w:tc>
        <w:tc>
          <w:tcPr>
            <w:tcW w:w="1270" w:type="dxa"/>
            <w:vAlign w:val="top"/>
          </w:tcPr>
          <w:p>
            <w:pPr>
              <w:spacing w:line="248" w:lineRule="auto"/>
              <w:rPr>
                <w:rFonts w:ascii="Arial"/>
                <w:sz w:val="21"/>
              </w:rPr>
            </w:pPr>
          </w:p>
          <w:p>
            <w:pPr>
              <w:pStyle w:val="TableText"/>
              <w:spacing w:before="59" w:line="224" w:lineRule="auto"/>
              <w:ind w:left="461"/>
            </w:pPr>
            <w:r>
              <w:rPr>
                <w:spacing w:val="-5"/>
              </w:rPr>
              <w:t>必选</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https://d.book118.com/928050062072006027</w:t>
        </w:r>
      </w:hyperlink>
    </w:p>
    <w:p>
      <w:pPr>
        <w:rPr>
          <w:rFonts w:ascii="Arial" w:eastAsia="Arial" w:hAnsi="Arial" w:cs="Arial"/>
          <w:sz w:val="21"/>
          <w:szCs w:val="21"/>
        </w:rPr>
      </w:pPr>
    </w:p>
    <w:sectPr>
      <w:footerReference w:type="default" r:id="rId16"/>
      <w:type w:val="nextPage"/>
      <w:pgSz w:w="16839" w:h="11906"/>
      <w:pgMar w:top="1012" w:right="1165" w:bottom="1311" w:left="882" w:header="0" w:footer="1134" w:gutter="0"/>
      <w:pgNumType w:start="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769"/>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769"/>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89"/>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89"/>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762"/>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60"/>
      <w:rPr>
        <w:sz w:val="18"/>
        <w:szCs w:val="18"/>
      </w:rPr>
    </w:pPr>
    <w:r>
      <w:rPr>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60"/>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231"/>
      <w:rPr>
        <w:sz w:val="18"/>
        <w:szCs w:val="18"/>
      </w:rPr>
    </w:pPr>
    <w:r>
      <w:rPr>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4231"/>
      <w:rPr>
        <w:sz w:val="18"/>
        <w:szCs w:val="18"/>
      </w:rPr>
    </w:pPr>
    <w:r>
      <w:rPr>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6.3.1.1" TargetMode="External" /><Relationship Id="rId11" Type="http://schemas.openxmlformats.org/officeDocument/2006/relationships/hyperlink" Target="6.3.1.2" TargetMode="Externa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hyperlink" Target="https://d.book118.com/928050062072006027" TargetMode="External" /><Relationship Id="rId16" Type="http://schemas.openxmlformats.org/officeDocument/2006/relationships/footer" Target="footer9.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2024-01-19T20:29:26Z</vt:filetime>
  </property>
  <property fmtid="{D5CDD505-2E9C-101B-9397-08002B2CF9AE}" pid="3" name="CRO">
    <vt:lpwstr>wqlLaW5nc29mdCBQREYgdG8gV1BTIDkw</vt:lpwstr>
  </property>
  <property fmtid="{D5CDD505-2E9C-101B-9397-08002B2CF9AE}" pid="4" name="UsrData">
    <vt:lpwstr>65aa6b210ee0c1001fbac890wl</vt:lpwstr>
  </property>
</Properties>
</file>