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2024年养蚕行业分析报告及未来五到十年行业发展趋势报告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8807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行业企业市场突围战略分析</w:t>
        </w:r>
        <w:r>
          <w:tab/>
        </w:r>
        <w:r>
          <w:fldChar w:fldCharType="begin"/>
        </w:r>
        <w:r>
          <w:instrText xml:space="preserve"> PAGEREF _Toc28807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24043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行业树立“战略突破”理念</w:t>
        </w:r>
        <w:r>
          <w:tab/>
        </w:r>
        <w:r>
          <w:fldChar w:fldCharType="begin"/>
        </w:r>
        <w:r>
          <w:instrText xml:space="preserve"> PAGEREF _Toc24043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85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行业市场定位、产品定位和品牌定位</w:t>
        </w:r>
        <w:r>
          <w:tab/>
        </w:r>
        <w:r>
          <w:fldChar w:fldCharType="begin"/>
        </w:r>
        <w:r>
          <w:instrText xml:space="preserve"> PAGEREF _Toc885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674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_Toc16674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2251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_Toc22251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569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_Toc23569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271" w:history="1">
        <w:r>
          <w:rPr>
            <w:rFonts w:eastAsia="微软雅黑" w:hint="eastAsia"/>
            <w:snapToGrid/>
            <w:lang w:val="en-US" w:eastAsia="zh-CN"/>
          </w:rPr>
          <w:t>(三)、创新寻求突破</w:t>
        </w:r>
        <w:r>
          <w:tab/>
        </w:r>
        <w:r>
          <w:fldChar w:fldCharType="begin"/>
        </w:r>
        <w:r>
          <w:instrText xml:space="preserve"> PAGEREF _Toc8271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8950" w:history="1">
        <w:r>
          <w:rPr>
            <w:rFonts w:eastAsia="微软雅黑" w:hint="eastAsia"/>
            <w:snapToGrid/>
            <w:lang w:val="en-US" w:eastAsia="zh-CN"/>
          </w:rPr>
          <w:t>1、基于消费升级的科技创新模式</w:t>
        </w:r>
        <w:r>
          <w:tab/>
        </w:r>
        <w:r>
          <w:fldChar w:fldCharType="begin"/>
        </w:r>
        <w:r>
          <w:instrText xml:space="preserve"> PAGEREF _Toc8950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470" w:history="1">
        <w:r>
          <w:rPr>
            <w:rFonts w:eastAsia="微软雅黑" w:hint="eastAsia"/>
            <w:snapToGrid/>
            <w:lang w:val="en-US" w:eastAsia="zh-CN"/>
          </w:rPr>
          <w:t>2、创新推动行业更高质量发展</w:t>
        </w:r>
        <w:r>
          <w:tab/>
        </w:r>
        <w:r>
          <w:fldChar w:fldCharType="begin"/>
        </w:r>
        <w:r>
          <w:instrText xml:space="preserve"> PAGEREF _Toc3470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129" w:history="1">
        <w:r>
          <w:rPr>
            <w:rFonts w:eastAsia="微软雅黑" w:hint="eastAsia"/>
            <w:snapToGrid/>
            <w:lang w:val="en-US" w:eastAsia="zh-CN"/>
          </w:rPr>
          <w:t>3、尝试业态创新和品牌创新</w:t>
        </w:r>
        <w:r>
          <w:tab/>
        </w:r>
        <w:r>
          <w:fldChar w:fldCharType="begin"/>
        </w:r>
        <w:r>
          <w:instrText xml:space="preserve"> PAGEREF _Toc5129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117" w:history="1">
        <w:r>
          <w:rPr>
            <w:rFonts w:eastAsia="微软雅黑" w:hint="eastAsia"/>
            <w:snapToGrid/>
            <w:lang w:val="en-US" w:eastAsia="zh-CN"/>
          </w:rPr>
          <w:t>4、自主创新打造品牌</w:t>
        </w:r>
        <w:r>
          <w:tab/>
        </w:r>
        <w:r>
          <w:fldChar w:fldCharType="begin"/>
        </w:r>
        <w:r>
          <w:instrText xml:space="preserve"> PAGEREF _Toc5117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468" w:history="1">
        <w:r>
          <w:rPr>
            <w:rFonts w:eastAsia="微软雅黑" w:hint="eastAsia"/>
            <w:snapToGrid/>
            <w:lang w:val="en-US" w:eastAsia="zh-CN"/>
          </w:rPr>
          <w:t>(四)、制定宣传计划</w:t>
        </w:r>
        <w:r>
          <w:tab/>
        </w:r>
        <w:r>
          <w:fldChar w:fldCharType="begin"/>
        </w:r>
        <w:r>
          <w:instrText xml:space="preserve"> PAGEREF _Toc26468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840" w:history="1">
        <w:r>
          <w:rPr>
            <w:rFonts w:eastAsia="微软雅黑" w:hint="eastAsia"/>
            <w:snapToGrid/>
            <w:lang w:val="en-US" w:eastAsia="zh-CN"/>
          </w:rPr>
          <w:t>1、学会做低成本的传播工具</w:t>
        </w:r>
        <w:r>
          <w:tab/>
        </w:r>
        <w:r>
          <w:fldChar w:fldCharType="begin"/>
        </w:r>
        <w:r>
          <w:instrText xml:space="preserve"> PAGEREF _Toc2840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175" w:history="1">
        <w:r>
          <w:rPr>
            <w:rFonts w:eastAsia="微软雅黑" w:hint="eastAsia"/>
            <w:snapToGrid/>
            <w:lang w:val="en-US" w:eastAsia="zh-CN"/>
          </w:rPr>
          <w:t>2、学会以优秀的品牌视觉设计突出品牌特色</w:t>
        </w:r>
        <w:r>
          <w:tab/>
        </w:r>
        <w:r>
          <w:fldChar w:fldCharType="begin"/>
        </w:r>
        <w:r>
          <w:instrText xml:space="preserve"> PAGEREF _Toc16175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784" w:history="1">
        <w:r>
          <w:rPr>
            <w:rFonts w:eastAsia="微软雅黑" w:hint="eastAsia"/>
            <w:snapToGrid/>
            <w:lang w:val="en-US" w:eastAsia="zh-CN"/>
          </w:rPr>
          <w:t>3、学会使用网络营销</w:t>
        </w:r>
        <w:r>
          <w:tab/>
        </w:r>
        <w:r>
          <w:fldChar w:fldCharType="begin"/>
        </w:r>
        <w:r>
          <w:instrText xml:space="preserve"> PAGEREF _Toc6784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5149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_Toc25149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910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_Toc31910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291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_Toc7291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0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_Toc25600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706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_Toc31706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2448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_Toc32448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541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_Toc5541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3664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_Toc13664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028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_Toc8028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226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_Toc25226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268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_Toc16268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486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_Toc30486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120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_Toc24120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310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_Toc21310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808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_Toc14808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786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_Toc9786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7892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产业未来发展前景</w:t>
        </w:r>
        <w:r>
          <w:tab/>
        </w:r>
        <w:r>
          <w:fldChar w:fldCharType="begin"/>
        </w:r>
        <w:r>
          <w:instrText xml:space="preserve"> PAGEREF _Toc27892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633" w:history="1">
        <w:r>
          <w:rPr>
            <w:rFonts w:eastAsia="微软雅黑" w:hint="eastAsia"/>
            <w:snapToGrid/>
            <w:lang w:val="en-US" w:eastAsia="zh-CN"/>
          </w:rPr>
          <w:t>(一)、我国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行业市场规模前景预测</w:t>
        </w:r>
        <w:r>
          <w:tab/>
        </w:r>
        <w:r>
          <w:fldChar w:fldCharType="begin"/>
        </w:r>
        <w:r>
          <w:instrText xml:space="preserve"> PAGEREF _Toc28633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766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行业进入大规模推广应用阶</w:t>
        </w:r>
        <w:r>
          <w:tab/>
        </w:r>
        <w:r>
          <w:fldChar w:fldCharType="begin"/>
        </w:r>
        <w:r>
          <w:instrText xml:space="preserve"> PAGEREF _Toc12766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3516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行业的市场增长点</w:t>
        </w:r>
        <w:r>
          <w:tab/>
        </w:r>
        <w:r>
          <w:fldChar w:fldCharType="begin"/>
        </w:r>
        <w:r>
          <w:instrText xml:space="preserve"> PAGEREF _Toc23516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851" w:history="1">
        <w:r>
          <w:rPr>
            <w:rFonts w:eastAsia="微软雅黑" w:hint="eastAsia"/>
            <w:snapToGrid/>
            <w:lang w:val="en-US" w:eastAsia="zh-CN"/>
          </w:rPr>
          <w:t>(四)、细分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行业产品将具有最大优势</w:t>
        </w:r>
        <w:r>
          <w:tab/>
        </w:r>
        <w:r>
          <w:fldChar w:fldCharType="begin"/>
        </w:r>
        <w:r>
          <w:instrText xml:space="preserve"> PAGEREF _Toc23851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541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行业与互联网等行业融合发展机遇</w:t>
        </w:r>
        <w:r>
          <w:tab/>
        </w:r>
        <w:r>
          <w:fldChar w:fldCharType="begin"/>
        </w:r>
        <w:r>
          <w:instrText xml:space="preserve"> PAGEREF _Toc11541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69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行业人才培养市场广阔，国际合作前景广阔</w:t>
        </w:r>
        <w:r>
          <w:tab/>
        </w:r>
        <w:r>
          <w:fldChar w:fldCharType="begin"/>
        </w:r>
        <w:r>
          <w:instrText xml:space="preserve"> PAGEREF _Toc3269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219" w:history="1">
        <w:r>
          <w:rPr>
            <w:rFonts w:eastAsia="微软雅黑" w:hint="eastAsia"/>
            <w:snapToGrid/>
            <w:lang w:val="en-US" w:eastAsia="zh-CN"/>
          </w:rPr>
          <w:t>(七)、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行业发展需要突破创新瓶颈</w:t>
        </w:r>
        <w:r>
          <w:tab/>
        </w:r>
        <w:r>
          <w:fldChar w:fldCharType="begin"/>
        </w:r>
        <w:r>
          <w:instrText xml:space="preserve"> PAGEREF _Toc24219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4551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行业企业战略实施要点</w:t>
        </w:r>
        <w:r>
          <w:tab/>
        </w:r>
        <w:r>
          <w:fldChar w:fldCharType="begin"/>
        </w:r>
        <w:r>
          <w:instrText xml:space="preserve"> PAGEREF _Toc14551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016" w:history="1">
        <w:r>
          <w:rPr>
            <w:rFonts w:eastAsia="微软雅黑" w:hint="eastAsia"/>
            <w:snapToGrid/>
            <w:lang w:val="en-US" w:eastAsia="en-US"/>
          </w:rPr>
          <w:t>(一)、打造自主品牌</w:t>
        </w:r>
        <w:r>
          <w:tab/>
        </w:r>
        <w:r>
          <w:fldChar w:fldCharType="begin"/>
        </w:r>
        <w:r>
          <w:instrText xml:space="preserve"> PAGEREF _Toc5016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975" w:history="1">
        <w:r>
          <w:rPr>
            <w:rFonts w:eastAsia="微软雅黑" w:hint="eastAsia"/>
            <w:snapToGrid/>
            <w:lang w:val="en-US" w:eastAsia="zh-CN"/>
          </w:rPr>
          <w:t>(二)、重塑企业价值链</w:t>
        </w:r>
        <w:r>
          <w:tab/>
        </w:r>
        <w:r>
          <w:fldChar w:fldCharType="begin"/>
        </w:r>
        <w:r>
          <w:instrText xml:space="preserve"> PAGEREF _Toc31975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299" w:history="1">
        <w:r>
          <w:rPr>
            <w:rFonts w:eastAsia="微软雅黑" w:hint="eastAsia"/>
            <w:snapToGrid/>
            <w:lang w:val="en-US" w:eastAsia="zh-CN"/>
          </w:rPr>
          <w:t>1、规范研发设计流程</w:t>
        </w:r>
        <w:r>
          <w:tab/>
        </w:r>
        <w:r>
          <w:fldChar w:fldCharType="begin"/>
        </w:r>
        <w:r>
          <w:instrText xml:space="preserve"> PAGEREF _Toc29299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296" w:history="1">
        <w:r>
          <w:rPr>
            <w:rFonts w:eastAsia="微软雅黑" w:hint="eastAsia"/>
            <w:snapToGrid/>
            <w:lang w:val="en-US" w:eastAsia="zh-CN"/>
          </w:rPr>
          <w:t>2、优化生产制造</w:t>
        </w:r>
        <w:r>
          <w:tab/>
        </w:r>
        <w:r>
          <w:fldChar w:fldCharType="begin"/>
        </w:r>
        <w:r>
          <w:instrText xml:space="preserve"> PAGEREF _Toc25296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883" w:history="1">
        <w:r>
          <w:rPr>
            <w:rFonts w:eastAsia="微软雅黑" w:hint="eastAsia"/>
            <w:snapToGrid/>
            <w:lang w:val="en-US" w:eastAsia="zh-CN"/>
          </w:rPr>
          <w:t>(三)、重视市场营销</w:t>
        </w:r>
        <w:r>
          <w:tab/>
        </w:r>
        <w:r>
          <w:fldChar w:fldCharType="begin"/>
        </w:r>
        <w:r>
          <w:instrText xml:space="preserve"> PAGEREF _Toc11883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58" w:history="1">
        <w:r>
          <w:rPr>
            <w:rFonts w:eastAsia="微软雅黑" w:hint="eastAsia"/>
            <w:snapToGrid/>
            <w:lang w:val="en-US" w:eastAsia="zh-CN"/>
          </w:rPr>
          <w:t>(四)、整合线上线下平台</w:t>
        </w:r>
        <w:r>
          <w:tab/>
        </w:r>
        <w:r>
          <w:fldChar w:fldCharType="begin"/>
        </w:r>
        <w:r>
          <w:instrText xml:space="preserve"> PAGEREF _Toc1658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255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行业发展趋势</w:t>
        </w:r>
        <w:r>
          <w:tab/>
        </w:r>
        <w:r>
          <w:fldChar w:fldCharType="begin"/>
        </w:r>
        <w:r>
          <w:instrText xml:space="preserve"> PAGEREF _Toc23255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719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_Toc24719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789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_Toc15789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19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_Toc14192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152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_Toc17152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984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_Toc28984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93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_Toc393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787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_Toc5787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2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_Toc132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592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_Toc5592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645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_Toc12645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605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_Toc3605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42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_Toc25642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394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_Toc28394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532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_Toc29532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727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_Toc21727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325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_Toc3325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897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_Toc4897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607" w:history="1">
        <w:r>
          <w:rPr>
            <w:rFonts w:eastAsia="微软雅黑" w:hint="eastAsia"/>
            <w:snapToGrid/>
            <w:lang w:val="en-US" w:eastAsia="zh-CN"/>
          </w:rPr>
          <w:t>(十一)、供给不足,产业化程度较低</w:t>
        </w:r>
        <w:r>
          <w:tab/>
        </w:r>
        <w:r>
          <w:fldChar w:fldCharType="begin"/>
        </w:r>
        <w:r>
          <w:instrText xml:space="preserve"> PAGERE</w:instrText>
        </w:r>
        <w:r>
          <w:instrText xml:space="preserve">F _Toc26607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112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_Toc7112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087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_Toc29087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249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_Toc17249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671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养蚕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_Toc7671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01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养蚕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_Toc401 \h </w:instrText>
        </w:r>
        <w:r>
          <w:fldChar w:fldCharType="separate"/>
        </w:r>
        <w:r>
          <w:t>31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https://d.book118.com/928114021070006024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92811402107000602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