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557117462"/>
        <w:docPartObj>
          <w:docPartGallery w:val="Table of Contents"/>
          <w:docPartUnique/>
        </w:docPartObj>
      </w:sdtPr>
      <w:sdtContent>
        <w:p>
          <w:pPr>
            <w:pStyle w:val="TOC1"/>
            <w:numPr>
              <w:ilvl w:val="0"/>
              <w:numId w:val="9"/>
            </w:numPr>
            <w:tabs>
              <w:tab w:val="left" w:pos="531"/>
              <w:tab w:val="right" w:leader="dot" w:pos="13474"/>
            </w:tabs>
            <w:spacing w:before="42" w:after="0" w:line="240" w:lineRule="auto"/>
            <w:ind w:left="530" w:right="0" w:hanging="238"/>
            <w:jc w:val="left"/>
          </w:pPr>
          <w:hyperlink w:anchor="_TOC_250024" w:history="1">
            <w:r>
              <w:t>概述</w:t>
              <w:tab/>
              <w:t>4</w:t>
            </w:r>
          </w:hyperlink>
        </w:p>
        <w:p>
          <w:pPr>
            <w:pStyle w:val="TOC2"/>
            <w:tabs>
              <w:tab w:val="right" w:leader="dot" w:pos="13474"/>
            </w:tabs>
            <w:spacing w:before="403"/>
          </w:pPr>
          <w:hyperlink w:anchor="_TOC_250023" w:history="1">
            <w:r>
              <w:t>城市生活垃圾</w:t>
              <w:tab/>
              <w:t>4</w:t>
            </w:r>
          </w:hyperlink>
        </w:p>
        <w:p>
          <w:pPr>
            <w:pStyle w:val="TOC3"/>
            <w:tabs>
              <w:tab w:val="right" w:leader="dot" w:pos="13474"/>
            </w:tabs>
          </w:pPr>
          <w:hyperlink w:anchor="_TOC_250022" w:history="1">
            <w:r>
              <w:t>采用的设计标准和规范</w:t>
              <w:tab/>
              <w:t>5</w:t>
            </w:r>
          </w:hyperlink>
        </w:p>
        <w:p>
          <w:pPr>
            <w:pStyle w:val="TOC3"/>
            <w:tabs>
              <w:tab w:val="right" w:leader="dot" w:pos="13474"/>
            </w:tabs>
          </w:pPr>
          <w:hyperlink w:anchor="_TOC_250021" w:history="1">
            <w:r>
              <w:t>建设项目周围的环境概况</w:t>
              <w:tab/>
              <w:t>5</w:t>
            </w:r>
          </w:hyperlink>
        </w:p>
        <w:p>
          <w:pPr>
            <w:pStyle w:val="TOC3"/>
            <w:tabs>
              <w:tab w:val="right" w:leader="dot" w:pos="13474"/>
            </w:tabs>
            <w:spacing w:before="406"/>
          </w:pPr>
          <w:hyperlink w:anchor="_TOC_250020" w:history="1">
            <w:r>
              <w:t>垃圾的性质、成份及产生量的分析</w:t>
              <w:tab/>
              <w:t>5</w:t>
            </w:r>
          </w:hyperlink>
        </w:p>
        <w:p>
          <w:pPr>
            <w:pStyle w:val="TOC1"/>
            <w:numPr>
              <w:ilvl w:val="0"/>
              <w:numId w:val="9"/>
            </w:numPr>
            <w:tabs>
              <w:tab w:val="left" w:pos="610"/>
              <w:tab w:val="right" w:leader="dot" w:pos="13474"/>
            </w:tabs>
            <w:spacing w:before="402" w:after="0" w:line="240" w:lineRule="auto"/>
            <w:ind w:left="610" w:right="0" w:hanging="317"/>
            <w:jc w:val="left"/>
          </w:pPr>
          <w:hyperlink w:anchor="_TOC_250019" w:history="1">
            <w:r>
              <w:t>工艺方案选择</w:t>
              <w:tab/>
              <w:t>5</w:t>
            </w:r>
          </w:hyperlink>
        </w:p>
        <w:p>
          <w:pPr>
            <w:pStyle w:val="TOC2"/>
            <w:tabs>
              <w:tab w:val="right" w:leader="dot" w:pos="13474"/>
            </w:tabs>
          </w:pPr>
          <w:hyperlink w:anchor="_TOC_250018" w:history="1">
            <w:r>
              <w:t>焚烧工艺的优缺点及试用条件</w:t>
              <w:tab/>
              <w:t>6</w:t>
            </w:r>
          </w:hyperlink>
        </w:p>
        <w:p>
          <w:pPr>
            <w:pStyle w:val="TOC4"/>
            <w:tabs>
              <w:tab w:val="right" w:leader="dot" w:pos="13474"/>
            </w:tabs>
            <w:spacing w:before="403"/>
          </w:pPr>
          <w:r>
            <w:t>焚烧工艺的试用条件</w:t>
            <w:tab/>
            <w:t>6</w:t>
          </w:r>
        </w:p>
        <w:p>
          <w:pPr>
            <w:pStyle w:val="TOC3"/>
            <w:tabs>
              <w:tab w:val="right" w:leader="dot" w:pos="13474"/>
            </w:tabs>
            <w:spacing w:before="405"/>
          </w:pPr>
          <w:hyperlink w:anchor="_TOC_250017" w:history="1">
            <w:r>
              <w:t>拟采用的工艺形式</w:t>
              <w:tab/>
              <w:t>7</w:t>
            </w:r>
          </w:hyperlink>
        </w:p>
        <w:p>
          <w:pPr>
            <w:pStyle w:val="TOC3"/>
            <w:tabs>
              <w:tab w:val="right" w:leader="dot" w:pos="13474"/>
            </w:tabs>
          </w:pPr>
          <w:hyperlink w:anchor="_TOC_250016" w:history="1">
            <w:r>
              <w:t>设计采用方案工艺流程</w:t>
              <w:tab/>
              <w:t>7</w:t>
            </w:r>
          </w:hyperlink>
        </w:p>
        <w:p>
          <w:pPr>
            <w:pStyle w:val="TOC4"/>
            <w:tabs>
              <w:tab w:val="right" w:leader="dot" w:pos="13474"/>
            </w:tabs>
          </w:pPr>
          <w:hyperlink w:anchor="_TOC_250015" w:history="1">
            <w:r>
              <w:t>工艺流程框图</w:t>
              <w:tab/>
              <w:t>7</w:t>
            </w:r>
          </w:hyperlink>
        </w:p>
        <w:p>
          <w:pPr>
            <w:pStyle w:val="TOC4"/>
            <w:tabs>
              <w:tab w:val="right" w:leader="dot" w:pos="13474"/>
            </w:tabs>
          </w:pPr>
          <w:hyperlink w:anchor="_TOC_250014" w:history="1">
            <w:r>
              <w:t>工艺流程说明</w:t>
              <w:tab/>
              <w:t>7</w:t>
            </w:r>
          </w:hyperlink>
        </w:p>
        <w:p>
          <w:pPr>
            <w:pStyle w:val="TOC4"/>
            <w:tabs>
              <w:tab w:val="right" w:leader="dot" w:pos="13474"/>
            </w:tabs>
          </w:pPr>
          <w:hyperlink w:anchor="_TOC_250013" w:history="1">
            <w:r>
              <w:t>灰渣处置方案</w:t>
              <w:tab/>
              <w:t>8</w:t>
            </w:r>
          </w:hyperlink>
        </w:p>
        <w:p>
          <w:pPr>
            <w:pStyle w:val="TOC1"/>
            <w:numPr>
              <w:ilvl w:val="0"/>
              <w:numId w:val="9"/>
            </w:numPr>
            <w:tabs>
              <w:tab w:val="left" w:pos="610"/>
              <w:tab w:val="right" w:leader="dot" w:pos="13474"/>
            </w:tabs>
            <w:spacing w:before="406" w:after="0" w:line="240" w:lineRule="auto"/>
            <w:ind w:left="610" w:right="0" w:hanging="317"/>
            <w:jc w:val="left"/>
          </w:pPr>
          <w:hyperlink w:anchor="_TOC_250012" w:history="1">
            <w:r>
              <w:t>工艺设计计算</w:t>
              <w:tab/>
              <w:t>9</w:t>
            </w:r>
          </w:hyperlink>
        </w:p>
        <w:p>
          <w:pPr>
            <w:pStyle w:val="TOC3"/>
            <w:tabs>
              <w:tab w:val="right" w:leader="dot" w:pos="13474"/>
            </w:tabs>
          </w:pPr>
          <w:hyperlink w:anchor="_TOC_250011" w:history="1">
            <w:r>
              <w:t>分选阶段各单元设计计算及设备选型</w:t>
              <w:tab/>
              <w:t>9</w:t>
            </w:r>
          </w:hyperlink>
        </w:p>
        <w:p>
          <w:pPr>
            <w:pStyle w:val="TOC4"/>
            <w:tabs>
              <w:tab w:val="right" w:leader="dot" w:pos="13474"/>
            </w:tabs>
          </w:pPr>
          <w:hyperlink w:anchor="_TOC_250010" w:history="1">
            <w:r>
              <w:t>垃圾贮坑的设计</w:t>
              <w:tab/>
              <w:t>9</w:t>
            </w:r>
          </w:hyperlink>
        </w:p>
        <w:p>
          <w:pPr>
            <w:pStyle w:val="TOC5"/>
            <w:tabs>
              <w:tab w:val="right" w:leader="dot" w:pos="13474"/>
            </w:tabs>
            <w:spacing w:before="403"/>
          </w:pPr>
          <w:hyperlink w:anchor="_TOC_250009" w:history="1">
            <w:r>
              <w:t>人工分选</w:t>
              <w:tab/>
              <w:t>10</w:t>
            </w:r>
          </w:hyperlink>
        </w:p>
        <w:p>
          <w:pPr>
            <w:pStyle w:val="TOC5"/>
            <w:tabs>
              <w:tab w:val="right" w:leader="dot" w:pos="13474"/>
            </w:tabs>
            <w:spacing w:before="405"/>
          </w:pPr>
          <w:hyperlink w:anchor="_TOC_250008" w:history="1">
            <w:r>
              <w:t>永磁筒式磁选机</w:t>
              <w:tab/>
              <w:t>10</w:t>
            </w:r>
          </w:hyperlink>
        </w:p>
        <w:p>
          <w:pPr>
            <w:pStyle w:val="TOC5"/>
            <w:tabs>
              <w:tab w:val="right" w:leader="dot" w:pos="13474"/>
            </w:tabs>
          </w:pPr>
          <w:hyperlink w:anchor="_TOC_250007" w:history="1">
            <w:r>
              <w:t>滚筒破碎机</w:t>
              <w:tab/>
              <w:t>11</w:t>
            </w:r>
          </w:hyperlink>
        </w:p>
        <w:p>
          <w:pPr>
            <w:pStyle w:val="TOC3"/>
            <w:tabs>
              <w:tab w:val="right" w:leader="dot" w:pos="13474"/>
            </w:tabs>
          </w:pPr>
          <w:hyperlink w:anchor="_TOC_250006" w:history="1">
            <w:r>
              <w:t>焚烧阶段各单元设计计算及设备选型</w:t>
              <w:tab/>
              <w:t>12</w:t>
            </w:r>
          </w:hyperlink>
        </w:p>
        <w:p>
          <w:pPr>
            <w:pStyle w:val="TOC5"/>
            <w:tabs>
              <w:tab w:val="right" w:leader="dot" w:pos="13474"/>
            </w:tabs>
          </w:pPr>
          <w:hyperlink w:anchor="_TOC_250005" w:history="1">
            <w:r>
              <w:t>燃料贮坑</w:t>
              <w:tab/>
              <w:t>12</w:t>
            </w:r>
          </w:hyperlink>
        </w:p>
        <w:p>
          <w:pPr>
            <w:pStyle w:val="TOC5"/>
            <w:tabs>
              <w:tab w:val="right" w:leader="dot" w:pos="13474"/>
            </w:tabs>
            <w:spacing w:before="403"/>
          </w:pPr>
          <w:hyperlink w:anchor="_TOC_250004" w:history="1">
            <w:r>
              <w:t>垃圾抓斗起重机</w:t>
              <w:tab/>
              <w:t>12</w:t>
            </w:r>
          </w:hyperlink>
        </w:p>
        <w:p>
          <w:pPr>
            <w:pStyle w:val="TOC5"/>
            <w:tabs>
              <w:tab w:val="right" w:leader="dot" w:pos="13474"/>
            </w:tabs>
            <w:spacing w:before="406"/>
          </w:pPr>
          <w:hyperlink w:anchor="_TOC_250003" w:history="1">
            <w:r>
              <w:t>焚烧炉的设计选型</w:t>
              <w:tab/>
              <w:t>13</w:t>
            </w:r>
          </w:hyperlink>
        </w:p>
        <w:p>
          <w:pPr>
            <w:pStyle w:val="TOC4"/>
            <w:tabs>
              <w:tab w:val="right" w:leader="dot" w:pos="13474"/>
            </w:tabs>
          </w:pPr>
          <w:hyperlink w:anchor="_TOC_250002" w:history="1">
            <w:r>
              <w:t>燃烧空气量</w:t>
              <w:tab/>
              <w:t>14</w:t>
            </w:r>
          </w:hyperlink>
        </w:p>
        <w:p>
          <w:pPr>
            <w:pStyle w:val="TOC5"/>
            <w:tabs>
              <w:tab w:val="right" w:leader="dot" w:pos="13474"/>
            </w:tabs>
          </w:pPr>
          <w:hyperlink w:anchor="_TOC_250001" w:history="1">
            <w:r>
              <w:t>余热锅炉的选型</w:t>
              <w:tab/>
              <w:t>16</w:t>
            </w:r>
          </w:hyperlink>
        </w:p>
        <w:p>
          <w:pPr>
            <w:pStyle w:val="TOC3"/>
            <w:tabs>
              <w:tab w:val="right" w:leader="dot" w:pos="13474"/>
            </w:tabs>
          </w:pPr>
          <w:hyperlink w:anchor="_TOC_250000" w:history="1">
            <w:r>
              <w:t>烟气处理阶段各单元设计计算及设备选型</w:t>
              <w:tab/>
              <w:t>17</w:t>
            </w:r>
          </w:hyperlink>
        </w:p>
      </w:sdtContent>
    </w:sdt>
    <w:p>
      <w:pPr>
        <w:spacing w:after="0"/>
        <w:sectPr>
          <w:type w:val="continuous"/>
          <w:pgSz w:w="17860" w:h="25260"/>
          <w:pgMar w:top="2000" w:right="1780" w:bottom="280" w:left="2260" w:header="708" w:footer="708"/>
          <w:cols w:space="708"/>
        </w:sectPr>
      </w:pPr>
    </w:p>
    <w:p>
      <w:pPr>
        <w:tabs>
          <w:tab w:val="right" w:leader="dot" w:pos="13474"/>
        </w:tabs>
        <w:spacing w:before="42"/>
        <w:ind w:left="1711" w:right="0" w:firstLine="0"/>
        <w:jc w:val="left"/>
        <w:rPr>
          <w:sz w:val="31"/>
        </w:rPr>
      </w:pPr>
      <w:r>
        <w:rPr>
          <w:sz w:val="31"/>
        </w:rPr>
        <w:t>半干式洗涤塔</w:t>
        <w:tab/>
        <w:t>18</w:t>
      </w:r>
    </w:p>
    <w:p>
      <w:pPr>
        <w:tabs>
          <w:tab w:val="right" w:leader="dot" w:pos="13474"/>
        </w:tabs>
        <w:spacing w:before="403"/>
        <w:ind w:left="1711" w:right="0" w:firstLine="0"/>
        <w:jc w:val="left"/>
        <w:rPr>
          <w:sz w:val="31"/>
        </w:rPr>
      </w:pPr>
      <w:r>
        <w:rPr>
          <w:sz w:val="31"/>
        </w:rPr>
        <w:t>布袋除尘器</w:t>
        <w:tab/>
        <w:t>18</w:t>
      </w:r>
    </w:p>
    <w:p>
      <w:pPr>
        <w:tabs>
          <w:tab w:val="right" w:leader="dot" w:pos="13474"/>
        </w:tabs>
        <w:spacing w:before="402"/>
        <w:ind w:left="1711" w:right="0" w:firstLine="0"/>
        <w:jc w:val="left"/>
        <w:rPr>
          <w:sz w:val="31"/>
        </w:rPr>
      </w:pPr>
      <w:r>
        <w:rPr>
          <w:sz w:val="31"/>
        </w:rPr>
        <w:t>烟囱</w:t>
        <w:tab/>
        <w:t>19</w:t>
      </w:r>
    </w:p>
    <w:p>
      <w:pPr>
        <w:tabs>
          <w:tab w:val="right" w:leader="dot" w:pos="13474"/>
        </w:tabs>
        <w:spacing w:before="402"/>
        <w:ind w:left="1081" w:right="0" w:firstLine="0"/>
        <w:jc w:val="left"/>
        <w:rPr>
          <w:sz w:val="31"/>
        </w:rPr>
      </w:pPr>
      <w:r>
        <w:rPr>
          <w:sz w:val="31"/>
        </w:rPr>
        <w:t>垃圾焚烧过程的热能平衡</w:t>
        <w:tab/>
        <w:t>20</w:t>
      </w:r>
    </w:p>
    <w:p>
      <w:pPr>
        <w:tabs>
          <w:tab w:val="right" w:leader="dot" w:pos="13474"/>
        </w:tabs>
        <w:spacing w:before="406"/>
        <w:ind w:left="1081" w:right="0" w:firstLine="0"/>
        <w:jc w:val="left"/>
        <w:rPr>
          <w:sz w:val="31"/>
        </w:rPr>
      </w:pPr>
      <w:r>
        <w:rPr>
          <w:sz w:val="31"/>
        </w:rPr>
        <w:t>生活垃圾燃烧中二恶英的控制</w:t>
        <w:tab/>
        <w:t>23</w:t>
      </w:r>
    </w:p>
    <w:p>
      <w:pPr>
        <w:tabs>
          <w:tab w:val="right" w:leader="dot" w:pos="13474"/>
        </w:tabs>
        <w:spacing w:before="402"/>
        <w:ind w:left="293" w:right="0" w:firstLine="0"/>
        <w:jc w:val="left"/>
        <w:rPr>
          <w:sz w:val="31"/>
        </w:rPr>
      </w:pPr>
      <w:r>
        <w:rPr>
          <w:sz w:val="31"/>
        </w:rPr>
        <w:t>4.效益分析</w:t>
        <w:tab/>
        <w:t>24</w:t>
      </w:r>
    </w:p>
    <w:p>
      <w:pPr>
        <w:tabs>
          <w:tab w:val="right" w:leader="dot" w:pos="13474"/>
        </w:tabs>
        <w:spacing w:before="402"/>
        <w:ind w:left="1081" w:right="0" w:firstLine="0"/>
        <w:jc w:val="left"/>
        <w:rPr>
          <w:sz w:val="31"/>
        </w:rPr>
      </w:pPr>
      <w:r>
        <w:rPr>
          <w:sz w:val="31"/>
        </w:rPr>
        <w:t>环境效益分析</w:t>
        <w:tab/>
        <w:t>24</w:t>
      </w:r>
    </w:p>
    <w:p>
      <w:pPr>
        <w:tabs>
          <w:tab w:val="right" w:leader="dot" w:pos="13474"/>
        </w:tabs>
        <w:spacing w:before="403"/>
        <w:ind w:left="1081" w:right="0" w:firstLine="0"/>
        <w:jc w:val="left"/>
        <w:rPr>
          <w:sz w:val="31"/>
        </w:rPr>
      </w:pPr>
      <w:r>
        <w:rPr>
          <w:sz w:val="31"/>
        </w:rPr>
        <w:t>经济效益分析</w:t>
        <w:tab/>
        <w:t>25</w:t>
      </w:r>
    </w:p>
    <w:p>
      <w:pPr>
        <w:spacing w:after="0"/>
        <w:jc w:val="left"/>
        <w:rPr>
          <w:sz w:val="31"/>
        </w:rPr>
        <w:sectPr>
          <w:pgSz w:w="17860" w:h="25260"/>
          <w:pgMar w:top="2000" w:right="1780" w:bottom="280" w:left="2260" w:header="708" w:footer="708"/>
          <w:pgNumType w:start="2"/>
          <w:cols w:space="708"/>
        </w:sectPr>
      </w:pPr>
    </w:p>
    <w:p>
      <w:pPr>
        <w:spacing w:before="0" w:line="1516" w:lineRule="exact"/>
        <w:ind w:left="2566" w:right="2650" w:firstLine="0"/>
        <w:jc w:val="center"/>
        <w:rPr>
          <w:b/>
          <w:sz w:val="126"/>
        </w:rPr>
      </w:pPr>
      <w:r>
        <w:drawing>
          <wp:anchor distT="0" distB="0" distL="0" distR="0" simplePos="0" relativeHeight="251658240" behindDoc="0" locked="0" layoutInCell="1" allowOverlap="1">
            <wp:simplePos x="0" y="0"/>
            <wp:positionH relativeFrom="page">
              <wp:posOffset>4800600</wp:posOffset>
            </wp:positionH>
            <wp:positionV relativeFrom="page">
              <wp:posOffset>7988300</wp:posOffset>
            </wp:positionV>
            <wp:extent cx="27051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7051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4800600</wp:posOffset>
            </wp:positionH>
            <wp:positionV relativeFrom="page">
              <wp:posOffset>8597900</wp:posOffset>
            </wp:positionV>
            <wp:extent cx="27051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705100" cy="508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4800600</wp:posOffset>
            </wp:positionH>
            <wp:positionV relativeFrom="page">
              <wp:posOffset>9207500</wp:posOffset>
            </wp:positionV>
            <wp:extent cx="2705100" cy="50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705100" cy="50800"/>
                    </a:xfrm>
                    <a:prstGeom prst="rect">
                      <a:avLst/>
                    </a:prstGeom>
                  </pic:spPr>
                </pic:pic>
              </a:graphicData>
            </a:graphic>
          </wp:anchor>
        </w:drawing>
      </w:r>
      <w:r>
        <w:rPr>
          <w:b/>
          <w:sz w:val="126"/>
        </w:rPr>
        <w:t>四川师范大学</w:t>
      </w:r>
    </w:p>
    <w:p>
      <w:pPr>
        <w:spacing w:before="905"/>
        <w:ind w:left="2575" w:right="2650" w:firstLine="0"/>
        <w:jc w:val="center"/>
        <w:rPr>
          <w:b/>
          <w:sz w:val="54"/>
        </w:rPr>
      </w:pPr>
      <w:r>
        <w:rPr>
          <w:b/>
          <w:sz w:val="54"/>
        </w:rPr>
        <w:t>化学与材料科学学院</w:t>
      </w:r>
    </w:p>
    <w:p>
      <w:pPr>
        <w:spacing w:before="146" w:line="345" w:lineRule="auto"/>
        <w:ind w:left="2575" w:right="2650" w:firstLine="0"/>
        <w:jc w:val="center"/>
        <w:rPr>
          <w:b/>
          <w:sz w:val="78"/>
        </w:rPr>
      </w:pPr>
      <w:r>
        <w:rPr>
          <w:b/>
          <w:w w:val="95"/>
          <w:sz w:val="78"/>
        </w:rPr>
        <w:t>《固体废物处理与处置》</w:t>
      </w:r>
      <w:r>
        <w:rPr>
          <w:b/>
          <w:sz w:val="78"/>
        </w:rPr>
        <w:t>课程的设计说明书</w:t>
      </w:r>
    </w:p>
    <w:p>
      <w:pPr>
        <w:pStyle w:val="Heading3"/>
        <w:spacing w:before="304"/>
        <w:ind w:left="2575" w:right="2634"/>
        <w:jc w:val="center"/>
      </w:pPr>
      <w:r>
        <w:t>设计题目：泸州市生活垃圾焚烧厂设计</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after="1"/>
        <w:rPr>
          <w:b/>
          <w:sz w:val="22"/>
        </w:rPr>
      </w:pPr>
    </w:p>
    <w:tbl>
      <w:tblPr>
        <w:tblStyle w:val="TableNormal0"/>
        <w:tblW w:w="0" w:type="auto"/>
        <w:jc w:val="left"/>
        <w:tblInd w:w="29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5"/>
        <w:gridCol w:w="949"/>
        <w:gridCol w:w="632"/>
        <w:gridCol w:w="3947"/>
      </w:tblGrid>
      <w:tr>
        <w:tblPrEx>
          <w:tblW w:w="0" w:type="auto"/>
          <w:jc w:val="left"/>
          <w:tblInd w:w="29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9"/>
          <w:jc w:val="left"/>
        </w:trPr>
        <w:tc>
          <w:tcPr>
            <w:tcW w:w="895" w:type="dxa"/>
          </w:tcPr>
          <w:p>
            <w:pPr>
              <w:pStyle w:val="TableParagraph"/>
              <w:spacing w:line="480" w:lineRule="exact"/>
              <w:ind w:left="50"/>
              <w:rPr>
                <w:b/>
                <w:sz w:val="42"/>
              </w:rPr>
            </w:pPr>
            <w:r>
              <w:rPr>
                <w:b/>
                <w:w w:val="99"/>
                <w:sz w:val="42"/>
              </w:rPr>
              <w:t>姓</w:t>
            </w:r>
          </w:p>
        </w:tc>
        <w:tc>
          <w:tcPr>
            <w:tcW w:w="949" w:type="dxa"/>
          </w:tcPr>
          <w:p>
            <w:pPr>
              <w:pStyle w:val="TableParagraph"/>
              <w:spacing w:line="480" w:lineRule="exact"/>
              <w:ind w:right="102"/>
              <w:jc w:val="right"/>
              <w:rPr>
                <w:b/>
                <w:sz w:val="42"/>
              </w:rPr>
            </w:pPr>
            <w:r>
              <w:rPr>
                <w:b/>
                <w:w w:val="99"/>
                <w:sz w:val="42"/>
              </w:rPr>
              <w:t>名</w:t>
            </w:r>
          </w:p>
        </w:tc>
        <w:tc>
          <w:tcPr>
            <w:tcW w:w="632" w:type="dxa"/>
          </w:tcPr>
          <w:p>
            <w:pPr>
              <w:pStyle w:val="TableParagraph"/>
              <w:spacing w:line="480" w:lineRule="exact"/>
              <w:jc w:val="center"/>
              <w:rPr>
                <w:b/>
                <w:sz w:val="42"/>
              </w:rPr>
            </w:pPr>
            <w:r>
              <w:rPr>
                <w:b/>
                <w:w w:val="99"/>
                <w:sz w:val="42"/>
              </w:rPr>
              <w:t>：</w:t>
            </w:r>
          </w:p>
        </w:tc>
        <w:tc>
          <w:tcPr>
            <w:tcW w:w="3947" w:type="dxa"/>
          </w:tcPr>
          <w:p>
            <w:pPr>
              <w:pStyle w:val="TableParagraph"/>
              <w:spacing w:line="480" w:lineRule="exact"/>
              <w:ind w:left="1560" w:right="1502"/>
              <w:jc w:val="center"/>
              <w:rPr>
                <w:b/>
                <w:sz w:val="42"/>
              </w:rPr>
            </w:pPr>
            <w:r>
              <w:rPr>
                <w:b/>
                <w:sz w:val="42"/>
              </w:rPr>
              <w:t>陈敏</w:t>
            </w:r>
          </w:p>
        </w:tc>
      </w:tr>
      <w:tr>
        <w:tblPrEx>
          <w:tblW w:w="0" w:type="auto"/>
          <w:jc w:val="left"/>
          <w:tblInd w:w="2950" w:type="dxa"/>
          <w:tblLayout w:type="fixed"/>
          <w:tblCellMar>
            <w:top w:w="0" w:type="dxa"/>
            <w:left w:w="0" w:type="dxa"/>
            <w:bottom w:w="0" w:type="dxa"/>
            <w:right w:w="0" w:type="dxa"/>
          </w:tblCellMar>
          <w:tblLook w:val="01E0"/>
        </w:tblPrEx>
        <w:trPr>
          <w:trHeight w:val="959"/>
          <w:jc w:val="left"/>
        </w:trPr>
        <w:tc>
          <w:tcPr>
            <w:tcW w:w="895" w:type="dxa"/>
          </w:tcPr>
          <w:p>
            <w:pPr>
              <w:pStyle w:val="TableParagraph"/>
              <w:spacing w:before="210"/>
              <w:ind w:left="50"/>
              <w:rPr>
                <w:b/>
                <w:sz w:val="42"/>
              </w:rPr>
            </w:pPr>
            <w:r>
              <w:rPr>
                <w:b/>
                <w:w w:val="99"/>
                <w:sz w:val="42"/>
              </w:rPr>
              <w:t>学</w:t>
            </w:r>
          </w:p>
        </w:tc>
        <w:tc>
          <w:tcPr>
            <w:tcW w:w="949" w:type="dxa"/>
          </w:tcPr>
          <w:p>
            <w:pPr>
              <w:pStyle w:val="TableParagraph"/>
              <w:spacing w:before="210"/>
              <w:ind w:right="102"/>
              <w:jc w:val="right"/>
              <w:rPr>
                <w:b/>
                <w:sz w:val="42"/>
              </w:rPr>
            </w:pPr>
            <w:r>
              <w:rPr>
                <w:b/>
                <w:w w:val="99"/>
                <w:sz w:val="42"/>
              </w:rPr>
              <w:t>院</w:t>
            </w:r>
          </w:p>
        </w:tc>
        <w:tc>
          <w:tcPr>
            <w:tcW w:w="632" w:type="dxa"/>
          </w:tcPr>
          <w:p>
            <w:pPr>
              <w:pStyle w:val="TableParagraph"/>
              <w:spacing w:before="210"/>
              <w:jc w:val="center"/>
              <w:rPr>
                <w:b/>
                <w:sz w:val="42"/>
              </w:rPr>
            </w:pPr>
            <w:r>
              <w:rPr>
                <w:b/>
                <w:w w:val="99"/>
                <w:sz w:val="42"/>
              </w:rPr>
              <w:t>：</w:t>
            </w:r>
          </w:p>
        </w:tc>
        <w:tc>
          <w:tcPr>
            <w:tcW w:w="3947" w:type="dxa"/>
          </w:tcPr>
          <w:p>
            <w:pPr>
              <w:pStyle w:val="TableParagraph"/>
              <w:spacing w:before="210"/>
              <w:ind w:left="105"/>
              <w:rPr>
                <w:b/>
                <w:sz w:val="42"/>
              </w:rPr>
            </w:pPr>
            <w:r>
              <w:rPr>
                <w:b/>
                <w:sz w:val="42"/>
              </w:rPr>
              <w:t>化学与材料科学学院</w:t>
            </w:r>
          </w:p>
        </w:tc>
      </w:tr>
      <w:tr>
        <w:tblPrEx>
          <w:tblW w:w="0" w:type="auto"/>
          <w:jc w:val="left"/>
          <w:tblInd w:w="2950" w:type="dxa"/>
          <w:tblLayout w:type="fixed"/>
          <w:tblCellMar>
            <w:top w:w="0" w:type="dxa"/>
            <w:left w:w="0" w:type="dxa"/>
            <w:bottom w:w="0" w:type="dxa"/>
            <w:right w:w="0" w:type="dxa"/>
          </w:tblCellMar>
          <w:tblLook w:val="01E0"/>
        </w:tblPrEx>
        <w:trPr>
          <w:trHeight w:val="961"/>
          <w:jc w:val="left"/>
        </w:trPr>
        <w:tc>
          <w:tcPr>
            <w:tcW w:w="895" w:type="dxa"/>
          </w:tcPr>
          <w:p>
            <w:pPr>
              <w:pStyle w:val="TableParagraph"/>
              <w:spacing w:before="212"/>
              <w:ind w:left="50"/>
              <w:rPr>
                <w:b/>
                <w:sz w:val="42"/>
              </w:rPr>
            </w:pPr>
            <w:r>
              <w:rPr>
                <w:b/>
                <w:w w:val="99"/>
                <w:sz w:val="42"/>
              </w:rPr>
              <w:t>专</w:t>
            </w:r>
          </w:p>
        </w:tc>
        <w:tc>
          <w:tcPr>
            <w:tcW w:w="949" w:type="dxa"/>
          </w:tcPr>
          <w:p>
            <w:pPr>
              <w:pStyle w:val="TableParagraph"/>
              <w:spacing w:before="212"/>
              <w:ind w:right="102"/>
              <w:jc w:val="right"/>
              <w:rPr>
                <w:b/>
                <w:sz w:val="42"/>
              </w:rPr>
            </w:pPr>
            <w:r>
              <w:rPr>
                <w:b/>
                <w:w w:val="99"/>
                <w:sz w:val="42"/>
              </w:rPr>
              <w:t>业</w:t>
            </w:r>
          </w:p>
        </w:tc>
        <w:tc>
          <w:tcPr>
            <w:tcW w:w="632" w:type="dxa"/>
          </w:tcPr>
          <w:p>
            <w:pPr>
              <w:pStyle w:val="TableParagraph"/>
              <w:spacing w:before="212"/>
              <w:jc w:val="center"/>
              <w:rPr>
                <w:b/>
                <w:sz w:val="42"/>
              </w:rPr>
            </w:pPr>
            <w:r>
              <w:rPr>
                <w:b/>
                <w:w w:val="99"/>
                <w:sz w:val="42"/>
              </w:rPr>
              <w:t>：</w:t>
            </w:r>
          </w:p>
        </w:tc>
        <w:tc>
          <w:tcPr>
            <w:tcW w:w="3947" w:type="dxa"/>
          </w:tcPr>
          <w:p>
            <w:pPr>
              <w:pStyle w:val="TableParagraph"/>
              <w:spacing w:before="212"/>
              <w:ind w:left="1160"/>
              <w:rPr>
                <w:b/>
                <w:sz w:val="42"/>
              </w:rPr>
            </w:pPr>
            <w:r>
              <w:rPr>
                <w:b/>
                <w:sz w:val="42"/>
              </w:rPr>
              <w:t>环境工程</w:t>
            </w:r>
          </w:p>
        </w:tc>
      </w:tr>
      <w:tr>
        <w:tblPrEx>
          <w:tblW w:w="0" w:type="auto"/>
          <w:jc w:val="left"/>
          <w:tblInd w:w="2950" w:type="dxa"/>
          <w:tblLayout w:type="fixed"/>
          <w:tblCellMar>
            <w:top w:w="0" w:type="dxa"/>
            <w:left w:w="0" w:type="dxa"/>
            <w:bottom w:w="0" w:type="dxa"/>
            <w:right w:w="0" w:type="dxa"/>
          </w:tblCellMar>
          <w:tblLook w:val="01E0"/>
        </w:tblPrEx>
        <w:trPr>
          <w:trHeight w:val="691"/>
          <w:jc w:val="left"/>
        </w:trPr>
        <w:tc>
          <w:tcPr>
            <w:tcW w:w="895" w:type="dxa"/>
          </w:tcPr>
          <w:p>
            <w:pPr>
              <w:pStyle w:val="TableParagraph"/>
              <w:spacing w:before="212" w:line="459" w:lineRule="exact"/>
              <w:ind w:left="50"/>
              <w:rPr>
                <w:b/>
                <w:sz w:val="42"/>
              </w:rPr>
            </w:pPr>
            <w:r>
              <w:rPr>
                <w:b/>
                <w:w w:val="99"/>
                <w:sz w:val="42"/>
              </w:rPr>
              <w:t>学</w:t>
            </w:r>
          </w:p>
        </w:tc>
        <w:tc>
          <w:tcPr>
            <w:tcW w:w="949" w:type="dxa"/>
          </w:tcPr>
          <w:p>
            <w:pPr>
              <w:pStyle w:val="TableParagraph"/>
              <w:spacing w:before="212" w:line="459" w:lineRule="exact"/>
              <w:ind w:right="102"/>
              <w:jc w:val="right"/>
              <w:rPr>
                <w:b/>
                <w:sz w:val="42"/>
              </w:rPr>
            </w:pPr>
            <w:r>
              <w:rPr>
                <w:b/>
                <w:w w:val="99"/>
                <w:sz w:val="42"/>
              </w:rPr>
              <w:t>号</w:t>
            </w:r>
          </w:p>
        </w:tc>
        <w:tc>
          <w:tcPr>
            <w:tcW w:w="632" w:type="dxa"/>
          </w:tcPr>
          <w:p>
            <w:pPr>
              <w:pStyle w:val="TableParagraph"/>
              <w:spacing w:before="212" w:line="459" w:lineRule="exact"/>
              <w:jc w:val="center"/>
              <w:rPr>
                <w:b/>
                <w:sz w:val="42"/>
              </w:rPr>
            </w:pPr>
            <w:r>
              <w:rPr>
                <w:b/>
                <w:w w:val="99"/>
                <w:sz w:val="42"/>
              </w:rPr>
              <w:t>：</w:t>
            </w:r>
          </w:p>
        </w:tc>
        <w:tc>
          <w:tcPr>
            <w:tcW w:w="3947" w:type="dxa"/>
          </w:tcPr>
          <w:p>
            <w:pPr>
              <w:pStyle w:val="TableParagraph"/>
              <w:spacing w:before="212" w:line="459" w:lineRule="exact"/>
              <w:ind w:left="950"/>
              <w:rPr>
                <w:b/>
                <w:sz w:val="42"/>
              </w:rPr>
            </w:pPr>
            <w:r>
              <w:rPr>
                <w:b/>
                <w:sz w:val="42"/>
              </w:rPr>
              <w:t>03</w:t>
            </w:r>
          </w:p>
        </w:tc>
      </w:tr>
    </w:tbl>
    <w:p>
      <w:pPr>
        <w:pStyle w:val="BodyText"/>
        <w:rPr>
          <w:b/>
          <w:sz w:val="3"/>
        </w:rPr>
      </w:pPr>
    </w:p>
    <w:p>
      <w:pPr>
        <w:pStyle w:val="BodyText"/>
        <w:spacing w:line="99" w:lineRule="exact"/>
        <w:ind w:left="5300"/>
        <w:rPr>
          <w:sz w:val="9"/>
        </w:rPr>
      </w:pPr>
      <w:r>
        <w:rPr>
          <w:position w:val="-1"/>
          <w:sz w:val="9"/>
        </w:rPr>
        <w:drawing>
          <wp:inline distT="0" distB="0" distL="0" distR="0">
            <wp:extent cx="1634204" cy="63341"/>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634204" cy="63341"/>
                    </a:xfrm>
                    <a:prstGeom prst="rect">
                      <a:avLst/>
                    </a:prstGeom>
                  </pic:spPr>
                </pic:pic>
              </a:graphicData>
            </a:graphic>
          </wp:inline>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8"/>
        </w:rPr>
      </w:pPr>
    </w:p>
    <w:p>
      <w:pPr>
        <w:tabs>
          <w:tab w:val="left" w:pos="8466"/>
          <w:tab w:val="left" w:pos="9312"/>
          <w:tab w:val="left" w:pos="9945"/>
          <w:tab w:val="left" w:pos="10788"/>
          <w:tab w:val="left" w:pos="11422"/>
        </w:tabs>
        <w:spacing w:before="42"/>
        <w:ind w:left="7188" w:right="0" w:firstLine="0"/>
        <w:jc w:val="left"/>
        <w:rPr>
          <w:b/>
          <w:sz w:val="42"/>
        </w:rPr>
      </w:pPr>
      <w:r>
        <w:rPr>
          <w:b/>
          <w:sz w:val="42"/>
        </w:rPr>
        <w:t>2013</w:t>
        <w:tab/>
        <w:t>年</w:t>
        <w:tab/>
        <w:t>2</w:t>
        <w:tab/>
        <w:t>月</w:t>
        <w:tab/>
        <w:t>1</w:t>
        <w:tab/>
        <w:t>日</w:t>
      </w:r>
    </w:p>
    <w:p>
      <w:pPr>
        <w:spacing w:after="0"/>
        <w:jc w:val="left"/>
        <w:rPr>
          <w:sz w:val="42"/>
        </w:rPr>
        <w:sectPr>
          <w:pgSz w:w="17860" w:h="25260"/>
          <w:pgMar w:top="1760" w:right="1780" w:bottom="280" w:left="2260" w:header="708" w:footer="708"/>
          <w:pgNumType w:start="3"/>
          <w:cols w:space="708"/>
        </w:sectPr>
      </w:pPr>
    </w:p>
    <w:p>
      <w:pPr>
        <w:pStyle w:val="Heading2"/>
        <w:numPr>
          <w:ilvl w:val="0"/>
          <w:numId w:val="8"/>
        </w:numPr>
        <w:tabs>
          <w:tab w:val="left" w:pos="657"/>
        </w:tabs>
        <w:spacing w:before="11" w:after="0" w:line="240" w:lineRule="auto"/>
        <w:ind w:left="656" w:right="0" w:hanging="364"/>
        <w:jc w:val="left"/>
      </w:pPr>
      <w:bookmarkStart w:id="0" w:name="_TOC_250024"/>
      <w:bookmarkEnd w:id="0"/>
      <w:r>
        <w:t>概述</w:t>
      </w:r>
    </w:p>
    <w:p>
      <w:pPr>
        <w:pStyle w:val="BodyText"/>
        <w:spacing w:before="4"/>
        <w:rPr>
          <w:b/>
          <w:sz w:val="67"/>
        </w:rPr>
      </w:pPr>
    </w:p>
    <w:p>
      <w:pPr>
        <w:pStyle w:val="BodyText"/>
        <w:spacing w:before="1" w:line="417" w:lineRule="auto"/>
        <w:ind w:left="293" w:right="204" w:firstLine="637"/>
      </w:pPr>
      <w:r>
        <w:t>泸州市位于四川省东南部川渝黔滇结合部，地处四川盆地南缘与云贵高原的过渡地带，地势北低南高。北部为河谷、低中丘陵，平坝连片，为鱼米之乡。南部连接云贵高原、属大娄山北麓，为低山，河流深切，河谷陡峭，森林矿产资源丰富。</w:t>
      </w:r>
    </w:p>
    <w:p>
      <w:pPr>
        <w:pStyle w:val="BodyText"/>
        <w:spacing w:line="455" w:lineRule="exact"/>
        <w:ind w:left="293"/>
      </w:pPr>
      <w:r>
        <w:t>泸州简介</w:t>
      </w:r>
    </w:p>
    <w:p>
      <w:pPr>
        <w:pStyle w:val="BodyText"/>
        <w:spacing w:before="4"/>
        <w:rPr>
          <w:sz w:val="26"/>
        </w:rPr>
      </w:pPr>
    </w:p>
    <w:p>
      <w:pPr>
        <w:pStyle w:val="BodyText"/>
        <w:spacing w:line="417" w:lineRule="auto"/>
        <w:ind w:left="293" w:right="294" w:firstLine="719"/>
        <w:jc w:val="both"/>
      </w:pPr>
      <w:r>
        <w:t>泸州，古称“江阳</w:t>
      </w:r>
      <w:r>
        <w:rPr>
          <w:spacing w:val="-23"/>
        </w:rPr>
        <w:t>”，别称“酒城”，位于中国四川省东南部，长江和沱江两江交</w:t>
      </w:r>
      <w:r>
        <w:rPr>
          <w:spacing w:val="-12"/>
        </w:rPr>
        <w:t>汇处。泸州是著名的中国国家历史文化名城，闻名遐尔的名酒泸州老窖和郎酒均出自</w:t>
      </w:r>
      <w:r>
        <w:rPr>
          <w:spacing w:val="-14"/>
        </w:rPr>
        <w:t>于此，是全国重要的循环型化工基地，全国重要的装备制造业基地，是全国大中型全</w:t>
      </w:r>
      <w:r>
        <w:rPr>
          <w:spacing w:val="-17"/>
        </w:rPr>
        <w:t>液压汽车起重机、挖掘机制造中心，泸州市先后获得过联合国改善人居环境最佳范例奖(迪拜奖)、国家卫生城市、中国优秀旅游城市、全国双拥模范城等诸多荣誉。</w:t>
      </w:r>
    </w:p>
    <w:p>
      <w:pPr>
        <w:pStyle w:val="BodyText"/>
        <w:spacing w:line="449" w:lineRule="exact"/>
        <w:ind w:left="1013"/>
        <w:jc w:val="both"/>
      </w:pPr>
      <w:r>
        <w:t>泸州是交通部确定的四川唯一的全国 28 个内河主要港口和国家水运口岸，有四</w:t>
      </w:r>
    </w:p>
    <w:p>
      <w:pPr>
        <w:pStyle w:val="BodyText"/>
        <w:spacing w:before="5"/>
        <w:rPr>
          <w:sz w:val="26"/>
        </w:rPr>
      </w:pPr>
    </w:p>
    <w:p>
      <w:pPr>
        <w:pStyle w:val="BodyText"/>
        <w:spacing w:line="417" w:lineRule="auto"/>
        <w:ind w:left="293" w:right="343"/>
      </w:pPr>
      <w:r>
        <w:rPr>
          <w:spacing w:val="-5"/>
        </w:rPr>
        <w:t>川第一大港口和集装箱码头——泸州港以及四川第三大航空港——泸州蓝田机场，是</w:t>
      </w:r>
      <w:r>
        <w:t>国家公路枢纽城市之一。</w:t>
      </w:r>
    </w:p>
    <w:p>
      <w:pPr>
        <w:pStyle w:val="BodyText"/>
      </w:pPr>
    </w:p>
    <w:p>
      <w:pPr>
        <w:pStyle w:val="BodyText"/>
      </w:pPr>
    </w:p>
    <w:p>
      <w:pPr>
        <w:pStyle w:val="BodyText"/>
        <w:spacing w:before="3"/>
        <w:rPr>
          <w:sz w:val="32"/>
        </w:rPr>
      </w:pPr>
    </w:p>
    <w:p>
      <w:pPr>
        <w:pStyle w:val="Heading3"/>
        <w:ind w:left="293"/>
      </w:pPr>
      <w:bookmarkStart w:id="1" w:name="_TOC_250023"/>
      <w:bookmarkEnd w:id="1"/>
      <w:r>
        <w:rPr>
          <w:w w:val="95"/>
        </w:rPr>
        <w:t>城市生活垃圾</w:t>
      </w:r>
    </w:p>
    <w:p>
      <w:pPr>
        <w:pStyle w:val="BodyText"/>
        <w:rPr>
          <w:b/>
          <w:sz w:val="42"/>
        </w:rPr>
      </w:pPr>
    </w:p>
    <w:p>
      <w:pPr>
        <w:pStyle w:val="BodyText"/>
        <w:spacing w:before="286" w:line="417" w:lineRule="auto"/>
        <w:ind w:left="293" w:right="204" w:firstLine="719"/>
      </w:pPr>
      <w:r>
        <w:t xml:space="preserve">城市生活垃圾是指在城市居民日常生活中或为城市日常生活提供服务的活动中 </w:t>
      </w:r>
      <w:r>
        <w:rPr>
          <w:spacing w:val="-1"/>
        </w:rPr>
        <w:t>产生的废弃物或丢弃物，是固体废物的一种。城市生活垃圾产量之大，增长之快，危</w:t>
      </w:r>
      <w:r>
        <w:rPr>
          <w:spacing w:val="-13"/>
        </w:rPr>
        <w:t>害之严重，已经广泛引起人们的普遍关注。我国目前的城市生活垃圾处理处置技术最</w:t>
      </w:r>
      <w:r>
        <w:rPr>
          <w:spacing w:val="-16"/>
        </w:rPr>
        <w:t>常用的为卫生填埋和露天堆放，占总处理量的%，其次为堆肥化，占%，少量采用焚烧</w:t>
      </w:r>
      <w:r>
        <w:rPr>
          <w:spacing w:val="-29"/>
        </w:rPr>
        <w:t xml:space="preserve">技术，约占 </w:t>
      </w:r>
      <w:r>
        <w:t>2%。</w:t>
      </w:r>
    </w:p>
    <w:p>
      <w:pPr>
        <w:pStyle w:val="BodyText"/>
        <w:spacing w:line="449" w:lineRule="exact"/>
        <w:ind w:left="1013"/>
      </w:pPr>
      <w:r>
        <w:t>随着科学技术的发展，生活垃圾焚烧的工艺和设备不断完善，采用焚烧方法处理</w:t>
      </w:r>
    </w:p>
    <w:p>
      <w:pPr>
        <w:pStyle w:val="BodyText"/>
        <w:spacing w:before="5"/>
        <w:rPr>
          <w:sz w:val="26"/>
        </w:rPr>
      </w:pPr>
    </w:p>
    <w:p>
      <w:pPr>
        <w:pStyle w:val="BodyText"/>
        <w:spacing w:line="417" w:lineRule="auto"/>
        <w:ind w:left="293" w:right="340"/>
        <w:jc w:val="both"/>
      </w:pPr>
      <w:r>
        <w:rPr>
          <w:spacing w:val="1"/>
        </w:rPr>
        <w:t xml:space="preserve">城市生活垃圾可以从垃圾中回收大量的金属和热能。据测定，若措施等当，利用 </w:t>
      </w:r>
      <w:r>
        <w:rPr>
          <w:spacing w:val="-6"/>
        </w:rPr>
        <w:t xml:space="preserve">1t </w:t>
      </w:r>
      <w:r>
        <w:rPr>
          <w:spacing w:val="-9"/>
        </w:rPr>
        <w:t xml:space="preserve">城市生活垃圾可获得约 </w:t>
      </w:r>
      <w:r>
        <w:t>300~400kW</w:t>
      </w:r>
      <w:r>
        <w:rPr>
          <w:spacing w:val="-17"/>
        </w:rPr>
        <w:t xml:space="preserve"> 的电力生产能力。今天为了缓和城市能源短缺，城</w:t>
      </w:r>
      <w:r>
        <w:t>市生活垃圾可以被看成是第二能源而被加以利用一供热和发电。</w:t>
      </w:r>
    </w:p>
    <w:p>
      <w:pPr>
        <w:spacing w:after="0" w:line="417" w:lineRule="auto"/>
        <w:jc w:val="both"/>
        <w:sectPr>
          <w:pgSz w:w="17860" w:h="25260"/>
          <w:pgMar w:top="1860" w:right="1780" w:bottom="280" w:left="2260" w:header="708" w:footer="708"/>
          <w:pgNumType w:start="4"/>
          <w:cols w:space="708"/>
        </w:sectPr>
      </w:pPr>
    </w:p>
    <w:p>
      <w:pPr>
        <w:pStyle w:val="BodyText"/>
        <w:rPr>
          <w:sz w:val="20"/>
        </w:rPr>
      </w:pPr>
    </w:p>
    <w:p>
      <w:pPr>
        <w:pStyle w:val="BodyText"/>
        <w:spacing w:before="12"/>
        <w:rPr>
          <w:sz w:val="17"/>
        </w:rPr>
      </w:pPr>
    </w:p>
    <w:p>
      <w:pPr>
        <w:pStyle w:val="Heading3"/>
        <w:spacing w:before="42"/>
      </w:pPr>
      <w:bookmarkStart w:id="2" w:name="_TOC_250022"/>
      <w:bookmarkEnd w:id="2"/>
      <w:r>
        <w:t>采用的设计标准和规范</w:t>
      </w:r>
    </w:p>
    <w:p>
      <w:pPr>
        <w:pStyle w:val="BodyText"/>
        <w:spacing w:before="5"/>
        <w:rPr>
          <w:b/>
          <w:sz w:val="60"/>
        </w:rPr>
      </w:pPr>
    </w:p>
    <w:p>
      <w:pPr>
        <w:pStyle w:val="BodyText"/>
        <w:spacing w:line="312" w:lineRule="auto"/>
        <w:ind w:left="293" w:right="359" w:firstLine="719"/>
        <w:jc w:val="both"/>
      </w:pPr>
      <w:r>
        <w:t>生活垃圾焚烧处理工程技术规范(CJJ90-2002\J184-2002)/中华人民共和国行业标准(中华人民共和国行业标准)； 生活垃圾焚烧处理工程技术规范(CJJ90-2009)；</w:t>
      </w:r>
    </w:p>
    <w:p>
      <w:pPr>
        <w:pStyle w:val="BodyText"/>
      </w:pPr>
    </w:p>
    <w:p>
      <w:pPr>
        <w:pStyle w:val="BodyText"/>
        <w:spacing w:before="7"/>
        <w:rPr>
          <w:sz w:val="44"/>
        </w:rPr>
      </w:pPr>
    </w:p>
    <w:p>
      <w:pPr>
        <w:pStyle w:val="Heading3"/>
      </w:pPr>
      <w:bookmarkStart w:id="3" w:name="_TOC_250021"/>
      <w:bookmarkEnd w:id="3"/>
      <w:r>
        <w:t>建设项目周围的环境概况</w:t>
      </w:r>
    </w:p>
    <w:p>
      <w:pPr>
        <w:pStyle w:val="BodyText"/>
        <w:spacing w:before="5"/>
        <w:rPr>
          <w:b/>
          <w:sz w:val="60"/>
        </w:rPr>
      </w:pPr>
    </w:p>
    <w:p>
      <w:pPr>
        <w:pStyle w:val="BodyText"/>
        <w:spacing w:line="312" w:lineRule="auto"/>
        <w:ind w:left="293" w:right="346" w:firstLine="719"/>
        <w:jc w:val="both"/>
      </w:pPr>
      <w:r>
        <w:rPr>
          <w:spacing w:val="-6"/>
        </w:rPr>
        <w:t>泸州市城市生活垃圾焚烧厂厂址确定在距泸州市城市规划建成区直线距离，运距</w:t>
      </w:r>
      <w:r>
        <w:t>9km。该厂址不在城市主导风向上，与泸州市建成区中间有高山阻隔，厂址占地主要为农耕地和次生林地（竹子</w:t>
      </w:r>
      <w:r>
        <w:rPr>
          <w:spacing w:val="-181"/>
        </w:rPr>
        <w:t>）</w:t>
      </w:r>
      <w:r>
        <w:t>，环境影响较小。</w:t>
      </w:r>
    </w:p>
    <w:p>
      <w:pPr>
        <w:pStyle w:val="BodyText"/>
      </w:pPr>
    </w:p>
    <w:p>
      <w:pPr>
        <w:pStyle w:val="BodyText"/>
        <w:spacing w:before="5"/>
        <w:rPr>
          <w:sz w:val="44"/>
        </w:rPr>
      </w:pPr>
    </w:p>
    <w:p>
      <w:pPr>
        <w:pStyle w:val="Heading3"/>
      </w:pPr>
      <w:bookmarkStart w:id="4" w:name="_TOC_250020"/>
      <w:bookmarkEnd w:id="4"/>
      <w:r>
        <w:t>垃圾的性质、成份及产生量的分析</w:t>
      </w:r>
    </w:p>
    <w:p>
      <w:pPr>
        <w:pStyle w:val="BodyText"/>
        <w:spacing w:before="4"/>
        <w:rPr>
          <w:b/>
          <w:sz w:val="60"/>
        </w:rPr>
      </w:pPr>
    </w:p>
    <w:p>
      <w:pPr>
        <w:pStyle w:val="BodyText"/>
        <w:spacing w:line="312" w:lineRule="auto"/>
        <w:ind w:left="293" w:right="339" w:firstLine="719"/>
        <w:jc w:val="both"/>
      </w:pPr>
      <w:r>
        <w:rPr>
          <w:spacing w:val="-8"/>
        </w:rPr>
        <w:t>泸州城市生活垃圾组成具有厨余垃圾含量高、可回收物质较少、年际变化较大等</w:t>
      </w:r>
      <w:r>
        <w:rPr>
          <w:spacing w:val="-3"/>
        </w:rPr>
        <w:t xml:space="preserve">特点，还表现出水分偏高、发热量偏低等特性，而且 </w:t>
      </w:r>
      <w:r>
        <w:t>la</w:t>
      </w:r>
      <w:r>
        <w:rPr>
          <w:spacing w:val="-10"/>
        </w:rPr>
        <w:t xml:space="preserve"> 内泸州生活垃圾成分随季节</w:t>
      </w:r>
      <w:r>
        <w:t>变化也十分明显。</w:t>
      </w:r>
    </w:p>
    <w:p>
      <w:pPr>
        <w:pStyle w:val="BodyText"/>
        <w:spacing w:before="2" w:line="312" w:lineRule="auto"/>
        <w:ind w:left="1013" w:right="2364"/>
        <w:jc w:val="both"/>
      </w:pPr>
      <w:r>
        <w:t>目前泸州市生活垃圾组分平均值及元素含量可根据资料文献查得： 生活垃圾中平均水分含量 56%，平均低位热值为 5500kj/kg。</w:t>
      </w:r>
    </w:p>
    <w:p>
      <w:pPr>
        <w:pStyle w:val="BodyText"/>
        <w:spacing w:line="461" w:lineRule="exact"/>
        <w:ind w:left="1013"/>
        <w:jc w:val="both"/>
      </w:pPr>
      <w:r>
        <w:t>该垃圾焚烧厂设计处理能力 230t/d。</w:t>
      </w:r>
    </w:p>
    <w:p>
      <w:pPr>
        <w:pStyle w:val="BodyText"/>
        <w:tabs>
          <w:tab w:val="left" w:pos="5063"/>
        </w:tabs>
        <w:spacing w:before="140" w:after="18"/>
        <w:ind w:left="293"/>
        <w:jc w:val="both"/>
      </w:pPr>
      <w:r>
        <w:t>表</w:t>
      </w:r>
      <w:r>
        <w:rPr>
          <w:spacing w:val="-91"/>
        </w:rPr>
        <w:t xml:space="preserve"> </w:t>
      </w:r>
      <w:r>
        <w:t>1</w:t>
        <w:tab/>
        <w:t>生活垃圾组分平均值</w:t>
      </w:r>
    </w:p>
    <w:p>
      <w:pPr>
        <w:pStyle w:val="BodyText"/>
        <w:ind w:left="105"/>
        <w:rPr>
          <w:sz w:val="20"/>
        </w:rPr>
      </w:pPr>
      <w:r>
        <w:rPr>
          <w:sz w:val="20"/>
        </w:rPr>
        <w:pict>
          <v:group id="_x0000_i1025" style="width:672.75pt;height:95pt;mso-position-horizontal-relative:char;mso-position-vertical-relative:line" coordorigin="0,0" coordsize="13455,1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455;height:1900;position:absolute" stroked="f">
              <v:imagedata r:id="rId8" o:title=""/>
            </v:shape>
            <v:shapetype id="_x0000_t202" coordsize="21600,21600" o:spt="202" path="m,l,21600r21600,l21600,xe">
              <v:stroke joinstyle="miter"/>
              <v:path gradientshapeok="t" o:connecttype="rect"/>
            </v:shapetype>
            <v:shape id="_x0000_s1027" type="#_x0000_t202" style="width:3260;height:360;left:5102;position:absolute;top:187" filled="f" stroked="f">
              <v:textbox inset="0,0,0,0">
                <w:txbxContent>
                  <w:p>
                    <w:pPr>
                      <w:spacing w:before="0" w:line="360" w:lineRule="exact"/>
                      <w:ind w:left="0" w:right="0" w:firstLine="0"/>
                      <w:jc w:val="left"/>
                      <w:rPr>
                        <w:sz w:val="36"/>
                      </w:rPr>
                    </w:pPr>
                    <w:r>
                      <w:rPr>
                        <w:sz w:val="36"/>
                      </w:rPr>
                      <w:t>垃圾组分/%（质量）</w:t>
                    </w:r>
                  </w:p>
                </w:txbxContent>
              </v:textbox>
            </v:shape>
            <v:shape id="_x0000_s1028" type="#_x0000_t202" style="width:740;height:360;left:415;position:absolute;top:799" filled="f" stroked="f">
              <v:textbox inset="0,0,0,0">
                <w:txbxContent>
                  <w:p>
                    <w:pPr>
                      <w:spacing w:before="0" w:line="360" w:lineRule="exact"/>
                      <w:ind w:left="0" w:right="0" w:firstLine="0"/>
                      <w:jc w:val="left"/>
                      <w:rPr>
                        <w:sz w:val="36"/>
                      </w:rPr>
                    </w:pPr>
                    <w:r>
                      <w:rPr>
                        <w:sz w:val="36"/>
                      </w:rPr>
                      <w:t>纸类</w:t>
                    </w:r>
                  </w:p>
                </w:txbxContent>
              </v:textbox>
            </v:shape>
            <v:shape id="_x0000_s1029" type="#_x0000_t202" style="width:740;height:360;left:1912;position:absolute;top:799" filled="f" stroked="f">
              <v:textbox inset="0,0,0,0">
                <w:txbxContent>
                  <w:p>
                    <w:pPr>
                      <w:spacing w:before="0" w:line="360" w:lineRule="exact"/>
                      <w:ind w:left="0" w:right="0" w:firstLine="0"/>
                      <w:jc w:val="left"/>
                      <w:rPr>
                        <w:sz w:val="36"/>
                      </w:rPr>
                    </w:pPr>
                    <w:r>
                      <w:rPr>
                        <w:sz w:val="36"/>
                      </w:rPr>
                      <w:t>塑料</w:t>
                    </w:r>
                  </w:p>
                </w:txbxContent>
              </v:textbox>
            </v:shape>
            <v:shape id="_x0000_s1030" type="#_x0000_t202" style="width:740;height:360;left:3414;position:absolute;top:799" filled="f" stroked="f">
              <v:textbox inset="0,0,0,0">
                <w:txbxContent>
                  <w:p>
                    <w:pPr>
                      <w:spacing w:before="0" w:line="360" w:lineRule="exact"/>
                      <w:ind w:left="0" w:right="0" w:firstLine="0"/>
                      <w:jc w:val="left"/>
                      <w:rPr>
                        <w:sz w:val="36"/>
                      </w:rPr>
                    </w:pPr>
                    <w:r>
                      <w:rPr>
                        <w:sz w:val="36"/>
                      </w:rPr>
                      <w:t>竹木</w:t>
                    </w:r>
                  </w:p>
                </w:txbxContent>
              </v:textbox>
            </v:shape>
            <v:shape id="_x0000_s1031" type="#_x0000_t202" style="width:740;height:360;left:4915;position:absolute;top:799" filled="f" stroked="f">
              <v:textbox inset="0,0,0,0">
                <w:txbxContent>
                  <w:p>
                    <w:pPr>
                      <w:spacing w:before="0" w:line="360" w:lineRule="exact"/>
                      <w:ind w:left="0" w:right="0" w:firstLine="0"/>
                      <w:jc w:val="left"/>
                      <w:rPr>
                        <w:sz w:val="36"/>
                      </w:rPr>
                    </w:pPr>
                    <w:r>
                      <w:rPr>
                        <w:sz w:val="36"/>
                      </w:rPr>
                      <w:t>布类</w:t>
                    </w:r>
                  </w:p>
                </w:txbxContent>
              </v:textbox>
            </v:shape>
            <v:shape id="_x0000_s1032" type="#_x0000_t202" style="width:740;height:360;left:6413;position:absolute;top:799" filled="f" stroked="f">
              <v:textbox inset="0,0,0,0">
                <w:txbxContent>
                  <w:p>
                    <w:pPr>
                      <w:spacing w:before="0" w:line="360" w:lineRule="exact"/>
                      <w:ind w:left="0" w:right="0" w:firstLine="0"/>
                      <w:jc w:val="left"/>
                      <w:rPr>
                        <w:sz w:val="36"/>
                      </w:rPr>
                    </w:pPr>
                    <w:r>
                      <w:rPr>
                        <w:sz w:val="36"/>
                      </w:rPr>
                      <w:t>厨余</w:t>
                    </w:r>
                  </w:p>
                </w:txbxContent>
              </v:textbox>
            </v:shape>
            <v:shape id="_x0000_s1033" type="#_x0000_t202" style="width:740;height:360;left:7915;position:absolute;top:799" filled="f" stroked="f">
              <v:textbox inset="0,0,0,0">
                <w:txbxContent>
                  <w:p>
                    <w:pPr>
                      <w:spacing w:before="0" w:line="360" w:lineRule="exact"/>
                      <w:ind w:left="0" w:right="0" w:firstLine="0"/>
                      <w:jc w:val="left"/>
                      <w:rPr>
                        <w:sz w:val="36"/>
                      </w:rPr>
                    </w:pPr>
                    <w:r>
                      <w:rPr>
                        <w:sz w:val="36"/>
                      </w:rPr>
                      <w:t>果皮</w:t>
                    </w:r>
                  </w:p>
                </w:txbxContent>
              </v:textbox>
            </v:shape>
            <v:shape id="_x0000_s1034" type="#_x0000_t202" style="width:740;height:360;left:9416;position:absolute;top:799" filled="f" stroked="f">
              <v:textbox inset="0,0,0,0">
                <w:txbxContent>
                  <w:p>
                    <w:pPr>
                      <w:spacing w:before="0" w:line="360" w:lineRule="exact"/>
                      <w:ind w:left="0" w:right="0" w:firstLine="0"/>
                      <w:jc w:val="left"/>
                      <w:rPr>
                        <w:sz w:val="36"/>
                      </w:rPr>
                    </w:pPr>
                    <w:r>
                      <w:rPr>
                        <w:sz w:val="36"/>
                      </w:rPr>
                      <w:t>金属</w:t>
                    </w:r>
                  </w:p>
                </w:txbxContent>
              </v:textbox>
            </v:shape>
            <v:shape id="_x0000_s1035" type="#_x0000_t202" style="width:740;height:360;left:10918;position:absolute;top:799" filled="f" stroked="f">
              <v:textbox inset="0,0,0,0">
                <w:txbxContent>
                  <w:p>
                    <w:pPr>
                      <w:spacing w:before="0" w:line="360" w:lineRule="exact"/>
                      <w:ind w:left="0" w:right="0" w:firstLine="0"/>
                      <w:jc w:val="left"/>
                      <w:rPr>
                        <w:sz w:val="36"/>
                      </w:rPr>
                    </w:pPr>
                    <w:r>
                      <w:rPr>
                        <w:sz w:val="36"/>
                      </w:rPr>
                      <w:t>玻璃</w:t>
                    </w:r>
                  </w:p>
                </w:txbxContent>
              </v:textbox>
            </v:shape>
            <v:shape id="_x0000_s1036" type="#_x0000_t202" style="width:740;height:360;left:12365;position:absolute;top:799" filled="f" stroked="f">
              <v:textbox inset="0,0,0,0">
                <w:txbxContent>
                  <w:p>
                    <w:pPr>
                      <w:spacing w:before="0" w:line="360" w:lineRule="exact"/>
                      <w:ind w:left="0" w:right="0" w:firstLine="0"/>
                      <w:jc w:val="left"/>
                      <w:rPr>
                        <w:sz w:val="36"/>
                      </w:rPr>
                    </w:pPr>
                    <w:r>
                      <w:rPr>
                        <w:sz w:val="36"/>
                      </w:rPr>
                      <w:t>渣石</w:t>
                    </w:r>
                  </w:p>
                </w:txbxContent>
              </v:textbox>
            </v:shape>
            <w10:wrap type="none"/>
          </v:group>
        </w:pict>
      </w:r>
    </w:p>
    <w:p>
      <w:pPr>
        <w:pStyle w:val="BodyText"/>
        <w:rPr>
          <w:sz w:val="20"/>
        </w:rPr>
      </w:pPr>
    </w:p>
    <w:p>
      <w:pPr>
        <w:pStyle w:val="BodyText"/>
        <w:spacing w:before="8"/>
        <w:rPr>
          <w:sz w:val="28"/>
        </w:rPr>
      </w:pPr>
    </w:p>
    <w:p>
      <w:pPr>
        <w:pStyle w:val="BodyText"/>
        <w:tabs>
          <w:tab w:val="left" w:pos="4883"/>
        </w:tabs>
        <w:spacing w:before="49" w:after="17"/>
        <w:ind w:left="293"/>
      </w:pPr>
      <w:r>
        <w:t>表</w:t>
      </w:r>
      <w:r>
        <w:rPr>
          <w:spacing w:val="-91"/>
        </w:rPr>
        <w:t xml:space="preserve"> </w:t>
      </w:r>
      <w:r>
        <w:t>2</w:t>
        <w:tab/>
        <w:t>垃圾中各元素含量分析/%</w:t>
      </w:r>
    </w:p>
    <w:p>
      <w:pPr>
        <w:pStyle w:val="BodyText"/>
        <w:ind w:left="105"/>
        <w:rPr>
          <w:sz w:val="20"/>
        </w:rPr>
      </w:pPr>
      <w:r>
        <w:rPr>
          <w:sz w:val="20"/>
        </w:rPr>
        <w:pict>
          <v:group id="_x0000_i1037" style="width:672.75pt;height:64pt;mso-position-horizontal-relative:char;mso-position-vertical-relative:line" coordorigin="0,0" coordsize="13455,1280">
            <v:shape id="_x0000_s1038" type="#_x0000_t75" style="width:13455;height:1280;position:absolute" stroked="f">
              <v:imagedata r:id="rId9" o:title=""/>
            </v:shape>
            <v:shape id="_x0000_s1039" type="#_x0000_t202" style="width:200;height:360;left:778;position:absolute;top:188" filled="f" stroked="f">
              <v:textbox inset="0,0,0,0">
                <w:txbxContent>
                  <w:p>
                    <w:pPr>
                      <w:spacing w:before="0" w:line="360" w:lineRule="exact"/>
                      <w:ind w:left="0" w:right="0" w:firstLine="0"/>
                      <w:jc w:val="left"/>
                      <w:rPr>
                        <w:sz w:val="36"/>
                      </w:rPr>
                    </w:pPr>
                    <w:r>
                      <w:rPr>
                        <w:sz w:val="36"/>
                      </w:rPr>
                      <w:t>C</w:t>
                    </w:r>
                  </w:p>
                </w:txbxContent>
              </v:textbox>
            </v:shape>
            <v:shape id="_x0000_s1040" type="#_x0000_t202" style="width:200;height:360;left:2466;position:absolute;top:188" filled="f" stroked="f">
              <v:textbox inset="0,0,0,0">
                <w:txbxContent>
                  <w:p>
                    <w:pPr>
                      <w:spacing w:before="0" w:line="360" w:lineRule="exact"/>
                      <w:ind w:left="0" w:right="0" w:firstLine="0"/>
                      <w:jc w:val="left"/>
                      <w:rPr>
                        <w:sz w:val="36"/>
                      </w:rPr>
                    </w:pPr>
                    <w:r>
                      <w:rPr>
                        <w:sz w:val="36"/>
                      </w:rPr>
                      <w:t>H</w:t>
                    </w:r>
                  </w:p>
                </w:txbxContent>
              </v:textbox>
            </v:shape>
            <v:shape id="_x0000_s1041" type="#_x0000_t202" style="width:200;height:360;left:4152;position:absolute;top:188" filled="f" stroked="f">
              <v:textbox inset="0,0,0,0">
                <w:txbxContent>
                  <w:p>
                    <w:pPr>
                      <w:spacing w:before="0" w:line="360" w:lineRule="exact"/>
                      <w:ind w:left="0" w:right="0" w:firstLine="0"/>
                      <w:jc w:val="left"/>
                      <w:rPr>
                        <w:sz w:val="36"/>
                      </w:rPr>
                    </w:pPr>
                    <w:r>
                      <w:rPr>
                        <w:sz w:val="36"/>
                      </w:rPr>
                      <w:t>O</w:t>
                    </w:r>
                  </w:p>
                </w:txbxContent>
              </v:textbox>
            </v:shape>
            <v:shape id="_x0000_s1042" type="#_x0000_t202" style="width:200;height:360;left:5840;position:absolute;top:188" filled="f" stroked="f">
              <v:textbox inset="0,0,0,0">
                <w:txbxContent>
                  <w:p>
                    <w:pPr>
                      <w:spacing w:before="0" w:line="360" w:lineRule="exact"/>
                      <w:ind w:left="0" w:right="0" w:firstLine="0"/>
                      <w:jc w:val="left"/>
                      <w:rPr>
                        <w:sz w:val="36"/>
                      </w:rPr>
                    </w:pPr>
                    <w:r>
                      <w:rPr>
                        <w:sz w:val="36"/>
                      </w:rPr>
                      <w:t>N</w:t>
                    </w:r>
                  </w:p>
                </w:txbxContent>
              </v:textbox>
            </v:shape>
            <v:shape id="_x0000_s1043" type="#_x0000_t202" style="width:200;height:360;left:7529;position:absolute;top:188" filled="f" stroked="f">
              <v:textbox inset="0,0,0,0">
                <w:txbxContent>
                  <w:p>
                    <w:pPr>
                      <w:spacing w:before="0" w:line="360" w:lineRule="exact"/>
                      <w:ind w:left="0" w:right="0" w:firstLine="0"/>
                      <w:jc w:val="left"/>
                      <w:rPr>
                        <w:sz w:val="36"/>
                      </w:rPr>
                    </w:pPr>
                    <w:r>
                      <w:rPr>
                        <w:sz w:val="36"/>
                      </w:rPr>
                      <w:t>S</w:t>
                    </w:r>
                  </w:p>
                </w:txbxContent>
              </v:textbox>
            </v:shape>
            <v:shape id="_x0000_s1044" type="#_x0000_t202" style="width:380;height:360;left:9128;position:absolute;top:188" filled="f" stroked="f">
              <v:textbox inset="0,0,0,0">
                <w:txbxContent>
                  <w:p>
                    <w:pPr>
                      <w:spacing w:before="0" w:line="360" w:lineRule="exact"/>
                      <w:ind w:left="0" w:right="0" w:firstLine="0"/>
                      <w:jc w:val="left"/>
                      <w:rPr>
                        <w:sz w:val="36"/>
                      </w:rPr>
                    </w:pPr>
                    <w:r>
                      <w:rPr>
                        <w:sz w:val="36"/>
                      </w:rPr>
                      <w:t>Cl</w:t>
                    </w:r>
                  </w:p>
                </w:txbxContent>
              </v:textbox>
            </v:shape>
            <v:shape id="_x0000_s1045" type="#_x0000_t202" style="width:200;height:360;left:10907;position:absolute;top:188" filled="f" stroked="f">
              <v:textbox inset="0,0,0,0">
                <w:txbxContent>
                  <w:p>
                    <w:pPr>
                      <w:spacing w:before="0" w:line="360" w:lineRule="exact"/>
                      <w:ind w:left="0" w:right="0" w:firstLine="0"/>
                      <w:jc w:val="left"/>
                      <w:rPr>
                        <w:sz w:val="36"/>
                      </w:rPr>
                    </w:pPr>
                    <w:r>
                      <w:rPr>
                        <w:sz w:val="36"/>
                      </w:rPr>
                      <w:t>W</w:t>
                    </w:r>
                  </w:p>
                </w:txbxContent>
              </v:textbox>
            </v:shape>
            <v:shape id="_x0000_s1046" type="#_x0000_t202" style="width:200;height:360;left:12542;position:absolute;top:188" filled="f" stroked="f">
              <v:textbox inset="0,0,0,0">
                <w:txbxContent>
                  <w:p>
                    <w:pPr>
                      <w:spacing w:before="0" w:line="360" w:lineRule="exact"/>
                      <w:ind w:left="0" w:right="0" w:firstLine="0"/>
                      <w:jc w:val="left"/>
                      <w:rPr>
                        <w:sz w:val="36"/>
                      </w:rPr>
                    </w:pPr>
                    <w:r>
                      <w:rPr>
                        <w:sz w:val="36"/>
                      </w:rPr>
                      <w:t>A</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
        <w:rPr>
          <w:sz w:val="19"/>
        </w:rPr>
      </w:pPr>
    </w:p>
    <w:p>
      <w:pPr>
        <w:pStyle w:val="Heading2"/>
        <w:numPr>
          <w:ilvl w:val="0"/>
          <w:numId w:val="10"/>
        </w:numPr>
        <w:tabs>
          <w:tab w:val="left" w:pos="776"/>
        </w:tabs>
        <w:spacing w:before="32" w:after="0" w:line="240" w:lineRule="auto"/>
        <w:ind w:left="775" w:right="0" w:hanging="483"/>
        <w:jc w:val="left"/>
      </w:pPr>
      <w:bookmarkStart w:id="5" w:name="_TOC_250019"/>
      <w:bookmarkEnd w:id="5"/>
      <w:r>
        <w:t>工艺方案选择</w:t>
      </w:r>
    </w:p>
    <w:p>
      <w:pPr>
        <w:spacing w:after="0" w:line="240" w:lineRule="auto"/>
        <w:jc w:val="left"/>
        <w:sectPr>
          <w:pgSz w:w="17860" w:h="25260"/>
          <w:pgMar w:top="2420" w:right="1780" w:bottom="280" w:left="2260" w:header="708" w:footer="708"/>
          <w:pgNumType w:start="5"/>
          <w:cols w:space="708"/>
        </w:sectPr>
      </w:pPr>
    </w:p>
    <w:p>
      <w:pPr>
        <w:pStyle w:val="BodyText"/>
        <w:rPr>
          <w:b/>
          <w:sz w:val="20"/>
        </w:rPr>
      </w:pPr>
    </w:p>
    <w:p>
      <w:pPr>
        <w:pStyle w:val="BodyText"/>
        <w:spacing w:before="12"/>
        <w:rPr>
          <w:b/>
          <w:sz w:val="17"/>
        </w:rPr>
      </w:pPr>
    </w:p>
    <w:p>
      <w:pPr>
        <w:pStyle w:val="Heading3"/>
        <w:spacing w:before="42"/>
        <w:ind w:left="293"/>
      </w:pPr>
      <w:bookmarkStart w:id="6" w:name="_TOC_250018"/>
      <w:bookmarkEnd w:id="6"/>
      <w:r>
        <w:t>焚烧工艺的优缺点及试用条件</w:t>
      </w:r>
    </w:p>
    <w:p>
      <w:pPr>
        <w:pStyle w:val="BodyText"/>
        <w:spacing w:before="5"/>
        <w:rPr>
          <w:b/>
          <w:sz w:val="60"/>
        </w:rPr>
      </w:pPr>
    </w:p>
    <w:p>
      <w:pPr>
        <w:pStyle w:val="BodyText"/>
        <w:spacing w:line="312" w:lineRule="auto"/>
        <w:ind w:left="293" w:right="204" w:firstLine="719"/>
      </w:pPr>
      <w:r>
        <w:rPr>
          <w:spacing w:val="-7"/>
        </w:rPr>
        <w:t>解决垃圾问题的目标是实现“减量化、无害化及资源化”。目前，垃圾的处理方</w:t>
      </w:r>
      <w:r>
        <w:rPr>
          <w:spacing w:val="-8"/>
        </w:rPr>
        <w:t>式主要包括填埋、焚烧、堆肥等技术。而运用最为广泛的技术就是填埋和焚烧。不同</w:t>
      </w:r>
      <w:r>
        <w:rPr>
          <w:spacing w:val="-1"/>
        </w:rPr>
        <w:t>垃圾处理方式技术的选择与经济发展水平、人口密度、土地、周边条件、垃圾成分特</w:t>
      </w:r>
      <w:r>
        <w:t>性（如含水率、垃圾热值等</w:t>
      </w:r>
      <w:r>
        <w:rPr>
          <w:spacing w:val="-181"/>
        </w:rPr>
        <w:t>）</w:t>
      </w:r>
      <w:r>
        <w:t>、环保意识等息息相关。</w:t>
      </w:r>
    </w:p>
    <w:p>
      <w:pPr>
        <w:pStyle w:val="Heading6"/>
        <w:spacing w:before="3"/>
        <w:ind w:left="293"/>
      </w:pPr>
      <w:r>
        <w:t>焚烧工艺的优缺点</w:t>
      </w:r>
    </w:p>
    <w:p>
      <w:pPr>
        <w:pStyle w:val="BodyText"/>
        <w:spacing w:before="140" w:line="312" w:lineRule="auto"/>
        <w:ind w:left="293" w:right="344" w:firstLine="719"/>
        <w:jc w:val="both"/>
      </w:pPr>
      <w:r>
        <w:t>焚烧法是将垃圾中的可燃成分在高温</w:t>
      </w:r>
      <w:r>
        <w:rPr>
          <w:spacing w:val="2"/>
        </w:rPr>
        <w:t>（800℃～1000℃）</w:t>
      </w:r>
      <w:r>
        <w:t xml:space="preserve">条件下经过燃烧反应， </w:t>
      </w:r>
      <w:r>
        <w:rPr>
          <w:spacing w:val="-11"/>
        </w:rPr>
        <w:t>可燃成分充分氧化，最终成为无害稳定的灰渣。焚烧法一般可使垃圾大幅度减容，大</w:t>
      </w:r>
      <w:r>
        <w:rPr>
          <w:spacing w:val="-8"/>
        </w:rPr>
        <w:t>大减少了占地并能回收热能用于生活取暖和发电。焚烧是目前世界上—些经济发达国</w:t>
      </w:r>
      <w:r>
        <w:t>家广泛采用的一种城市生活垃圾处理技术。</w:t>
      </w:r>
    </w:p>
    <w:p>
      <w:pPr>
        <w:pStyle w:val="BodyText"/>
        <w:ind w:left="1020"/>
      </w:pPr>
      <w:r>
        <w:t>焚烧处理的优点有：</w:t>
      </w:r>
    </w:p>
    <w:p>
      <w:pPr>
        <w:pStyle w:val="BodyText"/>
        <w:spacing w:before="139" w:line="312" w:lineRule="auto"/>
        <w:ind w:left="293" w:right="384" w:firstLine="720"/>
      </w:pPr>
      <w:r>
        <w:t>1、圾焚烧处理后，垃圾中的病原休被彻底消灭，燃烧过程中产生的有毒有害气体和烟尘经处理达标后排放，无害化程度高；</w:t>
      </w:r>
    </w:p>
    <w:p>
      <w:pPr>
        <w:pStyle w:val="BodyText"/>
        <w:spacing w:line="312" w:lineRule="auto"/>
        <w:ind w:left="293" w:right="324" w:firstLine="720"/>
      </w:pPr>
      <w:r>
        <w:t>1、经过焚烧，垃圾中可燃成分被高温分解后一般可减容80％～90％，减容效果好，可节约大量填埋场占地，经分选后的垃圾焚烧效果更好；</w:t>
      </w:r>
    </w:p>
    <w:p>
      <w:pPr>
        <w:pStyle w:val="BodyText"/>
        <w:spacing w:before="3" w:line="312" w:lineRule="auto"/>
        <w:ind w:left="293" w:right="166" w:firstLine="719"/>
      </w:pPr>
      <w:r>
        <w:t>3</w:t>
      </w:r>
      <w:r>
        <w:rPr>
          <w:spacing w:val="-14"/>
        </w:rPr>
        <w:t xml:space="preserve">、垃圾被作为能源来利用，垃圾焚烧所产生的高温烟气，其热能被转变为蒸汽， </w:t>
      </w:r>
      <w:r>
        <w:t>用来供热及发电，还可回收铁磁性金属等资源，可以充分实现垃圾处理的资源化；</w:t>
      </w:r>
    </w:p>
    <w:p>
      <w:pPr>
        <w:pStyle w:val="BodyText"/>
        <w:spacing w:line="312" w:lineRule="auto"/>
        <w:ind w:left="293" w:right="344" w:firstLine="719"/>
        <w:jc w:val="both"/>
      </w:pPr>
      <w:r>
        <w:t>4、垃圾焚烧厂占地面积小，尾气经净化处理后污染较小，可以靠近市区建厂。</w:t>
      </w:r>
      <w:r>
        <w:rPr>
          <w:spacing w:val="-8"/>
        </w:rPr>
        <w:t>既节约用地又缩短了垃圾的运输距离，对于经济发达的城市，可因地制宜，发展以焚</w:t>
      </w:r>
      <w:r>
        <w:t>烧、减容为主的综合处理。</w:t>
      </w:r>
    </w:p>
    <w:p>
      <w:pPr>
        <w:pStyle w:val="BodyText"/>
        <w:spacing w:before="1" w:line="312" w:lineRule="auto"/>
        <w:ind w:left="1013" w:right="5424"/>
      </w:pPr>
      <w:r>
        <w:t>5、焚烧处理可全天候操作，不易受天气影响； 焚烧处理的缺点有：</w:t>
      </w:r>
    </w:p>
    <w:p>
      <w:pPr>
        <w:pStyle w:val="BodyText"/>
        <w:spacing w:line="461" w:lineRule="exact"/>
        <w:ind w:left="1013"/>
      </w:pPr>
      <w:r>
        <w:t>1、焚烧法投资大，占用资金周期长。</w:t>
      </w:r>
    </w:p>
    <w:p>
      <w:pPr>
        <w:pStyle w:val="BodyText"/>
        <w:spacing w:before="140"/>
        <w:ind w:left="1013"/>
      </w:pPr>
      <w:r>
        <w:t>2、焚烧对垃圾的热值有一定要求，一般不低5000kJ/kg，限制了它的应用范围。</w:t>
      </w:r>
    </w:p>
    <w:p>
      <w:pPr>
        <w:spacing w:before="141" w:line="542" w:lineRule="auto"/>
        <w:ind w:left="293" w:right="384" w:firstLine="719"/>
        <w:jc w:val="left"/>
        <w:rPr>
          <w:b/>
          <w:sz w:val="36"/>
        </w:rPr>
      </w:pPr>
      <w:r>
        <w:rPr>
          <w:sz w:val="36"/>
        </w:rPr>
        <w:t>3、焚烧过程中产生的二恶英问题，必须有很大的资金投入才能进行有效处理。</w:t>
      </w:r>
      <w:r>
        <w:rPr>
          <w:b/>
          <w:sz w:val="36"/>
        </w:rPr>
        <w:t>焚烧工艺的试用条件</w:t>
      </w:r>
    </w:p>
    <w:p>
      <w:pPr>
        <w:pStyle w:val="BodyText"/>
        <w:spacing w:before="93" w:line="312" w:lineRule="auto"/>
        <w:ind w:left="293" w:right="340" w:firstLine="719"/>
      </w:pPr>
      <w:r>
        <w:rPr>
          <w:spacing w:val="-8"/>
        </w:rPr>
        <w:t>焚烧处理方法适用于卫生填埋场地缺乏、生活垃圾热值高、经济条件较发达的城</w:t>
      </w:r>
      <w:r>
        <w:t>市。</w:t>
      </w:r>
    </w:p>
    <w:p>
      <w:pPr>
        <w:spacing w:after="0" w:line="312" w:lineRule="auto"/>
        <w:sectPr>
          <w:pgSz w:w="17860" w:h="25260"/>
          <w:pgMar w:top="2420" w:right="1780" w:bottom="280" w:left="2260" w:header="708" w:footer="708"/>
          <w:pgNumType w:start="6"/>
          <w:cols w:space="708"/>
        </w:sectPr>
      </w:pPr>
    </w:p>
    <w:p>
      <w:pPr>
        <w:pStyle w:val="Heading3"/>
        <w:spacing w:before="18"/>
      </w:pPr>
      <w:bookmarkStart w:id="7" w:name="_TOC_250017"/>
      <w:bookmarkEnd w:id="7"/>
      <w:r>
        <w:t>拟采用的工艺形式</w:t>
      </w:r>
    </w:p>
    <w:p>
      <w:pPr>
        <w:pStyle w:val="BodyText"/>
        <w:rPr>
          <w:b/>
          <w:sz w:val="42"/>
        </w:rPr>
      </w:pPr>
    </w:p>
    <w:p>
      <w:pPr>
        <w:pStyle w:val="BodyText"/>
        <w:spacing w:before="286" w:line="415" w:lineRule="auto"/>
        <w:ind w:left="293" w:right="204" w:firstLine="719"/>
      </w:pPr>
      <w:r>
        <w:rPr>
          <w:spacing w:val="-1"/>
        </w:rPr>
        <w:t>针对我国城市生活垃圾的特点，对现有的垃圾焚烧处理工艺进行了深入的研究。</w:t>
      </w:r>
      <w:r>
        <w:rPr>
          <w:spacing w:val="-11"/>
        </w:rPr>
        <w:t>结果表明：机械炉排焚烧炉技术比较适合国内的高水分、低热值垃圾，是目前垃圾焚</w:t>
      </w:r>
      <w:r>
        <w:rPr>
          <w:spacing w:val="-17"/>
        </w:rPr>
        <w:t>烧发电行业应大规模推广的技术；烟气净化采用半干法脱酸塔加布袋除尘器的组合工艺为较佳方案。</w:t>
      </w:r>
    </w:p>
    <w:p>
      <w:pPr>
        <w:pStyle w:val="BodyText"/>
      </w:pPr>
    </w:p>
    <w:p>
      <w:pPr>
        <w:pStyle w:val="BodyText"/>
        <w:spacing w:before="10"/>
        <w:rPr>
          <w:sz w:val="31"/>
        </w:rPr>
      </w:pPr>
    </w:p>
    <w:p>
      <w:pPr>
        <w:pStyle w:val="Heading3"/>
      </w:pPr>
      <w:bookmarkStart w:id="8" w:name="_TOC_250016"/>
      <w:bookmarkEnd w:id="8"/>
      <w:r>
        <w:t>设计采用方案工艺流程</w:t>
      </w:r>
    </w:p>
    <w:p>
      <w:pPr>
        <w:pStyle w:val="BodyText"/>
        <w:rPr>
          <w:b/>
          <w:sz w:val="42"/>
        </w:rPr>
      </w:pPr>
    </w:p>
    <w:p>
      <w:pPr>
        <w:pStyle w:val="Heading6"/>
        <w:spacing w:before="282"/>
        <w:ind w:left="293"/>
      </w:pPr>
      <w:bookmarkStart w:id="9" w:name="_TOC_250015"/>
      <w:bookmarkEnd w:id="9"/>
      <w:r>
        <w:rPr>
          <w:w w:val="95"/>
        </w:rPr>
        <w:t>工艺流程框图</w:t>
      </w:r>
    </w:p>
    <w:p>
      <w:pPr>
        <w:pStyle w:val="BodyText"/>
        <w:rPr>
          <w:b/>
        </w:rPr>
      </w:pPr>
    </w:p>
    <w:p>
      <w:pPr>
        <w:pStyle w:val="BodyText"/>
        <w:rPr>
          <w:b/>
        </w:rPr>
      </w:pPr>
    </w:p>
    <w:p>
      <w:pPr>
        <w:pStyle w:val="BodyText"/>
        <w:rPr>
          <w:b/>
          <w:sz w:val="53"/>
        </w:rPr>
      </w:pPr>
    </w:p>
    <w:p>
      <w:pPr>
        <w:pStyle w:val="Heading6"/>
        <w:ind w:left="293"/>
      </w:pPr>
      <w:bookmarkStart w:id="10" w:name="_TOC_250014"/>
      <w:bookmarkEnd w:id="10"/>
      <w:r>
        <w:rPr>
          <w:w w:val="95"/>
        </w:rPr>
        <w:t>工艺流程说明</w:t>
      </w:r>
    </w:p>
    <w:p>
      <w:pPr>
        <w:pStyle w:val="BodyText"/>
        <w:rPr>
          <w:b/>
        </w:rPr>
      </w:pPr>
    </w:p>
    <w:p>
      <w:pPr>
        <w:pStyle w:val="BodyText"/>
        <w:spacing w:before="266" w:line="417" w:lineRule="auto"/>
        <w:ind w:left="293" w:right="341" w:firstLine="719"/>
        <w:jc w:val="both"/>
      </w:pPr>
      <w:r>
        <w:rPr>
          <w:spacing w:val="-12"/>
        </w:rPr>
        <w:t>垃圾分选部分：在垃圾进入焚烧阶段之前需要对垃圾进行分选，以分选出可回收</w:t>
      </w:r>
      <w:r>
        <w:rPr>
          <w:spacing w:val="-8"/>
        </w:rPr>
        <w:t>利用的组分以及对后继焚烧处理不理的组分。经分选，能够选出金属组分和渣石。分</w:t>
      </w:r>
      <w:r>
        <w:t>选后可燃组分进入焚烧炉中进行焚烧处理。</w:t>
      </w:r>
    </w:p>
    <w:p>
      <w:pPr>
        <w:pStyle w:val="BodyText"/>
        <w:spacing w:line="415" w:lineRule="auto"/>
        <w:ind w:left="293" w:right="168" w:firstLine="719"/>
      </w:pPr>
      <w:r>
        <w:rPr>
          <w:spacing w:val="-10"/>
        </w:rPr>
        <w:t>焚烧炉及其工艺：垃圾焚烧炉的选型至关重要，直接关系到设备投资额、运行费</w:t>
      </w:r>
      <w:r>
        <w:rPr>
          <w:spacing w:val="-15"/>
        </w:rPr>
        <w:t>用以及现有垃圾的适应性。垃圾焚烧炉选型的基本原则和要求：能有效地焚烧处理现有垃圾，设备价格低，运行费用省，能源和资源回收利用价值高。目前，世界上焚烧</w:t>
      </w:r>
      <w:r>
        <w:rPr>
          <w:spacing w:val="-12"/>
        </w:rPr>
        <w:t>炉的种类较多，总体可归纳为</w:t>
      </w:r>
      <w:r>
        <w:t>3</w:t>
      </w:r>
      <w:r>
        <w:rPr>
          <w:spacing w:val="-10"/>
        </w:rPr>
        <w:t xml:space="preserve"> 种类型：回转窑垃圾焚烧炉、流化床垃圾焚烧炉和炉</w:t>
      </w:r>
      <w:r>
        <w:rPr>
          <w:spacing w:val="-15"/>
        </w:rPr>
        <w:t>排型垃圾焚烧炉。本设计采用炉排型垃圾焚烧炉工艺，一般炉排炉的燃烧可分为</w:t>
      </w:r>
      <w:r>
        <w:t>3 个阶段：第一段为加热段，垃圾在这里被预热、气化；第二段为燃烧段，垃圾在这里进行焚烧；第三段为燃尽段，垃圾在这里被燃尽，并排出焚烧渣。这种炉排炉的特点是</w:t>
      </w:r>
      <w:r>
        <w:rPr>
          <w:spacing w:val="-20"/>
        </w:rPr>
        <w:t xml:space="preserve">通过活动炉排移动，推动垃圾从上层落向下层，对垃圾起到切割、翻转和搅拌的作用， </w:t>
      </w:r>
      <w:r>
        <w:t>实现完全燃烧，它的炉排是由特殊合金制成的，耐磨、耐高温，炉膛侧壁和天井由水冷或耐火砖炉壁构成， 保证垃圾在控制温度条件下燃烧、燃尽。</w:t>
      </w:r>
    </w:p>
    <w:p>
      <w:pPr>
        <w:spacing w:after="0" w:line="415" w:lineRule="auto"/>
        <w:sectPr>
          <w:pgSz w:w="17860" w:h="25260"/>
          <w:pgMar w:top="1940" w:right="1780" w:bottom="280" w:left="2260" w:header="708" w:footer="708"/>
          <w:pgNumType w:start="7"/>
          <w:cols w:space="708"/>
        </w:sectPr>
      </w:pPr>
    </w:p>
    <w:p>
      <w:pPr>
        <w:pStyle w:val="BodyText"/>
        <w:spacing w:before="30" w:line="417" w:lineRule="auto"/>
        <w:ind w:left="293" w:right="341" w:firstLine="719"/>
        <w:jc w:val="both"/>
      </w:pPr>
      <w:r>
        <w:rPr>
          <w:spacing w:val="-12"/>
        </w:rPr>
        <w:t>烟气净化工艺：按垃圾焚烧过程产生的废气中污染物组分、浓度及需要执行的排</w:t>
      </w:r>
      <w:r>
        <w:t>放标准来确定。在通常情况下，烟气净化工艺主要针对酸性气体</w:t>
      </w:r>
      <w:r>
        <w:rPr>
          <w:spacing w:val="1"/>
        </w:rPr>
        <w:t>（</w:t>
      </w:r>
      <w:r>
        <w:t>HC</w:t>
      </w:r>
      <w:r>
        <w:rPr>
          <w:spacing w:val="1"/>
        </w:rPr>
        <w:t>l</w:t>
      </w:r>
      <w:r>
        <w:t>，SOx</w:t>
      </w:r>
      <w:r>
        <w:rPr>
          <w:spacing w:val="-180"/>
        </w:rPr>
        <w:t>）</w:t>
      </w:r>
      <w:r>
        <w:t>、颗粒物及重金属等进行控制，其工艺设备主要由两部分组成： 酸性气体脱除和颗粒物捕</w:t>
      </w:r>
      <w:r>
        <w:rPr>
          <w:spacing w:val="-13"/>
        </w:rPr>
        <w:t>集。目前，国内外垃圾焚烧行业的烟气净化工艺主要为它们的不同组合。半干法工艺</w:t>
      </w:r>
      <w:r>
        <w:t>较成熟，具有良好的应用实践，其脱硫效率介于干法和湿法之间， 尤其是脱氯效果较好。由于垃圾焚烧烟气中含SO2少， 含HCl多，因此半干法非常适用于垃圾焚烧烟气的净化，它不仅可以满足烟气SO2浓度排放要求，同时可以保证较高的脱氯效率。目前，该工艺在垃圾焚烧电厂烟气脱酸系统中的应用越来越多。半干法脱酸塔+布袋除尘器</w:t>
      </w:r>
    </w:p>
    <w:p>
      <w:pPr>
        <w:pStyle w:val="BodyText"/>
        <w:spacing w:line="439" w:lineRule="exact"/>
        <w:ind w:left="1013"/>
        <w:jc w:val="both"/>
      </w:pPr>
      <w:r>
        <w:t>粒状污染物去除：目前， 常用的除尘设备主要有静电除尘器和布袋式除尘器。</w:t>
      </w:r>
    </w:p>
    <w:p>
      <w:pPr>
        <w:pStyle w:val="BodyText"/>
        <w:spacing w:before="4"/>
        <w:rPr>
          <w:sz w:val="26"/>
        </w:rPr>
      </w:pPr>
    </w:p>
    <w:p>
      <w:pPr>
        <w:pStyle w:val="BodyText"/>
        <w:spacing w:before="1" w:line="415" w:lineRule="auto"/>
        <w:ind w:left="293" w:right="204"/>
      </w:pPr>
      <w:r>
        <w:t>这两种除尘器均可达到废气粒状污染物排放标准80</w:t>
      </w:r>
      <w:r>
        <w:rPr>
          <w:spacing w:val="-91"/>
        </w:rPr>
        <w:t xml:space="preserve"> </w:t>
      </w:r>
      <w:r>
        <w:t>mg/m3</w:t>
      </w:r>
      <w:r>
        <w:rPr>
          <w:spacing w:val="-8"/>
        </w:rPr>
        <w:t xml:space="preserve"> 目标， 但静电除尘器效率</w:t>
      </w:r>
      <w:r>
        <w:rPr>
          <w:spacing w:val="-13"/>
        </w:rPr>
        <w:t>再提高的可能性不大， 如果布袋除尘器采用聚四氟乙烯薄膜滤料</w:t>
      </w:r>
      <w:r>
        <w:t>（PTF</w:t>
      </w:r>
      <w:r>
        <w:rPr>
          <w:spacing w:val="1"/>
        </w:rPr>
        <w:t>E</w:t>
      </w:r>
      <w:r>
        <w:rPr>
          <w:spacing w:val="-180"/>
        </w:rPr>
        <w:t>）</w:t>
      </w:r>
      <w:r>
        <w:rPr>
          <w:spacing w:val="-10"/>
        </w:rPr>
        <w:t>，则粒状污染物可降至10</w:t>
      </w:r>
      <w:r>
        <w:rPr>
          <w:spacing w:val="-1"/>
        </w:rPr>
        <w:t xml:space="preserve"> </w:t>
      </w:r>
      <w:r>
        <w:t>mg/m3 以下。布袋式除尘器对未反应的碱性吸收剂可再利用，对酸气</w:t>
      </w:r>
      <w:r>
        <w:rPr>
          <w:spacing w:val="-1"/>
        </w:rPr>
        <w:t xml:space="preserve">有二次脱除的效果，提高脱酸效率，降低石灰用量，减少反应剩余物数量。布袋式除尘器对微小粒状物有良好的捕集效果。布袋式除尘器对毒性物质具有较高清除效率， </w:t>
      </w:r>
      <w:r>
        <w:t>而使用静电除尘器使二噁英与呋喃有再合成的可能。</w:t>
      </w:r>
    </w:p>
    <w:p>
      <w:pPr>
        <w:pStyle w:val="BodyText"/>
        <w:spacing w:before="6"/>
        <w:rPr>
          <w:sz w:val="31"/>
        </w:rPr>
      </w:pPr>
    </w:p>
    <w:p>
      <w:pPr>
        <w:pStyle w:val="Heading6"/>
        <w:ind w:left="293"/>
      </w:pPr>
      <w:bookmarkStart w:id="11" w:name="_TOC_250013"/>
      <w:bookmarkEnd w:id="11"/>
      <w:r>
        <w:rPr>
          <w:w w:val="95"/>
        </w:rPr>
        <w:t>灰渣处置方案</w:t>
      </w:r>
    </w:p>
    <w:p>
      <w:pPr>
        <w:pStyle w:val="BodyText"/>
        <w:rPr>
          <w:b/>
        </w:rPr>
      </w:pPr>
    </w:p>
    <w:p>
      <w:pPr>
        <w:pStyle w:val="BodyText"/>
        <w:spacing w:before="266" w:line="417" w:lineRule="auto"/>
        <w:ind w:left="293" w:right="161" w:firstLine="719"/>
      </w:pPr>
      <w:r>
        <w:rPr>
          <w:spacing w:val="-7"/>
        </w:rPr>
        <w:t>本工程由布袋除尘器收集的飞灰属于危险废物，本项目成套引进了飞灰固化处理</w:t>
      </w:r>
      <w:r>
        <w:rPr>
          <w:spacing w:val="-20"/>
        </w:rPr>
        <w:t xml:space="preserve">系统，可采用水泥螯合剂固化法对飞灰进行固化稳定化处置。炉灰从炉灰出口处收集， </w:t>
      </w:r>
      <w:r>
        <w:rPr>
          <w:spacing w:val="-12"/>
        </w:rPr>
        <w:t>用密封自卸车，运至固化处理车间，自卸车把炉灰卸到炉灰卸料坑，经斗提机把炉灰</w:t>
      </w:r>
      <w:r>
        <w:rPr>
          <w:spacing w:val="-21"/>
        </w:rPr>
        <w:t>送到炉灰仓里，炉灰仓下有螺旋输送机把炉灰送到二料配料机，经计量，送到搅拌机。</w:t>
      </w:r>
      <w:r>
        <w:rPr>
          <w:spacing w:val="-7"/>
        </w:rPr>
        <w:t>同时水泥经散装水泥输送车用气力输送，把散水泥送到水泥仓，再经螺旋输送机送到配料机，以一定的比例（</w:t>
      </w:r>
      <w:r>
        <w:rPr>
          <w:spacing w:val="-14"/>
        </w:rPr>
        <w:t>水泥与飞灰的比例约为</w:t>
      </w:r>
      <w:r>
        <w:t>3:7</w:t>
      </w:r>
      <w:r>
        <w:rPr>
          <w:spacing w:val="-180"/>
        </w:rPr>
        <w:t>）</w:t>
      </w:r>
      <w:r>
        <w:t>，送到搅拌机内，搅拌后的水泥</w:t>
      </w:r>
      <w:r>
        <w:rPr>
          <w:spacing w:val="-9"/>
        </w:rPr>
        <w:t>浆经压砖机压制成水泥砖，经皮带运输机送到固化块固化晒场，最后送至安全填埋场进行最终处置</w:t>
      </w:r>
    </w:p>
    <w:p>
      <w:pPr>
        <w:spacing w:after="0" w:line="417" w:lineRule="auto"/>
        <w:sectPr>
          <w:pgSz w:w="17860" w:h="25260"/>
          <w:pgMar w:top="1940" w:right="1780" w:bottom="280" w:left="2260" w:header="708" w:footer="708"/>
          <w:pgNumType w:start="8"/>
          <w:cols w:space="708"/>
        </w:sectPr>
      </w:pPr>
    </w:p>
    <w:p>
      <w:pPr>
        <w:pStyle w:val="BodyText"/>
        <w:spacing w:before="29" w:line="415" w:lineRule="auto"/>
        <w:ind w:left="293" w:right="341" w:firstLine="719"/>
      </w:pPr>
      <w:r>
        <w:rPr>
          <w:spacing w:val="-9"/>
        </w:rPr>
        <w:t>为了防止炉灰的飞扬对环境的影响，在炉灰卸料坑上有特制的抽风罩，在料仓上</w:t>
      </w:r>
      <w:r>
        <w:t>部都设有布袋除尘器，房间内所有的抽风管都装过滤器或过滤网。</w:t>
      </w:r>
    </w:p>
    <w:p>
      <w:pPr>
        <w:pStyle w:val="BodyText"/>
        <w:spacing w:before="11"/>
        <w:rPr>
          <w:sz w:val="37"/>
        </w:rPr>
      </w:pPr>
    </w:p>
    <w:p>
      <w:pPr>
        <w:pStyle w:val="BodyText"/>
        <w:spacing w:line="415" w:lineRule="auto"/>
        <w:ind w:left="293" w:right="160" w:firstLine="719"/>
      </w:pPr>
      <w:r>
        <w:rPr>
          <w:spacing w:val="-8"/>
        </w:rPr>
        <w:t>焚烧炉渣属一般固体废物，本项目采用湿式除渣，送入渣坑存放，渣中的金属经</w:t>
      </w:r>
      <w:r>
        <w:rPr>
          <w:spacing w:val="-15"/>
        </w:rPr>
        <w:t>振动筛分选后被吸铁器吸出，通过埋刮式输送机送入金属坑贮存。炉渣根据</w:t>
      </w:r>
      <w:r>
        <w:t>BOT</w:t>
      </w:r>
      <w:r>
        <w:rPr>
          <w:spacing w:val="-6"/>
        </w:rPr>
        <w:t xml:space="preserve">协议， </w:t>
      </w:r>
      <w:r>
        <w:t>由授权方负责处置。</w:t>
      </w:r>
    </w:p>
    <w:p>
      <w:pPr>
        <w:pStyle w:val="BodyText"/>
        <w:spacing w:before="9"/>
        <w:rPr>
          <w:sz w:val="25"/>
        </w:rPr>
      </w:pPr>
    </w:p>
    <w:p>
      <w:pPr>
        <w:pStyle w:val="Heading2"/>
        <w:numPr>
          <w:ilvl w:val="0"/>
          <w:numId w:val="8"/>
        </w:numPr>
        <w:tabs>
          <w:tab w:val="left" w:pos="776"/>
        </w:tabs>
        <w:spacing w:before="0" w:after="0" w:line="240" w:lineRule="auto"/>
        <w:ind w:left="775" w:right="0" w:hanging="483"/>
        <w:jc w:val="left"/>
      </w:pPr>
      <w:bookmarkStart w:id="12" w:name="_TOC_250012"/>
      <w:bookmarkEnd w:id="12"/>
      <w:r>
        <w:t>工艺设计计算</w:t>
      </w:r>
    </w:p>
    <w:p>
      <w:pPr>
        <w:pStyle w:val="BodyText"/>
        <w:spacing w:before="10"/>
        <w:rPr>
          <w:b/>
          <w:sz w:val="66"/>
        </w:rPr>
      </w:pPr>
    </w:p>
    <w:p>
      <w:pPr>
        <w:pStyle w:val="Heading3"/>
      </w:pPr>
      <w:bookmarkStart w:id="13" w:name="_TOC_250011"/>
      <w:bookmarkEnd w:id="13"/>
      <w:r>
        <w:t>分选阶段各单元设计计算及设备选型</w:t>
      </w:r>
    </w:p>
    <w:p>
      <w:pPr>
        <w:pStyle w:val="BodyText"/>
        <w:rPr>
          <w:b/>
          <w:sz w:val="42"/>
        </w:rPr>
      </w:pPr>
    </w:p>
    <w:p>
      <w:pPr>
        <w:pStyle w:val="Heading6"/>
        <w:spacing w:before="282"/>
        <w:ind w:left="293"/>
      </w:pPr>
      <w:bookmarkStart w:id="14" w:name="_TOC_250010"/>
      <w:bookmarkEnd w:id="14"/>
      <w:r>
        <w:t>垃圾贮坑的设计</w:t>
      </w:r>
    </w:p>
    <w:p>
      <w:pPr>
        <w:pStyle w:val="BodyText"/>
        <w:rPr>
          <w:b/>
        </w:rPr>
      </w:pPr>
    </w:p>
    <w:p>
      <w:pPr>
        <w:pStyle w:val="BodyText"/>
        <w:spacing w:before="265" w:line="417" w:lineRule="auto"/>
        <w:ind w:left="293" w:right="341" w:firstLine="719"/>
        <w:jc w:val="both"/>
      </w:pPr>
      <w:r>
        <w:rPr>
          <w:spacing w:val="-10"/>
        </w:rPr>
        <w:t>垃圾贮坑是垃圾焚烧厂接收垃圾设备，用于暂时储放进入处理系统的垃圾并用来调节处理设备的处理量。垃圾贮坑的容量应根据设计收入焚烧厂的垃圾量、设备的操</w:t>
      </w:r>
      <w:r>
        <w:t>作计划等因素来决定。垃圾贮坑的容量应可提供两天的最大处理量。</w:t>
      </w:r>
    </w:p>
    <w:p>
      <w:pPr>
        <w:pStyle w:val="ListParagraph"/>
        <w:numPr>
          <w:ilvl w:val="1"/>
          <w:numId w:val="8"/>
        </w:numPr>
        <w:tabs>
          <w:tab w:val="left" w:pos="1374"/>
        </w:tabs>
        <w:spacing w:before="0" w:after="0" w:line="456" w:lineRule="exact"/>
        <w:ind w:left="1374" w:right="0" w:hanging="361"/>
        <w:jc w:val="left"/>
        <w:rPr>
          <w:sz w:val="36"/>
        </w:rPr>
      </w:pPr>
      <w:r>
        <w:rPr>
          <w:sz w:val="36"/>
        </w:rPr>
        <w:t>贮坑容积 V</w:t>
      </w:r>
    </w:p>
    <w:p>
      <w:pPr>
        <w:pStyle w:val="BodyText"/>
        <w:spacing w:before="11"/>
        <w:rPr>
          <w:sz w:val="40"/>
        </w:rPr>
      </w:pPr>
    </w:p>
    <w:p>
      <w:pPr>
        <w:spacing w:before="0" w:line="127" w:lineRule="auto"/>
        <w:ind w:left="3622" w:right="9100" w:firstLine="700"/>
        <w:jc w:val="left"/>
        <w:rPr>
          <w:rFonts w:ascii="Symbol" w:hAnsi="Symbol"/>
          <w:sz w:val="37"/>
        </w:rPr>
      </w:pPr>
      <w:r>
        <w:drawing>
          <wp:anchor distT="0" distB="0" distL="0" distR="0" simplePos="0" relativeHeight="251661312" behindDoc="1" locked="0" layoutInCell="1" allowOverlap="1">
            <wp:simplePos x="0" y="0"/>
            <wp:positionH relativeFrom="page">
              <wp:posOffset>4152900</wp:posOffset>
            </wp:positionH>
            <wp:positionV relativeFrom="paragraph">
              <wp:posOffset>214631</wp:posOffset>
            </wp:positionV>
            <wp:extent cx="317500" cy="381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317500" cy="38100"/>
                    </a:xfrm>
                    <a:prstGeom prst="rect">
                      <a:avLst/>
                    </a:prstGeom>
                  </pic:spPr>
                </pic:pic>
              </a:graphicData>
            </a:graphic>
          </wp:anchor>
        </w:drawing>
      </w:r>
      <w:r>
        <w:rPr>
          <w:rFonts w:ascii="Symbol" w:hAnsi="Symbol"/>
          <w:w w:val="95"/>
          <w:position w:val="2"/>
          <w:sz w:val="37"/>
        </w:rPr>
        <w:sym w:font="Symbol" w:char="F062"/>
      </w:r>
      <w:r>
        <w:rPr>
          <w:rFonts w:ascii="Arial" w:hAnsi="Arial"/>
          <w:i/>
          <w:w w:val="95"/>
          <w:sz w:val="35"/>
        </w:rPr>
        <w:t xml:space="preserve">q </w:t>
      </w:r>
      <w:r>
        <w:rPr>
          <w:rFonts w:ascii="Arial" w:hAnsi="Arial"/>
          <w:i/>
          <w:sz w:val="35"/>
        </w:rPr>
        <w:t xml:space="preserve">V  </w:t>
      </w:r>
      <w:r>
        <w:rPr>
          <w:rFonts w:ascii="Symbol" w:hAnsi="Symbol"/>
          <w:sz w:val="35"/>
        </w:rPr>
        <w:sym w:font="Symbol" w:char="F03D"/>
      </w:r>
      <w:r>
        <w:rPr>
          <w:rFonts w:ascii="Times New Roman" w:hAnsi="Times New Roman"/>
          <w:spacing w:val="-44"/>
          <w:sz w:val="35"/>
        </w:rPr>
        <w:t xml:space="preserve"> </w:t>
      </w:r>
      <w:r>
        <w:rPr>
          <w:rFonts w:ascii="Symbol" w:hAnsi="Symbol"/>
          <w:position w:val="-25"/>
          <w:sz w:val="37"/>
        </w:rPr>
        <w:sym w:font="Symbol" w:char="F078"/>
      </w:r>
      <w:r>
        <w:rPr>
          <w:rFonts w:ascii="Symbol" w:hAnsi="Symbol"/>
          <w:position w:val="-25"/>
          <w:sz w:val="37"/>
        </w:rPr>
        <w:sym w:font="Symbol" w:char="F073"/>
      </w:r>
    </w:p>
    <w:p>
      <w:pPr>
        <w:pStyle w:val="BodyText"/>
        <w:rPr>
          <w:rFonts w:ascii="Symbol" w:hAnsi="Symbol"/>
          <w:sz w:val="20"/>
        </w:rPr>
      </w:pPr>
    </w:p>
    <w:p>
      <w:pPr>
        <w:pStyle w:val="BodyText"/>
        <w:spacing w:before="11"/>
        <w:rPr>
          <w:rFonts w:ascii="Symbol" w:hAnsi="Symbol"/>
          <w:sz w:val="16"/>
        </w:rPr>
      </w:pPr>
    </w:p>
    <w:p>
      <w:pPr>
        <w:pStyle w:val="BodyText"/>
        <w:spacing w:before="104"/>
        <w:ind w:left="1373"/>
      </w:pPr>
      <w:r>
        <w:t xml:space="preserve">式中： </w:t>
      </w:r>
      <w:r>
        <w:rPr>
          <w:rFonts w:ascii="Symbol" w:hAnsi="Symbol"/>
          <w:position w:val="1"/>
          <w:sz w:val="37"/>
        </w:rPr>
        <w:sym w:font="Symbol" w:char="F062"/>
      </w:r>
      <w:r>
        <w:rPr>
          <w:rFonts w:ascii="Times New Roman" w:hAnsi="Times New Roman"/>
          <w:position w:val="1"/>
          <w:sz w:val="37"/>
        </w:rPr>
        <w:t xml:space="preserve"> </w:t>
      </w:r>
      <w:r>
        <w:t>-存储时间，d；该设计中取</w:t>
      </w:r>
      <w:r>
        <w:rPr>
          <w:rFonts w:ascii="Symbol" w:hAnsi="Symbol"/>
          <w:position w:val="1"/>
          <w:sz w:val="37"/>
        </w:rPr>
        <w:sym w:font="Symbol" w:char="F062"/>
      </w:r>
      <w:r>
        <w:rPr>
          <w:rFonts w:ascii="Times New Roman" w:hAnsi="Times New Roman"/>
          <w:position w:val="1"/>
          <w:sz w:val="37"/>
        </w:rPr>
        <w:t xml:space="preserve"> </w:t>
      </w:r>
      <w:r>
        <w:t>=</w:t>
      </w:r>
    </w:p>
    <w:p>
      <w:pPr>
        <w:pStyle w:val="BodyText"/>
        <w:spacing w:before="3"/>
        <w:rPr>
          <w:sz w:val="39"/>
        </w:rPr>
      </w:pPr>
    </w:p>
    <w:p>
      <w:pPr>
        <w:pStyle w:val="BodyText"/>
        <w:ind w:left="2507"/>
      </w:pPr>
      <w:r>
        <w:rPr>
          <w:rFonts w:ascii="Arial" w:eastAsia="Arial"/>
          <w:i/>
        </w:rPr>
        <w:t xml:space="preserve">q </w:t>
      </w:r>
      <w:r>
        <w:t>-最大日处理量，t/d；该设计中取</w:t>
      </w:r>
      <w:r>
        <w:rPr>
          <w:rFonts w:ascii="Arial" w:eastAsia="Arial"/>
          <w:i/>
        </w:rPr>
        <w:t xml:space="preserve">q </w:t>
      </w:r>
      <w:r>
        <w:t>=95t/d</w:t>
      </w:r>
    </w:p>
    <w:p>
      <w:pPr>
        <w:pStyle w:val="BodyText"/>
        <w:spacing w:before="11"/>
      </w:pPr>
    </w:p>
    <w:p>
      <w:pPr>
        <w:pStyle w:val="BodyText"/>
        <w:ind w:left="2485"/>
      </w:pPr>
      <w:r>
        <w:rPr>
          <w:rFonts w:ascii="Symbol" w:hAnsi="Symbol"/>
          <w:position w:val="1"/>
          <w:sz w:val="37"/>
        </w:rPr>
        <w:sym w:font="Symbol" w:char="F078"/>
      </w:r>
      <w:r>
        <w:rPr>
          <w:rFonts w:ascii="Times New Roman" w:hAnsi="Times New Roman"/>
          <w:position w:val="1"/>
          <w:sz w:val="37"/>
        </w:rPr>
        <w:t xml:space="preserve"> </w:t>
      </w:r>
      <w:r>
        <w:t>-有效容积系数，在之间；该设计取</w:t>
      </w:r>
      <w:r>
        <w:rPr>
          <w:rFonts w:ascii="Symbol" w:hAnsi="Symbol"/>
          <w:position w:val="1"/>
          <w:sz w:val="37"/>
        </w:rPr>
        <w:sym w:font="Symbol" w:char="F078"/>
      </w:r>
      <w:r>
        <w:rPr>
          <w:rFonts w:ascii="Times New Roman" w:hAnsi="Times New Roman"/>
          <w:position w:val="1"/>
          <w:sz w:val="37"/>
        </w:rPr>
        <w:t xml:space="preserve"> </w:t>
      </w:r>
      <w:r>
        <w:t>=</w:t>
      </w:r>
    </w:p>
    <w:p>
      <w:pPr>
        <w:pStyle w:val="BodyText"/>
        <w:spacing w:before="7"/>
        <w:rPr>
          <w:sz w:val="34"/>
        </w:rPr>
      </w:pPr>
    </w:p>
    <w:p>
      <w:pPr>
        <w:tabs>
          <w:tab w:val="left" w:pos="7494"/>
        </w:tabs>
        <w:spacing w:before="1"/>
        <w:ind w:left="2481" w:right="0" w:firstLine="0"/>
        <w:jc w:val="left"/>
        <w:rPr>
          <w:sz w:val="36"/>
        </w:rPr>
      </w:pPr>
      <w:r>
        <w:rPr>
          <w:rFonts w:ascii="Symbol" w:hAnsi="Symbol"/>
          <w:position w:val="2"/>
          <w:sz w:val="29"/>
        </w:rPr>
        <w:sym w:font="Symbol" w:char="F06F"/>
      </w:r>
      <w:r>
        <w:rPr>
          <w:rFonts w:ascii="Times New Roman" w:hAnsi="Times New Roman"/>
          <w:position w:val="2"/>
          <w:sz w:val="29"/>
        </w:rPr>
        <w:t xml:space="preserve"> </w:t>
      </w:r>
      <w:r>
        <w:rPr>
          <w:rFonts w:ascii="Times New Roman" w:hAnsi="Times New Roman"/>
          <w:spacing w:val="24"/>
          <w:position w:val="2"/>
          <w:sz w:val="29"/>
        </w:rPr>
        <w:t xml:space="preserve"> </w:t>
      </w:r>
      <w:r>
        <w:rPr>
          <w:sz w:val="36"/>
        </w:rPr>
        <w:t>-垃圾有效密度，该设计</w:t>
      </w:r>
      <w:r>
        <w:rPr>
          <w:spacing w:val="41"/>
          <w:sz w:val="36"/>
        </w:rPr>
        <w:t>取</w:t>
      </w:r>
      <w:r>
        <w:rPr>
          <w:rFonts w:ascii="Symbol" w:hAnsi="Symbol"/>
          <w:position w:val="5"/>
          <w:sz w:val="29"/>
        </w:rPr>
        <w:sym w:font="Symbol" w:char="F073"/>
      </w:r>
      <w:r>
        <w:rPr>
          <w:rFonts w:ascii="Times New Roman" w:hAnsi="Times New Roman"/>
          <w:position w:val="5"/>
          <w:sz w:val="29"/>
        </w:rPr>
        <w:tab/>
      </w:r>
      <w:r>
        <w:rPr>
          <w:sz w:val="36"/>
        </w:rPr>
        <w:t>=</w:t>
      </w:r>
    </w:p>
    <w:p>
      <w:pPr>
        <w:pStyle w:val="BodyText"/>
        <w:spacing w:before="10"/>
        <w:rPr>
          <w:sz w:val="32"/>
        </w:rPr>
      </w:pPr>
    </w:p>
    <w:p>
      <w:pPr>
        <w:pStyle w:val="BodyText"/>
        <w:ind w:left="2492"/>
        <w:rPr>
          <w:rFonts w:ascii="Arial" w:eastAsia="Arial"/>
          <w:sz w:val="29"/>
        </w:rPr>
      </w:pPr>
      <w:r>
        <w:rPr>
          <w:rFonts w:ascii="宋体" w:eastAsia="宋体" w:hint="eastAsia"/>
        </w:rPr>
        <w:t>垃圾容量平均值为</w:t>
      </w:r>
      <w:r>
        <w:rPr>
          <w:rFonts w:ascii="Arial" w:eastAsia="Arial"/>
        </w:rPr>
        <w:t>0.50t / m</w:t>
      </w:r>
      <w:r>
        <w:rPr>
          <w:rFonts w:ascii="Arial" w:eastAsia="Arial"/>
          <w:position w:val="3"/>
          <w:sz w:val="29"/>
        </w:rPr>
        <w:t>3</w:t>
      </w:r>
    </w:p>
    <w:p>
      <w:pPr>
        <w:pStyle w:val="BodyText"/>
        <w:spacing w:before="11"/>
        <w:rPr>
          <w:rFonts w:ascii="Arial"/>
        </w:rPr>
      </w:pPr>
    </w:p>
    <w:p>
      <w:pPr>
        <w:spacing w:before="0" w:line="258" w:lineRule="exact"/>
        <w:ind w:left="2814" w:right="0" w:firstLine="0"/>
        <w:jc w:val="left"/>
        <w:rPr>
          <w:rFonts w:ascii="Arial" w:hAnsi="Arial"/>
          <w:i/>
          <w:sz w:val="35"/>
        </w:rPr>
      </w:pPr>
      <w:r>
        <w:rPr>
          <w:rFonts w:ascii="Symbol" w:hAnsi="Symbol"/>
          <w:position w:val="2"/>
          <w:sz w:val="37"/>
        </w:rPr>
        <w:sym w:font="Symbol" w:char="F062"/>
      </w:r>
      <w:r>
        <w:rPr>
          <w:rFonts w:ascii="Arial" w:hAnsi="Arial"/>
          <w:i/>
          <w:sz w:val="35"/>
        </w:rPr>
        <w:t>q</w:t>
      </w:r>
    </w:p>
    <w:p>
      <w:pPr>
        <w:spacing w:before="1"/>
        <w:ind w:left="1373" w:right="0" w:firstLine="0"/>
        <w:jc w:val="left"/>
        <w:rPr>
          <w:sz w:val="29"/>
        </w:rPr>
      </w:pPr>
      <w:r>
        <w:drawing>
          <wp:anchor distT="0" distB="0" distL="0" distR="0" simplePos="0" relativeHeight="251662336" behindDoc="1" locked="0" layoutInCell="1" allowOverlap="1">
            <wp:simplePos x="0" y="0"/>
            <wp:positionH relativeFrom="page">
              <wp:posOffset>3187700</wp:posOffset>
            </wp:positionH>
            <wp:positionV relativeFrom="paragraph">
              <wp:posOffset>163195</wp:posOffset>
            </wp:positionV>
            <wp:extent cx="317500" cy="381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317500" cy="38100"/>
                    </a:xfrm>
                    <a:prstGeom prst="rect">
                      <a:avLst/>
                    </a:prstGeom>
                  </pic:spPr>
                </pic:pic>
              </a:graphicData>
            </a:graphic>
          </wp:anchor>
        </w:drawing>
      </w:r>
      <w:r>
        <w:rPr>
          <w:spacing w:val="3"/>
          <w:sz w:val="36"/>
        </w:rPr>
        <w:t>则 ：</w:t>
      </w:r>
      <w:r>
        <w:rPr>
          <w:rFonts w:ascii="Arial" w:hAnsi="Arial"/>
          <w:i/>
          <w:spacing w:val="11"/>
          <w:sz w:val="35"/>
        </w:rPr>
        <w:t xml:space="preserve">V </w:t>
      </w:r>
      <w:r>
        <w:rPr>
          <w:rFonts w:ascii="Symbol" w:hAnsi="Symbol"/>
          <w:sz w:val="35"/>
        </w:rPr>
        <w:sym w:font="Symbol" w:char="F03D"/>
      </w:r>
      <w:r>
        <w:rPr>
          <w:rFonts w:ascii="Times New Roman" w:hAnsi="Times New Roman"/>
          <w:sz w:val="35"/>
        </w:rPr>
        <w:t xml:space="preserve"> </w:t>
      </w:r>
      <w:r>
        <w:rPr>
          <w:rFonts w:ascii="Symbol" w:hAnsi="Symbol"/>
          <w:position w:val="-25"/>
          <w:sz w:val="37"/>
        </w:rPr>
        <w:sym w:font="Symbol" w:char="F078"/>
      </w:r>
      <w:r>
        <w:rPr>
          <w:rFonts w:ascii="Symbol" w:hAnsi="Symbol"/>
          <w:position w:val="-25"/>
          <w:sz w:val="37"/>
        </w:rPr>
        <w:sym w:font="Symbol" w:char="F073"/>
      </w:r>
      <w:r>
        <w:rPr>
          <w:rFonts w:ascii="Times New Roman" w:hAnsi="Times New Roman"/>
          <w:position w:val="-25"/>
          <w:sz w:val="37"/>
        </w:rPr>
        <w:t xml:space="preserve"> </w:t>
      </w:r>
      <w:r>
        <w:rPr>
          <w:sz w:val="36"/>
        </w:rPr>
        <w:t>=×95/×=</w:t>
      </w:r>
      <w:r>
        <w:rPr>
          <w:spacing w:val="-86"/>
          <w:sz w:val="36"/>
        </w:rPr>
        <w:t xml:space="preserve"> </w:t>
      </w:r>
      <w:r>
        <w:rPr>
          <w:sz w:val="36"/>
        </w:rPr>
        <w:t>m</w:t>
      </w:r>
      <w:r>
        <w:rPr>
          <w:position w:val="3"/>
          <w:sz w:val="29"/>
        </w:rPr>
        <w:t>3</w:t>
      </w:r>
    </w:p>
    <w:p>
      <w:pPr>
        <w:pStyle w:val="BodyText"/>
        <w:rPr>
          <w:sz w:val="20"/>
        </w:rPr>
      </w:pPr>
    </w:p>
    <w:p>
      <w:pPr>
        <w:pStyle w:val="ListParagraph"/>
        <w:numPr>
          <w:ilvl w:val="1"/>
          <w:numId w:val="8"/>
        </w:numPr>
        <w:tabs>
          <w:tab w:val="left" w:pos="1374"/>
        </w:tabs>
        <w:spacing w:before="275" w:after="0" w:line="240" w:lineRule="auto"/>
        <w:ind w:left="1374" w:right="0" w:hanging="361"/>
        <w:jc w:val="left"/>
        <w:rPr>
          <w:rFonts w:ascii="Arial" w:hAnsi="Arial"/>
          <w:sz w:val="35"/>
        </w:rPr>
      </w:pPr>
      <w:r>
        <w:rPr>
          <w:spacing w:val="8"/>
          <w:sz w:val="36"/>
        </w:rPr>
        <w:t>体积尺寸计算</w:t>
      </w:r>
      <w:r>
        <w:rPr>
          <w:rFonts w:ascii="Arial" w:hAnsi="Arial"/>
          <w:spacing w:val="4"/>
          <w:sz w:val="35"/>
        </w:rPr>
        <w:t>(</w:t>
      </w:r>
      <w:r>
        <w:rPr>
          <w:rFonts w:ascii="Arial" w:hAnsi="Arial"/>
          <w:i/>
          <w:spacing w:val="4"/>
          <w:sz w:val="35"/>
        </w:rPr>
        <w:t>a</w:t>
      </w:r>
      <w:r>
        <w:rPr>
          <w:rFonts w:ascii="Arial" w:hAnsi="Arial"/>
          <w:i/>
          <w:spacing w:val="-48"/>
          <w:sz w:val="35"/>
        </w:rPr>
        <w:t xml:space="preserve"> </w:t>
      </w:r>
      <w:r>
        <w:rPr>
          <w:rFonts w:ascii="Symbol" w:hAnsi="Symbol"/>
          <w:sz w:val="35"/>
        </w:rPr>
        <w:sym w:font="Symbol" w:char="F0B4"/>
      </w:r>
      <w:r>
        <w:rPr>
          <w:rFonts w:ascii="Times New Roman" w:hAnsi="Times New Roman"/>
          <w:spacing w:val="-44"/>
          <w:sz w:val="35"/>
        </w:rPr>
        <w:t xml:space="preserve"> </w:t>
      </w:r>
      <w:r>
        <w:rPr>
          <w:rFonts w:ascii="Arial" w:hAnsi="Arial"/>
          <w:i/>
          <w:sz w:val="35"/>
        </w:rPr>
        <w:t>b</w:t>
      </w:r>
      <w:r>
        <w:rPr>
          <w:rFonts w:ascii="Arial" w:hAnsi="Arial"/>
          <w:i/>
          <w:spacing w:val="-51"/>
          <w:sz w:val="35"/>
        </w:rPr>
        <w:t xml:space="preserve"> </w:t>
      </w:r>
      <w:r>
        <w:rPr>
          <w:rFonts w:ascii="Symbol" w:hAnsi="Symbol"/>
          <w:sz w:val="35"/>
        </w:rPr>
        <w:sym w:font="Symbol" w:char="F0B4"/>
      </w:r>
      <w:r>
        <w:rPr>
          <w:rFonts w:ascii="Times New Roman" w:hAnsi="Times New Roman"/>
          <w:spacing w:val="-38"/>
          <w:sz w:val="35"/>
        </w:rPr>
        <w:t xml:space="preserve"> </w:t>
      </w:r>
      <w:r>
        <w:rPr>
          <w:rFonts w:ascii="Arial" w:hAnsi="Arial"/>
          <w:i/>
          <w:spacing w:val="4"/>
          <w:sz w:val="35"/>
        </w:rPr>
        <w:t>c</w:t>
      </w:r>
      <w:r>
        <w:rPr>
          <w:rFonts w:ascii="Arial" w:hAnsi="Arial"/>
          <w:spacing w:val="4"/>
          <w:sz w:val="35"/>
        </w:rPr>
        <w:t>)</w:t>
      </w:r>
    </w:p>
    <w:p>
      <w:pPr>
        <w:spacing w:after="0" w:line="240" w:lineRule="auto"/>
        <w:jc w:val="left"/>
        <w:rPr>
          <w:rFonts w:ascii="Arial" w:hAnsi="Arial"/>
          <w:sz w:val="35"/>
        </w:rPr>
        <w:sectPr>
          <w:pgSz w:w="17860" w:h="25260"/>
          <w:pgMar w:top="2420" w:right="1780" w:bottom="280" w:left="2260" w:header="708" w:footer="708"/>
          <w:pgNumType w:start="9"/>
          <w:cols w:space="708"/>
        </w:sectPr>
      </w:pPr>
    </w:p>
    <w:p>
      <w:pPr>
        <w:pStyle w:val="BodyText"/>
        <w:spacing w:before="30"/>
        <w:ind w:left="1373"/>
      </w:pPr>
      <w:r>
        <w:t>由V=a×b×c得：</w:t>
      </w:r>
    </w:p>
    <w:p>
      <w:pPr>
        <w:pStyle w:val="BodyText"/>
        <w:spacing w:before="5"/>
        <w:rPr>
          <w:sz w:val="26"/>
        </w:rPr>
      </w:pPr>
    </w:p>
    <w:p>
      <w:pPr>
        <w:pStyle w:val="BodyText"/>
        <w:ind w:left="1373"/>
      </w:pPr>
      <w:r>
        <w:t>取a=6 m, b=5 m, c=5 m</w:t>
      </w:r>
    </w:p>
    <w:p>
      <w:pPr>
        <w:pStyle w:val="BodyText"/>
        <w:spacing w:before="7"/>
        <w:rPr>
          <w:sz w:val="22"/>
        </w:rPr>
      </w:pPr>
    </w:p>
    <w:p>
      <w:pPr>
        <w:pStyle w:val="BodyText"/>
        <w:tabs>
          <w:tab w:val="left" w:pos="2272"/>
          <w:tab w:val="left" w:pos="5513"/>
        </w:tabs>
        <w:spacing w:before="49" w:line="389" w:lineRule="exact"/>
        <w:ind w:left="1373"/>
      </w:pPr>
      <w:r>
        <w:t>则V</w:t>
        <w:tab/>
        <w:t>=6×5×5=150＞ m</w:t>
      </w:r>
      <w:r>
        <w:rPr>
          <w:position w:val="3"/>
          <w:sz w:val="18"/>
        </w:rPr>
        <w:t>3</w:t>
        <w:tab/>
      </w:r>
      <w:r>
        <w:t>则方案可行。</w:t>
      </w:r>
    </w:p>
    <w:p>
      <w:pPr>
        <w:spacing w:before="0" w:line="206" w:lineRule="exact"/>
        <w:ind w:left="1913" w:right="0" w:firstLine="0"/>
        <w:jc w:val="left"/>
        <w:rPr>
          <w:sz w:val="18"/>
        </w:rPr>
      </w:pPr>
      <w:r>
        <w:rPr>
          <w:sz w:val="18"/>
        </w:rPr>
        <w:t>实际</w:t>
      </w:r>
    </w:p>
    <w:p>
      <w:pPr>
        <w:pStyle w:val="BodyText"/>
        <w:rPr>
          <w:sz w:val="20"/>
        </w:rPr>
      </w:pPr>
    </w:p>
    <w:p>
      <w:pPr>
        <w:pStyle w:val="BodyText"/>
        <w:rPr>
          <w:sz w:val="20"/>
        </w:rPr>
      </w:pPr>
    </w:p>
    <w:p>
      <w:pPr>
        <w:pStyle w:val="BodyText"/>
        <w:rPr>
          <w:sz w:val="20"/>
        </w:rPr>
      </w:pPr>
    </w:p>
    <w:p>
      <w:pPr>
        <w:pStyle w:val="BodyText"/>
        <w:spacing w:before="5"/>
        <w:rPr>
          <w:sz w:val="20"/>
        </w:rPr>
      </w:pPr>
    </w:p>
    <w:p>
      <w:pPr>
        <w:pStyle w:val="Heading6"/>
        <w:spacing w:before="50"/>
      </w:pPr>
      <w:bookmarkStart w:id="15" w:name="_TOC_250009"/>
      <w:bookmarkEnd w:id="15"/>
      <w:r>
        <w:t>人工分选</w:t>
      </w:r>
    </w:p>
    <w:p>
      <w:pPr>
        <w:pStyle w:val="BodyText"/>
        <w:rPr>
          <w:b/>
        </w:rPr>
      </w:pPr>
    </w:p>
    <w:p>
      <w:pPr>
        <w:pStyle w:val="BodyText"/>
        <w:spacing w:before="265" w:line="415" w:lineRule="auto"/>
        <w:ind w:left="293" w:right="342" w:firstLine="719"/>
      </w:pPr>
      <w:r>
        <w:rPr>
          <w:spacing w:val="-8"/>
        </w:rPr>
        <w:t>采用人工分选可有效地回收垃圾中的可重复利用物，最大限度地实现垃圾的资源</w:t>
      </w:r>
      <w:r>
        <w:rPr>
          <w:spacing w:val="-10"/>
        </w:rPr>
        <w:t>化，可根据现场需要确定分选人数，该设计设定人工分选阶段人数为</w:t>
      </w:r>
      <w:r>
        <w:t>15</w:t>
      </w:r>
      <w:r>
        <w:rPr>
          <w:spacing w:val="-12"/>
        </w:rPr>
        <w:t>人，日工作时</w:t>
      </w:r>
    </w:p>
    <w:p>
      <w:pPr>
        <w:pStyle w:val="BodyText"/>
        <w:spacing w:before="3" w:line="412" w:lineRule="exact"/>
        <w:ind w:left="293"/>
      </w:pPr>
      <w:r>
        <w:t>间6h，每小时处理量Q</w:t>
      </w:r>
      <w:r>
        <w:rPr>
          <w:spacing w:val="-90"/>
        </w:rPr>
        <w:t xml:space="preserve"> </w:t>
      </w:r>
      <w:r>
        <w:t>=230t/10h=23t/h。</w:t>
      </w:r>
    </w:p>
    <w:p>
      <w:pPr>
        <w:spacing w:before="0" w:line="182" w:lineRule="exact"/>
        <w:ind w:left="3714" w:right="0" w:firstLine="0"/>
        <w:jc w:val="left"/>
        <w:rPr>
          <w:sz w:val="18"/>
        </w:rPr>
      </w:pPr>
      <w:r>
        <w:rPr>
          <w:sz w:val="18"/>
        </w:rPr>
        <w:t>0</w:t>
      </w:r>
    </w:p>
    <w:p>
      <w:pPr>
        <w:pStyle w:val="BodyText"/>
        <w:rPr>
          <w:sz w:val="16"/>
        </w:rPr>
      </w:pPr>
    </w:p>
    <w:p>
      <w:pPr>
        <w:pStyle w:val="BodyText"/>
        <w:spacing w:before="1" w:line="417" w:lineRule="auto"/>
        <w:ind w:left="293" w:right="340" w:firstLine="719"/>
        <w:jc w:val="both"/>
      </w:pPr>
      <w:r>
        <w:rPr>
          <w:spacing w:val="-10"/>
        </w:rPr>
        <w:t>人工分选用于除去垃圾中的大块金属、玻璃瓶、渣石等物质以利于垃圾的后继处</w:t>
      </w:r>
      <w:r>
        <w:rPr>
          <w:spacing w:val="-19"/>
        </w:rPr>
        <w:t xml:space="preserve">理，主要分选出不然性物质。据经验，经人工分选后大约%的大块金属、%的玻璃和约% </w:t>
      </w:r>
      <w:r>
        <w:t>的其他无机物质被选出，即：</w:t>
      </w:r>
    </w:p>
    <w:p>
      <w:pPr>
        <w:pStyle w:val="BodyText"/>
        <w:tabs>
          <w:tab w:val="left" w:pos="4252"/>
        </w:tabs>
        <w:spacing w:line="382" w:lineRule="exact"/>
        <w:ind w:left="1013"/>
      </w:pPr>
      <w:r>
        <w:t>金属：q</w:t>
      </w:r>
      <w:r>
        <w:rPr>
          <w:spacing w:val="-90"/>
        </w:rPr>
        <w:t xml:space="preserve"> </w:t>
      </w:r>
      <w:r>
        <w:t>= Q</w:t>
      </w:r>
      <w:r>
        <w:rPr>
          <w:spacing w:val="-90"/>
        </w:rPr>
        <w:t xml:space="preserve"> </w:t>
      </w:r>
      <w:r>
        <w:t>×% =</w:t>
        <w:tab/>
        <w:t>t/h</w:t>
      </w:r>
    </w:p>
    <w:p>
      <w:pPr>
        <w:tabs>
          <w:tab w:val="left" w:pos="2902"/>
        </w:tabs>
        <w:spacing w:before="0" w:line="205" w:lineRule="exact"/>
        <w:ind w:left="2273" w:right="0" w:firstLine="0"/>
        <w:jc w:val="left"/>
        <w:rPr>
          <w:sz w:val="18"/>
        </w:rPr>
      </w:pPr>
      <w:r>
        <w:rPr>
          <w:sz w:val="18"/>
        </w:rPr>
        <w:t>1</w:t>
        <w:tab/>
        <w:t>0</w:t>
      </w:r>
    </w:p>
    <w:p>
      <w:pPr>
        <w:pStyle w:val="BodyText"/>
        <w:spacing w:before="2"/>
        <w:rPr>
          <w:sz w:val="12"/>
        </w:rPr>
      </w:pPr>
    </w:p>
    <w:p>
      <w:pPr>
        <w:pStyle w:val="BodyText"/>
        <w:tabs>
          <w:tab w:val="left" w:pos="4252"/>
        </w:tabs>
        <w:spacing w:before="49" w:line="389" w:lineRule="exact"/>
        <w:ind w:left="1013"/>
      </w:pPr>
      <w:r>
        <w:t>玻璃：q</w:t>
      </w:r>
      <w:r>
        <w:rPr>
          <w:spacing w:val="-90"/>
        </w:rPr>
        <w:t xml:space="preserve"> </w:t>
      </w:r>
      <w:r>
        <w:t>= Q</w:t>
      </w:r>
      <w:r>
        <w:rPr>
          <w:spacing w:val="-90"/>
        </w:rPr>
        <w:t xml:space="preserve"> </w:t>
      </w:r>
      <w:r>
        <w:t>×% =</w:t>
        <w:tab/>
        <w:t>t/h</w:t>
      </w:r>
    </w:p>
    <w:p>
      <w:pPr>
        <w:tabs>
          <w:tab w:val="left" w:pos="2902"/>
        </w:tabs>
        <w:spacing w:before="0" w:line="206" w:lineRule="exact"/>
        <w:ind w:left="2273" w:right="0" w:firstLine="0"/>
        <w:jc w:val="left"/>
        <w:rPr>
          <w:sz w:val="18"/>
        </w:rPr>
      </w:pPr>
      <w:r>
        <w:rPr>
          <w:sz w:val="18"/>
        </w:rPr>
        <w:t>2</w:t>
        <w:tab/>
        <w:t>0</w:t>
      </w:r>
    </w:p>
    <w:p>
      <w:pPr>
        <w:pStyle w:val="BodyText"/>
        <w:spacing w:before="2"/>
        <w:rPr>
          <w:sz w:val="12"/>
        </w:rPr>
      </w:pPr>
    </w:p>
    <w:p>
      <w:pPr>
        <w:pStyle w:val="BodyText"/>
        <w:tabs>
          <w:tab w:val="left" w:pos="4252"/>
        </w:tabs>
        <w:spacing w:before="50" w:line="389" w:lineRule="exact"/>
        <w:ind w:left="1013"/>
      </w:pPr>
      <w:r>
        <w:t>其他：q</w:t>
      </w:r>
      <w:r>
        <w:rPr>
          <w:spacing w:val="-90"/>
        </w:rPr>
        <w:t xml:space="preserve"> </w:t>
      </w:r>
      <w:r>
        <w:t>= Q</w:t>
      </w:r>
      <w:r>
        <w:rPr>
          <w:spacing w:val="-90"/>
        </w:rPr>
        <w:t xml:space="preserve"> </w:t>
      </w:r>
      <w:r>
        <w:t>×% =</w:t>
        <w:tab/>
        <w:t>t/h</w:t>
      </w:r>
    </w:p>
    <w:p>
      <w:pPr>
        <w:tabs>
          <w:tab w:val="left" w:pos="2902"/>
        </w:tabs>
        <w:spacing w:before="0" w:line="205" w:lineRule="exact"/>
        <w:ind w:left="2273" w:right="0" w:firstLine="0"/>
        <w:jc w:val="left"/>
        <w:rPr>
          <w:sz w:val="18"/>
        </w:rPr>
      </w:pPr>
      <w:r>
        <w:rPr>
          <w:sz w:val="18"/>
        </w:rPr>
        <w:t>3</w:t>
        <w:tab/>
        <w:t>0</w:t>
      </w:r>
    </w:p>
    <w:p>
      <w:pPr>
        <w:pStyle w:val="BodyText"/>
        <w:spacing w:before="3"/>
        <w:rPr>
          <w:sz w:val="16"/>
        </w:rPr>
      </w:pPr>
    </w:p>
    <w:p>
      <w:pPr>
        <w:pStyle w:val="BodyText"/>
        <w:spacing w:line="389" w:lineRule="exact"/>
        <w:ind w:left="1013"/>
      </w:pPr>
      <w:r>
        <w:t>分出量：Q = q</w:t>
      </w:r>
      <w:r>
        <w:rPr>
          <w:spacing w:val="-89"/>
        </w:rPr>
        <w:t xml:space="preserve"> </w:t>
      </w:r>
      <w:r>
        <w:t>+q</w:t>
      </w:r>
      <w:r>
        <w:rPr>
          <w:spacing w:val="-90"/>
        </w:rPr>
        <w:t xml:space="preserve"> </w:t>
      </w:r>
      <w:r>
        <w:t>+q = t/h</w:t>
      </w:r>
    </w:p>
    <w:p>
      <w:pPr>
        <w:tabs>
          <w:tab w:val="left" w:pos="3352"/>
          <w:tab w:val="left" w:pos="3803"/>
          <w:tab w:val="left" w:pos="4253"/>
        </w:tabs>
        <w:spacing w:before="0" w:line="206" w:lineRule="exact"/>
        <w:ind w:left="2633" w:right="0" w:firstLine="0"/>
        <w:jc w:val="left"/>
        <w:rPr>
          <w:sz w:val="18"/>
        </w:rPr>
      </w:pPr>
      <w:r>
        <w:rPr>
          <w:sz w:val="18"/>
        </w:rPr>
        <w:t>总</w:t>
        <w:tab/>
        <w:t>1</w:t>
        <w:tab/>
        <w:t>2</w:t>
        <w:tab/>
        <w:t>3</w:t>
      </w:r>
    </w:p>
    <w:p>
      <w:pPr>
        <w:pStyle w:val="BodyText"/>
        <w:rPr>
          <w:sz w:val="20"/>
        </w:rPr>
      </w:pPr>
    </w:p>
    <w:p>
      <w:pPr>
        <w:pStyle w:val="BodyText"/>
        <w:rPr>
          <w:sz w:val="20"/>
        </w:rPr>
      </w:pPr>
    </w:p>
    <w:p>
      <w:pPr>
        <w:pStyle w:val="BodyText"/>
        <w:rPr>
          <w:sz w:val="20"/>
        </w:rPr>
      </w:pPr>
    </w:p>
    <w:p>
      <w:pPr>
        <w:pStyle w:val="BodyText"/>
        <w:spacing w:before="2"/>
        <w:rPr>
          <w:sz w:val="20"/>
        </w:rPr>
      </w:pPr>
    </w:p>
    <w:p>
      <w:pPr>
        <w:pStyle w:val="Heading6"/>
        <w:spacing w:before="49"/>
      </w:pPr>
      <w:bookmarkStart w:id="16" w:name="_TOC_250008"/>
      <w:bookmarkEnd w:id="16"/>
      <w:r>
        <w:t>永磁筒式磁选机</w:t>
      </w:r>
    </w:p>
    <w:p>
      <w:pPr>
        <w:pStyle w:val="BodyText"/>
        <w:rPr>
          <w:b/>
        </w:rPr>
      </w:pPr>
    </w:p>
    <w:p>
      <w:pPr>
        <w:pStyle w:val="BodyText"/>
        <w:spacing w:before="266"/>
        <w:ind w:left="1013"/>
      </w:pPr>
      <w:r>
        <w:t>垃圾经过磁选后理论上可以分选出所有的金属。</w:t>
      </w:r>
    </w:p>
    <w:p>
      <w:pPr>
        <w:pStyle w:val="BodyText"/>
        <w:spacing w:before="6"/>
        <w:rPr>
          <w:sz w:val="22"/>
        </w:rPr>
      </w:pPr>
    </w:p>
    <w:p>
      <w:pPr>
        <w:pStyle w:val="BodyText"/>
        <w:spacing w:before="50" w:line="389" w:lineRule="exact"/>
        <w:ind w:left="1013"/>
      </w:pPr>
      <w:r>
        <w:t>分出量：Q</w:t>
      </w:r>
      <w:r>
        <w:rPr>
          <w:spacing w:val="-90"/>
        </w:rPr>
        <w:t xml:space="preserve"> </w:t>
      </w:r>
      <w:r>
        <w:t>=Q ×%= t/h</w:t>
      </w:r>
    </w:p>
    <w:p>
      <w:pPr>
        <w:tabs>
          <w:tab w:val="left" w:pos="3082"/>
        </w:tabs>
        <w:spacing w:before="0" w:line="205" w:lineRule="exact"/>
        <w:ind w:left="2633" w:right="0" w:firstLine="0"/>
        <w:jc w:val="left"/>
        <w:rPr>
          <w:sz w:val="18"/>
        </w:rPr>
      </w:pPr>
      <w:r>
        <w:rPr>
          <w:sz w:val="18"/>
        </w:rPr>
        <w:t>2</w:t>
        <w:tab/>
        <w:t>总</w:t>
      </w:r>
    </w:p>
    <w:p>
      <w:pPr>
        <w:pStyle w:val="BodyText"/>
        <w:spacing w:before="6"/>
        <w:rPr>
          <w:sz w:val="12"/>
        </w:rPr>
      </w:pPr>
    </w:p>
    <w:p>
      <w:pPr>
        <w:pStyle w:val="BodyText"/>
        <w:spacing w:before="50" w:line="415" w:lineRule="auto"/>
        <w:ind w:left="1013" w:right="8107"/>
      </w:pPr>
      <w:r>
        <w:t>该设计中选用的磁选设备为： CT永磁筒式磁选机-CT924</w:t>
      </w:r>
    </w:p>
    <w:p>
      <w:pPr>
        <w:pStyle w:val="BodyText"/>
        <w:spacing w:before="7"/>
        <w:rPr>
          <w:sz w:val="37"/>
        </w:rPr>
      </w:pPr>
    </w:p>
    <w:p>
      <w:pPr>
        <w:pStyle w:val="BodyText"/>
        <w:tabs>
          <w:tab w:val="left" w:pos="4253"/>
        </w:tabs>
        <w:ind w:left="293"/>
      </w:pPr>
      <w:r>
        <w:t>表3</w:t>
        <w:tab/>
        <w:t>CT永磁筒式磁选机主要技术参数：</w:t>
      </w:r>
    </w:p>
    <w:p>
      <w:pPr>
        <w:pStyle w:val="BodyText"/>
        <w:spacing w:before="3"/>
        <w:rPr>
          <w:sz w:val="10"/>
        </w:rPr>
      </w:pPr>
      <w:r>
        <w:pict>
          <v:group id="_x0000_s1047" style="width:672.75pt;height:83pt;margin-top:8.52pt;margin-left:118.25pt;mso-position-horizontal-relative:page;mso-wrap-distance-left:0;mso-wrap-distance-right:0;position:absolute;z-index:-251653120" coordorigin="2365,170" coordsize="13455,1660">
            <v:shape id="_x0000_s1048" type="#_x0000_t75" style="width:13455;height:1660;left:2365;position:absolute;top:170" stroked="f">
              <v:imagedata r:id="rId12" o:title=""/>
            </v:shape>
            <v:shape id="_x0000_s1049" type="#_x0000_t202" style="width:740;height:360;left:2787;position:absolute;top:406" filled="f" stroked="f">
              <v:textbox inset="0,0,0,0">
                <w:txbxContent>
                  <w:p>
                    <w:pPr>
                      <w:spacing w:before="0" w:line="360" w:lineRule="exact"/>
                      <w:ind w:left="0" w:right="0" w:firstLine="0"/>
                      <w:jc w:val="left"/>
                      <w:rPr>
                        <w:sz w:val="36"/>
                      </w:rPr>
                    </w:pPr>
                    <w:r>
                      <w:rPr>
                        <w:sz w:val="36"/>
                      </w:rPr>
                      <w:t>型号</w:t>
                    </w:r>
                  </w:p>
                </w:txbxContent>
              </v:textbox>
            </v:shape>
            <v:shape id="_x0000_s1050" type="#_x0000_t202" style="width:2901;height:360;left:4083;position:absolute;top:406" filled="f" stroked="f">
              <v:textbox inset="0,0,0,0">
                <w:txbxContent>
                  <w:p>
                    <w:pPr>
                      <w:tabs>
                        <w:tab w:val="left" w:pos="1620"/>
                      </w:tabs>
                      <w:spacing w:before="0" w:line="360" w:lineRule="exact"/>
                      <w:ind w:left="0" w:right="0" w:firstLine="0"/>
                      <w:jc w:val="left"/>
                      <w:rPr>
                        <w:sz w:val="36"/>
                      </w:rPr>
                    </w:pPr>
                    <w:r>
                      <w:rPr>
                        <w:sz w:val="36"/>
                      </w:rPr>
                      <w:t>筒径/mm</w:t>
                      <w:tab/>
                      <w:t>筒长/mm</w:t>
                    </w:r>
                  </w:p>
                </w:txbxContent>
              </v:textbox>
            </v:shape>
            <v:shape id="_x0000_s1051" type="#_x0000_t202" style="width:1640;height:360;left:7414;position:absolute;top:406" filled="f" stroked="f">
              <v:textbox inset="0,0,0,0">
                <w:txbxContent>
                  <w:p>
                    <w:pPr>
                      <w:spacing w:before="0" w:line="360" w:lineRule="exact"/>
                      <w:ind w:left="0" w:right="0" w:firstLine="0"/>
                      <w:jc w:val="left"/>
                      <w:rPr>
                        <w:sz w:val="36"/>
                      </w:rPr>
                    </w:pPr>
                    <w:r>
                      <w:rPr>
                        <w:sz w:val="36"/>
                      </w:rPr>
                      <w:t>筒表场强/</w:t>
                    </w:r>
                  </w:p>
                </w:txbxContent>
              </v:textbox>
            </v:shape>
            <v:shape id="_x0000_s1052" type="#_x0000_t202" style="width:1100;height:360;left:9707;position:absolute;top:406" filled="f" stroked="f">
              <v:textbox inset="0,0,0,0">
                <w:txbxContent>
                  <w:p>
                    <w:pPr>
                      <w:spacing w:before="0" w:line="360" w:lineRule="exact"/>
                      <w:ind w:left="0" w:right="0" w:firstLine="0"/>
                      <w:jc w:val="left"/>
                      <w:rPr>
                        <w:sz w:val="36"/>
                      </w:rPr>
                    </w:pPr>
                    <w:r>
                      <w:rPr>
                        <w:sz w:val="36"/>
                      </w:rPr>
                      <w:t>处理量</w:t>
                    </w:r>
                  </w:p>
                </w:txbxContent>
              </v:textbox>
            </v:shape>
            <v:shape id="_x0000_s1053" type="#_x0000_t202" style="width:1460;height:360;left:11417;position:absolute;top:406" filled="f" stroked="f">
              <v:textbox inset="0,0,0,0">
                <w:txbxContent>
                  <w:p>
                    <w:pPr>
                      <w:spacing w:before="0" w:line="360" w:lineRule="exact"/>
                      <w:ind w:left="0" w:right="0" w:firstLine="0"/>
                      <w:jc w:val="left"/>
                      <w:rPr>
                        <w:sz w:val="36"/>
                      </w:rPr>
                    </w:pPr>
                    <w:r>
                      <w:rPr>
                        <w:sz w:val="36"/>
                      </w:rPr>
                      <w:t>给料粒度</w:t>
                    </w:r>
                  </w:p>
                </w:txbxContent>
              </v:textbox>
            </v:shape>
            <v:shape id="_x0000_s1054" type="#_x0000_t202" style="width:2360;height:360;left:13265;position:absolute;top:406" filled="f" stroked="f">
              <v:textbox inset="0,0,0,0">
                <w:txbxContent>
                  <w:p>
                    <w:pPr>
                      <w:tabs>
                        <w:tab w:val="left" w:pos="1619"/>
                      </w:tabs>
                      <w:spacing w:before="0" w:line="360" w:lineRule="exact"/>
                      <w:ind w:left="0" w:right="0" w:firstLine="0"/>
                      <w:jc w:val="left"/>
                      <w:rPr>
                        <w:sz w:val="36"/>
                      </w:rPr>
                    </w:pPr>
                    <w:r>
                      <w:rPr>
                        <w:sz w:val="36"/>
                      </w:rPr>
                      <w:t>功率/kW</w:t>
                      <w:tab/>
                      <w:t>质量</w:t>
                    </w:r>
                  </w:p>
                </w:txbxContent>
              </v:textbox>
            </v:shape>
            <v:shape id="_x0000_s1055" type="#_x0000_t202" style="width:1460;height:360;left:7504;position:absolute;top:1205" filled="f" stroked="f">
              <v:textbox inset="0,0,0,0">
                <w:txbxContent>
                  <w:p>
                    <w:pPr>
                      <w:spacing w:before="0" w:line="360" w:lineRule="exact"/>
                      <w:ind w:left="0" w:right="0" w:firstLine="0"/>
                      <w:jc w:val="left"/>
                      <w:rPr>
                        <w:sz w:val="36"/>
                      </w:rPr>
                    </w:pPr>
                    <w:r>
                      <w:rPr>
                        <w:sz w:val="36"/>
                      </w:rPr>
                      <w:t>（kA/m）</w:t>
                    </w:r>
                  </w:p>
                </w:txbxContent>
              </v:textbox>
            </v:shape>
            <v:shape id="_x0000_s1056" type="#_x0000_t202" style="width:1100;height:360;left:9707;position:absolute;top:1205" filled="f" stroked="f">
              <v:textbox inset="0,0,0,0">
                <w:txbxContent>
                  <w:p>
                    <w:pPr>
                      <w:spacing w:before="0" w:line="360" w:lineRule="exact"/>
                      <w:ind w:left="0" w:right="0" w:firstLine="0"/>
                      <w:jc w:val="left"/>
                      <w:rPr>
                        <w:sz w:val="36"/>
                      </w:rPr>
                    </w:pPr>
                    <w:r>
                      <w:rPr>
                        <w:sz w:val="36"/>
                      </w:rPr>
                      <w:t>/(t/h)</w:t>
                    </w:r>
                  </w:p>
                </w:txbxContent>
              </v:textbox>
            </v:shape>
            <v:shape id="_x0000_s1057" type="#_x0000_t202" style="width:560;height:360;left:11867;position:absolute;top:1205" filled="f" stroked="f">
              <v:textbox inset="0,0,0,0">
                <w:txbxContent>
                  <w:p>
                    <w:pPr>
                      <w:spacing w:before="0" w:line="360" w:lineRule="exact"/>
                      <w:ind w:left="0" w:right="0" w:firstLine="0"/>
                      <w:jc w:val="left"/>
                      <w:rPr>
                        <w:sz w:val="36"/>
                      </w:rPr>
                    </w:pPr>
                    <w:r>
                      <w:rPr>
                        <w:sz w:val="36"/>
                      </w:rPr>
                      <w:t>/mm</w:t>
                    </w:r>
                  </w:p>
                </w:txbxContent>
              </v:textbox>
            </v:shape>
            <v:shape id="_x0000_s1058" type="#_x0000_t202" style="width:380;height:360;left:15065;position:absolute;top:1205" filled="f" stroked="f">
              <v:textbox inset="0,0,0,0">
                <w:txbxContent>
                  <w:p>
                    <w:pPr>
                      <w:spacing w:before="0" w:line="360" w:lineRule="exact"/>
                      <w:ind w:left="0" w:right="0" w:firstLine="0"/>
                      <w:jc w:val="left"/>
                      <w:rPr>
                        <w:sz w:val="36"/>
                      </w:rPr>
                    </w:pPr>
                    <w:r>
                      <w:rPr>
                        <w:sz w:val="36"/>
                      </w:rPr>
                      <w:t>/t</w:t>
                    </w:r>
                  </w:p>
                </w:txbxContent>
              </v:textbox>
            </v:shape>
            <w10:wrap type="topAndBottom"/>
          </v:group>
        </w:pict>
      </w:r>
    </w:p>
    <w:p>
      <w:pPr>
        <w:spacing w:after="0"/>
        <w:rPr>
          <w:sz w:val="10"/>
        </w:rPr>
        <w:sectPr>
          <w:pgSz w:w="17860" w:h="25260"/>
          <w:pgMar w:top="1940" w:right="1780" w:bottom="280" w:left="2260" w:header="708" w:footer="708"/>
          <w:pgNumType w:start="10"/>
          <w:cols w:space="708"/>
        </w:sectPr>
      </w:pPr>
    </w:p>
    <w:p>
      <w:pPr>
        <w:pStyle w:val="BodyText"/>
        <w:ind w:left="105"/>
        <w:rPr>
          <w:sz w:val="20"/>
        </w:rPr>
      </w:pPr>
      <w:r>
        <w:rPr>
          <w:sz w:val="20"/>
        </w:rPr>
        <w:pict>
          <v:group id="_x0000_i1059" style="width:672.75pt;height:43pt;mso-position-horizontal-relative:char;mso-position-vertical-relative:line" coordorigin="0,0" coordsize="13455,860">
            <v:shape id="_x0000_s1060" type="#_x0000_t75" style="width:13455;height:860;position:absolute" stroked="f">
              <v:imagedata r:id="rId13" o:title=""/>
            </v:shape>
            <v:shape id="_x0000_s1061" type="#_x0000_t202" style="width:1100;height:360;left:242;position:absolute;top:232" filled="f" stroked="f">
              <v:textbox inset="0,0,0,0">
                <w:txbxContent>
                  <w:p>
                    <w:pPr>
                      <w:spacing w:before="0" w:line="360" w:lineRule="exact"/>
                      <w:ind w:left="0" w:right="0" w:firstLine="0"/>
                      <w:jc w:val="left"/>
                      <w:rPr>
                        <w:sz w:val="36"/>
                      </w:rPr>
                    </w:pPr>
                    <w:r>
                      <w:rPr>
                        <w:sz w:val="36"/>
                      </w:rPr>
                      <w:t>CT-924</w:t>
                    </w:r>
                  </w:p>
                </w:txbxContent>
              </v:textbox>
            </v:shape>
            <v:shape id="_x0000_s1062" type="#_x0000_t202" style="width:560;height:360;left:2078;position:absolute;top:232" filled="f" stroked="f">
              <v:textbox inset="0,0,0,0">
                <w:txbxContent>
                  <w:p>
                    <w:pPr>
                      <w:spacing w:before="0" w:line="360" w:lineRule="exact"/>
                      <w:ind w:left="0" w:right="0" w:firstLine="0"/>
                      <w:jc w:val="left"/>
                      <w:rPr>
                        <w:sz w:val="36"/>
                      </w:rPr>
                    </w:pPr>
                    <w:r>
                      <w:rPr>
                        <w:sz w:val="36"/>
                      </w:rPr>
                      <w:t>900</w:t>
                    </w:r>
                  </w:p>
                </w:txbxContent>
              </v:textbox>
            </v:shape>
            <v:shape id="_x0000_s1063" type="#_x0000_t202" style="width:740;height:360;left:3609;position:absolute;top:232" filled="f" stroked="f">
              <v:textbox inset="0,0,0,0">
                <w:txbxContent>
                  <w:p>
                    <w:pPr>
                      <w:spacing w:before="0" w:line="360" w:lineRule="exact"/>
                      <w:ind w:left="0" w:right="0" w:firstLine="0"/>
                      <w:jc w:val="left"/>
                      <w:rPr>
                        <w:sz w:val="36"/>
                      </w:rPr>
                    </w:pPr>
                    <w:r>
                      <w:rPr>
                        <w:sz w:val="36"/>
                      </w:rPr>
                      <w:t>2400</w:t>
                    </w:r>
                  </w:p>
                </w:txbxContent>
              </v:textbox>
            </v:shape>
            <v:shape id="_x0000_s1064" type="#_x0000_t202" style="width:1280;height:360;left:5229;position:absolute;top:232" filled="f" stroked="f">
              <v:textbox inset="0,0,0,0">
                <w:txbxContent>
                  <w:p>
                    <w:pPr>
                      <w:spacing w:before="0" w:line="360" w:lineRule="exact"/>
                      <w:ind w:left="0" w:right="0" w:firstLine="0"/>
                      <w:jc w:val="left"/>
                      <w:rPr>
                        <w:sz w:val="36"/>
                      </w:rPr>
                    </w:pPr>
                    <w:r>
                      <w:rPr>
                        <w:sz w:val="36"/>
                      </w:rPr>
                      <w:t>130-400</w:t>
                    </w:r>
                  </w:p>
                </w:txbxContent>
              </v:textbox>
            </v:shape>
            <v:shape id="_x0000_s1065" type="#_x0000_t202" style="width:1100;height:360;left:7342;position:absolute;top:232" filled="f" stroked="f">
              <v:textbox inset="0,0,0,0">
                <w:txbxContent>
                  <w:p>
                    <w:pPr>
                      <w:spacing w:before="0" w:line="360" w:lineRule="exact"/>
                      <w:ind w:left="0" w:right="0" w:firstLine="0"/>
                      <w:jc w:val="left"/>
                      <w:rPr>
                        <w:sz w:val="36"/>
                      </w:rPr>
                    </w:pPr>
                    <w:r>
                      <w:rPr>
                        <w:sz w:val="36"/>
                      </w:rPr>
                      <w:t>70-110</w:t>
                    </w:r>
                  </w:p>
                </w:txbxContent>
              </v:textbox>
            </v:shape>
            <v:shape id="_x0000_s1066" type="#_x0000_t202" style="width:560;height:360;left:9502;position:absolute;top:232" filled="f" stroked="f">
              <v:textbox inset="0,0,0,0">
                <w:txbxContent>
                  <w:p>
                    <w:pPr>
                      <w:spacing w:before="0" w:line="360" w:lineRule="exact"/>
                      <w:ind w:left="0" w:right="0" w:firstLine="0"/>
                      <w:jc w:val="left"/>
                      <w:rPr>
                        <w:sz w:val="36"/>
                      </w:rPr>
                    </w:pPr>
                    <w:r>
                      <w:rPr>
                        <w:sz w:val="36"/>
                      </w:rPr>
                      <w:t>3-0</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5"/>
        <w:rPr>
          <w:sz w:val="14"/>
        </w:rPr>
      </w:pPr>
    </w:p>
    <w:p>
      <w:pPr>
        <w:pStyle w:val="Heading6"/>
        <w:spacing w:before="50"/>
      </w:pPr>
      <w:bookmarkStart w:id="17" w:name="_TOC_250007"/>
      <w:bookmarkEnd w:id="17"/>
      <w:r>
        <w:t>滚筒破碎机</w:t>
      </w:r>
    </w:p>
    <w:p>
      <w:pPr>
        <w:pStyle w:val="BodyText"/>
        <w:rPr>
          <w:b/>
        </w:rPr>
      </w:pPr>
    </w:p>
    <w:p>
      <w:pPr>
        <w:pStyle w:val="BodyText"/>
        <w:spacing w:before="265" w:line="415" w:lineRule="auto"/>
        <w:ind w:left="293" w:right="346" w:firstLine="719"/>
      </w:pPr>
      <w:r>
        <w:rPr>
          <w:spacing w:val="-8"/>
        </w:rPr>
        <w:t>滚筒破碎机其机身主体的形状是用筛板做成的圆筒，工作过程中既有破碎又有筛</w:t>
      </w:r>
      <w:r>
        <w:t>分的作用，并能达到选分的作用。</w:t>
      </w:r>
    </w:p>
    <w:p>
      <w:pPr>
        <w:pStyle w:val="BodyText"/>
        <w:spacing w:before="3"/>
        <w:ind w:left="1013"/>
      </w:pPr>
      <w:r>
        <w:t>依据垃圾破碎分选工艺要求选择国产滚筒破碎机，具体技术特征如下表：</w:t>
      </w:r>
    </w:p>
    <w:p>
      <w:pPr>
        <w:pStyle w:val="BodyText"/>
        <w:rPr>
          <w:sz w:val="20"/>
        </w:rPr>
      </w:pPr>
    </w:p>
    <w:p>
      <w:pPr>
        <w:pStyle w:val="BodyText"/>
        <w:rPr>
          <w:sz w:val="20"/>
        </w:rPr>
      </w:pPr>
    </w:p>
    <w:p>
      <w:pPr>
        <w:pStyle w:val="BodyText"/>
        <w:rPr>
          <w:sz w:val="28"/>
        </w:rPr>
      </w:pPr>
    </w:p>
    <w:tbl>
      <w:tblPr>
        <w:tblStyle w:val="TableNormal1"/>
        <w:tblW w:w="0" w:type="auto"/>
        <w:jc w:val="left"/>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4"/>
        <w:gridCol w:w="1909"/>
        <w:gridCol w:w="5830"/>
        <w:gridCol w:w="1477"/>
        <w:gridCol w:w="2046"/>
      </w:tblGrid>
      <w:tr>
        <w:tblPrEx>
          <w:tblW w:w="0" w:type="auto"/>
          <w:jc w:val="left"/>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00"/>
          <w:jc w:val="left"/>
        </w:trPr>
        <w:tc>
          <w:tcPr>
            <w:tcW w:w="1854" w:type="dxa"/>
          </w:tcPr>
          <w:p>
            <w:pPr>
              <w:pStyle w:val="TableParagraph"/>
              <w:spacing w:line="411" w:lineRule="exact"/>
              <w:ind w:left="50"/>
              <w:rPr>
                <w:sz w:val="36"/>
              </w:rPr>
            </w:pPr>
            <w:r>
              <w:rPr>
                <w:sz w:val="36"/>
              </w:rPr>
              <w:t>表4</w:t>
            </w:r>
          </w:p>
          <w:p>
            <w:pPr>
              <w:pStyle w:val="TableParagraph"/>
              <w:spacing w:before="6"/>
              <w:rPr>
                <w:sz w:val="27"/>
              </w:rPr>
            </w:pPr>
          </w:p>
          <w:p>
            <w:pPr>
              <w:pStyle w:val="TableParagraph"/>
              <w:ind w:left="417"/>
              <w:rPr>
                <w:sz w:val="36"/>
              </w:rPr>
            </w:pPr>
            <w:r>
              <w:rPr>
                <w:sz w:val="36"/>
              </w:rPr>
              <w:t>规格</w:t>
            </w:r>
          </w:p>
        </w:tc>
        <w:tc>
          <w:tcPr>
            <w:tcW w:w="1909" w:type="dxa"/>
          </w:tcPr>
          <w:p>
            <w:pPr>
              <w:pStyle w:val="TableParagraph"/>
              <w:rPr>
                <w:rFonts w:ascii="Times New Roman"/>
                <w:sz w:val="34"/>
              </w:rPr>
            </w:pPr>
          </w:p>
        </w:tc>
        <w:tc>
          <w:tcPr>
            <w:tcW w:w="5830" w:type="dxa"/>
          </w:tcPr>
          <w:p>
            <w:pPr>
              <w:pStyle w:val="TableParagraph"/>
              <w:spacing w:line="411" w:lineRule="exact"/>
              <w:ind w:left="787"/>
              <w:rPr>
                <w:sz w:val="36"/>
              </w:rPr>
            </w:pPr>
            <w:r>
              <w:rPr>
                <w:sz w:val="36"/>
              </w:rPr>
              <w:t>滚筒破碎机技术特征</w:t>
            </w:r>
          </w:p>
          <w:p>
            <w:pPr>
              <w:pStyle w:val="TableParagraph"/>
              <w:spacing w:before="6"/>
              <w:rPr>
                <w:sz w:val="27"/>
              </w:rPr>
            </w:pPr>
          </w:p>
          <w:p>
            <w:pPr>
              <w:pStyle w:val="TableParagraph"/>
              <w:tabs>
                <w:tab w:val="left" w:pos="3916"/>
              </w:tabs>
              <w:ind w:left="471"/>
              <w:rPr>
                <w:sz w:val="36"/>
              </w:rPr>
            </w:pPr>
            <w:r>
              <w:rPr>
                <w:sz w:val="36"/>
              </w:rPr>
              <w:t>3000x6000</w:t>
              <w:tab/>
              <w:t>规格</w:t>
            </w:r>
          </w:p>
        </w:tc>
        <w:tc>
          <w:tcPr>
            <w:tcW w:w="1477" w:type="dxa"/>
          </w:tcPr>
          <w:p>
            <w:pPr>
              <w:pStyle w:val="TableParagraph"/>
              <w:rPr>
                <w:rFonts w:ascii="Times New Roman"/>
                <w:sz w:val="34"/>
              </w:rPr>
            </w:pPr>
          </w:p>
        </w:tc>
        <w:tc>
          <w:tcPr>
            <w:tcW w:w="2046" w:type="dxa"/>
          </w:tcPr>
          <w:p>
            <w:pPr>
              <w:pStyle w:val="TableParagraph"/>
              <w:rPr>
                <w:sz w:val="36"/>
              </w:rPr>
            </w:pPr>
          </w:p>
          <w:p>
            <w:pPr>
              <w:pStyle w:val="TableParagraph"/>
              <w:spacing w:before="301"/>
              <w:ind w:left="352" w:right="33"/>
              <w:jc w:val="center"/>
              <w:rPr>
                <w:sz w:val="36"/>
              </w:rPr>
            </w:pPr>
            <w:r>
              <w:rPr>
                <w:sz w:val="36"/>
              </w:rPr>
              <w:t>3000x6000</w:t>
            </w:r>
          </w:p>
        </w:tc>
      </w:tr>
      <w:tr>
        <w:tblPrEx>
          <w:tblW w:w="0" w:type="auto"/>
          <w:jc w:val="left"/>
          <w:tblInd w:w="250" w:type="dxa"/>
          <w:tblLayout w:type="fixed"/>
          <w:tblCellMar>
            <w:top w:w="0" w:type="dxa"/>
            <w:left w:w="0" w:type="dxa"/>
            <w:bottom w:w="0" w:type="dxa"/>
            <w:right w:w="0" w:type="dxa"/>
          </w:tblCellMar>
          <w:tblLook w:val="01E0"/>
        </w:tblPrEx>
        <w:trPr>
          <w:trHeight w:val="815"/>
          <w:jc w:val="left"/>
        </w:trPr>
        <w:tc>
          <w:tcPr>
            <w:tcW w:w="1854" w:type="dxa"/>
          </w:tcPr>
          <w:p>
            <w:pPr>
              <w:pStyle w:val="TableParagraph"/>
              <w:spacing w:before="176"/>
              <w:ind w:left="38" w:right="335"/>
              <w:jc w:val="center"/>
              <w:rPr>
                <w:sz w:val="36"/>
              </w:rPr>
            </w:pPr>
            <w:r>
              <w:rPr>
                <w:sz w:val="36"/>
              </w:rPr>
              <w:t>生产能力</w:t>
            </w:r>
          </w:p>
        </w:tc>
        <w:tc>
          <w:tcPr>
            <w:tcW w:w="1909" w:type="dxa"/>
          </w:tcPr>
          <w:p>
            <w:pPr>
              <w:pStyle w:val="TableParagraph"/>
              <w:rPr>
                <w:rFonts w:ascii="Times New Roman"/>
                <w:sz w:val="34"/>
              </w:rPr>
            </w:pPr>
          </w:p>
        </w:tc>
        <w:tc>
          <w:tcPr>
            <w:tcW w:w="5830" w:type="dxa"/>
          </w:tcPr>
          <w:p>
            <w:pPr>
              <w:pStyle w:val="TableParagraph"/>
              <w:tabs>
                <w:tab w:val="left" w:pos="3286"/>
              </w:tabs>
              <w:spacing w:before="176"/>
              <w:ind w:left="471"/>
              <w:rPr>
                <w:sz w:val="36"/>
              </w:rPr>
            </w:pPr>
            <w:r>
              <w:rPr>
                <w:sz w:val="36"/>
              </w:rPr>
              <w:t>80-120t/h</w:t>
              <w:tab/>
              <w:t>筛孔尺寸/mm</w:t>
            </w:r>
          </w:p>
        </w:tc>
        <w:tc>
          <w:tcPr>
            <w:tcW w:w="1477" w:type="dxa"/>
          </w:tcPr>
          <w:p>
            <w:pPr>
              <w:pStyle w:val="TableParagraph"/>
              <w:rPr>
                <w:rFonts w:ascii="Times New Roman"/>
                <w:sz w:val="34"/>
              </w:rPr>
            </w:pPr>
          </w:p>
        </w:tc>
        <w:tc>
          <w:tcPr>
            <w:tcW w:w="2046" w:type="dxa"/>
          </w:tcPr>
          <w:p>
            <w:pPr>
              <w:pStyle w:val="TableParagraph"/>
              <w:spacing w:before="176"/>
              <w:ind w:left="352" w:right="33"/>
              <w:jc w:val="center"/>
              <w:rPr>
                <w:sz w:val="36"/>
              </w:rPr>
            </w:pPr>
            <w:r>
              <w:rPr>
                <w:sz w:val="36"/>
              </w:rPr>
              <w:t>50</w:t>
            </w:r>
          </w:p>
        </w:tc>
      </w:tr>
      <w:tr>
        <w:tblPrEx>
          <w:tblW w:w="0" w:type="auto"/>
          <w:jc w:val="left"/>
          <w:tblInd w:w="250" w:type="dxa"/>
          <w:tblLayout w:type="fixed"/>
          <w:tblCellMar>
            <w:top w:w="0" w:type="dxa"/>
            <w:left w:w="0" w:type="dxa"/>
            <w:bottom w:w="0" w:type="dxa"/>
            <w:right w:w="0" w:type="dxa"/>
          </w:tblCellMar>
          <w:tblLook w:val="01E0"/>
        </w:tblPrEx>
        <w:trPr>
          <w:trHeight w:val="1402"/>
          <w:jc w:val="left"/>
        </w:trPr>
        <w:tc>
          <w:tcPr>
            <w:tcW w:w="1854" w:type="dxa"/>
          </w:tcPr>
          <w:p>
            <w:pPr>
              <w:pStyle w:val="TableParagraph"/>
              <w:spacing w:before="178"/>
              <w:ind w:left="38" w:right="335"/>
              <w:jc w:val="center"/>
              <w:rPr>
                <w:sz w:val="36"/>
              </w:rPr>
            </w:pPr>
            <w:r>
              <w:rPr>
                <w:sz w:val="36"/>
              </w:rPr>
              <w:t>滚筒</w:t>
            </w:r>
          </w:p>
        </w:tc>
        <w:tc>
          <w:tcPr>
            <w:tcW w:w="1909" w:type="dxa"/>
          </w:tcPr>
          <w:p>
            <w:pPr>
              <w:pStyle w:val="TableParagraph"/>
              <w:spacing w:before="178"/>
              <w:ind w:left="355"/>
              <w:rPr>
                <w:sz w:val="36"/>
              </w:rPr>
            </w:pPr>
            <w:r>
              <w:rPr>
                <w:sz w:val="36"/>
              </w:rPr>
              <w:t>直径/m</w:t>
            </w:r>
          </w:p>
          <w:p>
            <w:pPr>
              <w:pStyle w:val="TableParagraph"/>
              <w:spacing w:before="6"/>
              <w:rPr>
                <w:sz w:val="27"/>
              </w:rPr>
            </w:pPr>
          </w:p>
          <w:p>
            <w:pPr>
              <w:pStyle w:val="TableParagraph"/>
              <w:spacing w:line="391" w:lineRule="exact"/>
              <w:ind w:left="355"/>
              <w:rPr>
                <w:sz w:val="36"/>
              </w:rPr>
            </w:pPr>
            <w:r>
              <w:rPr>
                <w:sz w:val="36"/>
              </w:rPr>
              <w:t>长度/m</w:t>
            </w:r>
          </w:p>
        </w:tc>
        <w:tc>
          <w:tcPr>
            <w:tcW w:w="5830" w:type="dxa"/>
          </w:tcPr>
          <w:p>
            <w:pPr>
              <w:pStyle w:val="TableParagraph"/>
              <w:tabs>
                <w:tab w:val="left" w:pos="3105"/>
              </w:tabs>
              <w:spacing w:before="178"/>
              <w:ind w:left="1191"/>
              <w:rPr>
                <w:sz w:val="36"/>
              </w:rPr>
            </w:pPr>
            <w:r>
              <w:rPr>
                <w:sz w:val="36"/>
              </w:rPr>
              <w:t>3</w:t>
              <w:tab/>
              <w:t>提升板高度/mm</w:t>
            </w:r>
          </w:p>
          <w:p>
            <w:pPr>
              <w:pStyle w:val="TableParagraph"/>
              <w:spacing w:before="6"/>
              <w:rPr>
                <w:sz w:val="27"/>
              </w:rPr>
            </w:pPr>
          </w:p>
          <w:p>
            <w:pPr>
              <w:pStyle w:val="TableParagraph"/>
              <w:tabs>
                <w:tab w:val="left" w:pos="3736"/>
              </w:tabs>
              <w:spacing w:line="391" w:lineRule="exact"/>
              <w:ind w:left="1191"/>
              <w:rPr>
                <w:sz w:val="36"/>
              </w:rPr>
            </w:pPr>
            <w:r>
              <w:rPr>
                <w:sz w:val="36"/>
              </w:rPr>
              <w:t>6</w:t>
              <w:tab/>
              <w:t>电动机</w:t>
            </w:r>
          </w:p>
        </w:tc>
        <w:tc>
          <w:tcPr>
            <w:tcW w:w="1477" w:type="dxa"/>
          </w:tcPr>
          <w:p>
            <w:pPr>
              <w:pStyle w:val="TableParagraph"/>
              <w:rPr>
                <w:sz w:val="36"/>
              </w:rPr>
            </w:pPr>
          </w:p>
          <w:p>
            <w:pPr>
              <w:pStyle w:val="TableParagraph"/>
              <w:spacing w:before="5"/>
              <w:rPr>
                <w:sz w:val="41"/>
              </w:rPr>
            </w:pPr>
          </w:p>
          <w:p>
            <w:pPr>
              <w:pStyle w:val="TableParagraph"/>
              <w:spacing w:line="391" w:lineRule="exact"/>
              <w:ind w:left="379"/>
              <w:rPr>
                <w:sz w:val="36"/>
              </w:rPr>
            </w:pPr>
            <w:r>
              <w:rPr>
                <w:sz w:val="36"/>
              </w:rPr>
              <w:t>型号</w:t>
            </w:r>
          </w:p>
        </w:tc>
        <w:tc>
          <w:tcPr>
            <w:tcW w:w="2046" w:type="dxa"/>
          </w:tcPr>
          <w:p>
            <w:pPr>
              <w:pStyle w:val="TableParagraph"/>
              <w:spacing w:before="178"/>
              <w:ind w:left="352" w:right="33"/>
              <w:jc w:val="center"/>
              <w:rPr>
                <w:sz w:val="36"/>
              </w:rPr>
            </w:pPr>
            <w:r>
              <w:rPr>
                <w:sz w:val="36"/>
              </w:rPr>
              <w:t>300</w:t>
            </w:r>
          </w:p>
          <w:p>
            <w:pPr>
              <w:pStyle w:val="TableParagraph"/>
              <w:spacing w:before="6"/>
              <w:rPr>
                <w:sz w:val="27"/>
              </w:rPr>
            </w:pPr>
          </w:p>
          <w:p>
            <w:pPr>
              <w:pStyle w:val="TableParagraph"/>
              <w:spacing w:line="391" w:lineRule="exact"/>
              <w:ind w:left="348" w:right="33"/>
              <w:jc w:val="center"/>
              <w:rPr>
                <w:sz w:val="36"/>
              </w:rPr>
            </w:pPr>
            <w:r>
              <w:rPr>
                <w:sz w:val="36"/>
              </w:rPr>
              <w:t>BJO</w:t>
            </w:r>
            <w:r>
              <w:rPr>
                <w:spacing w:val="-90"/>
                <w:sz w:val="36"/>
              </w:rPr>
              <w:t xml:space="preserve"> </w:t>
            </w:r>
            <w:r>
              <w:rPr>
                <w:sz w:val="36"/>
              </w:rPr>
              <w:t>-72-4</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0" w:line="415" w:lineRule="auto"/>
        <w:ind w:left="293" w:right="383"/>
      </w:pPr>
      <w:r>
        <w:pict>
          <v:group id="_x0000_s1067" style="width:321.75pt;height:247.85pt;margin-top:-267.76pt;margin-left:118.25pt;mso-position-horizontal-relative:page;position:absolute;z-index:-251652096" coordorigin="2365,-5355" coordsize="6435,4957">
            <v:shape id="_x0000_s1068" type="#_x0000_t75" style="width:6435;height:4957;left:2365;position:absolute;top:-5356" stroked="f">
              <v:imagedata r:id="rId14" o:title=""/>
            </v:shape>
            <v:shape id="_x0000_s1069" type="#_x0000_t202" style="width:1280;height:360;left:4623;position:absolute;top:-1850" filled="f" stroked="f">
              <v:textbox inset="0,0,0,0">
                <w:txbxContent>
                  <w:p>
                    <w:pPr>
                      <w:spacing w:before="0" w:line="360" w:lineRule="exact"/>
                      <w:ind w:left="0" w:right="0" w:firstLine="0"/>
                      <w:jc w:val="left"/>
                      <w:rPr>
                        <w:sz w:val="36"/>
                      </w:rPr>
                    </w:pPr>
                    <w:r>
                      <w:rPr>
                        <w:sz w:val="36"/>
                      </w:rPr>
                      <w:t>倾角/度</w:t>
                    </w:r>
                  </w:p>
                </w:txbxContent>
              </v:textbox>
            </v:shape>
            <v:shape id="_x0000_s1070" type="#_x0000_t202" style="width:200;height:360;left:7457;position:absolute;top:-1850" filled="f" stroked="f">
              <v:textbox inset="0,0,0,0">
                <w:txbxContent>
                  <w:p>
                    <w:pPr>
                      <w:spacing w:before="0" w:line="360" w:lineRule="exact"/>
                      <w:ind w:left="0" w:right="0" w:firstLine="0"/>
                      <w:jc w:val="left"/>
                      <w:rPr>
                        <w:sz w:val="36"/>
                      </w:rPr>
                    </w:pPr>
                    <w:r>
                      <w:rPr>
                        <w:sz w:val="36"/>
                      </w:rPr>
                      <w:t>3</w:t>
                    </w:r>
                  </w:p>
                </w:txbxContent>
              </v:textbox>
            </v:shape>
            <v:shape id="_x0000_s1071" type="#_x0000_t202" style="width:1640;height:360;left:4443;position:absolute;top:-1036" filled="f" stroked="f">
              <v:textbox inset="0,0,0,0">
                <w:txbxContent>
                  <w:p>
                    <w:pPr>
                      <w:spacing w:before="0" w:line="360" w:lineRule="exact"/>
                      <w:ind w:left="0" w:right="0" w:firstLine="0"/>
                      <w:jc w:val="left"/>
                      <w:rPr>
                        <w:sz w:val="36"/>
                      </w:rPr>
                    </w:pPr>
                    <w:r>
                      <w:rPr>
                        <w:sz w:val="36"/>
                      </w:rPr>
                      <w:t>转数r/min</w:t>
                    </w:r>
                  </w:p>
                </w:txbxContent>
              </v:textbox>
            </v:shape>
            <v:shape id="_x0000_s1072" type="#_x0000_t202" style="width:380;height:360;left:7367;position:absolute;top:-1036" filled="f" stroked="f">
              <v:textbox inset="0,0,0,0">
                <w:txbxContent>
                  <w:p>
                    <w:pPr>
                      <w:spacing w:before="0" w:line="360" w:lineRule="exact"/>
                      <w:ind w:left="0" w:right="0" w:firstLine="0"/>
                      <w:jc w:val="left"/>
                      <w:rPr>
                        <w:sz w:val="36"/>
                      </w:rPr>
                    </w:pPr>
                    <w:r>
                      <w:rPr>
                        <w:sz w:val="36"/>
                      </w:rPr>
                      <w:t>12</w:t>
                    </w:r>
                  </w:p>
                </w:txbxContent>
              </v:textbox>
            </v:shape>
          </v:group>
        </w:pict>
      </w:r>
      <w:r>
        <w:pict>
          <v:group id="_x0000_s1073" style="width:330.5pt;height:247.65pt;margin-top:-267.76pt;margin-left:458.25pt;mso-position-horizontal-relative:page;position:absolute;z-index:-251651072" coordorigin="9165,-5355" coordsize="6610,4953">
            <v:shape id="_x0000_s1074" type="#_x0000_t75" style="width:6610;height:4953;left:9165;position:absolute;top:-5356" stroked="f">
              <v:imagedata r:id="rId15" o:title=""/>
            </v:shape>
            <v:shape id="_x0000_s1075" type="#_x0000_t202" style="width:110;height:180;left:14529;position:absolute;top:-2329" filled="f" stroked="f">
              <v:textbox inset="0,0,0,0">
                <w:txbxContent>
                  <w:p>
                    <w:pPr>
                      <w:spacing w:before="0" w:line="180" w:lineRule="exact"/>
                      <w:ind w:left="0" w:right="0" w:firstLine="0"/>
                      <w:jc w:val="left"/>
                      <w:rPr>
                        <w:sz w:val="18"/>
                      </w:rPr>
                    </w:pPr>
                    <w:r>
                      <w:rPr>
                        <w:sz w:val="18"/>
                      </w:rPr>
                      <w:t>2</w:t>
                    </w:r>
                  </w:p>
                </w:txbxContent>
              </v:textbox>
            </v:shape>
            <v:shape id="_x0000_s1076" type="#_x0000_t202" style="width:1280;height:360;left:12206;position:absolute;top:-1850" filled="f" stroked="f">
              <v:textbox inset="0,0,0,0">
                <w:txbxContent>
                  <w:p>
                    <w:pPr>
                      <w:spacing w:before="0" w:line="360" w:lineRule="exact"/>
                      <w:ind w:left="0" w:right="0" w:firstLine="0"/>
                      <w:jc w:val="left"/>
                      <w:rPr>
                        <w:sz w:val="36"/>
                      </w:rPr>
                    </w:pPr>
                    <w:r>
                      <w:rPr>
                        <w:sz w:val="36"/>
                      </w:rPr>
                      <w:t>功率/kW</w:t>
                    </w:r>
                  </w:p>
                </w:txbxContent>
              </v:textbox>
            </v:shape>
            <v:shape id="_x0000_s1077" type="#_x0000_t202" style="width:380;height:360;left:14575;position:absolute;top:-1850" filled="f" stroked="f">
              <v:textbox inset="0,0,0,0">
                <w:txbxContent>
                  <w:p>
                    <w:pPr>
                      <w:spacing w:before="0" w:line="360" w:lineRule="exact"/>
                      <w:ind w:left="0" w:right="0" w:firstLine="0"/>
                      <w:jc w:val="left"/>
                      <w:rPr>
                        <w:sz w:val="36"/>
                      </w:rPr>
                    </w:pPr>
                    <w:r>
                      <w:rPr>
                        <w:sz w:val="36"/>
                      </w:rPr>
                      <w:t>30</w:t>
                    </w:r>
                  </w:p>
                </w:txbxContent>
              </v:textbox>
            </v:shape>
            <v:shape id="_x0000_s1078" type="#_x0000_t202" style="width:1446;height:317;left:12126;position:absolute;top:-977" filled="f" stroked="f">
              <v:textbox inset="0,0,0,0">
                <w:txbxContent>
                  <w:p>
                    <w:pPr>
                      <w:spacing w:before="0" w:line="317" w:lineRule="exact"/>
                      <w:ind w:left="0" w:right="0" w:firstLine="0"/>
                      <w:jc w:val="left"/>
                      <w:rPr>
                        <w:sz w:val="31"/>
                      </w:rPr>
                    </w:pPr>
                    <w:r>
                      <w:rPr>
                        <w:sz w:val="31"/>
                      </w:rPr>
                      <w:t>转数r/min</w:t>
                    </w:r>
                  </w:p>
                </w:txbxContent>
              </v:textbox>
            </v:shape>
            <v:shape id="_x0000_s1079" type="#_x0000_t202" style="width:740;height:360;left:14395;position:absolute;top:-1036" filled="f" stroked="f">
              <v:textbox inset="0,0,0,0">
                <w:txbxContent>
                  <w:p>
                    <w:pPr>
                      <w:spacing w:before="0" w:line="360" w:lineRule="exact"/>
                      <w:ind w:left="0" w:right="0" w:firstLine="0"/>
                      <w:jc w:val="left"/>
                      <w:rPr>
                        <w:sz w:val="36"/>
                      </w:rPr>
                    </w:pPr>
                    <w:r>
                      <w:rPr>
                        <w:sz w:val="36"/>
                      </w:rPr>
                      <w:t>1460</w:t>
                    </w:r>
                  </w:p>
                </w:txbxContent>
              </v:textbox>
            </v:shape>
          </v:group>
        </w:pict>
      </w:r>
      <w:r>
        <w:t>经滚筒破碎机分选后,筛上物质主要为纸类、塑料、竹木、部分有机等进入后继燃烧处理，筛下物质为不燃烧物质经后继处理后去往填埋场进行填埋处理；</w:t>
      </w:r>
    </w:p>
    <w:p>
      <w:pPr>
        <w:pStyle w:val="BodyText"/>
        <w:spacing w:before="3" w:line="389" w:lineRule="exact"/>
        <w:ind w:left="293"/>
      </w:pPr>
      <w:r>
        <w:t>筛上分选量Q</w:t>
      </w:r>
      <w:r>
        <w:rPr>
          <w:spacing w:val="-90"/>
        </w:rPr>
        <w:t xml:space="preserve"> </w:t>
      </w:r>
      <w:r>
        <w:t>=Q</w:t>
      </w:r>
      <w:r>
        <w:rPr>
          <w:spacing w:val="-12"/>
        </w:rPr>
        <w:t xml:space="preserve"> ×++++= </w:t>
      </w:r>
      <w:r>
        <w:t>t/h</w:t>
      </w:r>
    </w:p>
    <w:p>
      <w:pPr>
        <w:tabs>
          <w:tab w:val="left" w:pos="2722"/>
        </w:tabs>
        <w:spacing w:before="0" w:line="205" w:lineRule="exact"/>
        <w:ind w:left="2273" w:right="0" w:firstLine="0"/>
        <w:jc w:val="left"/>
        <w:rPr>
          <w:sz w:val="18"/>
        </w:rPr>
      </w:pPr>
      <w:r>
        <w:rPr>
          <w:sz w:val="18"/>
        </w:rPr>
        <w:t>3</w:t>
        <w:tab/>
        <w:t>0</w:t>
      </w:r>
    </w:p>
    <w:p>
      <w:pPr>
        <w:pStyle w:val="BodyText"/>
        <w:spacing w:before="2"/>
        <w:rPr>
          <w:sz w:val="12"/>
        </w:rPr>
      </w:pPr>
    </w:p>
    <w:p>
      <w:pPr>
        <w:pStyle w:val="BodyText"/>
        <w:spacing w:before="49"/>
        <w:ind w:left="293"/>
      </w:pPr>
      <w:r>
        <w:t>则：经分选后进入后继焚烧处理的可燃组分为：</w:t>
      </w:r>
    </w:p>
    <w:p>
      <w:pPr>
        <w:pStyle w:val="BodyText"/>
        <w:spacing w:before="8"/>
        <w:rPr>
          <w:sz w:val="26"/>
        </w:rPr>
      </w:pPr>
    </w:p>
    <w:p>
      <w:pPr>
        <w:pStyle w:val="BodyText"/>
        <w:tabs>
          <w:tab w:val="left" w:pos="3442"/>
        </w:tabs>
        <w:spacing w:before="1" w:line="412" w:lineRule="exact"/>
        <w:ind w:left="1013"/>
      </w:pPr>
      <w:r>
        <w:t>Q =</w:t>
      </w:r>
      <w:r>
        <w:rPr>
          <w:spacing w:val="-90"/>
        </w:rPr>
        <w:t xml:space="preserve"> </w:t>
      </w:r>
      <w:r>
        <w:t>+23×% =</w:t>
        <w:tab/>
        <w:t>t/h</w:t>
      </w:r>
    </w:p>
    <w:p>
      <w:pPr>
        <w:spacing w:before="0" w:line="182" w:lineRule="exact"/>
        <w:ind w:left="1193" w:right="0" w:firstLine="0"/>
        <w:jc w:val="left"/>
        <w:rPr>
          <w:sz w:val="18"/>
        </w:rPr>
      </w:pPr>
      <w:r>
        <w:rPr>
          <w:sz w:val="18"/>
        </w:rPr>
        <w:t>4</w:t>
      </w:r>
    </w:p>
    <w:p>
      <w:pPr>
        <w:pStyle w:val="BodyText"/>
        <w:rPr>
          <w:sz w:val="16"/>
        </w:rPr>
      </w:pPr>
    </w:p>
    <w:p>
      <w:pPr>
        <w:pStyle w:val="BodyText"/>
        <w:ind w:left="1013"/>
      </w:pPr>
      <w:r>
        <w:t>经分选出来的去填埋处理的物质为：</w:t>
      </w:r>
    </w:p>
    <w:p>
      <w:pPr>
        <w:pStyle w:val="BodyText"/>
      </w:pPr>
    </w:p>
    <w:p>
      <w:pPr>
        <w:pStyle w:val="BodyText"/>
        <w:spacing w:before="10"/>
        <w:rPr>
          <w:sz w:val="27"/>
        </w:rPr>
      </w:pPr>
    </w:p>
    <w:p>
      <w:pPr>
        <w:pStyle w:val="BodyText"/>
        <w:tabs>
          <w:tab w:val="left" w:pos="1822"/>
          <w:tab w:val="left" w:pos="2362"/>
        </w:tabs>
        <w:spacing w:line="412" w:lineRule="exact"/>
        <w:ind w:left="1013"/>
      </w:pPr>
      <w:r>
        <w:t>Q</w:t>
      </w:r>
      <w:r>
        <w:rPr>
          <w:spacing w:val="-90"/>
        </w:rPr>
        <w:t xml:space="preserve"> </w:t>
      </w:r>
      <w:r>
        <w:t>=</w:t>
        <w:tab/>
        <w:t>=</w:t>
        <w:tab/>
        <w:t>t/h</w:t>
      </w:r>
    </w:p>
    <w:p>
      <w:pPr>
        <w:spacing w:before="0" w:line="182" w:lineRule="exact"/>
        <w:ind w:left="1193" w:right="0" w:firstLine="0"/>
        <w:jc w:val="left"/>
        <w:rPr>
          <w:sz w:val="18"/>
        </w:rPr>
      </w:pPr>
      <w:r>
        <w:rPr>
          <w:sz w:val="18"/>
        </w:rPr>
        <w:t>5</w:t>
      </w:r>
    </w:p>
    <w:p>
      <w:pPr>
        <w:spacing w:after="0" w:line="182" w:lineRule="exact"/>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https://d.book118.com/935021233022011100</w:t>
        </w:r>
      </w:hyperlink>
    </w:p>
    <w:p>
      <w:pPr>
        <w:spacing w:after="0" w:line="182" w:lineRule="exact"/>
        <w:jc w:val="left"/>
        <w:rPr>
          <w:sz w:val="18"/>
        </w:rPr>
      </w:pPr>
    </w:p>
    <w:sectPr>
      <w:pgSz w:w="17860" w:h="25260"/>
      <w:pgMar w:top="1800" w:right="1780" w:bottom="280" w:left="226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72388"/>
    <w:multiLevelType w:val="hybridMultilevel"/>
    <w:tmpl w:val="00000000"/>
    <w:lvl w:ilvl="0">
      <w:start w:val="0"/>
      <w:numFmt w:val="bullet"/>
      <w:lvlText w:val=""/>
      <w:lvlJc w:val="left"/>
      <w:pPr>
        <w:ind w:left="312" w:hanging="252"/>
      </w:pPr>
      <w:rPr>
        <w:rFonts w:hint="default"/>
        <w:w w:val="102"/>
      </w:rPr>
    </w:lvl>
    <w:lvl w:ilvl="1">
      <w:start w:val="0"/>
      <w:numFmt w:val="bullet"/>
      <w:lvlText w:val="•"/>
      <w:lvlJc w:val="left"/>
      <w:pPr>
        <w:ind w:left="352" w:hanging="252"/>
      </w:pPr>
      <w:rPr>
        <w:rFonts w:hint="default"/>
      </w:rPr>
    </w:lvl>
    <w:lvl w:ilvl="2">
      <w:start w:val="0"/>
      <w:numFmt w:val="bullet"/>
      <w:lvlText w:val="•"/>
      <w:lvlJc w:val="left"/>
      <w:pPr>
        <w:ind w:left="384" w:hanging="252"/>
      </w:pPr>
      <w:rPr>
        <w:rFonts w:hint="default"/>
      </w:rPr>
    </w:lvl>
    <w:lvl w:ilvl="3">
      <w:start w:val="0"/>
      <w:numFmt w:val="bullet"/>
      <w:lvlText w:val="•"/>
      <w:lvlJc w:val="left"/>
      <w:pPr>
        <w:ind w:left="416" w:hanging="252"/>
      </w:pPr>
      <w:rPr>
        <w:rFonts w:hint="default"/>
      </w:rPr>
    </w:lvl>
    <w:lvl w:ilvl="4">
      <w:start w:val="0"/>
      <w:numFmt w:val="bullet"/>
      <w:lvlText w:val="•"/>
      <w:lvlJc w:val="left"/>
      <w:pPr>
        <w:ind w:left="448" w:hanging="252"/>
      </w:pPr>
      <w:rPr>
        <w:rFonts w:hint="default"/>
      </w:rPr>
    </w:lvl>
    <w:lvl w:ilvl="5">
      <w:start w:val="0"/>
      <w:numFmt w:val="bullet"/>
      <w:lvlText w:val="•"/>
      <w:lvlJc w:val="left"/>
      <w:pPr>
        <w:ind w:left="480" w:hanging="252"/>
      </w:pPr>
      <w:rPr>
        <w:rFonts w:hint="default"/>
      </w:rPr>
    </w:lvl>
    <w:lvl w:ilvl="6">
      <w:start w:val="0"/>
      <w:numFmt w:val="bullet"/>
      <w:lvlText w:val="•"/>
      <w:lvlJc w:val="left"/>
      <w:pPr>
        <w:ind w:left="512" w:hanging="252"/>
      </w:pPr>
      <w:rPr>
        <w:rFonts w:hint="default"/>
      </w:rPr>
    </w:lvl>
    <w:lvl w:ilvl="7">
      <w:start w:val="0"/>
      <w:numFmt w:val="bullet"/>
      <w:lvlText w:val="•"/>
      <w:lvlJc w:val="left"/>
      <w:pPr>
        <w:ind w:left="544" w:hanging="252"/>
      </w:pPr>
      <w:rPr>
        <w:rFonts w:hint="default"/>
      </w:rPr>
    </w:lvl>
    <w:lvl w:ilvl="8">
      <w:start w:val="0"/>
      <w:numFmt w:val="bullet"/>
      <w:lvlText w:val="•"/>
      <w:lvlJc w:val="left"/>
      <w:pPr>
        <w:ind w:left="576" w:hanging="252"/>
      </w:pPr>
      <w:rPr>
        <w:rFonts w:hint="default"/>
      </w:rPr>
    </w:lvl>
  </w:abstractNum>
  <w:abstractNum w:abstractNumId="1">
    <w:nsid w:val="0DF5A80E"/>
    <w:multiLevelType w:val="hybridMultilevel"/>
    <w:tmpl w:val="00000000"/>
    <w:lvl w:ilvl="0">
      <w:start w:val="1"/>
      <w:numFmt w:val="decimal"/>
      <w:lvlText w:val="%1"/>
      <w:lvlJc w:val="left"/>
      <w:pPr>
        <w:ind w:left="656" w:hanging="364"/>
        <w:jc w:val="left"/>
      </w:pPr>
      <w:rPr>
        <w:rFonts w:ascii="新宋体" w:eastAsia="新宋体" w:hAnsi="新宋体" w:cs="新宋体" w:hint="default"/>
        <w:b/>
        <w:bCs/>
        <w:w w:val="98"/>
        <w:sz w:val="48"/>
        <w:szCs w:val="48"/>
      </w:rPr>
    </w:lvl>
    <w:lvl w:ilvl="1">
      <w:start w:val="1"/>
      <w:numFmt w:val="decimal"/>
      <w:lvlText w:val="%2."/>
      <w:lvlJc w:val="left"/>
      <w:pPr>
        <w:ind w:left="1374" w:hanging="361"/>
        <w:jc w:val="left"/>
      </w:pPr>
      <w:rPr>
        <w:rFonts w:ascii="新宋体" w:eastAsia="新宋体" w:hAnsi="新宋体" w:cs="新宋体" w:hint="default"/>
        <w:w w:val="100"/>
        <w:sz w:val="34"/>
        <w:szCs w:val="34"/>
      </w:rPr>
    </w:lvl>
    <w:lvl w:ilvl="2">
      <w:start w:val="0"/>
      <w:numFmt w:val="bullet"/>
      <w:lvlText w:val="•"/>
      <w:lvlJc w:val="left"/>
      <w:pPr>
        <w:ind w:left="2762" w:hanging="361"/>
      </w:pPr>
      <w:rPr>
        <w:rFonts w:hint="default"/>
      </w:rPr>
    </w:lvl>
    <w:lvl w:ilvl="3">
      <w:start w:val="0"/>
      <w:numFmt w:val="bullet"/>
      <w:lvlText w:val="•"/>
      <w:lvlJc w:val="left"/>
      <w:pPr>
        <w:ind w:left="4144" w:hanging="361"/>
      </w:pPr>
      <w:rPr>
        <w:rFonts w:hint="default"/>
      </w:rPr>
    </w:lvl>
    <w:lvl w:ilvl="4">
      <w:start w:val="0"/>
      <w:numFmt w:val="bullet"/>
      <w:lvlText w:val="•"/>
      <w:lvlJc w:val="left"/>
      <w:pPr>
        <w:ind w:left="5526" w:hanging="361"/>
      </w:pPr>
      <w:rPr>
        <w:rFonts w:hint="default"/>
      </w:rPr>
    </w:lvl>
    <w:lvl w:ilvl="5">
      <w:start w:val="0"/>
      <w:numFmt w:val="bullet"/>
      <w:lvlText w:val="•"/>
      <w:lvlJc w:val="left"/>
      <w:pPr>
        <w:ind w:left="6908" w:hanging="361"/>
      </w:pPr>
      <w:rPr>
        <w:rFonts w:hint="default"/>
      </w:rPr>
    </w:lvl>
    <w:lvl w:ilvl="6">
      <w:start w:val="0"/>
      <w:numFmt w:val="bullet"/>
      <w:lvlText w:val="•"/>
      <w:lvlJc w:val="left"/>
      <w:pPr>
        <w:ind w:left="8290" w:hanging="361"/>
      </w:pPr>
      <w:rPr>
        <w:rFonts w:hint="default"/>
      </w:rPr>
    </w:lvl>
    <w:lvl w:ilvl="7">
      <w:start w:val="0"/>
      <w:numFmt w:val="bullet"/>
      <w:lvlText w:val="•"/>
      <w:lvlJc w:val="left"/>
      <w:pPr>
        <w:ind w:left="9673" w:hanging="361"/>
      </w:pPr>
      <w:rPr>
        <w:rFonts w:hint="default"/>
      </w:rPr>
    </w:lvl>
    <w:lvl w:ilvl="8">
      <w:start w:val="0"/>
      <w:numFmt w:val="bullet"/>
      <w:lvlText w:val="•"/>
      <w:lvlJc w:val="left"/>
      <w:pPr>
        <w:ind w:left="11055" w:hanging="361"/>
      </w:pPr>
      <w:rPr>
        <w:rFonts w:hint="default"/>
      </w:rPr>
    </w:lvl>
  </w:abstractNum>
  <w:abstractNum w:abstractNumId="2">
    <w:nsid w:val="0EC6D05F"/>
    <w:multiLevelType w:val="hybridMultilevel"/>
    <w:tmpl w:val="00000000"/>
    <w:lvl w:ilvl="0">
      <w:start w:val="0"/>
      <w:numFmt w:val="bullet"/>
      <w:lvlText w:val=""/>
      <w:lvlJc w:val="left"/>
      <w:pPr>
        <w:ind w:left="304" w:hanging="225"/>
      </w:pPr>
      <w:rPr>
        <w:rFonts w:ascii="Symbol" w:eastAsia="Symbol" w:hAnsi="Symbol" w:cs="Symbol" w:hint="default"/>
        <w:w w:val="100"/>
        <w:sz w:val="35"/>
        <w:szCs w:val="35"/>
      </w:rPr>
    </w:lvl>
    <w:lvl w:ilvl="1">
      <w:start w:val="0"/>
      <w:numFmt w:val="bullet"/>
      <w:lvlText w:val="•"/>
      <w:lvlJc w:val="left"/>
      <w:pPr>
        <w:ind w:left="335" w:hanging="225"/>
      </w:pPr>
      <w:rPr>
        <w:rFonts w:hint="default"/>
      </w:rPr>
    </w:lvl>
    <w:lvl w:ilvl="2">
      <w:start w:val="0"/>
      <w:numFmt w:val="bullet"/>
      <w:lvlText w:val="•"/>
      <w:lvlJc w:val="left"/>
      <w:pPr>
        <w:ind w:left="371" w:hanging="225"/>
      </w:pPr>
      <w:rPr>
        <w:rFonts w:hint="default"/>
      </w:rPr>
    </w:lvl>
    <w:lvl w:ilvl="3">
      <w:start w:val="0"/>
      <w:numFmt w:val="bullet"/>
      <w:lvlText w:val="•"/>
      <w:lvlJc w:val="left"/>
      <w:pPr>
        <w:ind w:left="406" w:hanging="225"/>
      </w:pPr>
      <w:rPr>
        <w:rFonts w:hint="default"/>
      </w:rPr>
    </w:lvl>
    <w:lvl w:ilvl="4">
      <w:start w:val="0"/>
      <w:numFmt w:val="bullet"/>
      <w:lvlText w:val="•"/>
      <w:lvlJc w:val="left"/>
      <w:pPr>
        <w:ind w:left="442" w:hanging="225"/>
      </w:pPr>
      <w:rPr>
        <w:rFonts w:hint="default"/>
      </w:rPr>
    </w:lvl>
    <w:lvl w:ilvl="5">
      <w:start w:val="0"/>
      <w:numFmt w:val="bullet"/>
      <w:lvlText w:val="•"/>
      <w:lvlJc w:val="left"/>
      <w:pPr>
        <w:ind w:left="477" w:hanging="225"/>
      </w:pPr>
      <w:rPr>
        <w:rFonts w:hint="default"/>
      </w:rPr>
    </w:lvl>
    <w:lvl w:ilvl="6">
      <w:start w:val="0"/>
      <w:numFmt w:val="bullet"/>
      <w:lvlText w:val="•"/>
      <w:lvlJc w:val="left"/>
      <w:pPr>
        <w:ind w:left="513" w:hanging="225"/>
      </w:pPr>
      <w:rPr>
        <w:rFonts w:hint="default"/>
      </w:rPr>
    </w:lvl>
    <w:lvl w:ilvl="7">
      <w:start w:val="0"/>
      <w:numFmt w:val="bullet"/>
      <w:lvlText w:val="•"/>
      <w:lvlJc w:val="left"/>
      <w:pPr>
        <w:ind w:left="548" w:hanging="225"/>
      </w:pPr>
      <w:rPr>
        <w:rFonts w:hint="default"/>
      </w:rPr>
    </w:lvl>
    <w:lvl w:ilvl="8">
      <w:start w:val="0"/>
      <w:numFmt w:val="bullet"/>
      <w:lvlText w:val="•"/>
      <w:lvlJc w:val="left"/>
      <w:pPr>
        <w:ind w:left="584" w:hanging="225"/>
      </w:pPr>
      <w:rPr>
        <w:rFonts w:hint="default"/>
      </w:rPr>
    </w:lvl>
  </w:abstractNum>
  <w:abstractNum w:abstractNumId="3">
    <w:nsid w:val="10C65E27"/>
    <w:multiLevelType w:val="hybridMultilevel"/>
    <w:tmpl w:val="00000000"/>
    <w:lvl w:ilvl="0">
      <w:start w:val="1"/>
      <w:numFmt w:val="decimal"/>
      <w:lvlText w:val="%1"/>
      <w:lvlJc w:val="left"/>
      <w:pPr>
        <w:ind w:left="530" w:hanging="238"/>
        <w:jc w:val="left"/>
      </w:pPr>
      <w:rPr>
        <w:rFonts w:ascii="新宋体" w:eastAsia="新宋体" w:hAnsi="新宋体" w:cs="新宋体" w:hint="default"/>
        <w:w w:val="102"/>
        <w:sz w:val="31"/>
        <w:szCs w:val="31"/>
      </w:rPr>
    </w:lvl>
    <w:lvl w:ilvl="1">
      <w:start w:val="0"/>
      <w:numFmt w:val="bullet"/>
      <w:lvlText w:val="•"/>
      <w:lvlJc w:val="left"/>
      <w:pPr>
        <w:ind w:left="1867" w:hanging="238"/>
      </w:pPr>
      <w:rPr>
        <w:rFonts w:hint="default"/>
      </w:rPr>
    </w:lvl>
    <w:lvl w:ilvl="2">
      <w:start w:val="0"/>
      <w:numFmt w:val="bullet"/>
      <w:lvlText w:val="•"/>
      <w:lvlJc w:val="left"/>
      <w:pPr>
        <w:ind w:left="3195" w:hanging="238"/>
      </w:pPr>
      <w:rPr>
        <w:rFonts w:hint="default"/>
      </w:rPr>
    </w:lvl>
    <w:lvl w:ilvl="3">
      <w:start w:val="0"/>
      <w:numFmt w:val="bullet"/>
      <w:lvlText w:val="•"/>
      <w:lvlJc w:val="left"/>
      <w:pPr>
        <w:ind w:left="4523" w:hanging="238"/>
      </w:pPr>
      <w:rPr>
        <w:rFonts w:hint="default"/>
      </w:rPr>
    </w:lvl>
    <w:lvl w:ilvl="4">
      <w:start w:val="0"/>
      <w:numFmt w:val="bullet"/>
      <w:lvlText w:val="•"/>
      <w:lvlJc w:val="left"/>
      <w:pPr>
        <w:ind w:left="5851" w:hanging="238"/>
      </w:pPr>
      <w:rPr>
        <w:rFonts w:hint="default"/>
      </w:rPr>
    </w:lvl>
    <w:lvl w:ilvl="5">
      <w:start w:val="0"/>
      <w:numFmt w:val="bullet"/>
      <w:lvlText w:val="•"/>
      <w:lvlJc w:val="left"/>
      <w:pPr>
        <w:ind w:left="7179" w:hanging="238"/>
      </w:pPr>
      <w:rPr>
        <w:rFonts w:hint="default"/>
      </w:rPr>
    </w:lvl>
    <w:lvl w:ilvl="6">
      <w:start w:val="0"/>
      <w:numFmt w:val="bullet"/>
      <w:lvlText w:val="•"/>
      <w:lvlJc w:val="left"/>
      <w:pPr>
        <w:ind w:left="8507" w:hanging="238"/>
      </w:pPr>
      <w:rPr>
        <w:rFonts w:hint="default"/>
      </w:rPr>
    </w:lvl>
    <w:lvl w:ilvl="7">
      <w:start w:val="0"/>
      <w:numFmt w:val="bullet"/>
      <w:lvlText w:val="•"/>
      <w:lvlJc w:val="left"/>
      <w:pPr>
        <w:ind w:left="9835" w:hanging="238"/>
      </w:pPr>
      <w:rPr>
        <w:rFonts w:hint="default"/>
      </w:rPr>
    </w:lvl>
    <w:lvl w:ilvl="8">
      <w:start w:val="0"/>
      <w:numFmt w:val="bullet"/>
      <w:lvlText w:val="•"/>
      <w:lvlJc w:val="left"/>
      <w:pPr>
        <w:ind w:left="11163" w:hanging="238"/>
      </w:pPr>
      <w:rPr>
        <w:rFonts w:hint="default"/>
      </w:rPr>
    </w:lvl>
  </w:abstractNum>
  <w:abstractNum w:abstractNumId="4">
    <w:nsid w:val="1E682F53"/>
    <w:multiLevelType w:val="hybridMultilevel"/>
    <w:tmpl w:val="00000000"/>
    <w:lvl w:ilvl="0">
      <w:start w:val="0"/>
      <w:numFmt w:val="bullet"/>
      <w:lvlText w:val=""/>
      <w:lvlJc w:val="left"/>
      <w:pPr>
        <w:ind w:left="350" w:hanging="258"/>
      </w:pPr>
      <w:rPr>
        <w:rFonts w:ascii="Symbol" w:eastAsia="Symbol" w:hAnsi="Symbol" w:cs="Symbol" w:hint="default"/>
        <w:w w:val="100"/>
        <w:sz w:val="35"/>
        <w:szCs w:val="35"/>
      </w:rPr>
    </w:lvl>
    <w:lvl w:ilvl="1">
      <w:start w:val="0"/>
      <w:numFmt w:val="bullet"/>
      <w:lvlText w:val="•"/>
      <w:lvlJc w:val="left"/>
      <w:pPr>
        <w:ind w:left="1326" w:hanging="258"/>
      </w:pPr>
      <w:rPr>
        <w:rFonts w:hint="default"/>
      </w:rPr>
    </w:lvl>
    <w:lvl w:ilvl="2">
      <w:start w:val="0"/>
      <w:numFmt w:val="bullet"/>
      <w:lvlText w:val="•"/>
      <w:lvlJc w:val="left"/>
      <w:pPr>
        <w:ind w:left="2293" w:hanging="258"/>
      </w:pPr>
      <w:rPr>
        <w:rFonts w:hint="default"/>
      </w:rPr>
    </w:lvl>
    <w:lvl w:ilvl="3">
      <w:start w:val="0"/>
      <w:numFmt w:val="bullet"/>
      <w:lvlText w:val="•"/>
      <w:lvlJc w:val="left"/>
      <w:pPr>
        <w:ind w:left="3260" w:hanging="258"/>
      </w:pPr>
      <w:rPr>
        <w:rFonts w:hint="default"/>
      </w:rPr>
    </w:lvl>
    <w:lvl w:ilvl="4">
      <w:start w:val="0"/>
      <w:numFmt w:val="bullet"/>
      <w:lvlText w:val="•"/>
      <w:lvlJc w:val="left"/>
      <w:pPr>
        <w:ind w:left="4226" w:hanging="258"/>
      </w:pPr>
      <w:rPr>
        <w:rFonts w:hint="default"/>
      </w:rPr>
    </w:lvl>
    <w:lvl w:ilvl="5">
      <w:start w:val="0"/>
      <w:numFmt w:val="bullet"/>
      <w:lvlText w:val="•"/>
      <w:lvlJc w:val="left"/>
      <w:pPr>
        <w:ind w:left="5193" w:hanging="258"/>
      </w:pPr>
      <w:rPr>
        <w:rFonts w:hint="default"/>
      </w:rPr>
    </w:lvl>
    <w:lvl w:ilvl="6">
      <w:start w:val="0"/>
      <w:numFmt w:val="bullet"/>
      <w:lvlText w:val="•"/>
      <w:lvlJc w:val="left"/>
      <w:pPr>
        <w:ind w:left="6159" w:hanging="258"/>
      </w:pPr>
      <w:rPr>
        <w:rFonts w:hint="default"/>
      </w:rPr>
    </w:lvl>
    <w:lvl w:ilvl="7">
      <w:start w:val="0"/>
      <w:numFmt w:val="bullet"/>
      <w:lvlText w:val="•"/>
      <w:lvlJc w:val="left"/>
      <w:pPr>
        <w:ind w:left="7126" w:hanging="258"/>
      </w:pPr>
      <w:rPr>
        <w:rFonts w:hint="default"/>
      </w:rPr>
    </w:lvl>
    <w:lvl w:ilvl="8">
      <w:start w:val="0"/>
      <w:numFmt w:val="bullet"/>
      <w:lvlText w:val="•"/>
      <w:lvlJc w:val="left"/>
      <w:pPr>
        <w:ind w:left="8093" w:hanging="258"/>
      </w:pPr>
      <w:rPr>
        <w:rFonts w:hint="default"/>
      </w:rPr>
    </w:lvl>
  </w:abstractNum>
  <w:abstractNum w:abstractNumId="5">
    <w:nsid w:val="2B5C8ECE"/>
    <w:multiLevelType w:val="hybridMultilevel"/>
    <w:tmpl w:val="00000000"/>
    <w:lvl w:ilvl="0">
      <w:start w:val="1"/>
      <w:numFmt w:val="decimal"/>
      <w:lvlText w:val="%1"/>
      <w:lvlJc w:val="left"/>
      <w:pPr>
        <w:ind w:left="656" w:hanging="364"/>
        <w:jc w:val="left"/>
      </w:pPr>
      <w:rPr>
        <w:rFonts w:ascii="新宋体" w:eastAsia="新宋体" w:hAnsi="新宋体" w:cs="新宋体" w:hint="default"/>
        <w:b/>
        <w:bCs/>
        <w:w w:val="98"/>
        <w:sz w:val="48"/>
        <w:szCs w:val="48"/>
      </w:rPr>
    </w:lvl>
    <w:lvl w:ilvl="1">
      <w:start w:val="1"/>
      <w:numFmt w:val="decimal"/>
      <w:lvlText w:val="%2."/>
      <w:lvlJc w:val="left"/>
      <w:pPr>
        <w:ind w:left="1374" w:hanging="361"/>
        <w:jc w:val="left"/>
      </w:pPr>
      <w:rPr>
        <w:rFonts w:ascii="新宋体" w:eastAsia="新宋体" w:hAnsi="新宋体" w:cs="新宋体" w:hint="default"/>
        <w:w w:val="100"/>
        <w:sz w:val="34"/>
        <w:szCs w:val="34"/>
      </w:rPr>
    </w:lvl>
    <w:lvl w:ilvl="2">
      <w:start w:val="0"/>
      <w:numFmt w:val="bullet"/>
      <w:lvlText w:val="•"/>
      <w:lvlJc w:val="left"/>
      <w:pPr>
        <w:ind w:left="2762" w:hanging="361"/>
      </w:pPr>
      <w:rPr>
        <w:rFonts w:hint="default"/>
      </w:rPr>
    </w:lvl>
    <w:lvl w:ilvl="3">
      <w:start w:val="0"/>
      <w:numFmt w:val="bullet"/>
      <w:lvlText w:val="•"/>
      <w:lvlJc w:val="left"/>
      <w:pPr>
        <w:ind w:left="4144" w:hanging="361"/>
      </w:pPr>
      <w:rPr>
        <w:rFonts w:hint="default"/>
      </w:rPr>
    </w:lvl>
    <w:lvl w:ilvl="4">
      <w:start w:val="0"/>
      <w:numFmt w:val="bullet"/>
      <w:lvlText w:val="•"/>
      <w:lvlJc w:val="left"/>
      <w:pPr>
        <w:ind w:left="5526" w:hanging="361"/>
      </w:pPr>
      <w:rPr>
        <w:rFonts w:hint="default"/>
      </w:rPr>
    </w:lvl>
    <w:lvl w:ilvl="5">
      <w:start w:val="0"/>
      <w:numFmt w:val="bullet"/>
      <w:lvlText w:val="•"/>
      <w:lvlJc w:val="left"/>
      <w:pPr>
        <w:ind w:left="6908" w:hanging="361"/>
      </w:pPr>
      <w:rPr>
        <w:rFonts w:hint="default"/>
      </w:rPr>
    </w:lvl>
    <w:lvl w:ilvl="6">
      <w:start w:val="0"/>
      <w:numFmt w:val="bullet"/>
      <w:lvlText w:val="•"/>
      <w:lvlJc w:val="left"/>
      <w:pPr>
        <w:ind w:left="8290" w:hanging="361"/>
      </w:pPr>
      <w:rPr>
        <w:rFonts w:hint="default"/>
      </w:rPr>
    </w:lvl>
    <w:lvl w:ilvl="7">
      <w:start w:val="0"/>
      <w:numFmt w:val="bullet"/>
      <w:lvlText w:val="•"/>
      <w:lvlJc w:val="left"/>
      <w:pPr>
        <w:ind w:left="9673" w:hanging="361"/>
      </w:pPr>
      <w:rPr>
        <w:rFonts w:hint="default"/>
      </w:rPr>
    </w:lvl>
    <w:lvl w:ilvl="8">
      <w:start w:val="0"/>
      <w:numFmt w:val="bullet"/>
      <w:lvlText w:val="•"/>
      <w:lvlJc w:val="left"/>
      <w:pPr>
        <w:ind w:left="11055" w:hanging="361"/>
      </w:pPr>
      <w:rPr>
        <w:rFonts w:hint="default"/>
      </w:rPr>
    </w:lvl>
  </w:abstractNum>
  <w:abstractNum w:abstractNumId="6">
    <w:nsid w:val="3B50B7C3"/>
    <w:multiLevelType w:val="hybridMultilevel"/>
    <w:tmpl w:val="00000000"/>
    <w:lvl w:ilvl="0">
      <w:start w:val="0"/>
      <w:numFmt w:val="bullet"/>
      <w:lvlText w:val=""/>
      <w:lvlJc w:val="left"/>
      <w:pPr>
        <w:ind w:left="334" w:hanging="253"/>
      </w:pPr>
      <w:rPr>
        <w:rFonts w:ascii="Symbol" w:eastAsia="Symbol" w:hAnsi="Symbol" w:cs="Symbol" w:hint="default"/>
        <w:w w:val="101"/>
        <w:sz w:val="35"/>
        <w:szCs w:val="35"/>
      </w:rPr>
    </w:lvl>
    <w:lvl w:ilvl="1">
      <w:start w:val="0"/>
      <w:numFmt w:val="bullet"/>
      <w:lvlText w:val="•"/>
      <w:lvlJc w:val="left"/>
      <w:pPr>
        <w:ind w:left="794" w:hanging="253"/>
      </w:pPr>
      <w:rPr>
        <w:rFonts w:hint="default"/>
      </w:rPr>
    </w:lvl>
    <w:lvl w:ilvl="2">
      <w:start w:val="0"/>
      <w:numFmt w:val="bullet"/>
      <w:lvlText w:val="•"/>
      <w:lvlJc w:val="left"/>
      <w:pPr>
        <w:ind w:left="1248" w:hanging="253"/>
      </w:pPr>
      <w:rPr>
        <w:rFonts w:hint="default"/>
      </w:rPr>
    </w:lvl>
    <w:lvl w:ilvl="3">
      <w:start w:val="0"/>
      <w:numFmt w:val="bullet"/>
      <w:lvlText w:val="•"/>
      <w:lvlJc w:val="left"/>
      <w:pPr>
        <w:ind w:left="1702" w:hanging="253"/>
      </w:pPr>
      <w:rPr>
        <w:rFonts w:hint="default"/>
      </w:rPr>
    </w:lvl>
    <w:lvl w:ilvl="4">
      <w:start w:val="0"/>
      <w:numFmt w:val="bullet"/>
      <w:lvlText w:val="•"/>
      <w:lvlJc w:val="left"/>
      <w:pPr>
        <w:ind w:left="2156" w:hanging="253"/>
      </w:pPr>
      <w:rPr>
        <w:rFonts w:hint="default"/>
      </w:rPr>
    </w:lvl>
    <w:lvl w:ilvl="5">
      <w:start w:val="0"/>
      <w:numFmt w:val="bullet"/>
      <w:lvlText w:val="•"/>
      <w:lvlJc w:val="left"/>
      <w:pPr>
        <w:ind w:left="2610" w:hanging="253"/>
      </w:pPr>
      <w:rPr>
        <w:rFonts w:hint="default"/>
      </w:rPr>
    </w:lvl>
    <w:lvl w:ilvl="6">
      <w:start w:val="0"/>
      <w:numFmt w:val="bullet"/>
      <w:lvlText w:val="•"/>
      <w:lvlJc w:val="left"/>
      <w:pPr>
        <w:ind w:left="3064" w:hanging="253"/>
      </w:pPr>
      <w:rPr>
        <w:rFonts w:hint="default"/>
      </w:rPr>
    </w:lvl>
    <w:lvl w:ilvl="7">
      <w:start w:val="0"/>
      <w:numFmt w:val="bullet"/>
      <w:lvlText w:val="•"/>
      <w:lvlJc w:val="left"/>
      <w:pPr>
        <w:ind w:left="3518" w:hanging="253"/>
      </w:pPr>
      <w:rPr>
        <w:rFonts w:hint="default"/>
      </w:rPr>
    </w:lvl>
    <w:lvl w:ilvl="8">
      <w:start w:val="0"/>
      <w:numFmt w:val="bullet"/>
      <w:lvlText w:val="•"/>
      <w:lvlJc w:val="left"/>
      <w:pPr>
        <w:ind w:left="3972" w:hanging="253"/>
      </w:pPr>
      <w:rPr>
        <w:rFonts w:hint="default"/>
      </w:rPr>
    </w:lvl>
  </w:abstractNum>
  <w:abstractNum w:abstractNumId="7">
    <w:nsid w:val="41F66A6E"/>
    <w:multiLevelType w:val="hybridMultilevel"/>
    <w:tmpl w:val="00000000"/>
    <w:lvl w:ilvl="0">
      <w:start w:val="1"/>
      <w:numFmt w:val="decimal"/>
      <w:lvlText w:val="%1."/>
      <w:lvlJc w:val="left"/>
      <w:pPr>
        <w:ind w:left="1391" w:hanging="378"/>
        <w:jc w:val="right"/>
      </w:pPr>
      <w:rPr>
        <w:rFonts w:ascii="新宋体" w:eastAsia="新宋体" w:hAnsi="新宋体" w:cs="新宋体" w:hint="default"/>
        <w:w w:val="100"/>
        <w:sz w:val="34"/>
        <w:szCs w:val="34"/>
      </w:rPr>
    </w:lvl>
    <w:lvl w:ilvl="1">
      <w:start w:val="0"/>
      <w:numFmt w:val="bullet"/>
      <w:lvlText w:val="•"/>
      <w:lvlJc w:val="left"/>
      <w:pPr>
        <w:ind w:left="2641" w:hanging="378"/>
      </w:pPr>
      <w:rPr>
        <w:rFonts w:hint="default"/>
      </w:rPr>
    </w:lvl>
    <w:lvl w:ilvl="2">
      <w:start w:val="0"/>
      <w:numFmt w:val="bullet"/>
      <w:lvlText w:val="•"/>
      <w:lvlJc w:val="left"/>
      <w:pPr>
        <w:ind w:left="3883" w:hanging="378"/>
      </w:pPr>
      <w:rPr>
        <w:rFonts w:hint="default"/>
      </w:rPr>
    </w:lvl>
    <w:lvl w:ilvl="3">
      <w:start w:val="0"/>
      <w:numFmt w:val="bullet"/>
      <w:lvlText w:val="•"/>
      <w:lvlJc w:val="left"/>
      <w:pPr>
        <w:ind w:left="5125" w:hanging="378"/>
      </w:pPr>
      <w:rPr>
        <w:rFonts w:hint="default"/>
      </w:rPr>
    </w:lvl>
    <w:lvl w:ilvl="4">
      <w:start w:val="0"/>
      <w:numFmt w:val="bullet"/>
      <w:lvlText w:val="•"/>
      <w:lvlJc w:val="left"/>
      <w:pPr>
        <w:ind w:left="6367" w:hanging="378"/>
      </w:pPr>
      <w:rPr>
        <w:rFonts w:hint="default"/>
      </w:rPr>
    </w:lvl>
    <w:lvl w:ilvl="5">
      <w:start w:val="0"/>
      <w:numFmt w:val="bullet"/>
      <w:lvlText w:val="•"/>
      <w:lvlJc w:val="left"/>
      <w:pPr>
        <w:ind w:left="7609" w:hanging="378"/>
      </w:pPr>
      <w:rPr>
        <w:rFonts w:hint="default"/>
      </w:rPr>
    </w:lvl>
    <w:lvl w:ilvl="6">
      <w:start w:val="0"/>
      <w:numFmt w:val="bullet"/>
      <w:lvlText w:val="•"/>
      <w:lvlJc w:val="left"/>
      <w:pPr>
        <w:ind w:left="8851" w:hanging="378"/>
      </w:pPr>
      <w:rPr>
        <w:rFonts w:hint="default"/>
      </w:rPr>
    </w:lvl>
    <w:lvl w:ilvl="7">
      <w:start w:val="0"/>
      <w:numFmt w:val="bullet"/>
      <w:lvlText w:val="•"/>
      <w:lvlJc w:val="left"/>
      <w:pPr>
        <w:ind w:left="10093" w:hanging="378"/>
      </w:pPr>
      <w:rPr>
        <w:rFonts w:hint="default"/>
      </w:rPr>
    </w:lvl>
    <w:lvl w:ilvl="8">
      <w:start w:val="0"/>
      <w:numFmt w:val="bullet"/>
      <w:lvlText w:val="•"/>
      <w:lvlJc w:val="left"/>
      <w:pPr>
        <w:ind w:left="11335" w:hanging="378"/>
      </w:pPr>
      <w:rPr>
        <w:rFonts w:hint="default"/>
      </w:rPr>
    </w:lvl>
  </w:abstractNum>
  <w:abstractNum w:abstractNumId="8">
    <w:nsid w:val="5C8A0BFA"/>
    <w:multiLevelType w:val="hybridMultilevel"/>
    <w:tmpl w:val="00000000"/>
    <w:lvl w:ilvl="0">
      <w:start w:val="0"/>
      <w:numFmt w:val="bullet"/>
      <w:lvlText w:val=""/>
      <w:lvlJc w:val="left"/>
      <w:pPr>
        <w:ind w:left="304" w:hanging="225"/>
      </w:pPr>
      <w:rPr>
        <w:rFonts w:ascii="Symbol" w:eastAsia="Symbol" w:hAnsi="Symbol" w:cs="Symbol" w:hint="default"/>
        <w:w w:val="100"/>
        <w:sz w:val="35"/>
        <w:szCs w:val="35"/>
      </w:rPr>
    </w:lvl>
    <w:lvl w:ilvl="1">
      <w:start w:val="0"/>
      <w:numFmt w:val="bullet"/>
      <w:lvlText w:val="•"/>
      <w:lvlJc w:val="left"/>
      <w:pPr>
        <w:ind w:left="335" w:hanging="225"/>
      </w:pPr>
      <w:rPr>
        <w:rFonts w:hint="default"/>
      </w:rPr>
    </w:lvl>
    <w:lvl w:ilvl="2">
      <w:start w:val="0"/>
      <w:numFmt w:val="bullet"/>
      <w:lvlText w:val="•"/>
      <w:lvlJc w:val="left"/>
      <w:pPr>
        <w:ind w:left="371" w:hanging="225"/>
      </w:pPr>
      <w:rPr>
        <w:rFonts w:hint="default"/>
      </w:rPr>
    </w:lvl>
    <w:lvl w:ilvl="3">
      <w:start w:val="0"/>
      <w:numFmt w:val="bullet"/>
      <w:lvlText w:val="•"/>
      <w:lvlJc w:val="left"/>
      <w:pPr>
        <w:ind w:left="406" w:hanging="225"/>
      </w:pPr>
      <w:rPr>
        <w:rFonts w:hint="default"/>
      </w:rPr>
    </w:lvl>
    <w:lvl w:ilvl="4">
      <w:start w:val="0"/>
      <w:numFmt w:val="bullet"/>
      <w:lvlText w:val="•"/>
      <w:lvlJc w:val="left"/>
      <w:pPr>
        <w:ind w:left="442" w:hanging="225"/>
      </w:pPr>
      <w:rPr>
        <w:rFonts w:hint="default"/>
      </w:rPr>
    </w:lvl>
    <w:lvl w:ilvl="5">
      <w:start w:val="0"/>
      <w:numFmt w:val="bullet"/>
      <w:lvlText w:val="•"/>
      <w:lvlJc w:val="left"/>
      <w:pPr>
        <w:ind w:left="477" w:hanging="225"/>
      </w:pPr>
      <w:rPr>
        <w:rFonts w:hint="default"/>
      </w:rPr>
    </w:lvl>
    <w:lvl w:ilvl="6">
      <w:start w:val="0"/>
      <w:numFmt w:val="bullet"/>
      <w:lvlText w:val="•"/>
      <w:lvlJc w:val="left"/>
      <w:pPr>
        <w:ind w:left="513" w:hanging="225"/>
      </w:pPr>
      <w:rPr>
        <w:rFonts w:hint="default"/>
      </w:rPr>
    </w:lvl>
    <w:lvl w:ilvl="7">
      <w:start w:val="0"/>
      <w:numFmt w:val="bullet"/>
      <w:lvlText w:val="•"/>
      <w:lvlJc w:val="left"/>
      <w:pPr>
        <w:ind w:left="548" w:hanging="225"/>
      </w:pPr>
      <w:rPr>
        <w:rFonts w:hint="default"/>
      </w:rPr>
    </w:lvl>
    <w:lvl w:ilvl="8">
      <w:start w:val="0"/>
      <w:numFmt w:val="bullet"/>
      <w:lvlText w:val="•"/>
      <w:lvlJc w:val="left"/>
      <w:pPr>
        <w:ind w:left="584" w:hanging="225"/>
      </w:pPr>
      <w:rPr>
        <w:rFonts w:hint="default"/>
      </w:rPr>
    </w:lvl>
  </w:abstractNum>
  <w:abstractNum w:abstractNumId="9">
    <w:nsid w:val="5D7C84D5"/>
    <w:multiLevelType w:val="hybridMultilevel"/>
    <w:tmpl w:val="00000000"/>
    <w:lvl w:ilvl="0">
      <w:start w:val="0"/>
      <w:numFmt w:val="bullet"/>
      <w:lvlText w:val=""/>
      <w:lvlJc w:val="left"/>
      <w:pPr>
        <w:ind w:left="366" w:hanging="264"/>
      </w:pPr>
      <w:rPr>
        <w:rFonts w:hint="default"/>
        <w:w w:val="102"/>
      </w:rPr>
    </w:lvl>
    <w:lvl w:ilvl="1">
      <w:start w:val="0"/>
      <w:numFmt w:val="bullet"/>
      <w:lvlText w:val="•"/>
      <w:lvlJc w:val="left"/>
      <w:pPr>
        <w:ind w:left="477" w:hanging="264"/>
      </w:pPr>
      <w:rPr>
        <w:rFonts w:hint="default"/>
      </w:rPr>
    </w:lvl>
    <w:lvl w:ilvl="2">
      <w:start w:val="0"/>
      <w:numFmt w:val="bullet"/>
      <w:lvlText w:val="•"/>
      <w:lvlJc w:val="left"/>
      <w:pPr>
        <w:ind w:left="595" w:hanging="264"/>
      </w:pPr>
      <w:rPr>
        <w:rFonts w:hint="default"/>
      </w:rPr>
    </w:lvl>
    <w:lvl w:ilvl="3">
      <w:start w:val="0"/>
      <w:numFmt w:val="bullet"/>
      <w:lvlText w:val="•"/>
      <w:lvlJc w:val="left"/>
      <w:pPr>
        <w:ind w:left="713" w:hanging="264"/>
      </w:pPr>
      <w:rPr>
        <w:rFonts w:hint="default"/>
      </w:rPr>
    </w:lvl>
    <w:lvl w:ilvl="4">
      <w:start w:val="0"/>
      <w:numFmt w:val="bullet"/>
      <w:lvlText w:val="•"/>
      <w:lvlJc w:val="left"/>
      <w:pPr>
        <w:ind w:left="831" w:hanging="264"/>
      </w:pPr>
      <w:rPr>
        <w:rFonts w:hint="default"/>
      </w:rPr>
    </w:lvl>
    <w:lvl w:ilvl="5">
      <w:start w:val="0"/>
      <w:numFmt w:val="bullet"/>
      <w:lvlText w:val="•"/>
      <w:lvlJc w:val="left"/>
      <w:pPr>
        <w:ind w:left="949" w:hanging="264"/>
      </w:pPr>
      <w:rPr>
        <w:rFonts w:hint="default"/>
      </w:rPr>
    </w:lvl>
    <w:lvl w:ilvl="6">
      <w:start w:val="0"/>
      <w:numFmt w:val="bullet"/>
      <w:lvlText w:val="•"/>
      <w:lvlJc w:val="left"/>
      <w:pPr>
        <w:ind w:left="1067" w:hanging="264"/>
      </w:pPr>
      <w:rPr>
        <w:rFonts w:hint="default"/>
      </w:rPr>
    </w:lvl>
    <w:lvl w:ilvl="7">
      <w:start w:val="0"/>
      <w:numFmt w:val="bullet"/>
      <w:lvlText w:val="•"/>
      <w:lvlJc w:val="left"/>
      <w:pPr>
        <w:ind w:left="1184" w:hanging="264"/>
      </w:pPr>
      <w:rPr>
        <w:rFonts w:hint="default"/>
      </w:rPr>
    </w:lvl>
    <w:lvl w:ilvl="8">
      <w:start w:val="0"/>
      <w:numFmt w:val="bullet"/>
      <w:lvlText w:val="•"/>
      <w:lvlJc w:val="left"/>
      <w:pPr>
        <w:ind w:left="1302" w:hanging="264"/>
      </w:pPr>
      <w:rPr>
        <w:rFonts w:hint="default"/>
      </w:rPr>
    </w:lvl>
  </w:abstractNum>
  <w:num w:numId="1">
    <w:abstractNumId w:val="7"/>
  </w:num>
  <w:num w:numId="2">
    <w:abstractNumId w:val="4"/>
  </w:num>
  <w:num w:numId="3">
    <w:abstractNumId w:val="8"/>
  </w:num>
  <w:num w:numId="4">
    <w:abstractNumId w:val="2"/>
  </w:num>
  <w:num w:numId="5">
    <w:abstractNumId w:val="6"/>
  </w:num>
  <w:num w:numId="6">
    <w:abstractNumId w:val="0"/>
  </w:num>
  <w:num w:numId="7">
    <w:abstractNumId w:val="9"/>
  </w:num>
  <w:num w:numId="8">
    <w:abstractNumId w:val="1"/>
  </w:num>
  <w:num w:numId="9">
    <w:abstractNumId w:val="3"/>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spacing w:before="1"/>
      <w:outlineLvl w:val="0"/>
    </w:pPr>
    <w:rPr>
      <w:rFonts w:ascii="Symbol" w:eastAsia="Symbol" w:hAnsi="Symbol" w:cs="Symbol"/>
      <w:sz w:val="58"/>
      <w:szCs w:val="58"/>
    </w:rPr>
  </w:style>
  <w:style w:type="paragraph" w:styleId="Heading2">
    <w:name w:val="heading 2"/>
    <w:basedOn w:val="Normal"/>
    <w:uiPriority w:val="1"/>
    <w:qFormat/>
    <w:pPr>
      <w:ind w:left="775" w:hanging="483"/>
      <w:outlineLvl w:val="1"/>
    </w:pPr>
    <w:rPr>
      <w:rFonts w:ascii="新宋体" w:eastAsia="新宋体" w:hAnsi="新宋体" w:cs="新宋体"/>
      <w:b/>
      <w:bCs/>
      <w:sz w:val="48"/>
      <w:szCs w:val="48"/>
    </w:rPr>
  </w:style>
  <w:style w:type="paragraph" w:styleId="Heading3">
    <w:name w:val="heading 3"/>
    <w:basedOn w:val="Normal"/>
    <w:uiPriority w:val="1"/>
    <w:qFormat/>
    <w:pPr>
      <w:ind w:left="505"/>
      <w:outlineLvl w:val="2"/>
    </w:pPr>
    <w:rPr>
      <w:rFonts w:ascii="新宋体" w:eastAsia="新宋体" w:hAnsi="新宋体" w:cs="新宋体"/>
      <w:b/>
      <w:bCs/>
      <w:sz w:val="42"/>
      <w:szCs w:val="42"/>
    </w:rPr>
  </w:style>
  <w:style w:type="paragraph" w:styleId="Heading4">
    <w:name w:val="heading 4"/>
    <w:basedOn w:val="Normal"/>
    <w:uiPriority w:val="1"/>
    <w:qFormat/>
    <w:pPr>
      <w:spacing w:before="98" w:line="438" w:lineRule="exact"/>
      <w:ind w:left="35"/>
      <w:outlineLvl w:val="3"/>
    </w:pPr>
    <w:rPr>
      <w:rFonts w:ascii="Arial" w:eastAsia="Arial" w:hAnsi="Arial" w:cs="Arial"/>
      <w:sz w:val="37"/>
      <w:szCs w:val="37"/>
    </w:rPr>
  </w:style>
  <w:style w:type="paragraph" w:styleId="Heading5">
    <w:name w:val="heading 5"/>
    <w:basedOn w:val="Normal"/>
    <w:uiPriority w:val="1"/>
    <w:qFormat/>
    <w:pPr>
      <w:spacing w:line="396" w:lineRule="exact"/>
      <w:ind w:left="1058"/>
      <w:outlineLvl w:val="4"/>
    </w:pPr>
    <w:rPr>
      <w:rFonts w:ascii="Times New Roman" w:eastAsia="Times New Roman" w:hAnsi="Times New Roman" w:cs="Times New Roman"/>
      <w:i/>
      <w:sz w:val="37"/>
      <w:szCs w:val="37"/>
    </w:rPr>
  </w:style>
  <w:style w:type="paragraph" w:styleId="Heading6">
    <w:name w:val="heading 6"/>
    <w:basedOn w:val="Normal"/>
    <w:uiPriority w:val="1"/>
    <w:qFormat/>
    <w:pPr>
      <w:ind w:left="476"/>
      <w:outlineLvl w:val="5"/>
    </w:pPr>
    <w:rPr>
      <w:rFonts w:ascii="新宋体" w:eastAsia="新宋体" w:hAnsi="新宋体" w:cs="新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2"/>
      <w:ind w:left="610" w:hanging="317"/>
    </w:pPr>
    <w:rPr>
      <w:rFonts w:ascii="新宋体" w:eastAsia="新宋体" w:hAnsi="新宋体" w:cs="新宋体"/>
      <w:sz w:val="31"/>
      <w:szCs w:val="31"/>
    </w:rPr>
  </w:style>
  <w:style w:type="paragraph" w:styleId="TOC2">
    <w:name w:val="toc 2"/>
    <w:basedOn w:val="Normal"/>
    <w:uiPriority w:val="1"/>
    <w:qFormat/>
    <w:pPr>
      <w:spacing w:before="402"/>
      <w:ind w:left="923"/>
    </w:pPr>
    <w:rPr>
      <w:rFonts w:ascii="新宋体" w:eastAsia="新宋体" w:hAnsi="新宋体" w:cs="新宋体"/>
      <w:sz w:val="31"/>
      <w:szCs w:val="31"/>
    </w:rPr>
  </w:style>
  <w:style w:type="paragraph" w:styleId="TOC3">
    <w:name w:val="toc 3"/>
    <w:basedOn w:val="Normal"/>
    <w:uiPriority w:val="1"/>
    <w:qFormat/>
    <w:pPr>
      <w:spacing w:before="402"/>
      <w:ind w:left="1081"/>
    </w:pPr>
    <w:rPr>
      <w:rFonts w:ascii="新宋体" w:eastAsia="新宋体" w:hAnsi="新宋体" w:cs="新宋体"/>
      <w:sz w:val="31"/>
      <w:szCs w:val="31"/>
    </w:rPr>
  </w:style>
  <w:style w:type="paragraph" w:styleId="TOC4">
    <w:name w:val="toc 4"/>
    <w:basedOn w:val="Normal"/>
    <w:uiPriority w:val="1"/>
    <w:qFormat/>
    <w:pPr>
      <w:spacing w:before="402"/>
      <w:ind w:left="1553"/>
    </w:pPr>
    <w:rPr>
      <w:rFonts w:ascii="新宋体" w:eastAsia="新宋体" w:hAnsi="新宋体" w:cs="新宋体"/>
      <w:sz w:val="31"/>
      <w:szCs w:val="31"/>
    </w:rPr>
  </w:style>
  <w:style w:type="paragraph" w:styleId="TOC5">
    <w:name w:val="toc 5"/>
    <w:basedOn w:val="Normal"/>
    <w:uiPriority w:val="1"/>
    <w:qFormat/>
    <w:pPr>
      <w:spacing w:before="402"/>
      <w:ind w:left="1711"/>
    </w:pPr>
    <w:rPr>
      <w:rFonts w:ascii="新宋体" w:eastAsia="新宋体" w:hAnsi="新宋体" w:cs="新宋体"/>
      <w:sz w:val="31"/>
      <w:szCs w:val="31"/>
    </w:rPr>
  </w:style>
  <w:style w:type="paragraph" w:styleId="BodyText">
    <w:name w:val="Body Text"/>
    <w:basedOn w:val="Normal"/>
    <w:uiPriority w:val="1"/>
    <w:qFormat/>
    <w:rPr>
      <w:rFonts w:ascii="新宋体" w:eastAsia="新宋体" w:hAnsi="新宋体" w:cs="新宋体"/>
      <w:sz w:val="36"/>
      <w:szCs w:val="36"/>
    </w:rPr>
  </w:style>
  <w:style w:type="paragraph" w:styleId="ListParagraph">
    <w:name w:val="List Paragraph"/>
    <w:basedOn w:val="Normal"/>
    <w:uiPriority w:val="1"/>
    <w:qFormat/>
    <w:pPr>
      <w:ind w:left="304" w:hanging="265"/>
    </w:pPr>
    <w:rPr>
      <w:rFonts w:ascii="新宋体" w:eastAsia="新宋体" w:hAnsi="新宋体" w:cs="新宋体"/>
    </w:rPr>
  </w:style>
  <w:style w:type="paragraph" w:customStyle="1" w:styleId="TableParagraph">
    <w:name w:val="Table Paragraph"/>
    <w:basedOn w:val="Normal"/>
    <w:uiPriority w:val="1"/>
    <w:qFormat/>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yperlink" Target="https://d.book118.com/935021233022011100"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2024-01-07T23:28:42Z</dcterms:created>
  <dcterms:modified xsi:type="dcterms:W3CDTF">2024-01-07T23:28:42Z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2024-01-07T00:00:00Z</vt:filetime>
  </property>
</Properties>
</file>