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笔及其零件项目建设方案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_Toc16032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_Toc30805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_Toc20890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_Toc14473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_Toc4585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2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_Toc7682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_Toc29927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_Toc15157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eastAsia="zh-CN"/>
          </w:rPr>
          <w:t>五、笔及其零件项目概论</w:t>
        </w:r>
        <w:r>
          <w:tab/>
        </w:r>
        <w:r>
          <w:fldChar w:fldCharType="begin"/>
        </w:r>
        <w:r>
          <w:instrText xml:space="preserve"> PAGEREF _Toc22588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_Toc31798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_Toc6553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_Toc30755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_Toc19426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_Toc8246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_Toc14083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6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_Toc17746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_Toc10844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_Toc3950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2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_Toc25321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9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_Toc8369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_Toc27526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_Toc29615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4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_Toc14154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2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_Toc32292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_Toc19086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3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_Toc1613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_Toc19030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2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_Toc6492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笔及其零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笔及其零件项目还将参与当地的环保活动和计划，如资助当地的环境保护项目或与社区合作进行环保宣传活动。通过这些活动，项目不仅能够提高自身的环境表现，还能在当地社区中树立积极的环保形象。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60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笔及其零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笔及其零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笔及其零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4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8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在笔及其零件项目启动前，将进行一系列深入的地质调查，包括钻探和土壤取样，以深入了解项目区域的地层结构和土壤组成。特别是对于土壤的承载能力和地下水位的深度进行详细评估。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完成初始的地质风险评估后，笔及其零件项目将安装长期地质监测设备，如倾斜仪、裂缝计和地下水位计，以持续监测地质条件的变化。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89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笔及其零件项目将通过这些措施来适应和尊重特殊环境条件，确保项目的可持续发展，同时减少对环境的负面影响。这不仅有助于保护自然和文化遗产，还能提升项目在社会责任方面的表现和形象。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037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02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笔及其零件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47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https://d.book118.com/935131324003011122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笔及其零件项目建设方案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8B2F02"/>
    <w:rsid w:val="6A8B2F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3513132400301112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2024-02-16T17:19:00Z</dcterms:created>
  <dcterms:modified xsi:type="dcterms:W3CDTF">2024-02-16T17:19:44Z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521E8DAECCB840EDB5A76DCF32326053_11</vt:lpwstr>
  </property>
  <property fmtid="{D5CDD505-2E9C-101B-9397-08002B2CF9AE}" pid="3" name="KSOProductBuildVer">
    <vt:lpwstr>2052-12.1.0.16250</vt:lpwstr>
  </property>
</Properties>
</file>