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固体饮料行业商业计划书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_Toc16206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一、事故原因分析及事故后果预测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2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1" w:history="1">
        <w:r>
          <w:rPr>
            <w:rFonts w:ascii="仿宋" w:eastAsia="仿宋" w:hAnsi="仿宋" w:cs="仿宋" w:hint="eastAsia"/>
            <w:lang w:eastAsia="zh-CN"/>
          </w:rPr>
          <w:t>二、建设用地征地拆迁及移民安置分析</w:t>
        </w:r>
        <w:r>
          <w:tab/>
        </w:r>
        <w:r>
          <w:fldChar w:fldCharType="begin"/>
        </w:r>
        <w:r>
          <w:instrText xml:space="preserve"> PAGEREF _Toc22481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(一)、固体饮料项目选址及用地方案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1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9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_Toc10499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三、固体饮料项目危机管理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0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_Toc32040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四、固体饮料项目投资背景分析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2" w:history="1">
        <w:r>
          <w:rPr>
            <w:rFonts w:ascii="仿宋" w:eastAsia="仿宋" w:hAnsi="仿宋" w:cs="仿宋" w:hint="eastAsia"/>
            <w:lang w:eastAsia="zh-CN"/>
          </w:rPr>
          <w:t>五、固体饮料行业背景分析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0" w:history="1">
        <w:r>
          <w:rPr>
            <w:rFonts w:ascii="仿宋" w:eastAsia="仿宋" w:hAnsi="仿宋" w:cs="仿宋" w:hint="eastAsia"/>
            <w:lang w:eastAsia="zh-CN"/>
          </w:rPr>
          <w:t>(一)、固体饮料行业背景分析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六、固体饮料项目建设主要内容和规模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7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_Toc16687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5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_Toc18820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_Toc11028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_Toc25753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_Toc20697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_Toc4151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_Toc29972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0" w:history="1">
        <w:r>
          <w:rPr>
            <w:rFonts w:ascii="仿宋" w:eastAsia="仿宋" w:hAnsi="仿宋" w:cs="仿宋" w:hint="eastAsia"/>
            <w:lang w:eastAsia="zh-CN"/>
          </w:rPr>
          <w:t>九、S W O T 分 析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_Toc23554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十、工艺原则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(一)、固体饮料项目建设期的原材料及辅助材料供应概述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(二)、固体饮料项目运营期原辅材料采购及管理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15" w:history="1">
        <w:r>
          <w:rPr>
            <w:rFonts w:ascii="仿宋" w:eastAsia="仿宋" w:hAnsi="仿宋" w:cs="仿宋" w:hint="eastAsia"/>
            <w:lang w:eastAsia="zh-CN"/>
          </w:rPr>
          <w:t>(四)、固体饮料项目工艺技术设计方案</w:t>
        </w:r>
        <w:r>
          <w:tab/>
        </w:r>
        <w:r>
          <w:fldChar w:fldCharType="begin"/>
        </w:r>
        <w:r>
          <w:instrText xml:space="preserve"> PAGEREF _Toc20015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(五)、固体饮料项目设备选型及配置方案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_Toc26307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eastAsia="zh-CN"/>
          </w:rPr>
          <w:t>(一)、固体饮料项目进度安排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eastAsia="zh-CN"/>
          </w:rPr>
          <w:t>(二)、固体饮料项目实施保障措施</w:t>
        </w:r>
        <w:r>
          <w:tab/>
        </w:r>
        <w:r>
          <w:fldChar w:fldCharType="begin"/>
        </w:r>
        <w:r>
          <w:instrText xml:space="preserve"> PAGEREF _Toc10968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十三、固体饮料项目质量管理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3" w:history="1">
        <w:r>
          <w:rPr>
            <w:rFonts w:ascii="仿宋" w:eastAsia="仿宋" w:hAnsi="仿宋" w:cs="仿宋" w:hint="eastAsia"/>
            <w:lang w:eastAsia="zh-CN"/>
          </w:rPr>
          <w:t>(三)、固体饮料项目质量控制计划</w:t>
        </w:r>
        <w:r>
          <w:tab/>
        </w:r>
        <w:r>
          <w:fldChar w:fldCharType="begin"/>
        </w:r>
        <w:r>
          <w:instrText xml:space="preserve"> PAGEREF _Toc4823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2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十四、战略合作与合作伙伴关系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1" w:history="1">
        <w:r>
          <w:rPr>
            <w:rFonts w:ascii="仿宋" w:eastAsia="仿宋" w:hAnsi="仿宋" w:cs="仿宋" w:hint="eastAsia"/>
            <w:lang w:eastAsia="zh-CN"/>
          </w:rPr>
          <w:t>十五、安全生产与环境保护培训</w:t>
        </w:r>
        <w:r>
          <w:tab/>
        </w:r>
        <w:r>
          <w:fldChar w:fldCharType="begin"/>
        </w:r>
        <w:r>
          <w:instrText xml:space="preserve"> PAGEREF _Toc14491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4" w:history="1">
        <w:r>
          <w:rPr>
            <w:rFonts w:ascii="仿宋" w:eastAsia="仿宋" w:hAnsi="仿宋" w:cs="仿宋" w:hint="eastAsia"/>
            <w:lang w:eastAsia="zh-CN"/>
          </w:rPr>
          <w:t>(一)、培训计划</w:t>
        </w:r>
        <w:r>
          <w:tab/>
        </w:r>
        <w:r>
          <w:fldChar w:fldCharType="begin"/>
        </w:r>
        <w:r>
          <w:instrText xml:space="preserve"> PAGEREF _Toc21984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(二)、培训内容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(三)、培训方法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(四)、培训效果评估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十六、战略合作伙伴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_Toc10072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(二)、合作固体饮料项目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_Toc10909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5" w:history="1">
        <w:r>
          <w:rPr>
            <w:rFonts w:ascii="仿宋" w:eastAsia="仿宋" w:hAnsi="仿宋" w:cs="仿宋" w:hint="eastAsia"/>
            <w:lang w:eastAsia="zh-CN"/>
          </w:rPr>
          <w:t>十七、投资规划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(一)、固体饮料项目估算说明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(二)、固体饮料项目总投资估算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8" w:history="1">
        <w:r>
          <w:rPr>
            <w:rFonts w:ascii="仿宋" w:eastAsia="仿宋" w:hAnsi="仿宋" w:cs="仿宋" w:hint="eastAsia"/>
            <w:lang w:eastAsia="zh-CN"/>
          </w:rPr>
          <w:t>十八、品牌建设与公关策略</w:t>
        </w:r>
        <w:r>
          <w:tab/>
        </w:r>
        <w:r>
          <w:fldChar w:fldCharType="begin"/>
        </w:r>
        <w:r>
          <w:instrText xml:space="preserve"> PAGEREF _Toc31718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7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_Toc29047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2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_Toc7732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4" w:history="1">
        <w:r>
          <w:rPr>
            <w:rFonts w:ascii="仿宋" w:eastAsia="仿宋" w:hAnsi="仿宋" w:cs="仿宋" w:hint="eastAsia"/>
            <w:lang w:eastAsia="zh-CN"/>
          </w:rPr>
          <w:t>十九、固体饮料项目实施时间节点</w:t>
        </w:r>
        <w:r>
          <w:tab/>
        </w:r>
        <w:r>
          <w:fldChar w:fldCharType="begin"/>
        </w:r>
        <w:r>
          <w:instrText xml:space="preserve"> PAGEREF _Toc17564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(一)、固体饮料项目启动阶段时间节点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2" w:history="1">
        <w:r>
          <w:rPr>
            <w:rFonts w:ascii="仿宋" w:eastAsia="仿宋" w:hAnsi="仿宋" w:cs="仿宋" w:hint="eastAsia"/>
            <w:lang w:eastAsia="zh-CN"/>
          </w:rPr>
          <w:t>(二)、固体饮料项目执行阶段时间节点</w:t>
        </w:r>
        <w:r>
          <w:tab/>
        </w:r>
        <w:r>
          <w:fldChar w:fldCharType="begin"/>
        </w:r>
        <w:r>
          <w:instrText xml:space="preserve"> PAGEREF _Toc12802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(三)、固体饮料项目完成阶段时间节点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833" w:history="1">
        <w:r>
          <w:rPr>
            <w:rFonts w:ascii="仿宋" w:eastAsia="仿宋" w:hAnsi="仿宋" w:cs="仿宋" w:hint="eastAsia"/>
            <w:lang w:eastAsia="zh-CN"/>
          </w:rPr>
          <w:t>二十、固体饮料行业企业过去战略的影响</w:t>
        </w:r>
        <w:r>
          <w:tab/>
        </w:r>
        <w:r>
          <w:fldChar w:fldCharType="begin"/>
        </w:r>
        <w:r>
          <w:instrText xml:space="preserve"> PAGEREF _Toc29833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" w:history="1">
        <w:r>
          <w:rPr>
            <w:rFonts w:ascii="仿宋" w:eastAsia="仿宋" w:hAnsi="仿宋" w:cs="仿宋" w:hint="eastAsia"/>
            <w:lang w:eastAsia="zh-CN"/>
          </w:rPr>
          <w:t>(一)、固体饮料行业企业过去战略的影响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二十一、员工晋升与职业发展通道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4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_Toc14964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18"/>
      <w:r>
        <w:rPr>
          <w:rFonts w:ascii="仿宋" w:eastAsia="仿宋" w:hAnsi="仿宋" w:cs="仿宋" w:hint="eastAsia"/>
          <w:sz w:val="28"/>
          <w:lang w:eastAsia="zh-CN"/>
        </w:rPr>
        <w:t>一、事故原因分析及事故后果预测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82"/>
      <w:r>
        <w:rPr>
          <w:rFonts w:ascii="仿宋" w:eastAsia="仿宋" w:hAnsi="仿宋" w:cs="仿宋" w:hint="eastAsia"/>
          <w:lang w:eastAsia="zh-CN"/>
        </w:rPr>
        <w:t>(一)、事故案例及原因分析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固体饮料. 过去几年里，同行业发生了一个严重的事故，对环境和财产造成了损失，甚至导致了人员伤亡。这个案例是我们评估固体饮料项目时的重要参考，以便更好地了解潜在的风险。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1.2. 固体饮料根因分析. 经过仔细分析，我们发现该事故的主要原因有几个：首先，关键设备由于长时间运行而没有及时维护，导致了设备故障。其次，安全管理体系存在漏洞，缺乏有效的监控措施。最后，操作人员在培训方面存在不足，无法妥善应对紧急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1.3.</w:t>
      </w:r>
      <w:r>
        <w:rPr>
          <w:rFonts w:ascii="仿宋" w:eastAsia="仿宋" w:hAnsi="仿宋" w:cs="仿宋" w:hint="eastAsia"/>
          <w:sz w:val="28"/>
          <w:lang w:eastAsia="zh-CN"/>
        </w:rPr>
        <w:t xml:space="preserve"> 借鉴教训.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https://d.book118.com/935223224043011113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固体饮料行业商业计划书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固体饮料行业商业计划书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固体饮料行业商业计划书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固体饮料行业商业计划书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固体饮料行业商业计划书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517C48"/>
    <w:rsid w:val="4593521B"/>
    <w:rsid w:val="54517C4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5223224043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2024-02-26T14:15:00Z</dcterms:created>
  <dcterms:modified xsi:type="dcterms:W3CDTF">2024-02-26T14:15:41Z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DAC5051F8E3E43D2A62D1D334AE1902E_11</vt:lpwstr>
  </property>
  <property fmtid="{D5CDD505-2E9C-101B-9397-08002B2CF9AE}" pid="3" name="KSOProductBuildVer">
    <vt:lpwstr>2052-12.1.0.16250</vt:lpwstr>
  </property>
</Properties>
</file>