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tabs>
          <w:tab w:val="left" w:pos="1950"/>
        </w:tabs>
        <w:rPr>
          <w:rFonts w:ascii="宋体" w:hAnsi="宋体" w:cs="宋体"/>
          <w:b/>
          <w:sz w:val="52"/>
          <w:szCs w:val="52"/>
        </w:rPr>
      </w:pPr>
    </w:p>
    <w:p>
      <w:pPr>
        <w:tabs>
          <w:tab w:val="left" w:pos="1950"/>
        </w:tabs>
        <w:rPr>
          <w:rFonts w:ascii="宋体" w:hAnsi="宋体" w:cs="宋体"/>
          <w:b/>
          <w:sz w:val="52"/>
          <w:szCs w:val="52"/>
        </w:rPr>
      </w:pPr>
    </w:p>
    <w:p>
      <w:pPr>
        <w:tabs>
          <w:tab w:val="left" w:pos="1950"/>
        </w:tabs>
        <w:rPr>
          <w:rFonts w:ascii="宋体" w:hAnsi="宋体" w:cs="宋体"/>
          <w:sz w:val="52"/>
          <w:szCs w:val="52"/>
        </w:rPr>
      </w:pPr>
    </w:p>
    <w:p>
      <w:pPr>
        <w:tabs>
          <w:tab w:val="left" w:pos="1950"/>
        </w:tabs>
        <w:rPr>
          <w:rFonts w:ascii="宋体" w:hAnsi="宋体"/>
          <w:sz w:val="52"/>
          <w:szCs w:val="52"/>
        </w:rPr>
      </w:pPr>
    </w:p>
    <w:p>
      <w:pPr>
        <w:spacing w:before="120" w:beforeLines="50" w:after="120" w:afterLines="50"/>
        <w:jc w:val="center"/>
        <w:rPr>
          <w:rFonts w:ascii="宋体" w:hAnsi="宋体" w:hint="eastAsia"/>
          <w:b/>
          <w:bCs/>
          <w:sz w:val="52"/>
          <w:szCs w:val="52"/>
        </w:rPr>
      </w:pPr>
      <w:r>
        <w:rPr>
          <w:rFonts w:ascii="宋体" w:hAnsi="宋体" w:hint="eastAsia"/>
          <w:b/>
          <w:bCs/>
          <w:sz w:val="52"/>
          <w:szCs w:val="52"/>
        </w:rPr>
        <w:t>降低置换患者腹部皮下注射低分子肝素淤青发生率</w:t>
      </w:r>
    </w:p>
    <w:p>
      <w:pPr>
        <w:spacing w:before="120" w:beforeLines="50" w:after="120" w:afterLines="50"/>
        <w:jc w:val="center"/>
        <w:rPr>
          <w:rFonts w:ascii="宋体" w:hAnsi="宋体"/>
          <w:b/>
          <w:bCs/>
          <w:sz w:val="52"/>
          <w:szCs w:val="52"/>
        </w:rPr>
      </w:pPr>
      <w:r>
        <w:rPr>
          <w:rFonts w:ascii="宋体" w:hAnsi="宋体" w:hint="eastAsia"/>
          <w:b/>
          <w:bCs/>
          <w:sz w:val="52"/>
          <w:szCs w:val="52"/>
        </w:rPr>
        <w:t>品管圈活动成果报告书</w:t>
      </w:r>
    </w:p>
    <w:p>
      <w:pPr>
        <w:rPr>
          <w:rFonts w:ascii="宋体" w:hAnsi="宋体"/>
          <w:sz w:val="52"/>
          <w:szCs w:val="52"/>
        </w:rPr>
      </w:pP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32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88"/>
          <w:jc w:val="center"/>
        </w:trPr>
        <w:tc>
          <w:tcPr>
            <w:tcW w:w="3320" w:type="dxa"/>
          </w:tcPr>
          <w:p>
            <w:pPr>
              <w:jc w:val="center"/>
              <w:rPr>
                <w:rFonts w:ascii="宋体" w:hAnsi="宋体"/>
                <w:sz w:val="40"/>
              </w:rPr>
            </w:pPr>
            <w: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74930</wp:posOffset>
                  </wp:positionH>
                  <wp:positionV relativeFrom="paragraph">
                    <wp:posOffset>66675</wp:posOffset>
                  </wp:positionV>
                  <wp:extent cx="1942465" cy="1354455"/>
                  <wp:effectExtent l="0" t="0" r="635" b="4445"/>
                  <wp:wrapNone/>
                  <wp:docPr id="51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2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2465" cy="1354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rPr>
          <w:rFonts w:ascii="宋体" w:hAnsi="宋体"/>
          <w:sz w:val="40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 xml:space="preserve">圈名 </w:t>
      </w:r>
      <w:r>
        <w:rPr>
          <w:rFonts w:ascii="宋体" w:hAnsi="宋体" w:hint="eastAsia"/>
          <w:b/>
          <w:sz w:val="44"/>
          <w:szCs w:val="44"/>
          <w:lang w:val="en-US" w:eastAsia="zh-CN"/>
        </w:rPr>
        <w:t>携手</w:t>
      </w:r>
      <w:r>
        <w:rPr>
          <w:rFonts w:ascii="宋体" w:hAnsi="宋体" w:hint="eastAsia"/>
          <w:b/>
          <w:sz w:val="44"/>
          <w:szCs w:val="44"/>
        </w:rPr>
        <w:t>圈</w:t>
      </w:r>
    </w:p>
    <w:p>
      <w:pPr>
        <w:rPr>
          <w:rFonts w:ascii="宋体" w:hAnsi="宋体"/>
          <w:sz w:val="40"/>
        </w:rPr>
      </w:pPr>
    </w:p>
    <w:p>
      <w:pPr>
        <w:rPr>
          <w:rFonts w:ascii="宋体" w:hAnsi="宋体"/>
          <w:sz w:val="40"/>
        </w:rPr>
      </w:pPr>
    </w:p>
    <w:p>
      <w:pPr>
        <w:spacing w:line="560" w:lineRule="exact"/>
        <w:jc w:val="left"/>
        <w:rPr>
          <w:rFonts w:ascii="宋体" w:hAnsi="宋体" w:cs="宋体" w:hint="eastAsia"/>
          <w:sz w:val="32"/>
          <w:szCs w:val="32"/>
          <w:u w:val="single"/>
        </w:rPr>
      </w:pPr>
      <w:r>
        <w:rPr>
          <w:rFonts w:ascii="宋体" w:hAnsi="宋体" w:cs="宋体" w:hint="eastAsia"/>
          <w:sz w:val="32"/>
          <w:szCs w:val="32"/>
        </w:rPr>
        <w:t>活动主题：</w:t>
      </w:r>
      <w:r>
        <w:rPr>
          <w:rFonts w:ascii="宋体" w:hAnsi="宋体" w:cs="宋体" w:hint="eastAsia"/>
          <w:sz w:val="32"/>
          <w:szCs w:val="32"/>
          <w:u w:val="single"/>
        </w:rPr>
        <w:t xml:space="preserve"> 降低置换患者腹部皮下注射低分子肝素淤青发生率</w:t>
      </w:r>
    </w:p>
    <w:p>
      <w:pPr>
        <w:spacing w:line="560" w:lineRule="exact"/>
        <w:jc w:val="left"/>
        <w:rPr>
          <w:rFonts w:ascii="宋体" w:hAnsi="宋体" w:cs="宋体"/>
          <w:sz w:val="32"/>
          <w:szCs w:val="32"/>
          <w:u w:val="single"/>
        </w:rPr>
      </w:pPr>
      <w:r>
        <w:rPr>
          <w:rFonts w:ascii="宋体" w:hAnsi="宋体" w:cs="宋体" w:hint="eastAsia"/>
          <w:sz w:val="32"/>
          <w:szCs w:val="32"/>
        </w:rPr>
        <w:t>活动类型：</w:t>
      </w:r>
      <w:bookmarkStart w:id="0" w:name="_Hlk101362688"/>
      <w:r>
        <w:rPr>
          <w:rFonts w:ascii="Wingdings 2" w:hAnsi="Wingdings 2" w:cs="宋体"/>
          <w:sz w:val="32"/>
          <w:szCs w:val="32"/>
        </w:rPr>
        <w:sym w:font="Wingdings 2" w:char="F052"/>
      </w:r>
      <w:bookmarkEnd w:id="0"/>
      <w:r>
        <w:rPr>
          <w:rFonts w:ascii="宋体" w:hAnsi="宋体" w:cs="宋体" w:hint="eastAsia"/>
          <w:sz w:val="32"/>
          <w:szCs w:val="32"/>
        </w:rPr>
        <w:t>问题解决型         □课题研究型</w:t>
      </w:r>
    </w:p>
    <w:p>
      <w:pPr>
        <w:spacing w:line="560" w:lineRule="exact"/>
        <w:jc w:val="left"/>
        <w:rPr>
          <w:rFonts w:ascii="宋体" w:hAnsi="宋体" w:cs="宋体"/>
          <w:sz w:val="32"/>
          <w:szCs w:val="32"/>
          <w:u w:val="single"/>
        </w:rPr>
        <w:sectPr>
          <w:headerReference w:type="default" r:id="rId6"/>
          <w:footerReference w:type="even" r:id="rId7"/>
          <w:footerReference w:type="default" r:id="rId8"/>
          <w:pgSz w:w="12242" w:h="15842"/>
          <w:pgMar w:top="1440" w:right="1797" w:bottom="1440" w:left="1797" w:header="720" w:footer="720" w:gutter="0"/>
          <w:cols w:num="1" w:space="720"/>
          <w:docGrid w:linePitch="326" w:charSpace="0"/>
        </w:sectPr>
      </w:pPr>
      <w:r>
        <w:rPr>
          <w:rFonts w:ascii="宋体" w:hAnsi="宋体" w:cs="宋体" w:hint="eastAsia"/>
          <w:sz w:val="32"/>
          <w:szCs w:val="32"/>
        </w:rPr>
        <w:t>活动时间：</w:t>
      </w:r>
      <w:r>
        <w:rPr>
          <w:rFonts w:ascii="宋体" w:hAnsi="宋体" w:cs="宋体" w:hint="eastAsia"/>
          <w:sz w:val="32"/>
          <w:szCs w:val="32"/>
          <w:u w:val="single"/>
        </w:rPr>
        <w:t xml:space="preserve">    </w:t>
      </w:r>
      <w:r>
        <w:rPr>
          <w:rFonts w:ascii="宋体" w:hAnsi="宋体" w:cs="宋体"/>
          <w:sz w:val="32"/>
          <w:szCs w:val="32"/>
          <w:u w:val="single"/>
        </w:rPr>
        <w:t xml:space="preserve">     </w:t>
      </w:r>
      <w:r>
        <w:rPr>
          <w:rFonts w:ascii="宋体" w:hAnsi="宋体" w:cs="宋体" w:hint="eastAsia"/>
          <w:sz w:val="32"/>
          <w:szCs w:val="32"/>
          <w:u w:val="single"/>
        </w:rPr>
        <w:t>2022.</w:t>
      </w:r>
      <w:r>
        <w:rPr>
          <w:rFonts w:ascii="宋体" w:hAnsi="宋体" w:cs="宋体" w:hint="eastAsia"/>
          <w:sz w:val="32"/>
          <w:szCs w:val="32"/>
          <w:u w:val="single"/>
          <w:lang w:val="en-US" w:eastAsia="zh-CN"/>
        </w:rPr>
        <w:t>3</w:t>
      </w:r>
      <w:r>
        <w:rPr>
          <w:rFonts w:ascii="宋体" w:hAnsi="宋体" w:cs="宋体" w:hint="eastAsia"/>
          <w:sz w:val="32"/>
          <w:szCs w:val="32"/>
          <w:u w:val="single"/>
        </w:rPr>
        <w:t>.</w:t>
      </w:r>
      <w:r>
        <w:rPr>
          <w:rFonts w:ascii="宋体" w:hAnsi="宋体" w:cs="宋体" w:hint="eastAsia"/>
          <w:sz w:val="32"/>
          <w:szCs w:val="32"/>
          <w:u w:val="single"/>
          <w:lang w:val="en-US" w:eastAsia="zh-CN"/>
        </w:rPr>
        <w:t>1</w:t>
      </w:r>
      <w:r>
        <w:rPr>
          <w:rFonts w:ascii="宋体" w:hAnsi="宋体" w:cs="宋体"/>
          <w:sz w:val="32"/>
          <w:szCs w:val="32"/>
          <w:u w:val="single"/>
        </w:rPr>
        <w:t>—</w:t>
      </w:r>
      <w:r>
        <w:rPr>
          <w:rFonts w:ascii="宋体" w:hAnsi="宋体" w:cs="宋体" w:hint="eastAsia"/>
          <w:sz w:val="32"/>
          <w:szCs w:val="32"/>
          <w:u w:val="single"/>
        </w:rPr>
        <w:t>2022.</w:t>
      </w:r>
      <w:r>
        <w:rPr>
          <w:rFonts w:ascii="宋体" w:hAnsi="宋体" w:cs="宋体" w:hint="eastAsia"/>
          <w:sz w:val="32"/>
          <w:szCs w:val="32"/>
          <w:u w:val="single"/>
          <w:lang w:val="en-US" w:eastAsia="zh-CN"/>
        </w:rPr>
        <w:t>9</w:t>
      </w:r>
      <w:r>
        <w:rPr>
          <w:rFonts w:ascii="宋体" w:hAnsi="宋体" w:cs="宋体" w:hint="eastAsia"/>
          <w:sz w:val="32"/>
          <w:szCs w:val="32"/>
          <w:u w:val="single"/>
        </w:rPr>
        <w:t>.</w:t>
      </w:r>
      <w:r>
        <w:rPr>
          <w:rFonts w:ascii="宋体" w:hAnsi="宋体" w:cs="宋体" w:hint="eastAsia"/>
          <w:sz w:val="32"/>
          <w:szCs w:val="32"/>
          <w:u w:val="single"/>
          <w:lang w:val="en-US" w:eastAsia="zh-CN"/>
        </w:rPr>
        <w:t>15</w:t>
      </w:r>
      <w:r>
        <w:rPr>
          <w:rFonts w:ascii="宋体" w:hAnsi="宋体" w:cs="宋体" w:hint="eastAsia"/>
          <w:sz w:val="32"/>
          <w:szCs w:val="32"/>
          <w:u w:val="single"/>
        </w:rPr>
        <w:t xml:space="preserve">          </w:t>
      </w:r>
      <w:r>
        <w:rPr>
          <w:rFonts w:ascii="宋体" w:hAnsi="宋体" w:cs="宋体"/>
          <w:sz w:val="32"/>
          <w:szCs w:val="32"/>
          <w:u w:val="single"/>
        </w:rPr>
        <w:t xml:space="preserve"> </w:t>
      </w:r>
    </w:p>
    <w:p>
      <w:pPr>
        <w:spacing w:line="560" w:lineRule="exact"/>
        <w:jc w:val="left"/>
        <w:rPr>
          <w:rFonts w:ascii="宋体" w:hAnsi="宋体" w:cs="宋体"/>
          <w:sz w:val="32"/>
          <w:szCs w:val="32"/>
        </w:rPr>
        <w:sectPr>
          <w:headerReference w:type="default" r:id="rId9"/>
          <w:footerReference w:type="even" r:id="rId10"/>
          <w:footerReference w:type="default" r:id="rId11"/>
          <w:type w:val="nextPage"/>
          <w:pgSz w:w="12242" w:h="15842"/>
          <w:pgMar w:top="1440" w:right="1797" w:bottom="1440" w:left="1797" w:header="720" w:footer="720" w:gutter="0"/>
          <w:pgNumType w:start="2"/>
          <w:cols w:num="1" w:space="720"/>
          <w:titlePg w:val="0"/>
          <w:docGrid w:linePitch="326" w:charSpace="0"/>
        </w:sectPr>
      </w:pPr>
      <w:r>
        <w:rPr>
          <w:rFonts w:ascii="宋体" w:hAnsi="宋体" w:cs="宋体" w:hint="eastAsia"/>
          <w:sz w:val="32"/>
          <w:szCs w:val="32"/>
        </w:rPr>
        <w:t>科    室：</w:t>
      </w:r>
      <w:r>
        <w:rPr>
          <w:rFonts w:ascii="宋体" w:hAnsi="宋体" w:cs="宋体" w:hint="eastAsia"/>
          <w:sz w:val="32"/>
          <w:szCs w:val="32"/>
          <w:u w:val="single"/>
        </w:rPr>
        <w:t xml:space="preserve">           </w:t>
      </w:r>
      <w:r>
        <w:rPr>
          <w:rFonts w:ascii="宋体" w:hAnsi="宋体" w:cs="宋体"/>
          <w:sz w:val="32"/>
          <w:szCs w:val="32"/>
          <w:u w:val="single"/>
        </w:rPr>
        <w:t xml:space="preserve">     </w:t>
      </w:r>
      <w:r>
        <w:rPr>
          <w:rFonts w:ascii="宋体" w:hAnsi="宋体" w:cs="宋体" w:hint="eastAsia"/>
          <w:sz w:val="32"/>
          <w:szCs w:val="32"/>
          <w:u w:val="single"/>
          <w:lang w:val="en-US" w:eastAsia="zh-CN"/>
        </w:rPr>
        <w:t>骨关节科</w:t>
      </w:r>
      <w:r>
        <w:rPr>
          <w:rFonts w:ascii="宋体" w:hAnsi="宋体" w:cs="宋体" w:hint="eastAsia"/>
          <w:sz w:val="32"/>
          <w:szCs w:val="32"/>
          <w:u w:val="single"/>
        </w:rPr>
        <w:t xml:space="preserve">               </w:t>
      </w:r>
    </w:p>
    <w:p>
      <w:pPr>
        <w:spacing w:line="380" w:lineRule="exact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问题解决型品管圈活动目录</w:t>
      </w:r>
    </w:p>
    <w:p>
      <w:pPr>
        <w:pStyle w:val="TOC1"/>
        <w:spacing w:line="400" w:lineRule="exact"/>
        <w:rPr>
          <w:rFonts w:ascii="宋体" w:hAnsi="宋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hyperlink w:anchor="_Toc399237270" w:history="1">
        <w:r>
          <w:rPr>
            <w:rStyle w:val="Hyperlink"/>
            <w:rFonts w:ascii="宋体" w:hAnsi="宋体" w:cs="宋体" w:hint="eastAsia"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一、圈的介绍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3</w:t>
        </w:r>
      </w:hyperlink>
    </w:p>
    <w:p>
      <w:pPr>
        <w:pStyle w:val="TOC2"/>
        <w:tabs>
          <w:tab w:val="clear" w:pos="1470"/>
        </w:tabs>
        <w:spacing w:line="400" w:lineRule="exact"/>
        <w:rPr>
          <w:rFonts w:ascii="宋体" w:hAnsi="宋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hyperlink w:anchor="_Toc399237271" w:history="1">
        <w:r>
          <w:rPr>
            <w:rStyle w:val="Hyperlink"/>
            <w:rFonts w:ascii="宋体" w:hAnsi="宋体" w:cs="仿宋_GB2312" w:hint="eastAsia"/>
            <w:bCs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（一）圈的组成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3</w:t>
        </w:r>
      </w:hyperlink>
    </w:p>
    <w:p>
      <w:pPr>
        <w:pStyle w:val="TOC2"/>
        <w:tabs>
          <w:tab w:val="clear" w:pos="1470"/>
        </w:tabs>
        <w:spacing w:line="400" w:lineRule="exact"/>
        <w:rPr>
          <w:rFonts w:ascii="宋体" w:hAnsi="宋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hyperlink w:anchor="_Toc399237272" w:history="1">
        <w:r>
          <w:rPr>
            <w:rStyle w:val="Hyperlink"/>
            <w:rFonts w:ascii="宋体" w:hAnsi="宋体" w:cs="仿宋_GB2312" w:hint="eastAsia"/>
            <w:bCs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（二）圈名意义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4</w:t>
        </w:r>
      </w:hyperlink>
    </w:p>
    <w:p>
      <w:pPr>
        <w:pStyle w:val="TOC2"/>
        <w:tabs>
          <w:tab w:val="clear" w:pos="1470"/>
        </w:tabs>
        <w:spacing w:line="400" w:lineRule="exact"/>
        <w:rPr>
          <w:rFonts w:ascii="宋体" w:hAnsi="宋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hyperlink w:anchor="_Toc399237273" w:history="1">
        <w:r>
          <w:rPr>
            <w:rStyle w:val="Hyperlink"/>
            <w:rFonts w:ascii="宋体" w:hAnsi="宋体" w:cs="仿宋_GB2312" w:hint="eastAsia"/>
            <w:bCs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（三）圈徽意义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4</w:t>
        </w:r>
      </w:hyperlink>
    </w:p>
    <w:p>
      <w:pPr>
        <w:pStyle w:val="TOC2"/>
        <w:tabs>
          <w:tab w:val="clear" w:pos="1470"/>
        </w:tabs>
        <w:spacing w:line="400" w:lineRule="exact"/>
        <w:rPr>
          <w:rFonts w:ascii="宋体" w:hAnsi="宋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hyperlink w:anchor="_Toc399237278" w:history="1">
        <w:r>
          <w:rPr>
            <w:rStyle w:val="Hyperlink"/>
            <w:rFonts w:ascii="宋体" w:hAnsi="宋体" w:cs="仿宋_GB2312" w:hint="eastAsia"/>
            <w:bCs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（四）上期活动成果追踪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4</w:t>
        </w:r>
      </w:hyperlink>
    </w:p>
    <w:p>
      <w:pPr>
        <w:pStyle w:val="TOC1"/>
        <w:spacing w:line="400" w:lineRule="exact"/>
        <w:rPr>
          <w:rFonts w:ascii="宋体" w:hAnsi="宋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hyperlink w:anchor="_Toc399237274" w:history="1">
        <w:r>
          <w:rPr>
            <w:rStyle w:val="Hyperlink"/>
            <w:rFonts w:ascii="宋体" w:hAnsi="宋体" w:cs="宋体" w:hint="eastAsia"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二、主题选定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4</w:t>
        </w:r>
      </w:hyperlink>
    </w:p>
    <w:p>
      <w:pPr>
        <w:pStyle w:val="TOC2"/>
        <w:tabs>
          <w:tab w:val="clear" w:pos="1470"/>
        </w:tabs>
        <w:spacing w:line="400" w:lineRule="exact"/>
        <w:rPr>
          <w:rFonts w:ascii="宋体" w:hAnsi="宋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hyperlink w:anchor="_Toc399237275" w:history="1">
        <w:r>
          <w:rPr>
            <w:rStyle w:val="Hyperlink"/>
            <w:rFonts w:ascii="宋体" w:hAnsi="宋体" w:cs="仿宋_GB2312" w:hint="eastAsia"/>
            <w:bCs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（一）选题过程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4</w:t>
        </w:r>
      </w:hyperlink>
    </w:p>
    <w:p>
      <w:pPr>
        <w:pStyle w:val="TOC2"/>
        <w:tabs>
          <w:tab w:val="clear" w:pos="1470"/>
        </w:tabs>
        <w:spacing w:line="400" w:lineRule="exact"/>
        <w:rPr>
          <w:rFonts w:ascii="宋体" w:hAnsi="宋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hyperlink w:anchor="_Toc399237276" w:history="1">
        <w:r>
          <w:rPr>
            <w:rStyle w:val="Hyperlink"/>
            <w:rFonts w:ascii="宋体" w:hAnsi="宋体" w:cs="仿宋_GB2312" w:hint="eastAsia"/>
            <w:bCs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（二）本次活动主题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5</w:t>
        </w:r>
      </w:hyperlink>
    </w:p>
    <w:p>
      <w:pPr>
        <w:pStyle w:val="TOC2"/>
        <w:tabs>
          <w:tab w:val="clear" w:pos="1470"/>
        </w:tabs>
        <w:spacing w:line="400" w:lineRule="exact"/>
        <w:rPr>
          <w:rFonts w:ascii="宋体" w:hAnsi="宋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hyperlink w:anchor="_Toc399237277" w:history="1">
        <w:r>
          <w:rPr>
            <w:rStyle w:val="Hyperlink"/>
            <w:rFonts w:ascii="宋体" w:hAnsi="宋体" w:cs="仿宋_GB2312" w:hint="eastAsia"/>
            <w:bCs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（三）名词定义及衡量指标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5</w:t>
        </w:r>
      </w:hyperlink>
    </w:p>
    <w:p>
      <w:pPr>
        <w:pStyle w:val="TOC2"/>
        <w:tabs>
          <w:tab w:val="clear" w:pos="1470"/>
        </w:tabs>
        <w:spacing w:line="400" w:lineRule="exact"/>
        <w:rPr>
          <w:rFonts w:ascii="宋体" w:hAnsi="宋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hyperlink w:anchor="_Toc399237278" w:history="1">
        <w:r>
          <w:rPr>
            <w:rStyle w:val="Hyperlink"/>
            <w:rFonts w:ascii="宋体" w:hAnsi="宋体" w:cs="仿宋_GB2312" w:hint="eastAsia"/>
            <w:bCs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（四）选题背景与理由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6</w:t>
        </w:r>
      </w:hyperlink>
    </w:p>
    <w:p>
      <w:pPr>
        <w:pStyle w:val="TOC1"/>
        <w:spacing w:line="400" w:lineRule="exact"/>
        <w:rPr>
          <w:rFonts w:ascii="宋体" w:hAnsi="宋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hyperlink w:anchor="_Toc399237279" w:history="1">
        <w:r>
          <w:rPr>
            <w:rStyle w:val="Hyperlink"/>
            <w:rFonts w:ascii="宋体" w:hAnsi="宋体" w:cs="宋体" w:hint="eastAsia"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三、活动计划拟定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7</w:t>
        </w:r>
      </w:hyperlink>
    </w:p>
    <w:p>
      <w:pPr>
        <w:pStyle w:val="TOC1"/>
        <w:spacing w:line="400" w:lineRule="exact"/>
        <w:rPr>
          <w:rFonts w:ascii="宋体" w:hAnsi="宋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hyperlink w:anchor="_Toc399237280" w:history="1">
        <w:r>
          <w:rPr>
            <w:rStyle w:val="Hyperlink"/>
            <w:rFonts w:ascii="宋体" w:hAnsi="宋体" w:cs="宋体" w:hint="eastAsia"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四、现况把握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8</w:t>
        </w:r>
      </w:hyperlink>
    </w:p>
    <w:p>
      <w:pPr>
        <w:pStyle w:val="TOC2"/>
        <w:spacing w:line="400" w:lineRule="exact"/>
        <w:rPr>
          <w:rFonts w:ascii="宋体" w:hAnsi="宋体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hyperlink w:anchor="_Toc399237286" w:history="1">
        <w:r>
          <w:rPr>
            <w:rStyle w:val="Hyperlink"/>
            <w:rFonts w:ascii="宋体" w:hAnsi="宋体" w:cs="仿宋_GB2312" w:hint="eastAsia"/>
            <w:bCs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（一）查检表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8</w:t>
        </w:r>
      </w:hyperlink>
    </w:p>
    <w:p>
      <w:pPr>
        <w:pStyle w:val="TOC2"/>
        <w:spacing w:line="400" w:lineRule="exact"/>
        <w:rPr>
          <w:rFonts w:ascii="宋体" w:eastAsia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hyperlink w:anchor="_Toc399237286" w:history="1">
        <w:r>
          <w:rPr>
            <w:rStyle w:val="Hyperlink"/>
            <w:rFonts w:ascii="宋体" w:hAnsi="宋体" w:cs="仿宋_GB2312" w:hint="eastAsia"/>
            <w:bCs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（</w:t>
        </w:r>
        <w:r>
          <w:rPr>
            <w:rStyle w:val="Hyperlink"/>
            <w:rFonts w:ascii="宋体" w:hAnsi="宋体" w:cs="仿宋_GB2312" w:hint="eastAsia"/>
            <w:bCs/>
            <w:color w:val="000000" w:themeColor="text1"/>
            <w:sz w:val="28"/>
            <w:szCs w:val="28"/>
            <w:u w:val="none"/>
            <w:lang w:val="en-US" w:eastAsia="zh-CN"/>
            <w14:textFill>
              <w14:solidFill>
                <w14:schemeClr w14:val="tx1"/>
              </w14:solidFill>
            </w14:textFill>
          </w:rPr>
          <w:t>二</w:t>
        </w:r>
        <w:r>
          <w:rPr>
            <w:rStyle w:val="Hyperlink"/>
            <w:rFonts w:ascii="宋体" w:hAnsi="宋体" w:cs="仿宋_GB2312" w:hint="eastAsia"/>
            <w:bCs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）改善前柏拉图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1</w:t>
        </w:r>
      </w:hyperlink>
      <w:r>
        <w:rPr>
          <w:rFonts w:ascii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</w:t>
      </w:r>
    </w:p>
    <w:p>
      <w:pPr>
        <w:pStyle w:val="TOC2"/>
        <w:spacing w:line="400" w:lineRule="exact"/>
        <w:rPr>
          <w:rFonts w:ascii="宋体" w:eastAsia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hyperlink w:anchor="_Toc399237287" w:history="1">
        <w:r>
          <w:rPr>
            <w:rStyle w:val="Hyperlink"/>
            <w:rFonts w:ascii="宋体" w:hAnsi="宋体" w:cs="仿宋_GB2312" w:hint="eastAsia"/>
            <w:bCs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（</w:t>
        </w:r>
        <w:r>
          <w:rPr>
            <w:rStyle w:val="Hyperlink"/>
            <w:rFonts w:ascii="宋体" w:hAnsi="宋体" w:cs="仿宋_GB2312" w:hint="eastAsia"/>
            <w:bCs/>
            <w:color w:val="000000" w:themeColor="text1"/>
            <w:sz w:val="28"/>
            <w:szCs w:val="28"/>
            <w:u w:val="none"/>
            <w:lang w:val="en-US" w:eastAsia="zh-CN"/>
            <w14:textFill>
              <w14:solidFill>
                <w14:schemeClr w14:val="tx1"/>
              </w14:solidFill>
            </w14:textFill>
          </w:rPr>
          <w:t>三</w:t>
        </w:r>
        <w:r>
          <w:rPr>
            <w:rStyle w:val="Hyperlink"/>
            <w:rFonts w:ascii="宋体" w:hAnsi="宋体" w:cs="仿宋_GB2312" w:hint="eastAsia"/>
            <w:bCs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）结论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1</w:t>
        </w:r>
      </w:hyperlink>
      <w:r>
        <w:rPr>
          <w:rFonts w:ascii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</w:t>
      </w:r>
    </w:p>
    <w:p>
      <w:pPr>
        <w:pStyle w:val="TOC1"/>
        <w:spacing w:line="400" w:lineRule="exact"/>
        <w:rPr>
          <w:rFonts w:ascii="宋体" w:eastAsia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hyperlink w:anchor="_Toc399237285" w:history="1">
        <w:r>
          <w:rPr>
            <w:rStyle w:val="Hyperlink"/>
            <w:rFonts w:ascii="宋体" w:hAnsi="宋体" w:cs="宋体" w:hint="eastAsia"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五、目标设定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1</w:t>
        </w:r>
      </w:hyperlink>
      <w:r>
        <w:rPr>
          <w:rFonts w:ascii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pStyle w:val="TOC2"/>
        <w:spacing w:line="400" w:lineRule="exact"/>
        <w:rPr>
          <w:rFonts w:ascii="宋体" w:eastAsia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hyperlink w:anchor="_Toc399237286" w:history="1">
        <w:r>
          <w:rPr>
            <w:rStyle w:val="Hyperlink"/>
            <w:rFonts w:ascii="宋体" w:hAnsi="宋体" w:cs="仿宋_GB2312" w:hint="eastAsia"/>
            <w:bCs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（一）目标值设定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1</w:t>
        </w:r>
      </w:hyperlink>
      <w:r>
        <w:rPr>
          <w:rFonts w:ascii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pStyle w:val="TOC2"/>
        <w:spacing w:line="400" w:lineRule="exact"/>
        <w:rPr>
          <w:rFonts w:ascii="宋体" w:eastAsia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hyperlink w:anchor="_Toc399237287" w:history="1">
        <w:r>
          <w:rPr>
            <w:rStyle w:val="Hyperlink"/>
            <w:rFonts w:ascii="宋体" w:hAnsi="宋体" w:cs="仿宋_GB2312" w:hint="eastAsia"/>
            <w:bCs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（二）设定理由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1</w:t>
        </w:r>
      </w:hyperlink>
      <w:r>
        <w:rPr>
          <w:rFonts w:ascii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pStyle w:val="TOC1"/>
        <w:spacing w:line="400" w:lineRule="exact"/>
        <w:rPr>
          <w:rFonts w:ascii="宋体" w:eastAsia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hyperlink w:anchor="_Toc399237288" w:history="1">
        <w:r>
          <w:rPr>
            <w:rStyle w:val="Hyperlink"/>
            <w:rFonts w:ascii="宋体" w:hAnsi="宋体" w:cs="宋体" w:hint="eastAsia"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六、解析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1</w:t>
        </w:r>
      </w:hyperlink>
      <w:r>
        <w:rPr>
          <w:rFonts w:ascii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pStyle w:val="TOC2"/>
        <w:spacing w:line="400" w:lineRule="exact"/>
        <w:rPr>
          <w:rFonts w:ascii="宋体" w:eastAsia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hyperlink w:anchor="_Toc399237286" w:history="1">
        <w:r>
          <w:rPr>
            <w:rStyle w:val="Hyperlink"/>
            <w:rFonts w:ascii="宋体" w:hAnsi="宋体" w:cs="仿宋_GB2312" w:hint="eastAsia"/>
            <w:bCs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（一）原因分析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1</w:t>
        </w:r>
      </w:hyperlink>
      <w:r>
        <w:rPr>
          <w:rFonts w:ascii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pStyle w:val="TOC2"/>
        <w:spacing w:line="400" w:lineRule="exact"/>
        <w:rPr>
          <w:rFonts w:ascii="宋体" w:eastAsia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hyperlink w:anchor="_Toc399237287" w:history="1">
        <w:r>
          <w:rPr>
            <w:rStyle w:val="Hyperlink"/>
            <w:rFonts w:ascii="宋体" w:hAnsi="宋体" w:cs="仿宋_GB2312" w:hint="eastAsia"/>
            <w:bCs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（二）要因分析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1</w:t>
        </w:r>
      </w:hyperlink>
      <w:r>
        <w:rPr>
          <w:rFonts w:ascii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pStyle w:val="TOC2"/>
        <w:spacing w:line="400" w:lineRule="exact"/>
        <w:rPr>
          <w:rFonts w:ascii="宋体" w:eastAsia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hyperlink w:anchor="_Toc399237286" w:history="1">
        <w:r>
          <w:rPr>
            <w:rStyle w:val="Hyperlink"/>
            <w:rFonts w:ascii="宋体" w:hAnsi="宋体" w:cs="仿宋_GB2312" w:hint="eastAsia"/>
            <w:bCs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（三）真因验证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1</w:t>
        </w:r>
      </w:hyperlink>
      <w:r>
        <w:rPr>
          <w:rFonts w:ascii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pStyle w:val="TOC1"/>
        <w:spacing w:line="400" w:lineRule="exact"/>
        <w:rPr>
          <w:rFonts w:ascii="宋体" w:eastAsia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hyperlink w:anchor="_Toc399237289" w:history="1">
        <w:r>
          <w:rPr>
            <w:rStyle w:val="Hyperlink"/>
            <w:rFonts w:ascii="宋体" w:hAnsi="宋体" w:cs="宋体" w:hint="eastAsia"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七、对策拟定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1</w:t>
        </w:r>
      </w:hyperlink>
      <w:r>
        <w:rPr>
          <w:rFonts w:ascii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>
      <w:pPr>
        <w:pStyle w:val="TOC1"/>
        <w:spacing w:line="400" w:lineRule="exact"/>
        <w:rPr>
          <w:rFonts w:ascii="宋体" w:eastAsia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hyperlink w:anchor="_Toc399237290" w:history="1">
        <w:r>
          <w:rPr>
            <w:rStyle w:val="Hyperlink"/>
            <w:rFonts w:ascii="宋体" w:hAnsi="宋体" w:cs="宋体" w:hint="eastAsia"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八、对策实施与检讨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1</w:t>
        </w:r>
      </w:hyperlink>
      <w:r>
        <w:rPr>
          <w:rFonts w:ascii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>
      <w:pPr>
        <w:pStyle w:val="TOC1"/>
        <w:spacing w:line="400" w:lineRule="exact"/>
        <w:rPr>
          <w:rFonts w:ascii="宋体" w:eastAsia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hyperlink w:anchor="_Toc399237294" w:history="1">
        <w:r>
          <w:rPr>
            <w:rStyle w:val="Hyperlink"/>
            <w:rFonts w:ascii="宋体" w:hAnsi="宋体" w:cs="宋体" w:hint="eastAsia"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九、效果确认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1</w:t>
        </w:r>
      </w:hyperlink>
      <w:r>
        <w:rPr>
          <w:rFonts w:ascii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9</w:t>
      </w:r>
    </w:p>
    <w:p>
      <w:pPr>
        <w:pStyle w:val="TOC2"/>
        <w:tabs>
          <w:tab w:val="clear" w:pos="1470"/>
        </w:tabs>
        <w:spacing w:line="400" w:lineRule="exact"/>
        <w:rPr>
          <w:rFonts w:ascii="宋体" w:eastAsia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hyperlink w:anchor="_Toc399237295" w:history="1">
        <w:r>
          <w:rPr>
            <w:rStyle w:val="Hyperlink"/>
            <w:rFonts w:ascii="宋体" w:hAnsi="宋体" w:cs="仿宋_GB2312" w:hint="eastAsia"/>
            <w:bCs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（一）有形成果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1</w:t>
        </w:r>
      </w:hyperlink>
      <w:r>
        <w:rPr>
          <w:rFonts w:ascii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9</w:t>
      </w:r>
    </w:p>
    <w:p>
      <w:pPr>
        <w:pStyle w:val="TOC2"/>
        <w:spacing w:line="400" w:lineRule="exact"/>
        <w:rPr>
          <w:rFonts w:ascii="宋体" w:eastAsia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hyperlink w:anchor="_Toc399237296" w:history="1">
        <w:r>
          <w:rPr>
            <w:rStyle w:val="Hyperlink"/>
            <w:rFonts w:ascii="宋体" w:hAnsi="宋体" w:cs="仿宋_GB2312" w:hint="eastAsia"/>
            <w:bCs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（二）无形成果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2</w:t>
        </w:r>
      </w:hyperlink>
      <w:r>
        <w:rPr>
          <w:rFonts w:ascii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pStyle w:val="TOC1"/>
        <w:spacing w:line="400" w:lineRule="exact"/>
        <w:rPr>
          <w:rFonts w:ascii="宋体" w:eastAsia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hyperlink w:anchor="_Toc399237294" w:history="1">
        <w:r>
          <w:rPr>
            <w:rStyle w:val="Hyperlink"/>
            <w:rFonts w:ascii="宋体" w:hAnsi="宋体" w:cs="宋体" w:hint="eastAsia"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十、标准化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2</w:t>
        </w:r>
      </w:hyperlink>
      <w:r>
        <w:rPr>
          <w:rFonts w:ascii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pStyle w:val="TOC1"/>
        <w:spacing w:line="400" w:lineRule="exact"/>
        <w:rPr>
          <w:rFonts w:ascii="宋体" w:eastAsia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hyperlink w:anchor="_Toc399237294" w:history="1">
        <w:r>
          <w:rPr>
            <w:rStyle w:val="Hyperlink"/>
            <w:rFonts w:ascii="宋体" w:hAnsi="宋体" w:cs="宋体" w:hint="eastAsia"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十一、检讨与改进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2</w:t>
        </w:r>
      </w:hyperlink>
      <w:r>
        <w:rPr>
          <w:rFonts w:ascii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pStyle w:val="TOC1"/>
        <w:spacing w:line="400" w:lineRule="exact"/>
        <w:rPr>
          <w:rFonts w:ascii="宋体" w:eastAsia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hyperlink w:anchor="_Toc399237294" w:history="1">
        <w:r>
          <w:rPr>
            <w:rStyle w:val="Hyperlink"/>
            <w:rFonts w:ascii="宋体" w:hAnsi="宋体" w:cs="宋体" w:hint="eastAsia"/>
            <w:color w:val="000000" w:themeColor="text1"/>
            <w:sz w:val="28"/>
            <w:szCs w:val="28"/>
            <w:u w:val="none"/>
            <w14:textFill>
              <w14:solidFill>
                <w14:schemeClr w14:val="tx1"/>
              </w14:solidFill>
            </w14:textFill>
          </w:rPr>
          <w:t>十二、下期活动主题</w:t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w:tab/>
        </w:r>
        <w:r>
          <w:rPr>
            <w:rFonts w:ascii="宋体" w:hAnsi="宋体" w:cs="仿宋_GB2312" w:hint="eastAsia"/>
            <w:color w:val="000000" w:themeColor="text1"/>
            <w:sz w:val="28"/>
            <w:szCs w:val="28"/>
            <w:lang w:val="en-US" w:eastAsia="zh-CN"/>
            <w14:textFill>
              <w14:solidFill>
                <w14:schemeClr w14:val="tx1"/>
              </w14:solidFill>
            </w14:textFill>
          </w:rPr>
          <w:t>2</w:t>
        </w:r>
      </w:hyperlink>
      <w:r>
        <w:rPr>
          <w:rFonts w:ascii="宋体" w:hAnsi="宋体" w:cs="仿宋_GB2312"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sectPr>
          <w:headerReference w:type="default" r:id="rId12"/>
          <w:footerReference w:type="even" r:id="rId13"/>
          <w:footerReference w:type="default" r:id="rId14"/>
          <w:type w:val="nextPage"/>
          <w:pgSz w:w="12242" w:h="15842"/>
          <w:pgMar w:top="1440" w:right="1797" w:bottom="1440" w:left="1797" w:header="720" w:footer="720" w:gutter="0"/>
          <w:pgNumType w:start="3"/>
          <w:cols w:num="1" w:space="720"/>
          <w:titlePg w:val="0"/>
          <w:docGrid w:linePitch="326" w:charSpace="0"/>
        </w:sectPr>
      </w:pPr>
    </w:p>
    <w:p>
      <w:pPr>
        <w:shd w:val="pct10" w:color="auto" w:fill="FFFFFF"/>
        <w:jc w:val="center"/>
        <w:outlineLvl w:val="0"/>
        <w:rPr>
          <w:rFonts w:ascii="宋体" w:hAnsi="宋体"/>
          <w:b/>
          <w:sz w:val="40"/>
        </w:rPr>
      </w:pPr>
      <w:r>
        <w:rPr>
          <w:rFonts w:ascii="宋体" w:hAnsi="宋体" w:hint="eastAsia"/>
          <w:b/>
          <w:sz w:val="40"/>
        </w:rPr>
        <w:t>一、圈的介绍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（一）圈的组成</w:t>
      </w:r>
    </w:p>
    <w:tbl>
      <w:tblPr>
        <w:tblStyle w:val="TableNormal"/>
        <w:tblW w:w="886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950"/>
        <w:gridCol w:w="10"/>
        <w:gridCol w:w="1080"/>
        <w:gridCol w:w="720"/>
        <w:gridCol w:w="600"/>
        <w:gridCol w:w="360"/>
        <w:gridCol w:w="1080"/>
        <w:gridCol w:w="960"/>
        <w:gridCol w:w="2400"/>
      </w:tblGrid>
      <w:tr>
        <w:tblPrEx>
          <w:tblW w:w="8868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/>
        </w:trPr>
        <w:tc>
          <w:tcPr>
            <w:tcW w:w="1658" w:type="dxa"/>
            <w:gridSpan w:val="2"/>
            <w:vAlign w:val="center"/>
          </w:tcPr>
          <w:p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圈名</w:t>
            </w:r>
          </w:p>
        </w:tc>
        <w:tc>
          <w:tcPr>
            <w:tcW w:w="2410" w:type="dxa"/>
            <w:gridSpan w:val="4"/>
            <w:vAlign w:val="center"/>
          </w:tcPr>
          <w:p>
            <w:pPr>
              <w:snapToGrid w:val="0"/>
              <w:rPr>
                <w:rFonts w:ascii="宋体" w:hAnsi="宋体" w:hint="default"/>
              </w:rPr>
            </w:pPr>
            <w:r>
              <w:rPr>
                <w:rFonts w:ascii="宋体" w:hAnsi="宋体" w:hint="eastAsia"/>
                <w:lang w:val="en-US" w:eastAsia="zh-CN"/>
              </w:rPr>
              <w:t>携手圈</w:t>
            </w:r>
          </w:p>
        </w:tc>
        <w:tc>
          <w:tcPr>
            <w:tcW w:w="2400" w:type="dxa"/>
            <w:gridSpan w:val="3"/>
            <w:vAlign w:val="center"/>
          </w:tcPr>
          <w:p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成立日期</w:t>
            </w:r>
          </w:p>
        </w:tc>
        <w:tc>
          <w:tcPr>
            <w:tcW w:w="2400" w:type="dxa"/>
            <w:vAlign w:val="center"/>
          </w:tcPr>
          <w:p>
            <w:pPr>
              <w:snapToGrid w:val="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2022.</w:t>
            </w:r>
            <w:r>
              <w:rPr>
                <w:rFonts w:ascii="宋体" w:hAnsi="宋体" w:hint="eastAsia"/>
                <w:lang w:val="en-US" w:eastAsia="zh-CN"/>
              </w:rPr>
              <w:t>3</w:t>
            </w:r>
            <w:r>
              <w:rPr>
                <w:rFonts w:ascii="宋体" w:hAnsi="宋体" w:hint="eastAsia"/>
              </w:rPr>
              <w:t>.</w:t>
            </w:r>
            <w:r>
              <w:rPr>
                <w:rFonts w:ascii="宋体" w:hAnsi="宋体" w:hint="eastAsia"/>
                <w:lang w:val="en-US" w:eastAsia="zh-CN"/>
              </w:rPr>
              <w:t>1</w:t>
            </w:r>
          </w:p>
        </w:tc>
      </w:tr>
      <w:tr>
        <w:tblPrEx>
          <w:tblW w:w="886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/>
        </w:trPr>
        <w:tc>
          <w:tcPr>
            <w:tcW w:w="1658" w:type="dxa"/>
            <w:gridSpan w:val="2"/>
            <w:vAlign w:val="center"/>
          </w:tcPr>
          <w:p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注册编码</w:t>
            </w:r>
          </w:p>
        </w:tc>
        <w:tc>
          <w:tcPr>
            <w:tcW w:w="2410" w:type="dxa"/>
            <w:gridSpan w:val="4"/>
            <w:vAlign w:val="center"/>
          </w:tcPr>
          <w:p>
            <w:pPr>
              <w:snapToGrid w:val="0"/>
              <w:rPr>
                <w:rFonts w:ascii="宋体" w:hAnsi="宋体"/>
              </w:rPr>
            </w:pPr>
          </w:p>
        </w:tc>
        <w:tc>
          <w:tcPr>
            <w:tcW w:w="2400" w:type="dxa"/>
            <w:gridSpan w:val="3"/>
            <w:vAlign w:val="center"/>
          </w:tcPr>
          <w:p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部门/科室/护理单元</w:t>
            </w:r>
          </w:p>
        </w:tc>
        <w:tc>
          <w:tcPr>
            <w:tcW w:w="2400" w:type="dxa"/>
            <w:vAlign w:val="center"/>
          </w:tcPr>
          <w:p>
            <w:pPr>
              <w:snapToGrid w:val="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lang w:val="en-US" w:eastAsia="zh-CN"/>
              </w:rPr>
              <w:t>骨关节科</w:t>
            </w:r>
          </w:p>
        </w:tc>
      </w:tr>
      <w:tr>
        <w:tblPrEx>
          <w:tblW w:w="886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/>
        </w:trPr>
        <w:tc>
          <w:tcPr>
            <w:tcW w:w="1658" w:type="dxa"/>
            <w:gridSpan w:val="2"/>
            <w:vAlign w:val="center"/>
          </w:tcPr>
          <w:p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成员人数</w:t>
            </w:r>
          </w:p>
        </w:tc>
        <w:tc>
          <w:tcPr>
            <w:tcW w:w="2410" w:type="dxa"/>
            <w:gridSpan w:val="4"/>
            <w:vAlign w:val="center"/>
          </w:tcPr>
          <w:p>
            <w:pPr>
              <w:snapToGrid w:val="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lang w:val="en-US" w:eastAsia="zh-CN"/>
              </w:rPr>
              <w:t>7</w:t>
            </w:r>
          </w:p>
        </w:tc>
        <w:tc>
          <w:tcPr>
            <w:tcW w:w="2400" w:type="dxa"/>
            <w:gridSpan w:val="3"/>
            <w:vAlign w:val="center"/>
          </w:tcPr>
          <w:p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平均年龄</w:t>
            </w:r>
          </w:p>
        </w:tc>
        <w:tc>
          <w:tcPr>
            <w:tcW w:w="2400" w:type="dxa"/>
            <w:vAlign w:val="center"/>
          </w:tcPr>
          <w:p>
            <w:pPr>
              <w:snapToGrid w:val="0"/>
              <w:rPr>
                <w:rFonts w:ascii="宋体" w:hAnsi="宋体"/>
              </w:rPr>
            </w:pPr>
          </w:p>
        </w:tc>
      </w:tr>
      <w:tr>
        <w:tblPrEx>
          <w:tblW w:w="886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/>
        </w:trPr>
        <w:tc>
          <w:tcPr>
            <w:tcW w:w="1658" w:type="dxa"/>
            <w:gridSpan w:val="2"/>
            <w:vAlign w:val="center"/>
          </w:tcPr>
          <w:p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圈长</w:t>
            </w:r>
          </w:p>
        </w:tc>
        <w:tc>
          <w:tcPr>
            <w:tcW w:w="2410" w:type="dxa"/>
            <w:gridSpan w:val="4"/>
            <w:vAlign w:val="center"/>
          </w:tcPr>
          <w:p>
            <w:pPr>
              <w:widowControl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color w:val="000000"/>
                <w:sz w:val="20"/>
                <w:szCs w:val="20"/>
              </w:rPr>
              <w:t>杨琼</w:t>
            </w:r>
          </w:p>
        </w:tc>
        <w:tc>
          <w:tcPr>
            <w:tcW w:w="2400" w:type="dxa"/>
            <w:gridSpan w:val="3"/>
            <w:vAlign w:val="center"/>
          </w:tcPr>
          <w:p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辅导员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rPr>
                <w:rFonts w:ascii="等线" w:eastAsia="等线" w:hAnsi="等线" w:hint="eastAsia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  <w:lang w:val="en-US" w:eastAsia="zh-CN"/>
              </w:rPr>
              <w:t>卢芳</w:t>
            </w:r>
          </w:p>
        </w:tc>
      </w:tr>
      <w:tr>
        <w:tblPrEx>
          <w:tblW w:w="886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/>
        </w:trPr>
        <w:tc>
          <w:tcPr>
            <w:tcW w:w="1658" w:type="dxa"/>
            <w:gridSpan w:val="2"/>
            <w:vAlign w:val="center"/>
          </w:tcPr>
          <w:p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联系人</w:t>
            </w:r>
          </w:p>
        </w:tc>
        <w:tc>
          <w:tcPr>
            <w:tcW w:w="2410" w:type="dxa"/>
            <w:gridSpan w:val="4"/>
            <w:vAlign w:val="center"/>
          </w:tcPr>
          <w:p>
            <w:pPr>
              <w:snapToGrid w:val="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lang w:val="en-US" w:eastAsia="zh-CN"/>
              </w:rPr>
              <w:t>邹慧敏</w:t>
            </w:r>
          </w:p>
        </w:tc>
        <w:tc>
          <w:tcPr>
            <w:tcW w:w="2400" w:type="dxa"/>
            <w:gridSpan w:val="3"/>
            <w:vAlign w:val="center"/>
          </w:tcPr>
          <w:p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2400" w:type="dxa"/>
            <w:vAlign w:val="center"/>
          </w:tcPr>
          <w:p>
            <w:pPr>
              <w:snapToGrid w:val="0"/>
              <w:rPr>
                <w:rFonts w:ascii="宋体" w:hAnsi="宋体"/>
              </w:rPr>
            </w:pPr>
          </w:p>
        </w:tc>
      </w:tr>
      <w:tr>
        <w:tblPrEx>
          <w:tblW w:w="886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/>
        </w:trPr>
        <w:tc>
          <w:tcPr>
            <w:tcW w:w="8868" w:type="dxa"/>
            <w:gridSpan w:val="10"/>
            <w:vAlign w:val="center"/>
          </w:tcPr>
          <w:p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活动时间：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2022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  <w:lang w:val="en-US" w:eastAsia="zh-CN"/>
              </w:rPr>
              <w:t>3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月至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2022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  <w:lang w:val="en-US" w:eastAsia="zh-CN"/>
              </w:rPr>
              <w:t>9</w:t>
            </w:r>
            <w:r>
              <w:rPr>
                <w:rFonts w:ascii="宋体" w:hAnsi="宋体" w:hint="eastAsia"/>
              </w:rPr>
              <w:t>月</w:t>
            </w:r>
          </w:p>
        </w:tc>
      </w:tr>
      <w:tr>
        <w:tblPrEx>
          <w:tblW w:w="886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/>
        </w:trPr>
        <w:tc>
          <w:tcPr>
            <w:tcW w:w="8868" w:type="dxa"/>
            <w:gridSpan w:val="10"/>
            <w:vAlign w:val="center"/>
          </w:tcPr>
          <w:p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圈员资料</w:t>
            </w:r>
          </w:p>
        </w:tc>
      </w:tr>
      <w:tr>
        <w:tblPrEx>
          <w:tblW w:w="886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/>
        </w:trPr>
        <w:tc>
          <w:tcPr>
            <w:tcW w:w="708" w:type="dxa"/>
            <w:vAlign w:val="center"/>
          </w:tcPr>
          <w:p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科室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  <w:lang w:val="en-US" w:eastAsia="zh-CN"/>
              </w:rPr>
              <w:t>资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学历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lang w:val="en-US" w:eastAsia="zh-CN"/>
              </w:rPr>
              <w:t>职责</w:t>
            </w:r>
          </w:p>
        </w:tc>
        <w:tc>
          <w:tcPr>
            <w:tcW w:w="33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工作分工</w:t>
            </w:r>
          </w:p>
        </w:tc>
      </w:tr>
      <w:tr>
        <w:tblPrEx>
          <w:tblW w:w="886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/>
        </w:trPr>
        <w:tc>
          <w:tcPr>
            <w:tcW w:w="708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960" w:type="dxa"/>
            <w:gridSpan w:val="2"/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color w:val="000000"/>
                <w:sz w:val="20"/>
                <w:szCs w:val="20"/>
              </w:rPr>
              <w:t>杨琼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等线" w:eastAsia="等线" w:hAnsi="等线" w:hint="eastAsia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  <w:lang w:val="en-US" w:eastAsia="zh-CN"/>
              </w:rPr>
              <w:t>骨关节科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hint="default"/>
              </w:rPr>
            </w:pPr>
            <w:r>
              <w:rPr>
                <w:rFonts w:ascii="宋体" w:hAnsi="宋体" w:hint="eastAsia"/>
                <w:lang w:val="en-US" w:eastAsia="zh-CN"/>
              </w:rPr>
              <w:t>20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本科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等线" w:eastAsia="等线" w:hAnsi="等线" w:hint="eastAsia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  <w:lang w:val="en-US" w:eastAsia="zh-CN"/>
              </w:rPr>
              <w:t>圈长</w:t>
            </w:r>
          </w:p>
        </w:tc>
        <w:tc>
          <w:tcPr>
            <w:tcW w:w="33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lang w:val="en-US" w:eastAsia="zh-CN"/>
              </w:rPr>
              <w:t>整体统筹</w:t>
            </w:r>
            <w:r>
              <w:rPr>
                <w:rFonts w:ascii="宋体" w:hAnsi="宋体"/>
              </w:rPr>
              <w:tab/>
            </w:r>
          </w:p>
        </w:tc>
      </w:tr>
      <w:tr>
        <w:tblPrEx>
          <w:tblW w:w="886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/>
        </w:trPr>
        <w:tc>
          <w:tcPr>
            <w:tcW w:w="708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color w:val="000000"/>
                <w:sz w:val="20"/>
                <w:szCs w:val="20"/>
              </w:rPr>
              <w:t>邹慧敏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等线" w:eastAsia="等线" w:hAnsi="等线" w:hint="eastAsia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  <w:lang w:val="en-US" w:eastAsia="zh-CN"/>
              </w:rPr>
              <w:t>骨关节科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lang w:val="en-US" w:eastAsia="zh-CN"/>
              </w:rPr>
              <w:t>2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本科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等线" w:eastAsia="等线" w:hAnsi="等线" w:hint="eastAsia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  <w:lang w:val="en-US" w:eastAsia="zh-CN"/>
              </w:rPr>
              <w:t>圈秘</w:t>
            </w:r>
          </w:p>
        </w:tc>
        <w:tc>
          <w:tcPr>
            <w:tcW w:w="33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分配任务、组织圈会等</w:t>
            </w:r>
          </w:p>
        </w:tc>
      </w:tr>
      <w:tr>
        <w:tblPrEx>
          <w:tblW w:w="886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/>
        </w:trPr>
        <w:tc>
          <w:tcPr>
            <w:tcW w:w="708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color w:val="000000"/>
                <w:sz w:val="20"/>
                <w:szCs w:val="20"/>
              </w:rPr>
              <w:t>程丽君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  <w:lang w:val="en-US" w:eastAsia="zh-CN"/>
              </w:rPr>
              <w:t>骨关节科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hint="default"/>
              </w:rPr>
            </w:pPr>
            <w:r>
              <w:rPr>
                <w:rFonts w:ascii="宋体" w:hAnsi="宋体" w:hint="eastAsia"/>
                <w:lang w:val="en-US" w:eastAsia="zh-CN"/>
              </w:rPr>
              <w:t>11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本科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等线" w:eastAsia="等线" w:hAnsi="等线" w:hint="eastAsia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  <w:lang w:val="en-US" w:eastAsia="zh-CN"/>
              </w:rPr>
              <w:t>圈员</w:t>
            </w:r>
          </w:p>
        </w:tc>
        <w:tc>
          <w:tcPr>
            <w:tcW w:w="33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活动计划拟定、数据收集</w:t>
            </w:r>
          </w:p>
        </w:tc>
      </w:tr>
      <w:tr>
        <w:tblPrEx>
          <w:tblW w:w="886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/>
        </w:trPr>
        <w:tc>
          <w:tcPr>
            <w:tcW w:w="708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/>
                <w:color w:val="000000"/>
                <w:sz w:val="20"/>
                <w:szCs w:val="20"/>
              </w:rPr>
              <w:t>施文杰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  <w:lang w:val="en-US" w:eastAsia="zh-CN"/>
              </w:rPr>
              <w:t>骨关节科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lang w:val="en-US" w:eastAsia="zh-CN"/>
              </w:rPr>
              <w:t>7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本科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等线" w:eastAsia="等线" w:hAnsi="等线" w:hint="eastAsia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  <w:lang w:val="en-US" w:eastAsia="zh-CN"/>
              </w:rPr>
              <w:t>圈员</w:t>
            </w:r>
          </w:p>
        </w:tc>
        <w:tc>
          <w:tcPr>
            <w:tcW w:w="33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原因分析、数据收集等</w:t>
            </w:r>
          </w:p>
        </w:tc>
      </w:tr>
      <w:tr>
        <w:tblPrEx>
          <w:tblW w:w="886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/>
        </w:trPr>
        <w:tc>
          <w:tcPr>
            <w:tcW w:w="708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sz w:val="20"/>
                <w:szCs w:val="20"/>
              </w:rPr>
              <w:t>李天琪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  <w:lang w:val="en-US" w:eastAsia="zh-CN"/>
              </w:rPr>
              <w:t>骨关节科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lang w:val="en-US" w:eastAsia="zh-CN"/>
              </w:rPr>
              <w:t>3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本科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  <w:lang w:val="en-US" w:eastAsia="zh-CN"/>
              </w:rPr>
              <w:t>圈员</w:t>
            </w:r>
          </w:p>
        </w:tc>
        <w:tc>
          <w:tcPr>
            <w:tcW w:w="3360" w:type="dxa"/>
            <w:gridSpan w:val="2"/>
            <w:vAlign w:val="center"/>
          </w:tcPr>
          <w:p>
            <w:pPr>
              <w:ind w:firstLine="210" w:firstLineChars="10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现状把握、对策审核等</w:t>
            </w:r>
          </w:p>
        </w:tc>
      </w:tr>
      <w:tr>
        <w:tblPrEx>
          <w:tblW w:w="886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/>
        </w:trPr>
        <w:tc>
          <w:tcPr>
            <w:tcW w:w="708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sz w:val="20"/>
                <w:szCs w:val="20"/>
              </w:rPr>
              <w:t>贺俐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  <w:lang w:val="en-US" w:eastAsia="zh-CN"/>
              </w:rPr>
              <w:t>骨关节科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hint="default"/>
              </w:rPr>
            </w:pPr>
            <w:r>
              <w:rPr>
                <w:rFonts w:ascii="宋体" w:hAnsi="宋体" w:hint="eastAsia"/>
                <w:lang w:val="en-US" w:eastAsia="zh-CN"/>
              </w:rPr>
              <w:t>4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本科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  <w:lang w:val="en-US" w:eastAsia="zh-CN"/>
              </w:rPr>
              <w:t>圈员</w:t>
            </w:r>
          </w:p>
        </w:tc>
        <w:tc>
          <w:tcPr>
            <w:tcW w:w="33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圈会记录</w:t>
            </w:r>
          </w:p>
        </w:tc>
      </w:tr>
      <w:tr>
        <w:tblPrEx>
          <w:tblW w:w="8868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/>
        </w:trPr>
        <w:tc>
          <w:tcPr>
            <w:tcW w:w="708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color w:val="000000"/>
                <w:sz w:val="20"/>
                <w:szCs w:val="20"/>
              </w:rPr>
              <w:t>袁雅平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  <w:lang w:val="en-US" w:eastAsia="zh-CN"/>
              </w:rPr>
              <w:t>骨关节科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lang w:val="en-US" w:eastAsia="zh-CN"/>
              </w:rPr>
              <w:t>2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本科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  <w:lang w:val="en-US" w:eastAsia="zh-CN"/>
              </w:rPr>
              <w:t>圈员</w:t>
            </w:r>
          </w:p>
        </w:tc>
        <w:tc>
          <w:tcPr>
            <w:tcW w:w="33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圈会记录</w:t>
            </w:r>
          </w:p>
        </w:tc>
      </w:tr>
    </w:tbl>
    <w:p>
      <w:pPr>
        <w:snapToGrid w:val="0"/>
        <w:jc w:val="center"/>
        <w:rPr>
          <w:rFonts w:ascii="宋体" w:hAnsi="宋体"/>
          <w:b/>
        </w:rPr>
      </w:pPr>
    </w:p>
    <w:p>
      <w:pPr>
        <w:snapToGrid w:val="0"/>
        <w:jc w:val="center"/>
        <w:rPr>
          <w:rFonts w:ascii="宋体" w:hAnsi="宋体"/>
          <w:b/>
        </w:rPr>
      </w:pPr>
      <w:r>
        <w:rPr>
          <w:rFonts w:ascii="宋体" w:hAnsi="宋体" w:hint="eastAsia"/>
          <w:b/>
        </w:rPr>
        <w:t>圈能力改善值计算表</w:t>
      </w:r>
    </w:p>
    <w:tbl>
      <w:tblPr>
        <w:tblStyle w:val="TableNormal"/>
        <w:tblW w:w="88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873"/>
        <w:gridCol w:w="720"/>
        <w:gridCol w:w="600"/>
        <w:gridCol w:w="720"/>
        <w:gridCol w:w="720"/>
        <w:gridCol w:w="600"/>
        <w:gridCol w:w="600"/>
        <w:gridCol w:w="720"/>
        <w:gridCol w:w="541"/>
        <w:gridCol w:w="677"/>
        <w:gridCol w:w="677"/>
        <w:gridCol w:w="741"/>
      </w:tblGrid>
      <w:tr>
        <w:tblPrEx>
          <w:tblW w:w="8864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873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204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工作年资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（A）</w:t>
            </w:r>
          </w:p>
        </w:tc>
        <w:tc>
          <w:tcPr>
            <w:tcW w:w="192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学历改善能力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（B）</w:t>
            </w:r>
          </w:p>
        </w:tc>
        <w:tc>
          <w:tcPr>
            <w:tcW w:w="193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主题改善能力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（C）</w:t>
            </w:r>
          </w:p>
        </w:tc>
        <w:tc>
          <w:tcPr>
            <w:tcW w:w="677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品管圈经验值</w:t>
            </w:r>
          </w:p>
        </w:tc>
        <w:tc>
          <w:tcPr>
            <w:tcW w:w="74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改善能力</w:t>
            </w:r>
          </w:p>
        </w:tc>
      </w:tr>
      <w:tr>
        <w:tblPrEx>
          <w:tblW w:w="886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  <w:vMerge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873" w:type="dxa"/>
            <w:vMerge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工作年限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能力值</w:t>
            </w:r>
          </w:p>
        </w:tc>
        <w:tc>
          <w:tcPr>
            <w:tcW w:w="720" w:type="dxa"/>
            <w:vAlign w:val="center"/>
          </w:tcPr>
          <w:p>
            <w:pPr>
              <w:ind w:left="105" w:hanging="105" w:hangingChars="5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换</w:t>
            </w:r>
          </w:p>
          <w:p>
            <w:pPr>
              <w:ind w:left="105" w:hanging="105" w:hangingChars="5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算</w:t>
            </w:r>
          </w:p>
          <w:p>
            <w:pPr>
              <w:ind w:left="105" w:hanging="105" w:hangingChars="5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后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能力值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换算后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改善能力</w:t>
            </w:r>
          </w:p>
        </w:tc>
        <w:tc>
          <w:tcPr>
            <w:tcW w:w="5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能力值</w:t>
            </w:r>
          </w:p>
        </w:tc>
        <w:tc>
          <w:tcPr>
            <w:tcW w:w="677" w:type="dxa"/>
            <w:vAlign w:val="center"/>
          </w:tcPr>
          <w:p>
            <w:pPr>
              <w:ind w:left="105" w:hanging="105" w:hangingChars="5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换</w:t>
            </w:r>
          </w:p>
          <w:p>
            <w:pPr>
              <w:ind w:left="105" w:hanging="105" w:hangingChars="5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算</w:t>
            </w:r>
          </w:p>
          <w:p>
            <w:pPr>
              <w:ind w:left="105" w:hanging="105" w:hangingChars="5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后</w:t>
            </w:r>
          </w:p>
        </w:tc>
        <w:tc>
          <w:tcPr>
            <w:tcW w:w="677" w:type="dxa"/>
            <w:vMerge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41" w:type="dxa"/>
            <w:vMerge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W w:w="886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873" w:type="dxa"/>
            <w:vAlign w:val="top"/>
          </w:tcPr>
          <w:p>
            <w:pPr>
              <w:pStyle w:val="NormalWeb"/>
              <w:keepNext w:val="0"/>
              <w:keepLines w:val="0"/>
              <w:widowControl/>
              <w:suppressLineNumbers w:val="0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color w:val="000000"/>
                <w:sz w:val="20"/>
                <w:szCs w:val="20"/>
              </w:rPr>
              <w:t>杨琼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lang w:val="en-US" w:eastAsia="zh-CN"/>
              </w:rPr>
              <w:t>20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96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38.4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本科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60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18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5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100</w:t>
            </w:r>
          </w:p>
        </w:tc>
        <w:tc>
          <w:tcPr>
            <w:tcW w:w="67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30</w:t>
            </w:r>
          </w:p>
        </w:tc>
        <w:tc>
          <w:tcPr>
            <w:tcW w:w="67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91.4</w:t>
            </w:r>
          </w:p>
        </w:tc>
      </w:tr>
      <w:tr>
        <w:tblPrEx>
          <w:tblW w:w="886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873" w:type="dxa"/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color w:val="000000"/>
                <w:sz w:val="20"/>
                <w:szCs w:val="20"/>
              </w:rPr>
              <w:t>邹慧敏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lang w:val="en-US" w:eastAsia="zh-CN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86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34.4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本科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60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18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5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100</w:t>
            </w:r>
          </w:p>
        </w:tc>
        <w:tc>
          <w:tcPr>
            <w:tcW w:w="67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30</w:t>
            </w:r>
          </w:p>
        </w:tc>
        <w:tc>
          <w:tcPr>
            <w:tcW w:w="67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87.4</w:t>
            </w:r>
          </w:p>
        </w:tc>
      </w:tr>
      <w:tr>
        <w:tblPrEx>
          <w:tblW w:w="886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873" w:type="dxa"/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color w:val="000000"/>
                <w:sz w:val="20"/>
                <w:szCs w:val="20"/>
              </w:rPr>
              <w:t>程丽君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lang w:val="en-US" w:eastAsia="zh-CN"/>
              </w:rPr>
              <w:t>11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100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40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本科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60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18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5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100</w:t>
            </w:r>
          </w:p>
        </w:tc>
        <w:tc>
          <w:tcPr>
            <w:tcW w:w="67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30</w:t>
            </w:r>
          </w:p>
        </w:tc>
        <w:tc>
          <w:tcPr>
            <w:tcW w:w="67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93</w:t>
            </w:r>
          </w:p>
        </w:tc>
      </w:tr>
    </w:tbl>
    <w:p>
      <w:pPr>
        <w:sectPr>
          <w:headerReference w:type="default" r:id="rId15"/>
          <w:footerReference w:type="even" r:id="rId16"/>
          <w:footerReference w:type="default" r:id="rId17"/>
          <w:type w:val="nextPage"/>
          <w:pgSz w:w="12242" w:h="15842"/>
          <w:pgMar w:top="1440" w:right="1797" w:bottom="1440" w:left="1797" w:header="720" w:footer="720" w:gutter="0"/>
          <w:pgNumType w:start="4"/>
          <w:cols w:num="1" w:space="720"/>
          <w:titlePg w:val="0"/>
          <w:docGrid w:linePitch="326" w:charSpace="0"/>
        </w:sectPr>
      </w:pPr>
    </w:p>
    <w:tbl>
      <w:tblPr>
        <w:tblStyle w:val="TableNormal"/>
        <w:tblW w:w="88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873"/>
        <w:gridCol w:w="720"/>
        <w:gridCol w:w="600"/>
        <w:gridCol w:w="720"/>
        <w:gridCol w:w="720"/>
        <w:gridCol w:w="600"/>
        <w:gridCol w:w="600"/>
        <w:gridCol w:w="720"/>
        <w:gridCol w:w="541"/>
        <w:gridCol w:w="677"/>
        <w:gridCol w:w="677"/>
        <w:gridCol w:w="741"/>
      </w:tblGrid>
      <w:tr>
        <w:tblPrEx>
          <w:tblW w:w="8864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873" w:type="dxa"/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/>
                <w:color w:val="000000"/>
                <w:sz w:val="20"/>
                <w:szCs w:val="20"/>
              </w:rPr>
              <w:t>施文杰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lang w:val="en-US" w:eastAsia="zh-CN"/>
              </w:rPr>
              <w:t>7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86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34.4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本科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60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18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5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100</w:t>
            </w:r>
          </w:p>
        </w:tc>
        <w:tc>
          <w:tcPr>
            <w:tcW w:w="67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30</w:t>
            </w:r>
          </w:p>
        </w:tc>
        <w:tc>
          <w:tcPr>
            <w:tcW w:w="677" w:type="dxa"/>
            <w:vAlign w:val="center"/>
          </w:tcPr>
          <w:p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lang w:val="en-US" w:eastAsia="zh-CN"/>
              </w:rPr>
              <w:t>3</w:t>
            </w:r>
          </w:p>
        </w:tc>
        <w:tc>
          <w:tcPr>
            <w:tcW w:w="741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87.4</w:t>
            </w:r>
          </w:p>
        </w:tc>
      </w:tr>
      <w:tr>
        <w:tblPrEx>
          <w:tblW w:w="886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873" w:type="dxa"/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sz w:val="20"/>
                <w:szCs w:val="20"/>
              </w:rPr>
              <w:t>李天琪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lang w:val="en-US" w:eastAsia="zh-CN"/>
              </w:rPr>
              <w:t>3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72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28.8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本科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40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5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80</w:t>
            </w:r>
          </w:p>
        </w:tc>
        <w:tc>
          <w:tcPr>
            <w:tcW w:w="67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24</w:t>
            </w:r>
          </w:p>
        </w:tc>
        <w:tc>
          <w:tcPr>
            <w:tcW w:w="677" w:type="dxa"/>
            <w:vAlign w:val="center"/>
          </w:tcPr>
          <w:p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lang w:val="en-US" w:eastAsia="zh-CN"/>
              </w:rPr>
              <w:t>3</w:t>
            </w: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69.8</w:t>
            </w:r>
          </w:p>
        </w:tc>
      </w:tr>
      <w:tr>
        <w:tblPrEx>
          <w:tblW w:w="886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873" w:type="dxa"/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sz w:val="20"/>
                <w:szCs w:val="20"/>
              </w:rPr>
              <w:t>贺俐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lang w:val="en-US" w:eastAsia="zh-CN"/>
              </w:rPr>
              <w:t>4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100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40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本科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5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80</w:t>
            </w:r>
          </w:p>
        </w:tc>
        <w:tc>
          <w:tcPr>
            <w:tcW w:w="67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24</w:t>
            </w:r>
          </w:p>
        </w:tc>
        <w:tc>
          <w:tcPr>
            <w:tcW w:w="677" w:type="dxa"/>
            <w:vAlign w:val="center"/>
          </w:tcPr>
          <w:p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lang w:val="en-US" w:eastAsia="zh-CN"/>
              </w:rPr>
              <w:t>3</w:t>
            </w: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75</w:t>
            </w:r>
          </w:p>
        </w:tc>
      </w:tr>
      <w:tr>
        <w:tblPrEx>
          <w:tblW w:w="886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873" w:type="dxa"/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rPr>
                <w:rFonts w:ascii="等线" w:eastAsia="等线" w:hAnsi="等线"/>
                <w:color w:val="000000"/>
                <w:sz w:val="22"/>
                <w:szCs w:val="22"/>
              </w:rPr>
            </w:pPr>
            <w:r>
              <w:rPr>
                <w:color w:val="000000"/>
                <w:sz w:val="20"/>
                <w:szCs w:val="20"/>
              </w:rPr>
              <w:t>袁雅平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lang w:val="en-US" w:eastAsia="zh-CN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100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40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本科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</w:t>
            </w:r>
          </w:p>
        </w:tc>
        <w:tc>
          <w:tcPr>
            <w:tcW w:w="6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5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80</w:t>
            </w:r>
          </w:p>
        </w:tc>
        <w:tc>
          <w:tcPr>
            <w:tcW w:w="67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24</w:t>
            </w:r>
          </w:p>
        </w:tc>
        <w:tc>
          <w:tcPr>
            <w:tcW w:w="677" w:type="dxa"/>
            <w:vAlign w:val="center"/>
          </w:tcPr>
          <w:p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  <w:lang w:val="en-US" w:eastAsia="zh-CN"/>
              </w:rPr>
              <w:t>3</w:t>
            </w:r>
          </w:p>
        </w:tc>
        <w:tc>
          <w:tcPr>
            <w:tcW w:w="7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75</w:t>
            </w:r>
          </w:p>
        </w:tc>
      </w:tr>
      <w:tr>
        <w:tblPrEx>
          <w:tblW w:w="886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/>
          <w:jc w:val="center"/>
        </w:trPr>
        <w:tc>
          <w:tcPr>
            <w:tcW w:w="675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平均</w:t>
            </w:r>
          </w:p>
        </w:tc>
        <w:tc>
          <w:tcPr>
            <w:tcW w:w="8189" w:type="dxa"/>
            <w:gridSpan w:val="12"/>
            <w:vAlign w:val="center"/>
          </w:tcPr>
          <w:p>
            <w:pPr>
              <w:rPr>
                <w:rFonts w:ascii="宋体" w:hAnsi="宋体" w:hint="default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圈能力：</w:t>
            </w:r>
            <w:r>
              <w:rPr>
                <w:rFonts w:ascii="宋体" w:hAnsi="宋体" w:hint="eastAsia"/>
                <w:szCs w:val="21"/>
                <w:lang w:val="en-US" w:eastAsia="zh-CN"/>
              </w:rPr>
              <w:t>77%</w:t>
            </w:r>
          </w:p>
        </w:tc>
      </w:tr>
    </w:tbl>
    <w:p>
      <w:pPr>
        <w:rPr>
          <w:rFonts w:ascii="宋体" w:hAnsi="宋体"/>
          <w:b/>
          <w:sz w:val="28"/>
          <w:szCs w:val="28"/>
        </w:rPr>
      </w:pPr>
    </w:p>
    <w:p>
      <w:pPr>
        <w:jc w:val="center"/>
        <w:rPr>
          <w:rFonts w:ascii="宋体" w:hAnsi="宋体"/>
          <w:b/>
        </w:rPr>
      </w:pPr>
      <w:r>
        <w:rPr>
          <w:rFonts w:ascii="宋体" w:hAnsi="宋体" w:hint="eastAsia"/>
          <w:b/>
        </w:rPr>
        <w:t>评分标准</w:t>
      </w:r>
    </w:p>
    <w:tbl>
      <w:tblPr>
        <w:tblStyle w:val="TableNormal"/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1218"/>
        <w:gridCol w:w="1218"/>
        <w:gridCol w:w="1485"/>
      </w:tblGrid>
      <w:tr>
        <w:tblPrEx>
          <w:tblW w:w="0" w:type="auto"/>
          <w:tblInd w:w="-34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评分标准</w:t>
            </w:r>
          </w:p>
        </w:tc>
        <w:tc>
          <w:tcPr>
            <w:tcW w:w="1217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工作年资（A）</w:t>
            </w:r>
          </w:p>
        </w:tc>
        <w:tc>
          <w:tcPr>
            <w:tcW w:w="1217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学历改善能力（B）</w:t>
            </w:r>
          </w:p>
        </w:tc>
        <w:tc>
          <w:tcPr>
            <w:tcW w:w="1217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主题改善能力（C）</w:t>
            </w:r>
          </w:p>
        </w:tc>
        <w:tc>
          <w:tcPr>
            <w:tcW w:w="1218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合计</w:t>
            </w:r>
          </w:p>
        </w:tc>
        <w:tc>
          <w:tcPr>
            <w:tcW w:w="1218" w:type="dxa"/>
            <w:vMerge w:val="restart"/>
          </w:tcPr>
          <w:p>
            <w:pPr>
              <w:jc w:val="center"/>
              <w:rPr>
                <w:rFonts w:ascii="宋体" w:hAnsi="宋体"/>
                <w:sz w:val="96"/>
                <w:szCs w:val="96"/>
              </w:rPr>
            </w:pPr>
            <w:r>
              <w:rPr>
                <w:rFonts w:ascii="宋体" w:hAnsi="宋体"/>
                <w:sz w:val="96"/>
                <w:szCs w:val="96"/>
              </w:rPr>
              <w:t>+</w:t>
            </w:r>
          </w:p>
        </w:tc>
        <w:tc>
          <w:tcPr>
            <w:tcW w:w="148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品管圈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经验值</w:t>
            </w:r>
          </w:p>
        </w:tc>
      </w:tr>
      <w:tr>
        <w:tblPrEx>
          <w:tblW w:w="0" w:type="auto"/>
          <w:tblInd w:w="-34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>
            <w:pPr>
              <w:ind w:firstLine="210" w:firstLineChars="10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权重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40%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30%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30%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100%</w:t>
            </w:r>
          </w:p>
        </w:tc>
        <w:tc>
          <w:tcPr>
            <w:tcW w:w="1218" w:type="dxa"/>
            <w:vMerge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485" w:type="dxa"/>
            <w:vMerge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</w:tr>
    </w:tbl>
    <w:p>
      <w:pPr>
        <w:jc w:val="center"/>
        <w:rPr>
          <w:rFonts w:ascii="宋体" w:hAnsi="宋体"/>
          <w:b/>
        </w:r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516"/>
        <w:gridCol w:w="155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工作年资</w:t>
            </w:r>
          </w:p>
        </w:tc>
        <w:tc>
          <w:tcPr>
            <w:tcW w:w="142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能力值</w:t>
            </w:r>
          </w:p>
        </w:tc>
        <w:tc>
          <w:tcPr>
            <w:tcW w:w="142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学历</w:t>
            </w:r>
          </w:p>
        </w:tc>
        <w:tc>
          <w:tcPr>
            <w:tcW w:w="1420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能力值</w:t>
            </w:r>
          </w:p>
        </w:tc>
        <w:tc>
          <w:tcPr>
            <w:tcW w:w="1516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主题改善能力</w:t>
            </w: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能力值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0-5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60-70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中专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20</w:t>
            </w:r>
          </w:p>
        </w:tc>
        <w:tc>
          <w:tcPr>
            <w:tcW w:w="1516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20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6-10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72-80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大专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40</w:t>
            </w:r>
          </w:p>
        </w:tc>
        <w:tc>
          <w:tcPr>
            <w:tcW w:w="1516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2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11-15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82-90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本科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60</w:t>
            </w:r>
          </w:p>
        </w:tc>
        <w:tc>
          <w:tcPr>
            <w:tcW w:w="1516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3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60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16-20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92-100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硕士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80</w:t>
            </w:r>
          </w:p>
        </w:tc>
        <w:tc>
          <w:tcPr>
            <w:tcW w:w="1516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80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20</w:t>
            </w:r>
            <w:r>
              <w:rPr>
                <w:rFonts w:ascii="宋体" w:hAnsi="宋体" w:hint="eastAsia"/>
              </w:rPr>
              <w:t>以上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100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博士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100</w:t>
            </w:r>
          </w:p>
        </w:tc>
        <w:tc>
          <w:tcPr>
            <w:tcW w:w="1516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5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100</w:t>
            </w:r>
          </w:p>
        </w:tc>
      </w:tr>
    </w:tbl>
    <w:p>
      <w:pPr>
        <w:rPr>
          <w:rFonts w:ascii="宋体" w:hAnsi="宋体"/>
          <w:b/>
          <w:szCs w:val="21"/>
        </w:rPr>
      </w:pPr>
      <w:r>
        <w:rPr>
          <w:rFonts w:ascii="宋体" w:hAnsi="宋体" w:hint="eastAsia"/>
          <w:szCs w:val="21"/>
        </w:rPr>
        <w:t>备注</w:t>
      </w:r>
      <w:r>
        <w:rPr>
          <w:rFonts w:ascii="宋体" w:hAnsi="宋体" w:hint="eastAsia"/>
          <w:b/>
          <w:szCs w:val="21"/>
        </w:rPr>
        <w:t>：工作年资基础分为</w:t>
      </w:r>
      <w:r>
        <w:rPr>
          <w:rFonts w:ascii="宋体" w:hAnsi="宋体"/>
          <w:b/>
          <w:szCs w:val="21"/>
        </w:rPr>
        <w:t>60</w:t>
      </w:r>
      <w:r>
        <w:rPr>
          <w:rFonts w:ascii="宋体" w:hAnsi="宋体" w:hint="eastAsia"/>
          <w:b/>
          <w:szCs w:val="21"/>
        </w:rPr>
        <w:t>分，每年</w:t>
      </w:r>
      <w:r>
        <w:rPr>
          <w:rFonts w:ascii="宋体" w:hAnsi="宋体"/>
          <w:b/>
          <w:szCs w:val="21"/>
        </w:rPr>
        <w:t>2</w:t>
      </w:r>
      <w:r>
        <w:rPr>
          <w:rFonts w:ascii="宋体" w:hAnsi="宋体" w:hint="eastAsia"/>
          <w:b/>
          <w:szCs w:val="21"/>
        </w:rPr>
        <w:t>分，</w:t>
      </w:r>
      <w:r>
        <w:rPr>
          <w:rFonts w:ascii="宋体" w:hAnsi="宋体"/>
          <w:b/>
          <w:szCs w:val="21"/>
        </w:rPr>
        <w:t xml:space="preserve"> &gt;20</w:t>
      </w:r>
      <w:r>
        <w:rPr>
          <w:rFonts w:ascii="宋体" w:hAnsi="宋体" w:hint="eastAsia"/>
          <w:b/>
          <w:szCs w:val="21"/>
        </w:rPr>
        <w:t>年均为</w:t>
      </w:r>
      <w:r>
        <w:rPr>
          <w:rFonts w:ascii="宋体" w:hAnsi="宋体"/>
          <w:b/>
          <w:szCs w:val="21"/>
        </w:rPr>
        <w:t>100</w:t>
      </w:r>
      <w:r>
        <w:rPr>
          <w:rFonts w:ascii="宋体" w:hAnsi="宋体" w:hint="eastAsia"/>
          <w:b/>
          <w:szCs w:val="21"/>
        </w:rPr>
        <w:t>分。</w:t>
      </w:r>
    </w:p>
    <w:p>
      <w:pPr>
        <w:rPr>
          <w:rFonts w:ascii="宋体" w:hAnsi="宋体"/>
          <w:b/>
        </w:rPr>
      </w:pPr>
      <w:r>
        <w:rPr>
          <w:rFonts w:ascii="宋体" w:hAnsi="宋体" w:hint="eastAsia"/>
        </w:rPr>
        <w:t>计算公式</w:t>
      </w:r>
      <w:r>
        <w:rPr>
          <w:rFonts w:ascii="宋体" w:hAnsi="宋体" w:hint="eastAsia"/>
          <w:b/>
        </w:rPr>
        <w:t>：改善能力值</w:t>
      </w:r>
      <w:r>
        <w:rPr>
          <w:rFonts w:ascii="宋体" w:hAnsi="宋体"/>
          <w:b/>
        </w:rPr>
        <w:t>=A*a+B*b+C*c+</w:t>
      </w:r>
      <w:r>
        <w:rPr>
          <w:rFonts w:ascii="宋体" w:hAnsi="宋体" w:hint="eastAsia"/>
          <w:b/>
        </w:rPr>
        <w:t>品管圈经验值</w:t>
      </w:r>
    </w:p>
    <w:p>
      <w:pPr>
        <w:rPr>
          <w:rFonts w:ascii="宋体" w:hAnsi="宋体"/>
          <w:b/>
        </w:rPr>
      </w:pPr>
      <w:r>
        <w:rPr>
          <w:rFonts w:ascii="宋体" w:hAnsi="宋体" w:hint="eastAsia"/>
        </w:rPr>
        <w:t>品管圈经验值</w:t>
      </w:r>
      <w:r>
        <w:rPr>
          <w:rFonts w:ascii="宋体" w:hAnsi="宋体" w:hint="eastAsia"/>
          <w:b/>
        </w:rPr>
        <w:t>：有参加品管圈</w:t>
      </w:r>
      <w:r>
        <w:rPr>
          <w:rFonts w:ascii="宋体" w:hAnsi="宋体"/>
          <w:b/>
        </w:rPr>
        <w:t>1</w:t>
      </w:r>
      <w:r>
        <w:rPr>
          <w:rFonts w:ascii="宋体" w:hAnsi="宋体" w:hint="eastAsia"/>
          <w:b/>
        </w:rPr>
        <w:t>次者在能力值基础上加</w:t>
      </w:r>
      <w:r>
        <w:rPr>
          <w:rFonts w:ascii="宋体" w:hAnsi="宋体"/>
          <w:b/>
        </w:rPr>
        <w:t>5</w:t>
      </w:r>
      <w:r>
        <w:rPr>
          <w:rFonts w:ascii="宋体" w:hAnsi="宋体" w:hint="eastAsia"/>
          <w:b/>
        </w:rPr>
        <w:t>分，以此类推，最高不超过</w:t>
      </w:r>
      <w:r>
        <w:rPr>
          <w:rFonts w:ascii="宋体" w:hAnsi="宋体"/>
          <w:b/>
        </w:rPr>
        <w:t>20</w:t>
      </w:r>
      <w:r>
        <w:rPr>
          <w:rFonts w:ascii="宋体" w:hAnsi="宋体" w:hint="eastAsia"/>
          <w:b/>
        </w:rPr>
        <w:t>分。</w:t>
      </w:r>
    </w:p>
    <w:p>
      <w:pPr>
        <w:rPr>
          <w:rFonts w:ascii="宋体" w:hAnsi="宋体"/>
        </w:rPr>
      </w:pPr>
    </w:p>
    <w:p>
      <w:pPr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（二）圈名意义：</w:t>
      </w:r>
    </w:p>
    <w:p>
      <w:pPr>
        <w:rPr>
          <w:rFonts w:ascii="宋体" w:hAnsi="宋体"/>
          <w:sz w:val="28"/>
        </w:rPr>
      </w:pPr>
    </w:p>
    <w:p>
      <w:pPr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“携手圈”整体寓意护理理念“全体护理人员齐心协力，携手改善并減少皮下淤青的发生率”</w:t>
      </w:r>
    </w:p>
    <w:p>
      <w:pPr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（三）圈徽意义：</w:t>
      </w:r>
    </w:p>
    <w:p>
      <w:pPr>
        <w:rPr>
          <w:rFonts w:ascii="宋体" w:hAnsi="宋体"/>
          <w:b/>
          <w:sz w:val="28"/>
          <w:szCs w:val="28"/>
        </w:rPr>
      </w:pPr>
    </w:p>
    <w:p>
      <w:pPr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红色的心：红红色的心代表护理人员的齐心协力，和对患者的热心：</w:t>
      </w:r>
    </w:p>
    <w:p>
      <w:pPr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红色的手：代表按压力度，注射手法。</w:t>
      </w:r>
    </w:p>
    <w:p>
      <w:pPr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蓝色的注射器：代表日常使用的器具：</w:t>
      </w:r>
    </w:p>
    <w:p>
      <w:pPr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内圈代表皮下脂肪，腹部；外网代表界限；</w:t>
      </w:r>
    </w:p>
    <w:p>
      <w:pPr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两图之间的红色代表需要改善的内容、环境、流色血液的颜色</w:t>
      </w:r>
    </w:p>
    <w:p>
      <w:pPr>
        <w:rPr>
          <w:rFonts w:ascii="宋体" w:hAnsi="宋体"/>
          <w:sz w:val="28"/>
        </w:rPr>
      </w:pPr>
    </w:p>
    <w:p>
      <w:pPr>
        <w:rPr>
          <w:rFonts w:ascii="宋体" w:hAnsi="宋体"/>
          <w:b/>
          <w:sz w:val="28"/>
          <w:szCs w:val="28"/>
        </w:rPr>
      </w:pPr>
    </w:p>
    <w:p>
      <w:pPr>
        <w:rPr>
          <w:rFonts w:ascii="宋体" w:hAnsi="宋体"/>
          <w:b/>
          <w:sz w:val="28"/>
          <w:szCs w:val="28"/>
        </w:rPr>
      </w:pPr>
    </w:p>
    <w:p>
      <w:pPr>
        <w:rPr>
          <w:rFonts w:ascii="宋体" w:hAnsi="宋体"/>
          <w:b/>
          <w:sz w:val="28"/>
          <w:szCs w:val="28"/>
        </w:rPr>
      </w:pPr>
    </w:p>
    <w:p>
      <w:pPr>
        <w:rPr>
          <w:rFonts w:ascii="宋体" w:hAnsi="宋体"/>
          <w:b/>
          <w:sz w:val="28"/>
          <w:szCs w:val="28"/>
        </w:rPr>
        <w:sectPr>
          <w:headerReference w:type="default" r:id="rId18"/>
          <w:footerReference w:type="even" r:id="rId19"/>
          <w:footerReference w:type="default" r:id="rId20"/>
          <w:type w:val="nextPage"/>
          <w:pgSz w:w="12242" w:h="15842"/>
          <w:pgMar w:top="1440" w:right="1797" w:bottom="1440" w:left="1797" w:header="720" w:footer="720" w:gutter="0"/>
          <w:pgNumType w:start="5"/>
          <w:cols w:num="1" w:space="720"/>
          <w:titlePg w:val="0"/>
          <w:docGrid w:linePitch="326" w:charSpace="0"/>
        </w:sectPr>
      </w:pPr>
    </w:p>
    <w:p>
      <w:pPr>
        <w:rPr>
          <w:rFonts w:ascii="宋体" w:hAnsi="宋体"/>
          <w:sz w:val="36"/>
        </w:rPr>
      </w:pPr>
    </w:p>
    <w:p>
      <w:pPr>
        <w:shd w:val="pct10" w:color="auto" w:fill="FFFFFF"/>
        <w:jc w:val="center"/>
        <w:outlineLvl w:val="0"/>
        <w:rPr>
          <w:rFonts w:ascii="宋体" w:hAnsi="宋体"/>
          <w:b/>
          <w:sz w:val="40"/>
        </w:rPr>
      </w:pPr>
      <w:r>
        <w:rPr>
          <w:rFonts w:ascii="宋体" w:hAnsi="宋体" w:hint="eastAsia"/>
          <w:b/>
          <w:sz w:val="40"/>
        </w:rPr>
        <w:t>二、主题选定</w:t>
      </w:r>
    </w:p>
    <w:p>
      <w:pPr>
        <w:ind w:left="-357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（一）选题过程</w:t>
      </w:r>
    </w:p>
    <w:p>
      <w:pPr>
        <w:rPr>
          <w:rFonts w:ascii="宋体" w:hAnsi="宋体"/>
          <w:b/>
        </w:rPr>
      </w:pPr>
    </w:p>
    <w:p>
      <w:pPr>
        <w:jc w:val="center"/>
        <w:rPr>
          <w:rFonts w:ascii="宋体" w:hAnsi="宋体" w:hint="eastAsia"/>
          <w:b/>
        </w:rPr>
      </w:pPr>
      <w:r>
        <w:rPr>
          <w:rFonts w:ascii="宋体" w:hAnsi="宋体" w:hint="eastAsia"/>
          <w:b/>
        </w:rPr>
        <w:t>主题评价表</w:t>
      </w:r>
    </w:p>
    <w:p>
      <w:pPr>
        <w:jc w:val="center"/>
        <w:rPr>
          <w:rFonts w:ascii="宋体" w:hAnsi="宋体" w:hint="eastAsia"/>
          <w:b/>
        </w:rPr>
      </w:pP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5358765" cy="2193290"/>
            <wp:effectExtent l="0" t="0" r="635" b="3810"/>
            <wp:docPr id="5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1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58765" cy="2193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注：以531评价法进行主题评价，共</w:t>
      </w:r>
      <w:r>
        <w:rPr>
          <w:rFonts w:ascii="宋体" w:hAnsi="宋体" w:hint="eastAsia"/>
          <w:szCs w:val="21"/>
          <w:u w:val="single"/>
        </w:rPr>
        <w:t>　</w:t>
      </w:r>
      <w:r>
        <w:rPr>
          <w:rFonts w:ascii="宋体" w:hAnsi="宋体" w:hint="eastAsia"/>
          <w:szCs w:val="21"/>
          <w:u w:val="single"/>
          <w:lang w:val="en-US" w:eastAsia="zh-CN"/>
        </w:rPr>
        <w:t>7</w:t>
      </w:r>
      <w:r>
        <w:rPr>
          <w:rFonts w:ascii="宋体" w:hAnsi="宋体" w:hint="eastAsia"/>
          <w:szCs w:val="21"/>
          <w:u w:val="single"/>
        </w:rPr>
        <w:t xml:space="preserve"> </w:t>
      </w:r>
      <w:r>
        <w:rPr>
          <w:rFonts w:ascii="宋体" w:hAnsi="宋体" w:hint="eastAsia"/>
          <w:szCs w:val="21"/>
        </w:rPr>
        <w:t>人参与选题过程；票选分数：</w:t>
      </w: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分最高、</w:t>
      </w: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分普通、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分最低，各评价项目经权重打分换算后，合计出总分，第一顺位为本次活动主题，第二顺位列为下次活动主题。</w:t>
      </w:r>
    </w:p>
    <w:p>
      <w:pPr>
        <w:ind w:left="-360"/>
        <w:rPr>
          <w:rFonts w:ascii="宋体" w:hAnsi="宋体"/>
          <w:b/>
          <w:sz w:val="28"/>
          <w:szCs w:val="28"/>
        </w:rPr>
      </w:pPr>
    </w:p>
    <w:p>
      <w:pPr>
        <w:ind w:left="-360"/>
        <w:rPr>
          <w:rFonts w:ascii="宋体" w:hAnsi="宋体"/>
          <w:sz w:val="28"/>
        </w:rPr>
      </w:pPr>
      <w:r>
        <w:rPr>
          <w:rFonts w:ascii="宋体" w:hAnsi="宋体" w:hint="eastAsia"/>
          <w:b/>
          <w:sz w:val="28"/>
          <w:szCs w:val="28"/>
        </w:rPr>
        <w:t>（二）本次活动主题：</w:t>
      </w:r>
    </w:p>
    <w:p>
      <w:pPr>
        <w:ind w:left="-360"/>
        <w:rPr>
          <w:rFonts w:ascii="宋体" w:hAnsi="宋体"/>
          <w:sz w:val="32"/>
        </w:rPr>
      </w:pPr>
    </w:p>
    <w:p>
      <w:pPr>
        <w:ind w:left="-360"/>
        <w:rPr>
          <w:rFonts w:ascii="宋体" w:hAnsi="宋体"/>
          <w:sz w:val="32"/>
        </w:rPr>
      </w:pPr>
      <w:r>
        <w:rPr>
          <w:rFonts w:ascii="宋体" w:hAnsi="宋体" w:hint="eastAsia"/>
          <w:b/>
          <w:sz w:val="32"/>
          <w:szCs w:val="32"/>
        </w:rPr>
        <w:t>降低置换患者腹部皮下注射低分子肝素淤青发生</w:t>
      </w:r>
    </w:p>
    <w:p>
      <w:pPr>
        <w:ind w:left="-36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（三）名词定义、衡量指标及计算公式：</w:t>
      </w:r>
    </w:p>
    <w:p>
      <w:pPr>
        <w:ind w:left="-3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名词定义：</w:t>
      </w:r>
    </w:p>
    <w:p>
      <w:pPr>
        <w:widowControl/>
        <w:shd w:val="clear" w:color="auto" w:fill="FFFFFF"/>
        <w:jc w:val="left"/>
        <w:rPr>
          <w:rFonts w:ascii="宋体" w:hAnsi="宋体" w:cs="宋体" w:hint="eastAsia"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</w:rPr>
        <w:t>1、 低分子肝素钙：低分子肝素钙是一线抗凝药物，是预防静脉血栓用药的“金标准”。</w:t>
      </w:r>
    </w:p>
    <w:p>
      <w:pPr>
        <w:widowControl/>
        <w:shd w:val="clear" w:color="auto" w:fill="FFFFFF"/>
        <w:jc w:val="left"/>
        <w:rPr>
          <w:rFonts w:ascii="宋体" w:hAnsi="宋体" w:cs="宋体" w:hint="eastAsia"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</w:rPr>
        <w:t>不良反应有：</w:t>
      </w:r>
    </w:p>
    <w:p>
      <w:pPr>
        <w:widowControl/>
        <w:shd w:val="clear" w:color="auto" w:fill="FFFFFF"/>
        <w:jc w:val="left"/>
        <w:rPr>
          <w:rFonts w:ascii="宋体" w:hAnsi="宋体" w:cs="宋体" w:hint="eastAsia"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</w:rPr>
        <w:t>出血</w:t>
      </w:r>
    </w:p>
    <w:p>
      <w:pPr>
        <w:widowControl/>
        <w:shd w:val="clear" w:color="auto" w:fill="FFFFFF"/>
        <w:jc w:val="left"/>
        <w:rPr>
          <w:rFonts w:ascii="宋体" w:hAnsi="宋体" w:cs="宋体" w:hint="eastAsia"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</w:rPr>
        <w:t>过敏反应</w:t>
      </w:r>
    </w:p>
    <w:p>
      <w:pPr>
        <w:widowControl/>
        <w:shd w:val="clear" w:color="auto" w:fill="FFFFFF"/>
        <w:jc w:val="left"/>
        <w:rPr>
          <w:rFonts w:ascii="宋体" w:hAnsi="宋体" w:cs="宋体" w:hint="eastAsia"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</w:rPr>
        <w:t>电解质异常</w:t>
      </w:r>
    </w:p>
    <w:p>
      <w:pPr>
        <w:widowControl/>
        <w:shd w:val="clear" w:color="auto" w:fill="FFFFFF"/>
        <w:jc w:val="left"/>
        <w:rPr>
          <w:rFonts w:ascii="宋体" w:hAnsi="宋体" w:cs="宋体"/>
          <w:color w:val="333333"/>
          <w:kern w:val="0"/>
          <w:sz w:val="28"/>
          <w:szCs w:val="28"/>
        </w:rPr>
      </w:pPr>
    </w:p>
    <w:p>
      <w:pPr>
        <w:widowControl/>
        <w:shd w:val="clear" w:color="auto" w:fill="FFFFFF"/>
        <w:jc w:val="left"/>
        <w:rPr>
          <w:rFonts w:ascii="宋体" w:hAnsi="宋体" w:cs="宋体"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color w:val="333333"/>
          <w:kern w:val="0"/>
          <w:sz w:val="28"/>
          <w:szCs w:val="28"/>
        </w:rPr>
        <w:t>2、皮下出血：皮下出血会造成患者疼痛、恐惧心理，影响皮下注射依从性。因此，注射前应对患者进行综合评估，精准制定个性化治疗方案，规范注射，对皮下出血高危因素的患者进行提前干预，全程护理，减少皮下出血发生率，提高患者就医依从性。；</w:t>
      </w:r>
    </w:p>
    <w:p>
      <w:pPr>
        <w:ind w:left="-360"/>
        <w:rPr>
          <w:rFonts w:ascii="宋体" w:hAnsi="宋体"/>
          <w:sz w:val="28"/>
          <w:szCs w:val="28"/>
        </w:rPr>
        <w:sectPr>
          <w:headerReference w:type="default" r:id="rId22"/>
          <w:footerReference w:type="even" r:id="rId23"/>
          <w:footerReference w:type="default" r:id="rId24"/>
          <w:type w:val="nextPage"/>
          <w:pgSz w:w="12242" w:h="15842"/>
          <w:pgMar w:top="1440" w:right="1797" w:bottom="1440" w:left="1797" w:header="720" w:footer="720" w:gutter="0"/>
          <w:pgNumType w:start="6"/>
          <w:cols w:num="1" w:space="720"/>
          <w:titlePg w:val="0"/>
          <w:docGrid w:linePitch="326" w:charSpace="0"/>
        </w:sectPr>
      </w:pPr>
    </w:p>
    <w:p>
      <w:pPr>
        <w:ind w:left="-3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衡量指标：</w:t>
      </w:r>
    </w:p>
    <w:p>
      <w:pPr>
        <w:ind w:left="-360"/>
        <w:rPr>
          <w:rFonts w:ascii="宋体" w:hAnsi="宋体"/>
          <w:sz w:val="28"/>
          <w:szCs w:val="28"/>
        </w:rPr>
      </w:pPr>
    </w:p>
    <w:p>
      <w:pPr>
        <w:ind w:left="-3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置换患者腹部皮下注射低分子肝素淤青发生率 </w:t>
      </w:r>
    </w:p>
    <w:p>
      <w:pPr>
        <w:ind w:left="-360"/>
        <w:rPr>
          <w:rFonts w:ascii="宋体" w:hAnsi="宋体"/>
          <w:sz w:val="28"/>
          <w:szCs w:val="28"/>
        </w:rPr>
      </w:pPr>
    </w:p>
    <w:p>
      <w:pPr>
        <w:ind w:left="-3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计算公式：</w:t>
      </w:r>
    </w:p>
    <w:p>
      <w:pPr>
        <w:ind w:left="-360"/>
        <w:rPr>
          <w:rFonts w:ascii="宋体" w:hAnsi="宋体"/>
          <w:sz w:val="28"/>
          <w:szCs w:val="28"/>
        </w:rPr>
      </w:pPr>
    </w:p>
    <w:p>
      <w:pPr>
        <w:ind w:left="-3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32"/>
        </w:rPr>
        <w:t>置换患者腹部皮下注射低分子肝素淤青发生率</w:t>
      </w:r>
      <w:r>
        <w:rPr>
          <w:rFonts w:ascii="宋体" w:hAnsi="宋体" w:hint="eastAsia"/>
          <w:sz w:val="28"/>
          <w:szCs w:val="28"/>
        </w:rPr>
        <w:t>=单位时间内发生使用肝素患者皮下出血出血人次数/单位时间内使用肝素患者总人次数</w:t>
      </w:r>
      <w:r>
        <w:rPr>
          <w:rFonts w:ascii="宋体" w:hAnsi="宋体"/>
          <w:sz w:val="28"/>
          <w:szCs w:val="28"/>
        </w:rPr>
        <w:t>X</w:t>
      </w:r>
      <w:r>
        <w:rPr>
          <w:rFonts w:ascii="宋体" w:hAnsi="宋体" w:hint="eastAsia"/>
          <w:sz w:val="28"/>
          <w:szCs w:val="28"/>
        </w:rPr>
        <w:t>100%</w:t>
      </w:r>
    </w:p>
    <w:p>
      <w:pPr>
        <w:ind w:left="-360"/>
        <w:rPr>
          <w:rFonts w:ascii="宋体" w:hAnsi="宋体"/>
          <w:sz w:val="32"/>
        </w:rPr>
      </w:pPr>
    </w:p>
    <w:p>
      <w:pPr>
        <w:ind w:left="-36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（四）选题背景与理由：</w:t>
      </w:r>
    </w:p>
    <w:p>
      <w:pPr>
        <w:ind w:left="-360" w:firstLine="280" w:firstLineChars="100"/>
        <w:rPr>
          <w:rFonts w:ascii="宋体" w:hAnsi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1.</w:t>
      </w:r>
      <w:r>
        <w:rPr>
          <w:rFonts w:ascii="宋体" w:hAnsi="宋体" w:hint="eastAsia"/>
          <w:b/>
          <w:sz w:val="28"/>
          <w:szCs w:val="28"/>
        </w:rPr>
        <w:t xml:space="preserve">选题背景： </w:t>
      </w:r>
    </w:p>
    <w:p>
      <w:pPr>
        <w:ind w:left="-360" w:firstLine="280" w:firstLineChars="100"/>
        <w:rPr>
          <w:rFonts w:ascii="宋体" w:hAnsi="宋体"/>
          <w:b/>
          <w:sz w:val="28"/>
          <w:szCs w:val="28"/>
        </w:rPr>
      </w:pPr>
    </w:p>
    <w:p>
      <w:pPr>
        <w:ind w:left="-360" w:firstLine="280" w:firstLineChars="100"/>
        <w:rPr>
          <w:rFonts w:ascii="宋体" w:hAnsi="宋体" w:hint="eastAsia"/>
          <w:color w:val="333333"/>
          <w:sz w:val="28"/>
          <w:szCs w:val="28"/>
          <w:shd w:val="clear" w:color="auto" w:fill="FFFFFF"/>
        </w:rPr>
      </w:pPr>
      <w:r>
        <w:rPr>
          <w:rFonts w:ascii="宋体" w:hAnsi="宋体" w:hint="eastAsia"/>
          <w:color w:val="333333"/>
          <w:sz w:val="28"/>
          <w:szCs w:val="28"/>
          <w:shd w:val="clear" w:color="auto" w:fill="FFFFFF"/>
        </w:rPr>
        <w:t>临床上,低分子肝素主要用于治疗不稳定心绞痛和心肌梗死等疾病,具有生物利用度高、抗栓作用强、出血不良反应少等优点,临床上的应用越来越广泛;但在临床应用过程中,注射部位皮下出血仍是其常见的不良反应。因此,皮下注射抗凝剂,减少皮下出血的发生越来越引起重视。临床上使用的抗凝剂主要是低分子肝素,分为低分子肝素钙和低分子肝素钠;有预装注射器型和需要注射器抽吸型。目前,本院使用的抗凝剂有预装注射器型的速碧林(低分子肝素钙)、克赛(低分子肝素钠)和需要用1 mL注射器抽吸型的齐征(低分子量肝素钠)。为减少患者皮下注射抗凝剂引发的皮下出血不良反应,皮下注射抗凝剂患者实施流程管理</w:t>
      </w:r>
    </w:p>
    <w:p>
      <w:pPr>
        <w:ind w:left="-360" w:firstLine="280" w:firstLineChars="100"/>
        <w:rPr>
          <w:rFonts w:ascii="宋体" w:hAnsi="宋体"/>
          <w:b/>
          <w:sz w:val="28"/>
          <w:szCs w:val="28"/>
        </w:rPr>
      </w:pPr>
    </w:p>
    <w:p>
      <w:pPr>
        <w:ind w:left="-360" w:firstLine="280" w:firstLineChars="100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2.选题理由：</w:t>
      </w:r>
    </w:p>
    <w:p>
      <w:pPr>
        <w:ind w:left="-360"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对医院而言：提高患者满意 增加社会效应 提升医院品牌</w:t>
      </w:r>
    </w:p>
    <w:p>
      <w:pPr>
        <w:ind w:left="-360"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对患者而言：减轻患者痛苦 减少住院时间 降低患者费用</w:t>
      </w:r>
    </w:p>
    <w:p>
      <w:pPr>
        <w:ind w:left="-360"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对科室而言：提高工作效率 优化工作流程 增加团队凝聚</w:t>
      </w:r>
    </w:p>
    <w:p>
      <w:pPr>
        <w:ind w:left="-360"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对个人而言：提高护理质量 减轻工作压力 提升自我成就</w:t>
      </w:r>
    </w:p>
    <w:p>
      <w:pPr>
        <w:ind w:left="-360"/>
        <w:rPr>
          <w:rFonts w:ascii="宋体" w:hAnsi="宋体"/>
          <w:b/>
          <w:sz w:val="28"/>
          <w:szCs w:val="28"/>
        </w:rPr>
      </w:pPr>
    </w:p>
    <w:p>
      <w:pPr>
        <w:ind w:left="-360"/>
        <w:rPr>
          <w:rFonts w:ascii="宋体" w:hAnsi="宋体"/>
          <w:b/>
          <w:sz w:val="28"/>
          <w:szCs w:val="28"/>
        </w:rPr>
      </w:pPr>
    </w:p>
    <w:p>
      <w:pPr>
        <w:ind w:left="-360"/>
        <w:jc w:val="center"/>
        <w:rPr>
          <w:rFonts w:ascii="宋体" w:hAnsi="宋体"/>
          <w:sz w:val="36"/>
          <w:shd w:val="pct10" w:color="auto" w:fill="FFFFFF"/>
        </w:rPr>
      </w:pPr>
    </w:p>
    <w:p>
      <w:pPr>
        <w:ind w:left="-360"/>
        <w:jc w:val="center"/>
        <w:rPr>
          <w:rFonts w:ascii="宋体" w:hAnsi="宋体"/>
          <w:sz w:val="36"/>
          <w:shd w:val="pct10" w:color="auto" w:fill="FFFFFF"/>
        </w:rPr>
      </w:pPr>
    </w:p>
    <w:p>
      <w:pPr>
        <w:ind w:left="-360"/>
        <w:jc w:val="center"/>
        <w:rPr>
          <w:rFonts w:ascii="宋体" w:hAnsi="宋体"/>
          <w:sz w:val="36"/>
          <w:shd w:val="pct10" w:color="auto" w:fill="FFFFFF"/>
        </w:rPr>
      </w:pPr>
    </w:p>
    <w:p>
      <w:pPr>
        <w:ind w:left="-360"/>
        <w:jc w:val="center"/>
        <w:rPr>
          <w:rFonts w:ascii="宋体" w:hAnsi="宋体"/>
          <w:sz w:val="36"/>
          <w:shd w:val="pct10" w:color="auto" w:fill="FFFFFF"/>
        </w:rPr>
        <w:sectPr>
          <w:headerReference w:type="default" r:id="rId25"/>
          <w:footerReference w:type="even" r:id="rId26"/>
          <w:footerReference w:type="default" r:id="rId27"/>
          <w:type w:val="nextPage"/>
          <w:pgSz w:w="12242" w:h="15842"/>
          <w:pgMar w:top="1440" w:right="1797" w:bottom="1440" w:left="1797" w:header="720" w:footer="720" w:gutter="0"/>
          <w:pgNumType w:start="7"/>
          <w:cols w:num="1" w:space="720"/>
          <w:titlePg w:val="0"/>
          <w:docGrid w:linePitch="326" w:charSpace="0"/>
        </w:sectPr>
      </w:pPr>
    </w:p>
    <w:p>
      <w:pPr>
        <w:ind w:left="-360"/>
        <w:jc w:val="center"/>
        <w:rPr>
          <w:rFonts w:ascii="宋体" w:hAnsi="宋体"/>
          <w:sz w:val="36"/>
          <w:shd w:val="pct10" w:color="auto" w:fill="FFFFFF"/>
        </w:rPr>
      </w:pPr>
    </w:p>
    <w:p>
      <w:pPr>
        <w:ind w:left="-360"/>
        <w:jc w:val="center"/>
        <w:rPr>
          <w:rFonts w:ascii="宋体" w:hAnsi="宋体"/>
          <w:sz w:val="36"/>
          <w:shd w:val="pct10" w:color="auto" w:fill="FFFFFF"/>
        </w:rPr>
      </w:pPr>
    </w:p>
    <w:p>
      <w:pPr>
        <w:ind w:left="-360"/>
        <w:jc w:val="center"/>
        <w:rPr>
          <w:rFonts w:ascii="宋体" w:hAnsi="宋体"/>
          <w:sz w:val="36"/>
          <w:shd w:val="pct10" w:color="auto" w:fill="FFFFFF"/>
        </w:rPr>
      </w:pPr>
    </w:p>
    <w:p>
      <w:pPr>
        <w:ind w:left="-360"/>
        <w:jc w:val="center"/>
        <w:rPr>
          <w:rFonts w:ascii="宋体" w:hAnsi="宋体"/>
          <w:sz w:val="36"/>
          <w:shd w:val="pct10" w:color="auto" w:fill="FFFFFF"/>
        </w:rPr>
      </w:pPr>
    </w:p>
    <w:p>
      <w:pPr>
        <w:ind w:left="-360"/>
        <w:jc w:val="center"/>
        <w:rPr>
          <w:rFonts w:ascii="宋体" w:hAnsi="宋体"/>
          <w:sz w:val="36"/>
          <w:shd w:val="pct10" w:color="auto" w:fill="FFFFFF"/>
        </w:rPr>
      </w:pPr>
    </w:p>
    <w:p>
      <w:pPr>
        <w:ind w:left="-360"/>
        <w:jc w:val="center"/>
        <w:rPr>
          <w:rFonts w:ascii="宋体" w:hAnsi="宋体"/>
          <w:sz w:val="36"/>
          <w:shd w:val="pct10" w:color="auto" w:fill="FFFFFF"/>
        </w:rPr>
      </w:pPr>
    </w:p>
    <w:p>
      <w:pPr>
        <w:ind w:left="-360"/>
        <w:jc w:val="center"/>
        <w:rPr>
          <w:rFonts w:ascii="宋体" w:hAnsi="宋体"/>
          <w:sz w:val="36"/>
          <w:shd w:val="pct10" w:color="auto" w:fill="FFFFFF"/>
        </w:rPr>
      </w:pPr>
    </w:p>
    <w:p>
      <w:pPr>
        <w:ind w:left="-360"/>
        <w:jc w:val="center"/>
        <w:rPr>
          <w:rFonts w:ascii="宋体" w:hAnsi="宋体"/>
          <w:sz w:val="36"/>
          <w:shd w:val="pct10" w:color="auto" w:fill="FFFFFF"/>
        </w:rPr>
      </w:pPr>
    </w:p>
    <w:p>
      <w:pPr>
        <w:ind w:left="-360"/>
        <w:jc w:val="center"/>
        <w:rPr>
          <w:rFonts w:ascii="宋体" w:hAnsi="宋体"/>
          <w:sz w:val="36"/>
          <w:shd w:val="pct10" w:color="auto" w:fill="FFFFFF"/>
        </w:rPr>
      </w:pPr>
    </w:p>
    <w:p>
      <w:pPr>
        <w:rPr>
          <w:rFonts w:ascii="宋体" w:hAnsi="宋体"/>
          <w:sz w:val="36"/>
          <w:shd w:val="pct10" w:color="auto" w:fill="FFFFFF"/>
        </w:rPr>
      </w:pPr>
    </w:p>
    <w:p>
      <w:pPr>
        <w:rPr>
          <w:rFonts w:ascii="宋体" w:hAnsi="宋体"/>
          <w:sz w:val="40"/>
        </w:rPr>
      </w:pPr>
    </w:p>
    <w:p>
      <w:pPr>
        <w:shd w:val="pct10" w:color="auto" w:fill="FFFFFF"/>
        <w:jc w:val="center"/>
        <w:outlineLvl w:val="0"/>
        <w:rPr>
          <w:rFonts w:ascii="宋体" w:hAnsi="宋体"/>
          <w:b/>
          <w:sz w:val="40"/>
        </w:rPr>
      </w:pPr>
      <w:r>
        <w:rPr>
          <w:rFonts w:ascii="宋体" w:hAnsi="宋体" w:hint="eastAsia"/>
          <w:b/>
          <w:sz w:val="40"/>
        </w:rPr>
        <w:t>三、活动计划拟定</w:t>
      </w:r>
    </w:p>
    <w:p>
      <w:pPr>
        <w:rPr>
          <w:rFonts w:ascii="宋体" w:hAnsi="宋体"/>
          <w:sz w:val="40"/>
        </w:rPr>
      </w:pP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Cs w:val="21"/>
        </w:rPr>
      </w:pP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5695950" cy="2968625"/>
            <wp:effectExtent l="0" t="0" r="6350" b="3175"/>
            <wp:docPr id="5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2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296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 w:val="32"/>
        </w:rPr>
        <w:sectPr>
          <w:headerReference w:type="default" r:id="rId29"/>
          <w:footerReference w:type="even" r:id="rId30"/>
          <w:footerReference w:type="default" r:id="rId31"/>
          <w:type w:val="nextPage"/>
          <w:pgSz w:w="12242" w:h="15842"/>
          <w:pgMar w:top="1440" w:right="1797" w:bottom="1440" w:left="1797" w:header="720" w:footer="720" w:gutter="0"/>
          <w:pgNumType w:start="8"/>
          <w:cols w:num="1" w:space="720"/>
          <w:titlePg w:val="0"/>
          <w:docGrid w:linePitch="326" w:charSpace="0"/>
        </w:sectPr>
      </w:pP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 w:val="32"/>
        </w:rPr>
      </w:pPr>
    </w:p>
    <w:p>
      <w:pPr>
        <w:shd w:val="pct10" w:color="auto" w:fill="FFFFFF"/>
        <w:jc w:val="center"/>
        <w:outlineLvl w:val="0"/>
        <w:rPr>
          <w:rFonts w:ascii="宋体" w:hAnsi="宋体"/>
          <w:b/>
          <w:sz w:val="40"/>
        </w:rPr>
      </w:pPr>
      <w:r>
        <w:rPr>
          <w:rFonts w:ascii="宋体" w:hAnsi="宋体" w:hint="eastAsia"/>
          <w:b/>
          <w:sz w:val="40"/>
        </w:rPr>
        <w:t>四、现状把握</w:t>
      </w:r>
    </w:p>
    <w:p>
      <w:pPr>
        <w:rPr>
          <w:rFonts w:ascii="宋体" w:hAnsi="宋体"/>
          <w:b/>
          <w:bCs/>
          <w:sz w:val="28"/>
          <w:szCs w:val="28"/>
        </w:rPr>
      </w:pPr>
    </w:p>
    <w:p>
      <w:pPr>
        <w:rPr>
          <w:rFonts w:ascii="宋体" w:hAnsi="宋体"/>
          <w:b/>
          <w:bCs/>
          <w:sz w:val="28"/>
          <w:szCs w:val="28"/>
        </w:rPr>
      </w:pPr>
    </w:p>
    <w:p>
      <w:pPr>
        <w:rPr>
          <w:rFonts w:ascii="宋体" w:hAnsi="宋体"/>
          <w:b/>
          <w:bCs/>
          <w:sz w:val="28"/>
          <w:szCs w:val="28"/>
        </w:rPr>
      </w:pPr>
    </w:p>
    <w:p>
      <w:pPr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（</w:t>
      </w:r>
      <w:r>
        <w:rPr>
          <w:rFonts w:ascii="宋体" w:hAnsi="宋体" w:hint="eastAsia"/>
          <w:b/>
          <w:bCs/>
          <w:sz w:val="28"/>
          <w:szCs w:val="28"/>
          <w:lang w:val="en-US" w:eastAsia="zh-CN"/>
        </w:rPr>
        <w:t>一</w:t>
      </w:r>
      <w:r>
        <w:rPr>
          <w:rFonts w:ascii="宋体" w:hAnsi="宋体" w:hint="eastAsia"/>
          <w:b/>
          <w:bCs/>
          <w:sz w:val="28"/>
          <w:szCs w:val="28"/>
        </w:rPr>
        <w:t>）查检表</w:t>
      </w:r>
    </w:p>
    <w:p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1.查检表空白表</w:t>
      </w:r>
    </w:p>
    <w:p>
      <w:pPr>
        <w:rPr>
          <w:rFonts w:ascii="宋体" w:hAnsi="宋体" w:cs="宋体" w:hint="eastAsia"/>
          <w:sz w:val="28"/>
          <w:szCs w:val="28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8"/>
          <w:szCs w:val="28"/>
        </w:rPr>
      </w:pP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6030595" cy="2361565"/>
            <wp:effectExtent l="0" t="0" r="1905" b="63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rcRect b="1770"/>
                    <a:stretch>
                      <a:fillRect/>
                    </a:stretch>
                  </pic:blipFill>
                  <pic:spPr>
                    <a:xfrm>
                      <a:off x="0" y="0"/>
                      <a:ext cx="6030595" cy="2361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  <w:sectPr>
          <w:headerReference w:type="default" r:id="rId33"/>
          <w:footerReference w:type="even" r:id="rId34"/>
          <w:footerReference w:type="default" r:id="rId35"/>
          <w:type w:val="nextPage"/>
          <w:pgSz w:w="12242" w:h="15842"/>
          <w:pgMar w:top="1440" w:right="1797" w:bottom="1440" w:left="1797" w:header="720" w:footer="720" w:gutter="0"/>
          <w:pgNumType w:start="9"/>
          <w:cols w:num="1" w:space="720"/>
          <w:titlePg w:val="0"/>
          <w:docGrid w:linePitch="326" w:charSpace="0"/>
        </w:sect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2.查检表原始记录</w:t>
      </w: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5926455" cy="2248535"/>
            <wp:effectExtent l="0" t="0" r="4445" b="12065"/>
            <wp:docPr id="7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926455" cy="2248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3.现状调查的数据（即查检数据汇总）</w:t>
      </w: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/>
          <w:b/>
          <w:sz w:val="28"/>
          <w:szCs w:val="28"/>
        </w:rPr>
        <w:sectPr>
          <w:headerReference w:type="default" r:id="rId37"/>
          <w:footerReference w:type="even" r:id="rId38"/>
          <w:footerReference w:type="default" r:id="rId39"/>
          <w:type w:val="nextPage"/>
          <w:pgSz w:w="12242" w:h="15842"/>
          <w:pgMar w:top="1440" w:right="1797" w:bottom="1440" w:left="1797" w:header="720" w:footer="720" w:gutter="0"/>
          <w:pgNumType w:start="10"/>
          <w:cols w:num="1" w:space="720"/>
          <w:titlePg w:val="0"/>
          <w:docGrid w:linePitch="326" w:charSpace="0"/>
        </w:sectPr>
      </w:pP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5052695" cy="2226310"/>
            <wp:effectExtent l="0" t="0" r="1905" b="8890"/>
            <wp:docPr id="4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052695" cy="2226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/>
          <w:b/>
          <w:sz w:val="28"/>
          <w:szCs w:val="28"/>
        </w:rPr>
      </w:pPr>
    </w:p>
    <w:p>
      <w:pPr>
        <w:rPr>
          <w:rFonts w:ascii="宋体" w:hAnsi="宋体"/>
          <w:b/>
          <w:sz w:val="28"/>
          <w:szCs w:val="28"/>
        </w:rPr>
      </w:pPr>
    </w:p>
    <w:p>
      <w:pPr>
        <w:rPr>
          <w:rFonts w:ascii="宋体" w:hAnsi="宋体"/>
          <w:sz w:val="32"/>
        </w:rPr>
      </w:pPr>
      <w:r>
        <w:rPr>
          <w:rFonts w:ascii="宋体" w:hAnsi="宋体" w:hint="eastAsia"/>
          <w:b/>
          <w:sz w:val="28"/>
          <w:szCs w:val="28"/>
        </w:rPr>
        <w:t>（</w:t>
      </w:r>
      <w:r>
        <w:rPr>
          <w:rFonts w:ascii="宋体" w:hAnsi="宋体" w:hint="eastAsia"/>
          <w:b/>
          <w:sz w:val="28"/>
          <w:szCs w:val="28"/>
          <w:lang w:val="en-US" w:eastAsia="zh-CN"/>
        </w:rPr>
        <w:t>二</w:t>
      </w:r>
      <w:r>
        <w:rPr>
          <w:rFonts w:ascii="宋体" w:hAnsi="宋体" w:hint="eastAsia"/>
          <w:b/>
          <w:sz w:val="28"/>
          <w:szCs w:val="28"/>
        </w:rPr>
        <w:t>）改善前柏拉图</w:t>
      </w: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 w:val="32"/>
        </w:rPr>
      </w:pPr>
      <w:r>
        <w:rPr>
          <w:rFonts w:ascii="宋体" w:eastAsia="宋体" w:hAnsi="宋体" w:cs="宋体"/>
          <w:sz w:val="24"/>
          <w:szCs w:val="24"/>
        </w:rPr>
        <w:drawing>
          <wp:inline distT="0" distB="0" distL="114300" distR="114300">
            <wp:extent cx="5009515" cy="2623185"/>
            <wp:effectExtent l="0" t="0" r="6985" b="5715"/>
            <wp:docPr id="6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009515" cy="2623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 w:val="32"/>
        </w:rPr>
      </w:pPr>
    </w:p>
    <w:p>
      <w:pPr>
        <w:rPr>
          <w:rFonts w:ascii="宋体" w:hAnsi="宋体"/>
          <w:sz w:val="28"/>
        </w:rPr>
      </w:pPr>
      <w:r>
        <w:rPr>
          <w:rFonts w:ascii="宋体" w:hAnsi="宋体" w:hint="eastAsia"/>
          <w:b/>
          <w:sz w:val="28"/>
          <w:szCs w:val="28"/>
        </w:rPr>
        <w:t>（</w:t>
      </w:r>
      <w:r>
        <w:rPr>
          <w:rFonts w:ascii="宋体" w:hAnsi="宋体" w:hint="eastAsia"/>
          <w:b/>
          <w:sz w:val="28"/>
          <w:szCs w:val="28"/>
          <w:lang w:val="en-US" w:eastAsia="zh-CN"/>
        </w:rPr>
        <w:t>三</w:t>
      </w:r>
      <w:r>
        <w:rPr>
          <w:rFonts w:ascii="宋体" w:hAnsi="宋体" w:hint="eastAsia"/>
          <w:b/>
          <w:sz w:val="28"/>
          <w:szCs w:val="28"/>
        </w:rPr>
        <w:t>）结论：</w:t>
      </w:r>
      <w:r>
        <w:rPr>
          <w:rFonts w:ascii="宋体" w:hAnsi="宋体"/>
          <w:sz w:val="28"/>
        </w:rPr>
        <w:t xml:space="preserve"> </w:t>
      </w:r>
    </w:p>
    <w:p>
      <w:pPr>
        <w:ind w:left="-720" w:firstLine="720" w:firstLineChars="257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2022年3月1日到2022年9月21日查检了51人，查检项目分为六大项，根据80/20法则，查检缺陷项目主要是注射的角度及深度不当、按压时间未大于10s。因此本圈将注射的角度及深度不当、</w:t>
      </w:r>
      <w:r>
        <w:rPr>
          <w:rFonts w:ascii="宋体" w:hAnsi="宋体" w:hint="eastAsia"/>
          <w:sz w:val="28"/>
          <w:szCs w:val="28"/>
          <w:lang w:val="en-US" w:eastAsia="zh-CN"/>
        </w:rPr>
        <w:t>注射药液未停留10s</w:t>
      </w:r>
      <w:r>
        <w:rPr>
          <w:rFonts w:ascii="宋体" w:hAnsi="宋体" w:hint="eastAsia"/>
          <w:sz w:val="28"/>
          <w:szCs w:val="28"/>
        </w:rPr>
        <w:t>作为改善重点。</w:t>
      </w:r>
    </w:p>
    <w:p>
      <w:pPr>
        <w:ind w:left="-720" w:firstLine="720" w:firstLineChars="257"/>
        <w:rPr>
          <w:rFonts w:ascii="宋体" w:hAnsi="宋体"/>
          <w:sz w:val="28"/>
        </w:rPr>
      </w:pPr>
    </w:p>
    <w:p>
      <w:pPr>
        <w:ind w:left="-720" w:firstLine="720" w:firstLineChars="257"/>
        <w:rPr>
          <w:rFonts w:ascii="宋体" w:hAnsi="宋体"/>
          <w:sz w:val="28"/>
        </w:rPr>
      </w:pPr>
    </w:p>
    <w:p>
      <w:pPr>
        <w:ind w:left="-720" w:firstLine="720" w:firstLineChars="257"/>
        <w:rPr>
          <w:rFonts w:ascii="宋体" w:hAnsi="宋体"/>
          <w:sz w:val="28"/>
        </w:rPr>
      </w:pPr>
    </w:p>
    <w:p>
      <w:pPr>
        <w:ind w:left="-720" w:firstLine="720" w:firstLineChars="257"/>
        <w:rPr>
          <w:rFonts w:ascii="宋体" w:hAnsi="宋体"/>
          <w:sz w:val="28"/>
        </w:rPr>
      </w:pPr>
    </w:p>
    <w:p>
      <w:pPr>
        <w:ind w:left="-720" w:firstLine="720" w:firstLineChars="257"/>
        <w:rPr>
          <w:rFonts w:ascii="宋体" w:hAnsi="宋体"/>
          <w:sz w:val="28"/>
        </w:rPr>
      </w:pPr>
    </w:p>
    <w:p>
      <w:pPr>
        <w:ind w:left="-720" w:firstLine="720" w:firstLineChars="257"/>
        <w:rPr>
          <w:rFonts w:ascii="宋体" w:hAnsi="宋体"/>
          <w:sz w:val="28"/>
        </w:rPr>
      </w:pPr>
    </w:p>
    <w:p>
      <w:pPr>
        <w:rPr>
          <w:rFonts w:ascii="宋体" w:hAnsi="宋体"/>
          <w:b/>
          <w:bCs/>
          <w:sz w:val="40"/>
          <w:shd w:val="pct10" w:color="auto" w:fill="FFFFFF"/>
        </w:rPr>
      </w:pPr>
    </w:p>
    <w:p>
      <w:pPr>
        <w:shd w:val="pct10" w:color="auto" w:fill="FFFFFF"/>
        <w:jc w:val="center"/>
        <w:outlineLvl w:val="0"/>
        <w:rPr>
          <w:rFonts w:ascii="宋体" w:hAnsi="宋体"/>
          <w:b/>
          <w:sz w:val="40"/>
        </w:rPr>
      </w:pPr>
      <w:r>
        <w:rPr>
          <w:rFonts w:ascii="宋体" w:hAnsi="宋体" w:hint="eastAsia"/>
          <w:b/>
          <w:sz w:val="40"/>
        </w:rPr>
        <w:t>五、目标设定</w:t>
      </w:r>
    </w:p>
    <w:p>
      <w:pPr>
        <w:rPr>
          <w:rFonts w:ascii="宋体" w:hAnsi="宋体"/>
        </w:rPr>
      </w:pPr>
    </w:p>
    <w:p>
      <w:pPr>
        <w:ind w:left="13" w:hanging="118" w:leftChars="-50" w:hangingChars="42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（一）目标值设定：</w:t>
      </w:r>
    </w:p>
    <w:p>
      <w:pPr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目标值  =（1一现况值）X改善重点X圈能力</w:t>
      </w:r>
      <w:r>
        <w:rPr>
          <w:rFonts w:ascii="宋体" w:hAnsi="宋体" w:hint="eastAsia"/>
          <w:b/>
          <w:sz w:val="28"/>
          <w:szCs w:val="28"/>
        </w:rPr>
        <w:br/>
      </w:r>
      <w:r>
        <w:rPr>
          <w:rFonts w:ascii="宋体" w:hAnsi="宋体" w:hint="eastAsia"/>
          <w:b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https://d.book118.com/935300140342011040</w:t>
        </w:r>
      </w:hyperlink>
    </w:p>
    <w:p>
      <w:pPr>
        <w:rPr>
          <w:rFonts w:ascii="宋体" w:hAnsi="宋体" w:hint="eastAsia"/>
          <w:b/>
          <w:sz w:val="28"/>
          <w:szCs w:val="28"/>
        </w:rPr>
      </w:pPr>
    </w:p>
    <w:sectPr>
      <w:headerReference w:type="default" r:id="rId43"/>
      <w:footerReference w:type="even" r:id="rId44"/>
      <w:footerReference w:type="default" r:id="rId45"/>
      <w:type w:val="nextPage"/>
      <w:pgSz w:w="12242" w:h="15842"/>
      <w:pgMar w:top="1440" w:right="1797" w:bottom="1440" w:left="1797" w:header="720" w:footer="720" w:gutter="0"/>
      <w:pgNumType w:start="11"/>
      <w:cols w:num="1" w:space="720"/>
      <w:titlePg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FKai-SB">
    <w:altName w:val="Microsoft JhengHei Light"/>
    <w:panose1 w:val="00000000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</w:t>
    </w:r>
    <w: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2</w:t>
    </w:r>
    <w: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3</w:t>
    </w:r>
    <w: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4</w:t>
    </w:r>
    <w: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5</w:t>
    </w:r>
    <w: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6</w:t>
    </w:r>
    <w: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7</w:t>
    </w:r>
    <w: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8</w:t>
    </w:r>
    <w: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9</w:t>
    </w:r>
    <w:r>
      <w:fldChar w:fldCharType="end"/>
    </w:r>
  </w:p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10</w:t>
    </w:r>
    <w:r>
      <w:fldChar w:fldCharType="end"/>
    </w:r>
  </w:p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11</w:t>
    </w:r>
    <w: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86D"/>
    <w:rsid w:val="00001C7E"/>
    <w:rsid w:val="0002061D"/>
    <w:rsid w:val="00024A82"/>
    <w:rsid w:val="00045EBE"/>
    <w:rsid w:val="00046D4F"/>
    <w:rsid w:val="00051945"/>
    <w:rsid w:val="00064E71"/>
    <w:rsid w:val="000822EC"/>
    <w:rsid w:val="00097D9C"/>
    <w:rsid w:val="000A10EB"/>
    <w:rsid w:val="000C5172"/>
    <w:rsid w:val="000E4D28"/>
    <w:rsid w:val="000E519D"/>
    <w:rsid w:val="000F3CCD"/>
    <w:rsid w:val="00120563"/>
    <w:rsid w:val="001336B7"/>
    <w:rsid w:val="00152ED4"/>
    <w:rsid w:val="001D4912"/>
    <w:rsid w:val="001E1293"/>
    <w:rsid w:val="001E782F"/>
    <w:rsid w:val="001F6C2C"/>
    <w:rsid w:val="00202475"/>
    <w:rsid w:val="0020254D"/>
    <w:rsid w:val="00202B48"/>
    <w:rsid w:val="00230734"/>
    <w:rsid w:val="00242917"/>
    <w:rsid w:val="00274F60"/>
    <w:rsid w:val="00294FB3"/>
    <w:rsid w:val="002A335E"/>
    <w:rsid w:val="002B3EB6"/>
    <w:rsid w:val="002B45A9"/>
    <w:rsid w:val="002B5744"/>
    <w:rsid w:val="002C130F"/>
    <w:rsid w:val="002E5EDD"/>
    <w:rsid w:val="003005E1"/>
    <w:rsid w:val="00312A64"/>
    <w:rsid w:val="00327F8A"/>
    <w:rsid w:val="00345929"/>
    <w:rsid w:val="00354F73"/>
    <w:rsid w:val="00396448"/>
    <w:rsid w:val="003C315F"/>
    <w:rsid w:val="003C33D1"/>
    <w:rsid w:val="003C39A7"/>
    <w:rsid w:val="003E0A7F"/>
    <w:rsid w:val="003E11EF"/>
    <w:rsid w:val="003F3A3A"/>
    <w:rsid w:val="003F3C45"/>
    <w:rsid w:val="003F4013"/>
    <w:rsid w:val="00441219"/>
    <w:rsid w:val="00445171"/>
    <w:rsid w:val="004508ED"/>
    <w:rsid w:val="00455144"/>
    <w:rsid w:val="00457817"/>
    <w:rsid w:val="00475992"/>
    <w:rsid w:val="00495D51"/>
    <w:rsid w:val="004C6D8E"/>
    <w:rsid w:val="004F59E4"/>
    <w:rsid w:val="0050395D"/>
    <w:rsid w:val="00531053"/>
    <w:rsid w:val="00532F12"/>
    <w:rsid w:val="00570023"/>
    <w:rsid w:val="005B1DF4"/>
    <w:rsid w:val="005B4462"/>
    <w:rsid w:val="005B5DAA"/>
    <w:rsid w:val="0061726E"/>
    <w:rsid w:val="00653565"/>
    <w:rsid w:val="0066465C"/>
    <w:rsid w:val="006E49D0"/>
    <w:rsid w:val="006F18F0"/>
    <w:rsid w:val="0076201A"/>
    <w:rsid w:val="00770E97"/>
    <w:rsid w:val="00787549"/>
    <w:rsid w:val="007A2E93"/>
    <w:rsid w:val="007E1434"/>
    <w:rsid w:val="007E6D46"/>
    <w:rsid w:val="007F6436"/>
    <w:rsid w:val="008419A7"/>
    <w:rsid w:val="00841A98"/>
    <w:rsid w:val="0085744A"/>
    <w:rsid w:val="008666C6"/>
    <w:rsid w:val="0088128F"/>
    <w:rsid w:val="00885D54"/>
    <w:rsid w:val="00885F95"/>
    <w:rsid w:val="008A3234"/>
    <w:rsid w:val="008B485B"/>
    <w:rsid w:val="008C3FE7"/>
    <w:rsid w:val="008C4628"/>
    <w:rsid w:val="009377F9"/>
    <w:rsid w:val="00945C6C"/>
    <w:rsid w:val="0097371C"/>
    <w:rsid w:val="00974A5F"/>
    <w:rsid w:val="00986F2A"/>
    <w:rsid w:val="009A4666"/>
    <w:rsid w:val="009E74E7"/>
    <w:rsid w:val="009F3783"/>
    <w:rsid w:val="00A1398D"/>
    <w:rsid w:val="00A45F93"/>
    <w:rsid w:val="00A645C4"/>
    <w:rsid w:val="00A8104E"/>
    <w:rsid w:val="00B11904"/>
    <w:rsid w:val="00B23ED5"/>
    <w:rsid w:val="00B32EFE"/>
    <w:rsid w:val="00B41D1B"/>
    <w:rsid w:val="00B45D8F"/>
    <w:rsid w:val="00B57773"/>
    <w:rsid w:val="00B721B7"/>
    <w:rsid w:val="00B853C2"/>
    <w:rsid w:val="00BC16F9"/>
    <w:rsid w:val="00BE211A"/>
    <w:rsid w:val="00C16C57"/>
    <w:rsid w:val="00C21E10"/>
    <w:rsid w:val="00C30FDB"/>
    <w:rsid w:val="00C41F15"/>
    <w:rsid w:val="00C42BDE"/>
    <w:rsid w:val="00C43021"/>
    <w:rsid w:val="00C456DD"/>
    <w:rsid w:val="00C904CD"/>
    <w:rsid w:val="00CA3DF7"/>
    <w:rsid w:val="00CB7521"/>
    <w:rsid w:val="00CD3963"/>
    <w:rsid w:val="00CF4E31"/>
    <w:rsid w:val="00D00B89"/>
    <w:rsid w:val="00D07F39"/>
    <w:rsid w:val="00D421AA"/>
    <w:rsid w:val="00D53B9D"/>
    <w:rsid w:val="00D55F6D"/>
    <w:rsid w:val="00D80FF3"/>
    <w:rsid w:val="00DD191E"/>
    <w:rsid w:val="00DD4B5E"/>
    <w:rsid w:val="00E0143A"/>
    <w:rsid w:val="00E12269"/>
    <w:rsid w:val="00E24889"/>
    <w:rsid w:val="00E364CA"/>
    <w:rsid w:val="00E520DD"/>
    <w:rsid w:val="00E54C89"/>
    <w:rsid w:val="00E83B3B"/>
    <w:rsid w:val="00E842C4"/>
    <w:rsid w:val="00E91E3F"/>
    <w:rsid w:val="00E94176"/>
    <w:rsid w:val="00EA7143"/>
    <w:rsid w:val="00EB7E4A"/>
    <w:rsid w:val="00EF10A0"/>
    <w:rsid w:val="00F031C7"/>
    <w:rsid w:val="00F06871"/>
    <w:rsid w:val="00F3012A"/>
    <w:rsid w:val="00F32CC7"/>
    <w:rsid w:val="00F96659"/>
    <w:rsid w:val="00FA6337"/>
    <w:rsid w:val="00FB1227"/>
    <w:rsid w:val="00FB786D"/>
    <w:rsid w:val="00FC3914"/>
    <w:rsid w:val="15C60C2F"/>
    <w:rsid w:val="285D0C30"/>
    <w:rsid w:val="2AC93501"/>
    <w:rsid w:val="4C5C074D"/>
    <w:rsid w:val="5B821A8E"/>
    <w:rsid w:val="5DC319D3"/>
    <w:rsid w:val="62B3313C"/>
    <w:rsid w:val="7CFD2DE5"/>
  </w:rsids>
  <w:docVars>
    <w:docVar w:name="commondata" w:val="eyJoZGlkIjoiMDRiYmRmNTViOWU0YzljNGI0ZjEzODY3NzAxYzE5OG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0" w:unhideWhenUsed="0" w:qFormat="1"/>
    <w:lsdException w:name="toc 2" w:semiHidden="0" w:uiPriority="0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 w:semiHidden="0" w:uiPriority="0" w:unhideWhenUsed="0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 w:semiHidden="0" w:uiPriority="0" w:unhideWhenUsed="0" w:qFormat="1"/>
    <w:lsdException w:name="Body Text 3" w:semiHidden="0" w:uiPriority="0" w:unhideWhenUsed="0" w:qFormat="1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 w:semiHidden="0" w:uiPriority="0" w:unhideWhenUsed="0" w:qFormat="1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keepNext/>
      <w:jc w:val="left"/>
      <w:outlineLvl w:val="0"/>
    </w:pPr>
    <w:rPr>
      <w:rFonts w:eastAsia="DFKai-SB"/>
      <w:bCs/>
      <w:sz w:val="32"/>
      <w:lang w:eastAsia="zh-TW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a"/>
    <w:semiHidden/>
    <w:qFormat/>
    <w:pPr>
      <w:adjustRightInd w:val="0"/>
      <w:spacing w:line="360" w:lineRule="atLeast"/>
      <w:jc w:val="left"/>
      <w:textAlignment w:val="baseline"/>
    </w:pPr>
    <w:rPr>
      <w:rFonts w:eastAsia="PMingLiU"/>
      <w:kern w:val="0"/>
      <w:sz w:val="24"/>
      <w:szCs w:val="20"/>
      <w:lang w:eastAsia="zh-TW"/>
    </w:rPr>
  </w:style>
  <w:style w:type="paragraph" w:styleId="BodyText3">
    <w:name w:val="Body Text 3"/>
    <w:basedOn w:val="Normal"/>
    <w:link w:val="3"/>
    <w:qFormat/>
    <w:pPr>
      <w:jc w:val="left"/>
    </w:pPr>
    <w:rPr>
      <w:rFonts w:eastAsia="DFKai-SB"/>
      <w:sz w:val="22"/>
      <w:szCs w:val="20"/>
      <w:lang w:eastAsia="zh-TW"/>
    </w:rPr>
  </w:style>
  <w:style w:type="paragraph" w:styleId="BodyText">
    <w:name w:val="Body Text"/>
    <w:basedOn w:val="Normal"/>
    <w:link w:val="a0"/>
    <w:qFormat/>
    <w:pPr>
      <w:widowControl/>
      <w:autoSpaceDE w:val="0"/>
      <w:autoSpaceDN w:val="0"/>
      <w:snapToGrid w:val="0"/>
      <w:textAlignment w:val="bottom"/>
    </w:pPr>
    <w:rPr>
      <w:rFonts w:ascii="DFKai-SB" w:eastAsia="DFKai-SB" w:hAnsi="Arial"/>
      <w:sz w:val="28"/>
      <w:szCs w:val="20"/>
      <w:lang w:eastAsia="zh-TW"/>
    </w:rPr>
  </w:style>
  <w:style w:type="paragraph" w:styleId="Footer">
    <w:name w:val="footer"/>
    <w:basedOn w:val="Normal"/>
    <w:link w:val="a1"/>
    <w:qFormat/>
    <w:pPr>
      <w:tabs>
        <w:tab w:val="center" w:pos="4153"/>
        <w:tab w:val="right" w:pos="8306"/>
      </w:tabs>
      <w:snapToGrid w:val="0"/>
      <w:jc w:val="left"/>
    </w:pPr>
    <w:rPr>
      <w:rFonts w:eastAsia="PMingLiU"/>
      <w:sz w:val="20"/>
      <w:szCs w:val="20"/>
      <w:lang w:eastAsia="zh-TW"/>
    </w:rPr>
  </w:style>
  <w:style w:type="paragraph" w:styleId="Header">
    <w:name w:val="header"/>
    <w:basedOn w:val="Normal"/>
    <w:link w:val="a2"/>
    <w:qFormat/>
    <w:pPr>
      <w:tabs>
        <w:tab w:val="center" w:pos="4153"/>
        <w:tab w:val="right" w:pos="8306"/>
      </w:tabs>
      <w:snapToGrid w:val="0"/>
      <w:jc w:val="left"/>
    </w:pPr>
    <w:rPr>
      <w:rFonts w:eastAsia="PMingLiU"/>
      <w:sz w:val="20"/>
      <w:szCs w:val="20"/>
      <w:lang w:eastAsia="zh-TW"/>
    </w:rPr>
  </w:style>
  <w:style w:type="paragraph" w:styleId="TOC1">
    <w:name w:val="toc 1"/>
    <w:basedOn w:val="Normal"/>
    <w:next w:val="Normal"/>
    <w:qFormat/>
    <w:pPr>
      <w:tabs>
        <w:tab w:val="left" w:pos="840"/>
        <w:tab w:val="right" w:leader="dot" w:pos="8962"/>
      </w:tabs>
    </w:pPr>
  </w:style>
  <w:style w:type="paragraph" w:styleId="TOC2">
    <w:name w:val="toc 2"/>
    <w:basedOn w:val="Normal"/>
    <w:next w:val="Normal"/>
    <w:qFormat/>
    <w:pPr>
      <w:tabs>
        <w:tab w:val="left" w:pos="1470"/>
        <w:tab w:val="right" w:leader="dot" w:pos="8962"/>
      </w:tabs>
      <w:ind w:left="420" w:leftChars="200"/>
    </w:pPr>
  </w:style>
  <w:style w:type="paragraph" w:styleId="BodyText2">
    <w:name w:val="Body Text 2"/>
    <w:basedOn w:val="Normal"/>
    <w:link w:val="2"/>
    <w:qFormat/>
    <w:pPr>
      <w:jc w:val="left"/>
    </w:pPr>
    <w:rPr>
      <w:rFonts w:eastAsia="PMingLiU"/>
      <w:sz w:val="20"/>
      <w:szCs w:val="20"/>
      <w:lang w:eastAsia="zh-TW"/>
    </w:rPr>
  </w:style>
  <w:style w:type="paragraph" w:styleId="NormalWeb">
    <w:name w:val="Normal (Web)"/>
    <w:basedOn w:val="Normal"/>
    <w:uiPriority w:val="99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table" w:styleId="TableList3">
    <w:name w:val="Table List 3"/>
    <w:basedOn w:val="TableNormal"/>
    <w:qFormat/>
    <w:pPr>
      <w:widowControl w:val="0"/>
    </w:pPr>
    <w:rPr>
      <w:rFonts w:ascii="Times New Roman" w:eastAsia="PMingLiU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PageNumber">
    <w:name w:val="page number"/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character" w:customStyle="1" w:styleId="1">
    <w:name w:val="标题 1 字符"/>
    <w:basedOn w:val="DefaultParagraphFont"/>
    <w:link w:val="Heading1"/>
    <w:qFormat/>
    <w:rPr>
      <w:rFonts w:ascii="Times New Roman" w:eastAsia="DFKai-SB" w:hAnsi="Times New Roman" w:cs="Times New Roman"/>
      <w:bCs/>
      <w:sz w:val="32"/>
      <w:szCs w:val="24"/>
      <w:lang w:eastAsia="zh-TW"/>
    </w:rPr>
  </w:style>
  <w:style w:type="character" w:customStyle="1" w:styleId="a">
    <w:name w:val="批注文字 字符"/>
    <w:basedOn w:val="DefaultParagraphFont"/>
    <w:link w:val="CommentText"/>
    <w:semiHidden/>
    <w:qFormat/>
    <w:rPr>
      <w:rFonts w:ascii="Times New Roman" w:eastAsia="PMingLiU" w:hAnsi="Times New Roman" w:cs="Times New Roman"/>
      <w:kern w:val="0"/>
      <w:sz w:val="24"/>
      <w:szCs w:val="20"/>
      <w:lang w:eastAsia="zh-TW"/>
    </w:rPr>
  </w:style>
  <w:style w:type="character" w:customStyle="1" w:styleId="3">
    <w:name w:val="正文文本 3 字符"/>
    <w:basedOn w:val="DefaultParagraphFont"/>
    <w:link w:val="BodyText3"/>
    <w:qFormat/>
    <w:rPr>
      <w:rFonts w:ascii="Times New Roman" w:eastAsia="DFKai-SB" w:hAnsi="Times New Roman" w:cs="Times New Roman"/>
      <w:sz w:val="22"/>
      <w:szCs w:val="20"/>
      <w:lang w:eastAsia="zh-TW"/>
    </w:rPr>
  </w:style>
  <w:style w:type="character" w:customStyle="1" w:styleId="a0">
    <w:name w:val="正文文本 字符"/>
    <w:basedOn w:val="DefaultParagraphFont"/>
    <w:link w:val="BodyText"/>
    <w:qFormat/>
    <w:rPr>
      <w:rFonts w:ascii="DFKai-SB" w:eastAsia="DFKai-SB" w:hAnsi="Arial" w:cs="Times New Roman"/>
      <w:sz w:val="28"/>
      <w:szCs w:val="20"/>
      <w:lang w:eastAsia="zh-TW"/>
    </w:rPr>
  </w:style>
  <w:style w:type="character" w:customStyle="1" w:styleId="a1">
    <w:name w:val="页脚 字符"/>
    <w:basedOn w:val="DefaultParagraphFont"/>
    <w:link w:val="Footer"/>
    <w:qFormat/>
    <w:rPr>
      <w:rFonts w:ascii="Times New Roman" w:eastAsia="PMingLiU" w:hAnsi="Times New Roman" w:cs="Times New Roman"/>
      <w:sz w:val="20"/>
      <w:szCs w:val="20"/>
      <w:lang w:eastAsia="zh-TW"/>
    </w:rPr>
  </w:style>
  <w:style w:type="character" w:customStyle="1" w:styleId="a2">
    <w:name w:val="页眉 字符"/>
    <w:basedOn w:val="DefaultParagraphFont"/>
    <w:link w:val="Header"/>
    <w:qFormat/>
    <w:rPr>
      <w:rFonts w:ascii="Times New Roman" w:eastAsia="PMingLiU" w:hAnsi="Times New Roman" w:cs="Times New Roman"/>
      <w:sz w:val="20"/>
      <w:szCs w:val="20"/>
      <w:lang w:eastAsia="zh-TW"/>
    </w:rPr>
  </w:style>
  <w:style w:type="character" w:customStyle="1" w:styleId="2">
    <w:name w:val="正文文本 2 字符"/>
    <w:basedOn w:val="DefaultParagraphFont"/>
    <w:link w:val="BodyText2"/>
    <w:qFormat/>
    <w:rPr>
      <w:rFonts w:ascii="Times New Roman" w:eastAsia="PMingLiU" w:hAnsi="Times New Roman" w:cs="Times New Roman"/>
      <w:sz w:val="20"/>
      <w:szCs w:val="20"/>
      <w:lang w:eastAsia="zh-TW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header" Target="header3.xml" /><Relationship Id="rId13" Type="http://schemas.openxmlformats.org/officeDocument/2006/relationships/footer" Target="footer5.xml" /><Relationship Id="rId14" Type="http://schemas.openxmlformats.org/officeDocument/2006/relationships/footer" Target="footer6.xml" /><Relationship Id="rId15" Type="http://schemas.openxmlformats.org/officeDocument/2006/relationships/header" Target="header4.xml" /><Relationship Id="rId16" Type="http://schemas.openxmlformats.org/officeDocument/2006/relationships/footer" Target="footer7.xml" /><Relationship Id="rId17" Type="http://schemas.openxmlformats.org/officeDocument/2006/relationships/footer" Target="footer8.xml" /><Relationship Id="rId18" Type="http://schemas.openxmlformats.org/officeDocument/2006/relationships/header" Target="header5.xml" /><Relationship Id="rId19" Type="http://schemas.openxmlformats.org/officeDocument/2006/relationships/footer" Target="footer9.xml" /><Relationship Id="rId2" Type="http://schemas.openxmlformats.org/officeDocument/2006/relationships/webSettings" Target="webSettings.xml" /><Relationship Id="rId20" Type="http://schemas.openxmlformats.org/officeDocument/2006/relationships/footer" Target="footer10.xml" /><Relationship Id="rId21" Type="http://schemas.openxmlformats.org/officeDocument/2006/relationships/image" Target="media/image2.png" /><Relationship Id="rId22" Type="http://schemas.openxmlformats.org/officeDocument/2006/relationships/header" Target="header6.xml" /><Relationship Id="rId23" Type="http://schemas.openxmlformats.org/officeDocument/2006/relationships/footer" Target="footer11.xml" /><Relationship Id="rId24" Type="http://schemas.openxmlformats.org/officeDocument/2006/relationships/footer" Target="footer12.xml" /><Relationship Id="rId25" Type="http://schemas.openxmlformats.org/officeDocument/2006/relationships/header" Target="header7.xml" /><Relationship Id="rId26" Type="http://schemas.openxmlformats.org/officeDocument/2006/relationships/footer" Target="footer13.xml" /><Relationship Id="rId27" Type="http://schemas.openxmlformats.org/officeDocument/2006/relationships/footer" Target="footer14.xml" /><Relationship Id="rId28" Type="http://schemas.openxmlformats.org/officeDocument/2006/relationships/image" Target="media/image3.png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15.xml" /><Relationship Id="rId31" Type="http://schemas.openxmlformats.org/officeDocument/2006/relationships/footer" Target="footer16.xml" /><Relationship Id="rId32" Type="http://schemas.openxmlformats.org/officeDocument/2006/relationships/image" Target="media/image4.png" /><Relationship Id="rId33" Type="http://schemas.openxmlformats.org/officeDocument/2006/relationships/header" Target="header9.xml" /><Relationship Id="rId34" Type="http://schemas.openxmlformats.org/officeDocument/2006/relationships/footer" Target="footer17.xml" /><Relationship Id="rId35" Type="http://schemas.openxmlformats.org/officeDocument/2006/relationships/footer" Target="footer18.xml" /><Relationship Id="rId36" Type="http://schemas.openxmlformats.org/officeDocument/2006/relationships/image" Target="media/image5.png" /><Relationship Id="rId37" Type="http://schemas.openxmlformats.org/officeDocument/2006/relationships/header" Target="header10.xml" /><Relationship Id="rId38" Type="http://schemas.openxmlformats.org/officeDocument/2006/relationships/footer" Target="footer19.xml" /><Relationship Id="rId39" Type="http://schemas.openxmlformats.org/officeDocument/2006/relationships/footer" Target="footer20.xml" /><Relationship Id="rId4" Type="http://schemas.openxmlformats.org/officeDocument/2006/relationships/customXml" Target="../customXml/item1.xml" /><Relationship Id="rId40" Type="http://schemas.openxmlformats.org/officeDocument/2006/relationships/image" Target="media/image6.png" /><Relationship Id="rId41" Type="http://schemas.openxmlformats.org/officeDocument/2006/relationships/image" Target="media/image7.png" /><Relationship Id="rId42" Type="http://schemas.openxmlformats.org/officeDocument/2006/relationships/hyperlink" Target="https://d.book118.com/935300140342011040" TargetMode="External" /><Relationship Id="rId43" Type="http://schemas.openxmlformats.org/officeDocument/2006/relationships/header" Target="header11.xml" /><Relationship Id="rId44" Type="http://schemas.openxmlformats.org/officeDocument/2006/relationships/footer" Target="footer21.xml" /><Relationship Id="rId45" Type="http://schemas.openxmlformats.org/officeDocument/2006/relationships/footer" Target="footer22.xml" /><Relationship Id="rId46" Type="http://schemas.openxmlformats.org/officeDocument/2006/relationships/theme" Target="theme/theme1.xml" /><Relationship Id="rId47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678394-1D55-4675-BB6D-090AF1119F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11</Pages>
  <Words>3022</Words>
  <Characters>3323</Characters>
  <Application>Microsoft Office Word</Application>
  <DocSecurity>0</DocSecurity>
  <Lines>64</Lines>
  <Paragraphs>18</Paragraphs>
  <ScaleCrop>false</ScaleCrop>
  <Company/>
  <LinksUpToDate>false</LinksUpToDate>
  <CharactersWithSpaces>3549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994403409@qq.com</dc:creator>
  <cp:lastModifiedBy>Wang sir</cp:lastModifiedBy>
  <cp:revision>105</cp:revision>
  <dcterms:created xsi:type="dcterms:W3CDTF">2022-05-08T03:41:00Z</dcterms:created>
  <dcterms:modified xsi:type="dcterms:W3CDTF">2022-09-23T02:33:23Z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0CDAB9FE12E4470EAF5E64D68B097B13</vt:lpwstr>
  </property>
  <property fmtid="{D5CDD505-2E9C-101B-9397-08002B2CF9AE}" pid="3" name="KSOProductBuildVer">
    <vt:lpwstr>2052-11.1.0.12358</vt:lpwstr>
  </property>
</Properties>
</file>