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spacing w:before="251"/>
        <w:ind w:left="30"/>
        <w:rPr>
          <w:sz w:val="19"/>
          <w:szCs w:val="19"/>
        </w:rPr>
      </w:pPr>
      <w:r>
        <w:drawing>
          <wp:anchor distT="0" distB="0" distL="0" distR="0" simplePos="0" relativeHeight="251659264" behindDoc="0" locked="0" layoutInCell="0" allowOverlap="1">
            <wp:simplePos x="0" y="0"/>
            <wp:positionH relativeFrom="page">
              <wp:posOffset>876307</wp:posOffset>
            </wp:positionH>
            <wp:positionV relativeFrom="page">
              <wp:posOffset>2679659</wp:posOffset>
            </wp:positionV>
            <wp:extent cx="6140429" cy="6415"/>
            <wp:effectExtent l="0" t="0" r="0" b="0"/>
            <wp:wrapNone/>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xmlns:r="http://schemas.openxmlformats.org/officeDocument/2006/relationships" r:embed="rId4"/>
                    <a:stretch>
                      <a:fillRect/>
                    </a:stretch>
                  </pic:blipFill>
                  <pic:spPr>
                    <a:xfrm>
                      <a:off x="0" y="0"/>
                      <a:ext cx="6140429" cy="6415"/>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1025" type="#_x0000_t202" style="width:65.5pt;height:8.7pt;margin-top:7.91pt;margin-left:0.5pt;position:absolute;z-index:251658240" filled="f" stroked="f">
            <o:lock v:ext="edit" aspectratio="f"/>
            <v:textbox inset="0,0,0,0">
              <w:txbxContent>
                <w:p>
                  <w:pPr>
                    <w:pStyle w:val="BodyText"/>
                    <w:spacing w:before="20" w:line="133" w:lineRule="exact"/>
                    <w:ind w:left="20"/>
                    <w:rPr>
                      <w:sz w:val="19"/>
                      <w:szCs w:val="19"/>
                    </w:rPr>
                  </w:pPr>
                  <w:r>
                    <w:rPr>
                      <w:spacing w:val="-3"/>
                      <w:position w:val="-3"/>
                      <w:sz w:val="19"/>
                      <w:szCs w:val="19"/>
                    </w:rPr>
                    <w:t>ICS</w:t>
                  </w:r>
                  <w:r>
                    <w:rPr>
                      <w:spacing w:val="70"/>
                      <w:position w:val="-3"/>
                      <w:sz w:val="19"/>
                      <w:szCs w:val="19"/>
                    </w:rPr>
                    <w:t xml:space="preserve"> </w:t>
                  </w:r>
                  <w:r>
                    <w:rPr>
                      <w:spacing w:val="-3"/>
                      <w:position w:val="-3"/>
                      <w:sz w:val="19"/>
                      <w:szCs w:val="19"/>
                    </w:rPr>
                    <w:t>03.120.20</w:t>
                  </w:r>
                </w:p>
              </w:txbxContent>
            </v:textbox>
          </v:shape>
        </w:pict>
      </w:r>
      <w:r>
        <w:rPr>
          <w:rFonts w:ascii="Times New Roman" w:eastAsia="Times New Roman" w:hAnsi="Times New Roman" w:cs="Times New Roman"/>
          <w:spacing w:val="-1"/>
          <w:sz w:val="19"/>
          <w:szCs w:val="19"/>
        </w:rPr>
        <w:t>CCS</w:t>
      </w:r>
      <w:r>
        <w:rPr>
          <w:rFonts w:ascii="Times New Roman" w:eastAsia="Times New Roman" w:hAnsi="Times New Roman" w:cs="Times New Roman"/>
          <w:spacing w:val="15"/>
          <w:sz w:val="19"/>
          <w:szCs w:val="19"/>
        </w:rPr>
        <w:t xml:space="preserve">  </w:t>
      </w:r>
      <w:r>
        <w:rPr>
          <w:rFonts w:ascii="Times New Roman" w:eastAsia="Times New Roman" w:hAnsi="Times New Roman" w:cs="Times New Roman"/>
          <w:spacing w:val="-1"/>
          <w:sz w:val="19"/>
          <w:szCs w:val="19"/>
        </w:rPr>
        <w:t>A</w:t>
      </w:r>
      <w:r>
        <w:rPr>
          <w:rFonts w:ascii="Times New Roman" w:eastAsia="Times New Roman" w:hAnsi="Times New Roman" w:cs="Times New Roman"/>
          <w:spacing w:val="18"/>
          <w:sz w:val="19"/>
          <w:szCs w:val="19"/>
        </w:rPr>
        <w:t xml:space="preserve">  </w:t>
      </w:r>
      <w:r>
        <w:rPr>
          <w:rFonts w:ascii="Times New Roman" w:eastAsia="Times New Roman" w:hAnsi="Times New Roman" w:cs="Times New Roman"/>
          <w:spacing w:val="-1"/>
          <w:sz w:val="19"/>
          <w:szCs w:val="19"/>
        </w:rPr>
        <w:t xml:space="preserve">00                                                                                                               </w:t>
      </w:r>
      <w:r>
        <w:rPr>
          <w:rFonts w:ascii="Times New Roman" w:eastAsia="Times New Roman" w:hAnsi="Times New Roman" w:cs="Times New Roman"/>
          <w:spacing w:val="-2"/>
          <w:sz w:val="19"/>
          <w:szCs w:val="19"/>
        </w:rPr>
        <w:t xml:space="preserve">           </w:t>
      </w:r>
      <w:r>
        <w:rPr>
          <w:position w:val="-98"/>
          <w:sz w:val="19"/>
          <w:szCs w:val="19"/>
        </w:rPr>
        <w:drawing>
          <wp:inline distT="0" distB="0" distL="0" distR="0">
            <wp:extent cx="1562106" cy="800079"/>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xmlns:r="http://schemas.openxmlformats.org/officeDocument/2006/relationships" r:embed="rId5"/>
                    <a:stretch>
                      <a:fillRect/>
                    </a:stretch>
                  </pic:blipFill>
                  <pic:spPr>
                    <a:xfrm>
                      <a:off x="0" y="0"/>
                      <a:ext cx="1562106" cy="800079"/>
                    </a:xfrm>
                    <a:prstGeom prst="rect">
                      <a:avLst/>
                    </a:prstGeom>
                  </pic:spPr>
                </pic:pic>
              </a:graphicData>
            </a:graphic>
          </wp:inline>
        </w:drawing>
      </w:r>
    </w:p>
    <w:p>
      <w:pPr>
        <w:pStyle w:val="BodyText"/>
        <w:spacing w:before="394" w:line="219" w:lineRule="auto"/>
        <w:jc w:val="right"/>
        <w:outlineLvl w:val="0"/>
      </w:pPr>
      <w:r>
        <w:rPr>
          <w:b/>
          <w:bCs/>
          <w:spacing w:val="-36"/>
        </w:rPr>
        <w:t>中</w:t>
      </w:r>
      <w:r>
        <w:rPr>
          <w:spacing w:val="175"/>
        </w:rPr>
        <w:t xml:space="preserve"> </w:t>
      </w:r>
      <w:r>
        <w:rPr>
          <w:b/>
          <w:bCs/>
          <w:spacing w:val="-36"/>
        </w:rPr>
        <w:t>华</w:t>
      </w:r>
      <w:r>
        <w:rPr>
          <w:spacing w:val="176"/>
        </w:rPr>
        <w:t xml:space="preserve"> </w:t>
      </w:r>
      <w:r>
        <w:rPr>
          <w:b/>
          <w:bCs/>
          <w:spacing w:val="-36"/>
        </w:rPr>
        <w:t>人</w:t>
      </w:r>
      <w:r>
        <w:rPr>
          <w:spacing w:val="-36"/>
        </w:rPr>
        <w:t xml:space="preserve">  </w:t>
      </w:r>
      <w:r>
        <w:rPr>
          <w:b/>
          <w:bCs/>
          <w:spacing w:val="-36"/>
        </w:rPr>
        <w:t>民</w:t>
      </w:r>
      <w:r>
        <w:rPr>
          <w:spacing w:val="169"/>
        </w:rPr>
        <w:t xml:space="preserve"> </w:t>
      </w:r>
      <w:r>
        <w:rPr>
          <w:b/>
          <w:bCs/>
          <w:spacing w:val="-36"/>
        </w:rPr>
        <w:t>共</w:t>
      </w:r>
      <w:r>
        <w:rPr>
          <w:spacing w:val="174"/>
        </w:rPr>
        <w:t xml:space="preserve"> </w:t>
      </w:r>
      <w:r>
        <w:rPr>
          <w:b/>
          <w:bCs/>
          <w:spacing w:val="-36"/>
        </w:rPr>
        <w:t>和</w:t>
      </w:r>
      <w:r>
        <w:rPr>
          <w:spacing w:val="-36"/>
        </w:rPr>
        <w:t xml:space="preserve">  </w:t>
      </w:r>
      <w:r>
        <w:rPr>
          <w:b/>
          <w:bCs/>
          <w:spacing w:val="-36"/>
        </w:rPr>
        <w:t>国</w:t>
      </w:r>
      <w:r>
        <w:rPr>
          <w:spacing w:val="-35"/>
        </w:rPr>
        <w:t xml:space="preserve">  </w:t>
      </w:r>
      <w:r>
        <w:rPr>
          <w:b/>
          <w:bCs/>
          <w:spacing w:val="-35"/>
        </w:rPr>
        <w:t>国</w:t>
      </w:r>
      <w:r>
        <w:rPr>
          <w:spacing w:val="176"/>
        </w:rPr>
        <w:t xml:space="preserve"> </w:t>
      </w:r>
      <w:r>
        <w:rPr>
          <w:b/>
          <w:bCs/>
          <w:spacing w:val="-35"/>
        </w:rPr>
        <w:t>家</w:t>
      </w:r>
      <w:r>
        <w:rPr>
          <w:spacing w:val="173"/>
        </w:rPr>
        <w:t xml:space="preserve"> </w:t>
      </w:r>
      <w:r>
        <w:rPr>
          <w:b/>
          <w:bCs/>
          <w:spacing w:val="-35"/>
        </w:rPr>
        <w:t>标</w:t>
      </w:r>
      <w:r>
        <w:rPr>
          <w:spacing w:val="176"/>
        </w:rPr>
        <w:t xml:space="preserve"> </w:t>
      </w:r>
      <w:r>
        <w:rPr>
          <w:b/>
          <w:bCs/>
          <w:spacing w:val="-24"/>
        </w:rPr>
        <w:t>准</w:t>
      </w:r>
    </w:p>
    <w:p>
      <w:pPr>
        <w:spacing w:line="269" w:lineRule="auto"/>
        <w:rPr>
          <w:rFonts w:ascii="Arial"/>
          <w:sz w:val="21"/>
        </w:rPr>
      </w:pPr>
    </w:p>
    <w:p>
      <w:pPr>
        <w:pStyle w:val="BodyText"/>
        <w:spacing w:before="84" w:line="224" w:lineRule="auto"/>
        <w:ind w:left="4363"/>
        <w:rPr>
          <w:sz w:val="26"/>
          <w:szCs w:val="26"/>
        </w:rPr>
      </w:pPr>
      <w:r>
        <w:rPr>
          <w:b/>
          <w:bCs/>
          <w:spacing w:val="-4"/>
          <w:sz w:val="26"/>
          <w:szCs w:val="26"/>
        </w:rPr>
        <w:t>GB/T</w:t>
      </w:r>
      <w:r>
        <w:rPr>
          <w:spacing w:val="60"/>
          <w:sz w:val="26"/>
          <w:szCs w:val="26"/>
        </w:rPr>
        <w:t xml:space="preserve">  </w:t>
      </w:r>
      <w:r>
        <w:rPr>
          <w:b/>
          <w:bCs/>
          <w:spacing w:val="-4"/>
          <w:sz w:val="26"/>
          <w:szCs w:val="26"/>
        </w:rPr>
        <w:t>27000—2023/ISO/IEC</w:t>
      </w:r>
      <w:r>
        <w:rPr>
          <w:spacing w:val="-4"/>
          <w:sz w:val="26"/>
          <w:szCs w:val="26"/>
        </w:rPr>
        <w:t xml:space="preserve">   </w:t>
      </w:r>
      <w:r>
        <w:rPr>
          <w:b/>
          <w:bCs/>
          <w:spacing w:val="-4"/>
          <w:sz w:val="26"/>
          <w:szCs w:val="26"/>
        </w:rPr>
        <w:t>17000:2020</w:t>
      </w:r>
    </w:p>
    <w:p>
      <w:pPr>
        <w:spacing w:before="85" w:line="222" w:lineRule="auto"/>
        <w:ind w:left="7212"/>
        <w:rPr>
          <w:rFonts w:ascii="SimHei" w:eastAsia="SimHei" w:hAnsi="SimHei" w:cs="SimHei"/>
          <w:sz w:val="19"/>
          <w:szCs w:val="19"/>
        </w:rPr>
      </w:pPr>
      <w:r>
        <w:rPr>
          <w:rFonts w:ascii="SimHei" w:eastAsia="SimHei" w:hAnsi="SimHei" w:cs="SimHei"/>
          <w:b/>
          <w:bCs/>
          <w:spacing w:val="-3"/>
          <w:sz w:val="19"/>
          <w:szCs w:val="19"/>
        </w:rPr>
        <w:t>代替</w:t>
      </w:r>
      <w:r>
        <w:rPr>
          <w:rFonts w:ascii="SimHei" w:eastAsia="SimHei" w:hAnsi="SimHei" w:cs="SimHei"/>
          <w:spacing w:val="-3"/>
          <w:sz w:val="19"/>
          <w:szCs w:val="19"/>
        </w:rPr>
        <w:t xml:space="preserve"> </w:t>
      </w:r>
      <w:r>
        <w:rPr>
          <w:rFonts w:ascii="SimHei" w:eastAsia="SimHei" w:hAnsi="SimHei" w:cs="SimHei"/>
          <w:b/>
          <w:bCs/>
          <w:spacing w:val="-3"/>
          <w:sz w:val="19"/>
          <w:szCs w:val="19"/>
        </w:rPr>
        <w:t>GB/T</w:t>
      </w:r>
      <w:r>
        <w:rPr>
          <w:rFonts w:ascii="SimHei" w:eastAsia="SimHei" w:hAnsi="SimHei" w:cs="SimHei"/>
          <w:spacing w:val="-3"/>
          <w:sz w:val="19"/>
          <w:szCs w:val="19"/>
        </w:rPr>
        <w:t xml:space="preserve">   </w:t>
      </w:r>
      <w:r>
        <w:rPr>
          <w:rFonts w:ascii="SimHei" w:eastAsia="SimHei" w:hAnsi="SimHei" w:cs="SimHei"/>
          <w:b/>
          <w:bCs/>
          <w:spacing w:val="-3"/>
          <w:sz w:val="19"/>
          <w:szCs w:val="19"/>
        </w:rPr>
        <w:t>27000—2006</w:t>
      </w:r>
    </w:p>
    <w:p>
      <w:pPr>
        <w:spacing w:line="266" w:lineRule="auto"/>
        <w:rPr>
          <w:rFonts w:ascii="Arial"/>
          <w:sz w:val="21"/>
        </w:rPr>
      </w:pPr>
    </w:p>
    <w:p>
      <w:pPr>
        <w:spacing w:line="266" w:lineRule="auto"/>
        <w:rPr>
          <w:rFonts w:ascii="Arial"/>
          <w:sz w:val="21"/>
        </w:rPr>
      </w:pPr>
    </w:p>
    <w:p>
      <w:pPr>
        <w:spacing w:line="266" w:lineRule="auto"/>
        <w:rPr>
          <w:rFonts w:ascii="Arial"/>
          <w:sz w:val="21"/>
        </w:rPr>
      </w:pPr>
    </w:p>
    <w:p>
      <w:pPr>
        <w:spacing w:line="266" w:lineRule="auto"/>
        <w:rPr>
          <w:rFonts w:ascii="Arial"/>
          <w:sz w:val="21"/>
        </w:rPr>
      </w:pPr>
    </w:p>
    <w:p>
      <w:pPr>
        <w:spacing w:line="266" w:lineRule="auto"/>
        <w:rPr>
          <w:rFonts w:ascii="Arial"/>
          <w:sz w:val="21"/>
        </w:rPr>
      </w:pPr>
    </w:p>
    <w:p>
      <w:pPr>
        <w:spacing w:line="266" w:lineRule="auto"/>
        <w:rPr>
          <w:rFonts w:ascii="Arial"/>
          <w:sz w:val="21"/>
        </w:rPr>
      </w:pPr>
    </w:p>
    <w:p>
      <w:pPr>
        <w:spacing w:line="266" w:lineRule="auto"/>
        <w:rPr>
          <w:rFonts w:ascii="Arial"/>
          <w:sz w:val="21"/>
        </w:rPr>
      </w:pPr>
    </w:p>
    <w:p>
      <w:pPr>
        <w:spacing w:line="267" w:lineRule="auto"/>
        <w:rPr>
          <w:rFonts w:ascii="Arial"/>
          <w:sz w:val="21"/>
        </w:rPr>
      </w:pPr>
    </w:p>
    <w:p>
      <w:pPr>
        <w:spacing w:line="267" w:lineRule="auto"/>
        <w:rPr>
          <w:rFonts w:ascii="Arial"/>
          <w:sz w:val="21"/>
        </w:rPr>
      </w:pPr>
    </w:p>
    <w:p>
      <w:pPr>
        <w:spacing w:before="166" w:line="222" w:lineRule="auto"/>
        <w:ind w:left="1607"/>
        <w:rPr>
          <w:rFonts w:ascii="SimHei" w:eastAsia="SimHei" w:hAnsi="SimHei" w:cs="SimHei"/>
          <w:sz w:val="51"/>
          <w:szCs w:val="51"/>
        </w:rPr>
      </w:pPr>
      <w:r>
        <w:rPr>
          <w:rFonts w:ascii="SimHei" w:eastAsia="SimHei" w:hAnsi="SimHei" w:cs="SimHei"/>
          <w:b/>
          <w:bCs/>
          <w:spacing w:val="23"/>
          <w:sz w:val="51"/>
          <w:szCs w:val="51"/>
        </w:rPr>
        <w:t>合格评定</w:t>
      </w:r>
      <w:r>
        <w:rPr>
          <w:rFonts w:ascii="SimHei" w:eastAsia="SimHei" w:hAnsi="SimHei" w:cs="SimHei"/>
          <w:spacing w:val="23"/>
          <w:sz w:val="51"/>
          <w:szCs w:val="51"/>
        </w:rPr>
        <w:t xml:space="preserve">  </w:t>
      </w:r>
      <w:r>
        <w:rPr>
          <w:rFonts w:ascii="SimHei" w:eastAsia="SimHei" w:hAnsi="SimHei" w:cs="SimHei"/>
          <w:b/>
          <w:bCs/>
          <w:spacing w:val="23"/>
          <w:sz w:val="51"/>
          <w:szCs w:val="51"/>
        </w:rPr>
        <w:t>词汇和通用原则</w:t>
      </w:r>
    </w:p>
    <w:p>
      <w:pPr>
        <w:spacing w:line="423" w:lineRule="auto"/>
        <w:rPr>
          <w:rFonts w:ascii="Arial"/>
          <w:sz w:val="21"/>
        </w:rPr>
      </w:pPr>
    </w:p>
    <w:p>
      <w:pPr>
        <w:spacing w:before="75" w:line="189" w:lineRule="auto"/>
        <w:ind w:left="1349"/>
        <w:rPr>
          <w:rFonts w:ascii="Times New Roman" w:eastAsia="Times New Roman" w:hAnsi="Times New Roman" w:cs="Times New Roman"/>
          <w:sz w:val="26"/>
          <w:szCs w:val="26"/>
        </w:rPr>
      </w:pPr>
      <w:r>
        <w:rPr>
          <w:rFonts w:ascii="Times New Roman" w:eastAsia="Times New Roman" w:hAnsi="Times New Roman" w:cs="Times New Roman"/>
          <w:b/>
          <w:bCs/>
          <w:sz w:val="26"/>
          <w:szCs w:val="26"/>
        </w:rPr>
        <w:t>Conformity  assessment—Vocabulary</w:t>
      </w:r>
      <w:r>
        <w:rPr>
          <w:rFonts w:ascii="Times New Roman" w:eastAsia="Times New Roman" w:hAnsi="Times New Roman" w:cs="Times New Roman"/>
          <w:b/>
          <w:bCs/>
          <w:spacing w:val="16"/>
          <w:sz w:val="26"/>
          <w:szCs w:val="26"/>
        </w:rPr>
        <w:t xml:space="preserve">  </w:t>
      </w:r>
      <w:r>
        <w:rPr>
          <w:rFonts w:ascii="Times New Roman" w:eastAsia="Times New Roman" w:hAnsi="Times New Roman" w:cs="Times New Roman"/>
          <w:b/>
          <w:bCs/>
          <w:sz w:val="26"/>
          <w:szCs w:val="26"/>
        </w:rPr>
        <w:t>and  general</w:t>
      </w:r>
      <w:r>
        <w:rPr>
          <w:rFonts w:ascii="Times New Roman" w:eastAsia="Times New Roman" w:hAnsi="Times New Roman" w:cs="Times New Roman"/>
          <w:b/>
          <w:bCs/>
          <w:spacing w:val="11"/>
          <w:sz w:val="26"/>
          <w:szCs w:val="26"/>
        </w:rPr>
        <w:t xml:space="preserve">  </w:t>
      </w:r>
      <w:r>
        <w:rPr>
          <w:rFonts w:ascii="Times New Roman" w:eastAsia="Times New Roman" w:hAnsi="Times New Roman" w:cs="Times New Roman"/>
          <w:b/>
          <w:bCs/>
          <w:sz w:val="26"/>
          <w:szCs w:val="26"/>
        </w:rPr>
        <w:t>principles</w:t>
      </w:r>
    </w:p>
    <w:p>
      <w:pPr>
        <w:spacing w:line="243" w:lineRule="auto"/>
        <w:rPr>
          <w:rFonts w:ascii="Arial"/>
          <w:sz w:val="21"/>
        </w:rPr>
      </w:pPr>
    </w:p>
    <w:p>
      <w:pPr>
        <w:spacing w:line="243" w:lineRule="auto"/>
        <w:rPr>
          <w:rFonts w:ascii="Arial"/>
          <w:sz w:val="21"/>
        </w:rPr>
      </w:pPr>
    </w:p>
    <w:p>
      <w:pPr>
        <w:spacing w:line="244" w:lineRule="auto"/>
        <w:rPr>
          <w:rFonts w:ascii="Arial"/>
          <w:sz w:val="21"/>
        </w:rPr>
      </w:pPr>
    </w:p>
    <w:p>
      <w:pPr>
        <w:spacing w:before="75" w:line="188" w:lineRule="auto"/>
        <w:ind w:left="3179"/>
        <w:rPr>
          <w:rFonts w:ascii="Times New Roman" w:eastAsia="Times New Roman" w:hAnsi="Times New Roman" w:cs="Times New Roman"/>
          <w:sz w:val="26"/>
          <w:szCs w:val="26"/>
        </w:rPr>
      </w:pPr>
      <w:r>
        <w:rPr>
          <w:rFonts w:ascii="Times New Roman" w:eastAsia="Times New Roman" w:hAnsi="Times New Roman" w:cs="Times New Roman"/>
          <w:b/>
          <w:bCs/>
          <w:spacing w:val="-2"/>
          <w:sz w:val="26"/>
          <w:szCs w:val="26"/>
        </w:rPr>
        <w:t>(ISO/IEC</w:t>
      </w:r>
      <w:r>
        <w:rPr>
          <w:rFonts w:ascii="Times New Roman" w:eastAsia="Times New Roman" w:hAnsi="Times New Roman" w:cs="Times New Roman"/>
          <w:b/>
          <w:bCs/>
          <w:spacing w:val="12"/>
          <w:sz w:val="26"/>
          <w:szCs w:val="26"/>
        </w:rPr>
        <w:t xml:space="preserve">      </w:t>
      </w:r>
      <w:r>
        <w:rPr>
          <w:rFonts w:ascii="Times New Roman" w:eastAsia="Times New Roman" w:hAnsi="Times New Roman" w:cs="Times New Roman"/>
          <w:b/>
          <w:bCs/>
          <w:spacing w:val="-2"/>
          <w:sz w:val="26"/>
          <w:szCs w:val="26"/>
        </w:rPr>
        <w:t>17000:2020,IDT)</w:t>
      </w:r>
    </w:p>
    <w:p>
      <w:pPr>
        <w:spacing w:before="11"/>
      </w:pPr>
    </w:p>
    <w:p>
      <w:pPr>
        <w:spacing w:before="11"/>
      </w:pPr>
    </w:p>
    <w:p>
      <w:pPr>
        <w:spacing w:before="11"/>
      </w:pPr>
    </w:p>
    <w:p>
      <w:pPr>
        <w:spacing w:before="11"/>
      </w:pPr>
    </w:p>
    <w:p>
      <w:pPr>
        <w:spacing w:before="11"/>
      </w:pPr>
    </w:p>
    <w:p>
      <w:pPr>
        <w:spacing w:before="11"/>
      </w:pPr>
    </w:p>
    <w:p>
      <w:pPr>
        <w:spacing w:before="11"/>
      </w:pPr>
    </w:p>
    <w:p>
      <w:pPr>
        <w:spacing w:before="10"/>
      </w:pPr>
    </w:p>
    <w:p>
      <w:pPr>
        <w:spacing w:before="10"/>
      </w:pPr>
    </w:p>
    <w:p>
      <w:pPr>
        <w:spacing w:before="10"/>
      </w:pPr>
    </w:p>
    <w:p>
      <w:pPr>
        <w:spacing w:before="10"/>
      </w:pPr>
    </w:p>
    <w:p>
      <w:pPr>
        <w:spacing w:before="10"/>
      </w:pPr>
    </w:p>
    <w:p>
      <w:pPr>
        <w:spacing w:before="10"/>
        <w:sectPr>
          <w:pgSz w:w="11910" w:h="16840"/>
          <w:pgMar w:top="407" w:right="860" w:bottom="0" w:left="1380" w:header="0" w:footer="0" w:gutter="0"/>
          <w:cols w:num="1" w:space="708" w:equalWidth="0">
            <w:col w:w="9670" w:space="0"/>
          </w:cols>
        </w:sectPr>
      </w:pPr>
    </w:p>
    <w:p>
      <w:pPr>
        <w:spacing w:before="10"/>
      </w:pPr>
    </w:p>
    <w:p>
      <w:pPr>
        <w:spacing w:before="10"/>
      </w:pPr>
    </w:p>
    <w:p>
      <w:pPr>
        <w:spacing w:before="10"/>
      </w:pPr>
    </w:p>
    <w:p>
      <w:pPr>
        <w:spacing w:before="10"/>
      </w:pPr>
    </w:p>
    <w:p>
      <w:pPr>
        <w:spacing w:before="10"/>
      </w:pPr>
    </w:p>
    <w:p>
      <w:pPr>
        <w:spacing w:before="10"/>
      </w:pPr>
    </w:p>
    <w:p>
      <w:pPr>
        <w:spacing w:before="10"/>
      </w:pPr>
    </w:p>
    <w:p>
      <w:pPr>
        <w:spacing w:before="10"/>
      </w:pPr>
    </w:p>
    <w:p>
      <w:pPr>
        <w:sectPr>
          <w:type w:val="nextPage"/>
          <w:pgSz w:w="11910" w:h="16840"/>
          <w:pgMar w:top="407" w:right="860" w:bottom="0" w:left="1380" w:header="0" w:footer="0" w:gutter="0"/>
          <w:pgNumType w:start="2"/>
          <w:cols w:num="1" w:space="708" w:equalWidth="0">
            <w:col w:w="9670" w:space="0"/>
          </w:cols>
          <w:titlePg w:val="0"/>
        </w:sectPr>
      </w:pPr>
    </w:p>
    <w:p>
      <w:pPr>
        <w:spacing w:before="53" w:line="188" w:lineRule="auto"/>
        <w:ind w:left="33"/>
        <w:rPr>
          <w:rFonts w:ascii="SimHei" w:eastAsia="SimHei" w:hAnsi="SimHei" w:cs="SimHei"/>
          <w:sz w:val="26"/>
          <w:szCs w:val="26"/>
        </w:rPr>
      </w:pPr>
      <w:r>
        <w:rPr>
          <w:rFonts w:ascii="SimHei" w:eastAsia="SimHei" w:hAnsi="SimHei" w:cs="SimHei"/>
          <w:b/>
          <w:bCs/>
          <w:spacing w:val="-5"/>
          <w:sz w:val="26"/>
          <w:szCs w:val="26"/>
        </w:rPr>
        <w:t>2023-08-06</w:t>
      </w:r>
      <w:r>
        <w:rPr>
          <w:rFonts w:ascii="SimHei" w:eastAsia="SimHei" w:hAnsi="SimHei" w:cs="SimHei"/>
          <w:spacing w:val="-16"/>
          <w:sz w:val="26"/>
          <w:szCs w:val="26"/>
        </w:rPr>
        <w:t xml:space="preserve"> </w:t>
      </w:r>
      <w:r>
        <w:rPr>
          <w:rFonts w:ascii="SimHei" w:eastAsia="SimHei" w:hAnsi="SimHei" w:cs="SimHei"/>
          <w:b/>
          <w:bCs/>
          <w:spacing w:val="-5"/>
          <w:sz w:val="26"/>
          <w:szCs w:val="26"/>
        </w:rPr>
        <w:t>发布</w:t>
      </w:r>
    </w:p>
    <w:p>
      <w:pPr>
        <w:spacing w:line="14" w:lineRule="auto"/>
        <w:rPr>
          <w:rFonts w:ascii="Arial"/>
          <w:sz w:val="2"/>
        </w:rPr>
      </w:pPr>
      <w:r>
        <w:rPr>
          <w:rFonts w:ascii="Arial" w:eastAsia="Arial" w:hAnsi="Arial" w:cs="Arial"/>
          <w:sz w:val="2"/>
          <w:szCs w:val="2"/>
        </w:rPr>
        <w:br w:type="column"/>
      </w:r>
    </w:p>
    <w:p>
      <w:pPr>
        <w:spacing w:before="53" w:line="187" w:lineRule="auto"/>
        <w:rPr>
          <w:rFonts w:ascii="SimHei" w:eastAsia="SimHei" w:hAnsi="SimHei" w:cs="SimHei"/>
          <w:sz w:val="26"/>
          <w:szCs w:val="26"/>
        </w:rPr>
      </w:pPr>
      <w:r>
        <w:rPr>
          <w:rFonts w:ascii="SimHei" w:eastAsia="SimHei" w:hAnsi="SimHei" w:cs="SimHei"/>
          <w:b/>
          <w:bCs/>
          <w:spacing w:val="5"/>
          <w:sz w:val="26"/>
          <w:szCs w:val="26"/>
        </w:rPr>
        <w:t>2023-08-06实施</w:t>
      </w:r>
    </w:p>
    <w:p>
      <w:pPr>
        <w:spacing w:line="187" w:lineRule="auto"/>
        <w:rPr>
          <w:rFonts w:ascii="SimHei" w:eastAsia="SimHei" w:hAnsi="SimHei" w:cs="SimHei"/>
          <w:sz w:val="26"/>
          <w:szCs w:val="26"/>
        </w:rPr>
        <w:sectPr>
          <w:type w:val="continuous"/>
          <w:pgSz w:w="11910" w:h="16840"/>
          <w:pgMar w:top="407" w:right="860" w:bottom="0" w:left="1380" w:header="0" w:footer="0" w:gutter="0"/>
          <w:pgNumType w:start="3"/>
          <w:cols w:num="2" w:space="708" w:equalWidth="0">
            <w:col w:w="7654" w:space="100"/>
            <w:col w:w="1917" w:space="0"/>
          </w:cols>
        </w:sectPr>
      </w:pPr>
    </w:p>
    <w:p>
      <w:pPr>
        <w:spacing w:before="70" w:line="20" w:lineRule="exact"/>
      </w:pPr>
      <w:r>
        <w:drawing>
          <wp:inline distT="0" distB="0" distL="0" distR="0">
            <wp:extent cx="6140429" cy="12725"/>
            <wp:effectExtent l="0" t="0" r="0" b="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xmlns:r="http://schemas.openxmlformats.org/officeDocument/2006/relationships" r:embed="rId6"/>
                    <a:stretch>
                      <a:fillRect/>
                    </a:stretch>
                  </pic:blipFill>
                  <pic:spPr>
                    <a:xfrm>
                      <a:off x="0" y="0"/>
                      <a:ext cx="6140429" cy="12725"/>
                    </a:xfrm>
                    <a:prstGeom prst="rect">
                      <a:avLst/>
                    </a:prstGeom>
                  </pic:spPr>
                </pic:pic>
              </a:graphicData>
            </a:graphic>
          </wp:inline>
        </w:drawing>
      </w:r>
    </w:p>
    <w:p>
      <w:pPr>
        <w:spacing w:line="238" w:lineRule="exact"/>
      </w:pPr>
    </w:p>
    <w:p>
      <w:pPr>
        <w:spacing w:line="238" w:lineRule="exact"/>
        <w:sectPr>
          <w:type w:val="continuous"/>
          <w:pgSz w:w="11910" w:h="16840"/>
          <w:pgMar w:top="407" w:right="860" w:bottom="0" w:left="1380" w:header="0" w:footer="0" w:gutter="0"/>
          <w:pgNumType w:start="4"/>
          <w:cols w:num="1" w:space="708" w:equalWidth="0">
            <w:col w:w="9670" w:space="0"/>
          </w:cols>
        </w:sectPr>
      </w:pPr>
    </w:p>
    <w:p>
      <w:pPr>
        <w:pStyle w:val="BodyText"/>
        <w:spacing w:before="60" w:line="479" w:lineRule="exact"/>
        <w:ind w:left="2504"/>
        <w:rPr>
          <w:sz w:val="30"/>
          <w:szCs w:val="30"/>
        </w:rPr>
      </w:pPr>
      <w:r>
        <w:rPr>
          <w:b/>
          <w:bCs/>
          <w:spacing w:val="-21"/>
          <w:position w:val="12"/>
          <w:sz w:val="30"/>
          <w:szCs w:val="30"/>
        </w:rPr>
        <w:t>国</w:t>
      </w:r>
      <w:r>
        <w:rPr>
          <w:spacing w:val="-42"/>
          <w:position w:val="12"/>
          <w:sz w:val="30"/>
          <w:szCs w:val="30"/>
        </w:rPr>
        <w:t xml:space="preserve"> </w:t>
      </w:r>
      <w:r>
        <w:rPr>
          <w:b/>
          <w:bCs/>
          <w:spacing w:val="-21"/>
          <w:position w:val="12"/>
          <w:sz w:val="30"/>
          <w:szCs w:val="30"/>
        </w:rPr>
        <w:t>家</w:t>
      </w:r>
      <w:r>
        <w:rPr>
          <w:spacing w:val="-44"/>
          <w:position w:val="12"/>
          <w:sz w:val="30"/>
          <w:szCs w:val="30"/>
        </w:rPr>
        <w:t xml:space="preserve"> </w:t>
      </w:r>
      <w:r>
        <w:rPr>
          <w:b/>
          <w:bCs/>
          <w:spacing w:val="-21"/>
          <w:position w:val="12"/>
          <w:sz w:val="30"/>
          <w:szCs w:val="30"/>
        </w:rPr>
        <w:t>市</w:t>
      </w:r>
      <w:r>
        <w:rPr>
          <w:spacing w:val="-53"/>
          <w:position w:val="12"/>
          <w:sz w:val="30"/>
          <w:szCs w:val="30"/>
        </w:rPr>
        <w:t xml:space="preserve"> </w:t>
      </w:r>
      <w:r>
        <w:rPr>
          <w:b/>
          <w:bCs/>
          <w:spacing w:val="-21"/>
          <w:position w:val="12"/>
          <w:sz w:val="30"/>
          <w:szCs w:val="30"/>
        </w:rPr>
        <w:t>场</w:t>
      </w:r>
      <w:r>
        <w:rPr>
          <w:spacing w:val="-50"/>
          <w:position w:val="12"/>
          <w:sz w:val="30"/>
          <w:szCs w:val="30"/>
        </w:rPr>
        <w:t xml:space="preserve"> </w:t>
      </w:r>
      <w:r>
        <w:rPr>
          <w:b/>
          <w:bCs/>
          <w:spacing w:val="-21"/>
          <w:position w:val="12"/>
          <w:sz w:val="30"/>
          <w:szCs w:val="30"/>
        </w:rPr>
        <w:t>监</w:t>
      </w:r>
      <w:r>
        <w:rPr>
          <w:spacing w:val="-46"/>
          <w:position w:val="12"/>
          <w:sz w:val="30"/>
          <w:szCs w:val="30"/>
        </w:rPr>
        <w:t xml:space="preserve"> </w:t>
      </w:r>
      <w:r>
        <w:rPr>
          <w:b/>
          <w:bCs/>
          <w:spacing w:val="-21"/>
          <w:position w:val="12"/>
          <w:sz w:val="30"/>
          <w:szCs w:val="30"/>
        </w:rPr>
        <w:t>督</w:t>
      </w:r>
      <w:r>
        <w:rPr>
          <w:spacing w:val="-45"/>
          <w:position w:val="12"/>
          <w:sz w:val="30"/>
          <w:szCs w:val="30"/>
        </w:rPr>
        <w:t xml:space="preserve"> </w:t>
      </w:r>
      <w:r>
        <w:rPr>
          <w:b/>
          <w:bCs/>
          <w:spacing w:val="-21"/>
          <w:position w:val="12"/>
          <w:sz w:val="30"/>
          <w:szCs w:val="30"/>
        </w:rPr>
        <w:t>管</w:t>
      </w:r>
      <w:r>
        <w:rPr>
          <w:spacing w:val="-48"/>
          <w:position w:val="12"/>
          <w:sz w:val="30"/>
          <w:szCs w:val="30"/>
        </w:rPr>
        <w:t xml:space="preserve"> </w:t>
      </w:r>
      <w:r>
        <w:rPr>
          <w:b/>
          <w:bCs/>
          <w:spacing w:val="-21"/>
          <w:position w:val="12"/>
          <w:sz w:val="30"/>
          <w:szCs w:val="30"/>
        </w:rPr>
        <w:t>理</w:t>
      </w:r>
      <w:r>
        <w:rPr>
          <w:spacing w:val="-43"/>
          <w:position w:val="12"/>
          <w:sz w:val="30"/>
          <w:szCs w:val="30"/>
        </w:rPr>
        <w:t xml:space="preserve"> </w:t>
      </w:r>
      <w:r>
        <w:rPr>
          <w:b/>
          <w:bCs/>
          <w:spacing w:val="-21"/>
          <w:position w:val="12"/>
          <w:sz w:val="30"/>
          <w:szCs w:val="30"/>
        </w:rPr>
        <w:t>总</w:t>
      </w:r>
      <w:r>
        <w:rPr>
          <w:spacing w:val="-48"/>
          <w:position w:val="12"/>
          <w:sz w:val="30"/>
          <w:szCs w:val="30"/>
        </w:rPr>
        <w:t xml:space="preserve"> </w:t>
      </w:r>
      <w:r>
        <w:rPr>
          <w:b/>
          <w:bCs/>
          <w:spacing w:val="-21"/>
          <w:position w:val="12"/>
          <w:sz w:val="30"/>
          <w:szCs w:val="30"/>
        </w:rPr>
        <w:t>局</w:t>
      </w:r>
    </w:p>
    <w:p>
      <w:pPr>
        <w:pStyle w:val="BodyText"/>
        <w:spacing w:before="1" w:line="184" w:lineRule="auto"/>
        <w:ind w:left="2504"/>
        <w:rPr>
          <w:sz w:val="30"/>
          <w:szCs w:val="30"/>
        </w:rPr>
      </w:pPr>
      <w:r>
        <w:rPr>
          <w:b/>
          <w:bCs/>
          <w:spacing w:val="70"/>
          <w:sz w:val="30"/>
          <w:szCs w:val="30"/>
        </w:rPr>
        <w:t>国家标准化管理委员会</w:t>
      </w:r>
    </w:p>
    <w:p>
      <w:pPr>
        <w:spacing w:line="14" w:lineRule="auto"/>
        <w:rPr>
          <w:rFonts w:ascii="Arial"/>
          <w:sz w:val="2"/>
        </w:rPr>
      </w:pPr>
      <w:r>
        <w:rPr>
          <w:rFonts w:ascii="Arial" w:eastAsia="Arial" w:hAnsi="Arial" w:cs="Arial"/>
          <w:sz w:val="2"/>
          <w:szCs w:val="2"/>
        </w:rPr>
        <w:br w:type="column"/>
      </w:r>
    </w:p>
    <w:p>
      <w:pPr>
        <w:spacing w:line="275" w:lineRule="auto"/>
        <w:rPr>
          <w:rFonts w:ascii="Arial"/>
          <w:sz w:val="21"/>
        </w:rPr>
      </w:pPr>
    </w:p>
    <w:p>
      <w:pPr>
        <w:spacing w:before="79" w:line="221" w:lineRule="auto"/>
        <w:rPr>
          <w:rFonts w:ascii="SimHei" w:eastAsia="SimHei" w:hAnsi="SimHei" w:cs="SimHei"/>
          <w:sz w:val="24"/>
          <w:szCs w:val="24"/>
        </w:rPr>
      </w:pPr>
      <w:r>
        <w:rPr>
          <w:rFonts w:ascii="SimHei" w:eastAsia="SimHei" w:hAnsi="SimHei" w:cs="SimHei"/>
          <w:b/>
          <w:bCs/>
          <w:spacing w:val="-9"/>
          <w:sz w:val="24"/>
          <w:szCs w:val="24"/>
        </w:rPr>
        <w:t>发</w:t>
      </w:r>
      <w:r>
        <w:rPr>
          <w:rFonts w:ascii="SimHei" w:eastAsia="SimHei" w:hAnsi="SimHei" w:cs="SimHei"/>
          <w:spacing w:val="56"/>
          <w:sz w:val="24"/>
          <w:szCs w:val="24"/>
        </w:rPr>
        <w:t xml:space="preserve"> </w:t>
      </w:r>
      <w:r>
        <w:rPr>
          <w:rFonts w:ascii="SimHei" w:eastAsia="SimHei" w:hAnsi="SimHei" w:cs="SimHei"/>
          <w:b/>
          <w:bCs/>
          <w:spacing w:val="-9"/>
          <w:sz w:val="24"/>
          <w:szCs w:val="24"/>
        </w:rPr>
        <w:t>布</w:t>
      </w:r>
    </w:p>
    <w:p>
      <w:pPr>
        <w:spacing w:line="221" w:lineRule="auto"/>
        <w:rPr>
          <w:rFonts w:ascii="SimHei" w:eastAsia="SimHei" w:hAnsi="SimHei" w:cs="SimHei"/>
          <w:sz w:val="24"/>
          <w:szCs w:val="24"/>
        </w:rPr>
        <w:sectPr>
          <w:type w:val="continuous"/>
          <w:pgSz w:w="11910" w:h="16840"/>
          <w:pgMar w:top="407" w:right="860" w:bottom="0" w:left="1380" w:header="0" w:footer="0" w:gutter="0"/>
          <w:pgNumType w:start="5"/>
          <w:cols w:num="2" w:space="708" w:equalWidth="0">
            <w:col w:w="6464" w:space="100"/>
            <w:col w:w="3107" w:space="0"/>
          </w:cols>
        </w:sectPr>
      </w:pPr>
    </w:p>
    <w:p>
      <w:pPr>
        <w:spacing w:before="27" w:line="189" w:lineRule="auto"/>
        <w:ind w:left="10"/>
        <w:rPr>
          <w:rFonts w:ascii="Times New Roman" w:eastAsia="Times New Roman" w:hAnsi="Times New Roman" w:cs="Times New Roman"/>
          <w:sz w:val="20"/>
          <w:szCs w:val="20"/>
        </w:rPr>
      </w:pPr>
      <w:r>
        <w:rPr>
          <w:rFonts w:ascii="Times New Roman" w:eastAsia="Times New Roman" w:hAnsi="Times New Roman" w:cs="Times New Roman"/>
          <w:b/>
          <w:bCs/>
          <w:sz w:val="20"/>
          <w:szCs w:val="20"/>
        </w:rPr>
        <w:t>GB/T    27000—2023/ISO</w:t>
      </w:r>
      <w:r>
        <w:rPr>
          <w:rFonts w:ascii="Times New Roman" w:eastAsia="Times New Roman" w:hAnsi="Times New Roman" w:cs="Times New Roman"/>
          <w:b/>
          <w:bCs/>
          <w:spacing w:val="-1"/>
          <w:sz w:val="20"/>
          <w:szCs w:val="20"/>
        </w:rPr>
        <w:t>/ IEC    17000:2020</w:t>
      </w:r>
    </w:p>
    <w:p>
      <w:pPr>
        <w:spacing w:line="354" w:lineRule="auto"/>
        <w:rPr>
          <w:rFonts w:ascii="Arial"/>
          <w:sz w:val="21"/>
        </w:rPr>
      </w:pPr>
    </w:p>
    <w:p>
      <w:pPr>
        <w:spacing w:line="355" w:lineRule="auto"/>
        <w:rPr>
          <w:rFonts w:ascii="Arial"/>
          <w:sz w:val="21"/>
        </w:rPr>
      </w:pPr>
    </w:p>
    <w:p>
      <w:pPr>
        <w:pStyle w:val="BodyText"/>
        <w:spacing w:before="94" w:line="219" w:lineRule="auto"/>
        <w:ind w:left="4024"/>
        <w:rPr>
          <w:sz w:val="29"/>
          <w:szCs w:val="29"/>
        </w:rPr>
      </w:pPr>
      <w:r>
        <w:rPr>
          <w:b/>
          <w:bCs/>
          <w:spacing w:val="-37"/>
          <w:sz w:val="29"/>
          <w:szCs w:val="29"/>
        </w:rPr>
        <w:t>目</w:t>
      </w:r>
      <w:r>
        <w:rPr>
          <w:spacing w:val="32"/>
          <w:sz w:val="29"/>
          <w:szCs w:val="29"/>
        </w:rPr>
        <w:t xml:space="preserve">    </w:t>
      </w:r>
      <w:r>
        <w:rPr>
          <w:b/>
          <w:bCs/>
          <w:spacing w:val="-37"/>
          <w:sz w:val="29"/>
          <w:szCs w:val="29"/>
        </w:rPr>
        <w:t>次</w:t>
      </w:r>
    </w:p>
    <w:p>
      <w:pPr>
        <w:spacing w:line="284" w:lineRule="auto"/>
        <w:rPr>
          <w:rFonts w:ascii="Arial"/>
          <w:sz w:val="21"/>
        </w:rPr>
      </w:pPr>
    </w:p>
    <w:p>
      <w:pPr>
        <w:spacing w:line="284" w:lineRule="auto"/>
        <w:rPr>
          <w:rFonts w:ascii="Arial"/>
          <w:sz w:val="21"/>
        </w:rPr>
      </w:pPr>
    </w:p>
    <w:sdt>
      <w:sdtPr>
        <w:rPr>
          <w:rFonts w:ascii="SimSun" w:eastAsia="SimSun" w:hAnsi="SimSun" w:cs="SimSun"/>
          <w:sz w:val="20"/>
          <w:szCs w:val="20"/>
        </w:rPr>
        <w:id w:val="2089787912"/>
        <w:docPartObj>
          <w:docPartGallery w:val="Table of Contents"/>
          <w:docPartUnique/>
        </w:docPartObj>
      </w:sdtPr>
      <w:sdtEndPr>
        <w:rPr>
          <w:rFonts w:ascii="Times New Roman" w:eastAsia="Times New Roman" w:hAnsi="Times New Roman" w:cs="Times New Roman"/>
          <w:sz w:val="20"/>
          <w:szCs w:val="20"/>
        </w:rPr>
      </w:sdtEndPr>
      <w:sdtContent>
        <w:p>
          <w:pPr>
            <w:pStyle w:val="BodyText"/>
            <w:tabs>
              <w:tab w:val="right" w:leader="dot" w:pos="9120"/>
            </w:tabs>
            <w:spacing w:before="65" w:line="221" w:lineRule="auto"/>
            <w:rPr>
              <w:rFonts w:ascii="Times New Roman" w:eastAsia="Times New Roman" w:hAnsi="Times New Roman" w:cs="Times New Roman"/>
              <w:sz w:val="20"/>
              <w:szCs w:val="20"/>
            </w:rPr>
          </w:pPr>
          <w:r>
            <w:rPr>
              <w:spacing w:val="-6"/>
              <w:sz w:val="20"/>
              <w:szCs w:val="20"/>
            </w:rPr>
            <w:t>前言</w:t>
          </w:r>
          <w:r>
            <w:rPr>
              <w:spacing w:val="40"/>
              <w:sz w:val="20"/>
              <w:szCs w:val="20"/>
            </w:rPr>
            <w:t xml:space="preserve"> </w:t>
          </w:r>
          <w:r>
            <w:rPr>
              <w:sz w:val="20"/>
              <w:szCs w:val="20"/>
            </w:rPr>
            <w:tab/>
          </w:r>
          <w:r>
            <w:rPr>
              <w:spacing w:val="-92"/>
              <w:sz w:val="20"/>
              <w:szCs w:val="20"/>
            </w:rPr>
            <w:t xml:space="preserve"> </w:t>
          </w:r>
          <w:r>
            <w:rPr>
              <w:rFonts w:ascii="Times New Roman" w:eastAsia="Times New Roman" w:hAnsi="Times New Roman" w:cs="Times New Roman"/>
              <w:sz w:val="20"/>
              <w:szCs w:val="20"/>
            </w:rPr>
            <w:t>I</w:t>
          </w:r>
        </w:p>
        <w:p>
          <w:pPr>
            <w:pStyle w:val="BodyText"/>
            <w:tabs>
              <w:tab w:val="right" w:leader="dot" w:pos="9144"/>
            </w:tabs>
            <w:spacing w:before="140" w:line="221" w:lineRule="auto"/>
            <w:ind w:left="80"/>
            <w:rPr>
              <w:rFonts w:ascii="Times New Roman" w:eastAsia="Times New Roman" w:hAnsi="Times New Roman" w:cs="Times New Roman"/>
              <w:sz w:val="20"/>
              <w:szCs w:val="20"/>
            </w:rPr>
          </w:pPr>
          <w:r>
            <w:rPr>
              <w:spacing w:val="-37"/>
              <w:w w:val="99"/>
              <w:sz w:val="20"/>
              <w:szCs w:val="20"/>
            </w:rPr>
            <w:t>引言</w:t>
          </w:r>
          <w:r>
            <w:rPr>
              <w:spacing w:val="-63"/>
              <w:sz w:val="20"/>
              <w:szCs w:val="20"/>
            </w:rPr>
            <w:t xml:space="preserve"> </w:t>
          </w:r>
          <w:r>
            <w:rPr>
              <w:sz w:val="20"/>
              <w:szCs w:val="20"/>
            </w:rPr>
            <w:tab/>
          </w:r>
          <w:r>
            <w:rPr>
              <w:rFonts w:ascii="Times New Roman" w:eastAsia="Times New Roman" w:hAnsi="Times New Roman" w:cs="Times New Roman"/>
              <w:sz w:val="20"/>
              <w:szCs w:val="20"/>
            </w:rPr>
            <w:t>Ⅱ</w:t>
          </w:r>
        </w:p>
        <w:p>
          <w:pPr>
            <w:pStyle w:val="BodyText"/>
            <w:tabs>
              <w:tab w:val="right" w:leader="dot" w:pos="9175"/>
            </w:tabs>
            <w:spacing w:before="110" w:line="220" w:lineRule="auto"/>
            <w:rPr>
              <w:rFonts w:ascii="Times New Roman" w:eastAsia="Times New Roman" w:hAnsi="Times New Roman" w:cs="Times New Roman"/>
              <w:sz w:val="20"/>
              <w:szCs w:val="20"/>
            </w:rPr>
          </w:pPr>
          <w:r>
            <w:rPr>
              <w:rFonts w:ascii="Times New Roman" w:eastAsia="Times New Roman" w:hAnsi="Times New Roman" w:cs="Times New Roman"/>
              <w:spacing w:val="-7"/>
              <w:sz w:val="20"/>
              <w:szCs w:val="20"/>
            </w:rPr>
            <w:t>1</w:t>
          </w:r>
          <w:r>
            <w:rPr>
              <w:rFonts w:ascii="Times New Roman" w:eastAsia="Times New Roman" w:hAnsi="Times New Roman" w:cs="Times New Roman"/>
              <w:sz w:val="20"/>
              <w:szCs w:val="20"/>
            </w:rPr>
            <w:t xml:space="preserve">    </w:t>
          </w:r>
          <w:r>
            <w:rPr>
              <w:spacing w:val="-7"/>
              <w:sz w:val="20"/>
              <w:szCs w:val="20"/>
            </w:rPr>
            <w:t>范围</w:t>
          </w:r>
          <w:r>
            <w:rPr>
              <w:spacing w:val="50"/>
              <w:sz w:val="20"/>
              <w:szCs w:val="20"/>
            </w:rPr>
            <w:t xml:space="preserve"> </w:t>
          </w:r>
          <w:r>
            <w:rPr>
              <w:sz w:val="20"/>
              <w:szCs w:val="20"/>
            </w:rPr>
            <w:tab/>
          </w:r>
          <w:hyperlink w:anchor="bookmark1" w:history="1">
            <w:r>
              <w:rPr>
                <w:rFonts w:ascii="Times New Roman" w:eastAsia="Times New Roman" w:hAnsi="Times New Roman" w:cs="Times New Roman"/>
                <w:spacing w:val="-16"/>
                <w:sz w:val="20"/>
                <w:szCs w:val="20"/>
              </w:rPr>
              <w:t>1</w:t>
            </w:r>
          </w:hyperlink>
        </w:p>
        <w:p>
          <w:pPr>
            <w:pStyle w:val="BodyText"/>
            <w:tabs>
              <w:tab w:val="right" w:leader="dot" w:pos="9155"/>
            </w:tabs>
            <w:spacing w:before="141" w:line="219" w:lineRule="auto"/>
            <w:rPr>
              <w:rFonts w:ascii="Times New Roman" w:eastAsia="Times New Roman" w:hAnsi="Times New Roman" w:cs="Times New Roman"/>
              <w:sz w:val="20"/>
              <w:szCs w:val="20"/>
            </w:rPr>
          </w:pPr>
          <w:r>
            <w:rPr>
              <w:rFonts w:ascii="Times New Roman" w:eastAsia="Times New Roman" w:hAnsi="Times New Roman" w:cs="Times New Roman"/>
              <w:spacing w:val="8"/>
              <w:sz w:val="20"/>
              <w:szCs w:val="20"/>
            </w:rPr>
            <w:t>2</w:t>
          </w:r>
          <w:r>
            <w:rPr>
              <w:rFonts w:ascii="Times New Roman" w:eastAsia="Times New Roman" w:hAnsi="Times New Roman" w:cs="Times New Roman"/>
              <w:spacing w:val="16"/>
              <w:w w:val="101"/>
              <w:sz w:val="20"/>
              <w:szCs w:val="20"/>
            </w:rPr>
            <w:t xml:space="preserve">   </w:t>
          </w:r>
          <w:r>
            <w:rPr>
              <w:spacing w:val="8"/>
              <w:sz w:val="20"/>
              <w:szCs w:val="20"/>
            </w:rPr>
            <w:t>规范性引用文件</w:t>
          </w:r>
          <w:r>
            <w:rPr>
              <w:spacing w:val="45"/>
              <w:sz w:val="20"/>
              <w:szCs w:val="20"/>
            </w:rPr>
            <w:t xml:space="preserve"> </w:t>
          </w:r>
          <w:r>
            <w:rPr>
              <w:sz w:val="20"/>
              <w:szCs w:val="20"/>
            </w:rPr>
            <w:tab/>
          </w:r>
          <w:hyperlink w:anchor="bookmark2" w:history="1">
            <w:r>
              <w:rPr>
                <w:rFonts w:ascii="Times New Roman" w:eastAsia="Times New Roman" w:hAnsi="Times New Roman" w:cs="Times New Roman"/>
                <w:spacing w:val="-31"/>
                <w:sz w:val="20"/>
                <w:szCs w:val="20"/>
              </w:rPr>
              <w:t>1</w:t>
            </w:r>
          </w:hyperlink>
        </w:p>
        <w:p>
          <w:pPr>
            <w:pStyle w:val="BodyText"/>
            <w:tabs>
              <w:tab w:val="right" w:leader="dot" w:pos="9155"/>
            </w:tabs>
            <w:spacing w:before="133" w:line="219" w:lineRule="auto"/>
            <w:rPr>
              <w:rFonts w:ascii="Times New Roman" w:eastAsia="Times New Roman" w:hAnsi="Times New Roman" w:cs="Times New Roman"/>
              <w:sz w:val="20"/>
              <w:szCs w:val="20"/>
            </w:rPr>
          </w:pPr>
          <w:r>
            <w:rPr>
              <w:rFonts w:ascii="Times New Roman" w:eastAsia="Times New Roman" w:hAnsi="Times New Roman" w:cs="Times New Roman"/>
              <w:spacing w:val="6"/>
              <w:sz w:val="20"/>
              <w:szCs w:val="20"/>
            </w:rPr>
            <w:t xml:space="preserve">3    </w:t>
          </w:r>
          <w:r>
            <w:rPr>
              <w:spacing w:val="6"/>
              <w:sz w:val="20"/>
              <w:szCs w:val="20"/>
            </w:rPr>
            <w:t>与合格评定相关的通用术语</w:t>
          </w:r>
          <w:r>
            <w:rPr>
              <w:spacing w:val="46"/>
              <w:sz w:val="20"/>
              <w:szCs w:val="20"/>
            </w:rPr>
            <w:t xml:space="preserve"> </w:t>
          </w:r>
          <w:r>
            <w:rPr>
              <w:sz w:val="20"/>
              <w:szCs w:val="20"/>
            </w:rPr>
            <w:tab/>
          </w:r>
          <w:hyperlink w:anchor="bookmark3" w:history="1">
            <w:r>
              <w:rPr>
                <w:rFonts w:ascii="Times New Roman" w:eastAsia="Times New Roman" w:hAnsi="Times New Roman" w:cs="Times New Roman"/>
                <w:sz w:val="20"/>
                <w:szCs w:val="20"/>
              </w:rPr>
              <w:t>1</w:t>
            </w:r>
          </w:hyperlink>
        </w:p>
        <w:p>
          <w:pPr>
            <w:pStyle w:val="BodyText"/>
            <w:tabs>
              <w:tab w:val="right" w:leader="dot" w:pos="9160"/>
            </w:tabs>
            <w:spacing w:before="122" w:line="219" w:lineRule="auto"/>
            <w:rPr>
              <w:rFonts w:ascii="Times New Roman" w:eastAsia="Times New Roman" w:hAnsi="Times New Roman" w:cs="Times New Roman"/>
              <w:sz w:val="20"/>
              <w:szCs w:val="20"/>
            </w:rPr>
          </w:pPr>
          <w:r>
            <w:rPr>
              <w:rFonts w:ascii="Times New Roman" w:eastAsia="Times New Roman" w:hAnsi="Times New Roman" w:cs="Times New Roman"/>
              <w:spacing w:val="8"/>
              <w:sz w:val="20"/>
              <w:szCs w:val="20"/>
            </w:rPr>
            <w:t>4</w:t>
          </w:r>
          <w:r>
            <w:rPr>
              <w:rFonts w:ascii="Times New Roman" w:eastAsia="Times New Roman" w:hAnsi="Times New Roman" w:cs="Times New Roman"/>
              <w:spacing w:val="2"/>
              <w:sz w:val="20"/>
              <w:szCs w:val="20"/>
            </w:rPr>
            <w:t xml:space="preserve">    </w:t>
          </w:r>
          <w:r>
            <w:rPr>
              <w:spacing w:val="8"/>
              <w:sz w:val="20"/>
              <w:szCs w:val="20"/>
            </w:rPr>
            <w:t>与基本概念相关的术语</w:t>
          </w:r>
          <w:r>
            <w:rPr>
              <w:spacing w:val="43"/>
              <w:sz w:val="20"/>
              <w:szCs w:val="20"/>
            </w:rPr>
            <w:t xml:space="preserve"> </w:t>
          </w:r>
          <w:r>
            <w:rPr>
              <w:sz w:val="20"/>
              <w:szCs w:val="20"/>
            </w:rPr>
            <w:tab/>
          </w:r>
          <w:hyperlink w:anchor="bookmark4" w:history="1">
            <w:r>
              <w:rPr>
                <w:rFonts w:ascii="Times New Roman" w:eastAsia="Times New Roman" w:hAnsi="Times New Roman" w:cs="Times New Roman"/>
                <w:sz w:val="20"/>
                <w:szCs w:val="20"/>
              </w:rPr>
              <w:t>3</w:t>
            </w:r>
          </w:hyperlink>
        </w:p>
        <w:p>
          <w:pPr>
            <w:pStyle w:val="BodyText"/>
            <w:tabs>
              <w:tab w:val="right" w:leader="dot" w:pos="9160"/>
            </w:tabs>
            <w:spacing w:before="144" w:line="219" w:lineRule="auto"/>
            <w:rPr>
              <w:rFonts w:ascii="Times New Roman" w:eastAsia="Times New Roman" w:hAnsi="Times New Roman" w:cs="Times New Roman"/>
              <w:sz w:val="20"/>
              <w:szCs w:val="20"/>
            </w:rPr>
          </w:pPr>
          <w:r>
            <w:rPr>
              <w:rFonts w:ascii="Times New Roman" w:eastAsia="Times New Roman" w:hAnsi="Times New Roman" w:cs="Times New Roman"/>
              <w:spacing w:val="11"/>
              <w:sz w:val="20"/>
              <w:szCs w:val="20"/>
            </w:rPr>
            <w:t>5</w:t>
          </w:r>
          <w:r>
            <w:rPr>
              <w:rFonts w:ascii="Times New Roman" w:eastAsia="Times New Roman" w:hAnsi="Times New Roman" w:cs="Times New Roman"/>
              <w:spacing w:val="17"/>
              <w:sz w:val="20"/>
              <w:szCs w:val="20"/>
            </w:rPr>
            <w:t xml:space="preserve">   </w:t>
          </w:r>
          <w:r>
            <w:rPr>
              <w:spacing w:val="11"/>
              <w:sz w:val="20"/>
              <w:szCs w:val="20"/>
            </w:rPr>
            <w:t>关于选取和确定的术语</w:t>
          </w:r>
          <w:r>
            <w:rPr>
              <w:spacing w:val="47"/>
              <w:sz w:val="20"/>
              <w:szCs w:val="20"/>
            </w:rPr>
            <w:t xml:space="preserve"> </w:t>
          </w:r>
          <w:r>
            <w:rPr>
              <w:sz w:val="20"/>
              <w:szCs w:val="20"/>
            </w:rPr>
            <w:tab/>
          </w:r>
          <w:hyperlink w:anchor="bookmark5" w:history="1">
            <w:r>
              <w:rPr>
                <w:rFonts w:ascii="Times New Roman" w:eastAsia="Times New Roman" w:hAnsi="Times New Roman" w:cs="Times New Roman"/>
                <w:sz w:val="20"/>
                <w:szCs w:val="20"/>
              </w:rPr>
              <w:t>3</w:t>
            </w:r>
          </w:hyperlink>
        </w:p>
        <w:p>
          <w:pPr>
            <w:pStyle w:val="BodyText"/>
            <w:tabs>
              <w:tab w:val="right" w:leader="dot" w:pos="9155"/>
            </w:tabs>
            <w:spacing w:before="113" w:line="219" w:lineRule="auto"/>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6</w:t>
          </w:r>
          <w:r>
            <w:rPr>
              <w:rFonts w:ascii="Times New Roman" w:eastAsia="Times New Roman" w:hAnsi="Times New Roman" w:cs="Times New Roman"/>
              <w:spacing w:val="16"/>
              <w:w w:val="101"/>
              <w:sz w:val="20"/>
              <w:szCs w:val="20"/>
            </w:rPr>
            <w:t xml:space="preserve">   </w:t>
          </w:r>
          <w:r>
            <w:rPr>
              <w:spacing w:val="2"/>
              <w:sz w:val="20"/>
              <w:szCs w:val="20"/>
            </w:rPr>
            <w:t>关于复核、决定和证明的术语</w:t>
          </w:r>
          <w:r>
            <w:rPr>
              <w:spacing w:val="-79"/>
              <w:sz w:val="20"/>
              <w:szCs w:val="20"/>
            </w:rPr>
            <w:t xml:space="preserve"> </w:t>
          </w:r>
          <w:r>
            <w:rPr>
              <w:sz w:val="20"/>
              <w:szCs w:val="20"/>
            </w:rPr>
            <w:tab/>
          </w:r>
          <w:hyperlink w:anchor="bookmark6" w:history="1">
            <w:r>
              <w:rPr>
                <w:rFonts w:ascii="Times New Roman" w:eastAsia="Times New Roman" w:hAnsi="Times New Roman" w:cs="Times New Roman"/>
                <w:spacing w:val="4"/>
                <w:sz w:val="20"/>
                <w:szCs w:val="20"/>
              </w:rPr>
              <w:t>4</w:t>
            </w:r>
          </w:hyperlink>
        </w:p>
        <w:p>
          <w:pPr>
            <w:pStyle w:val="BodyText"/>
            <w:tabs>
              <w:tab w:val="right" w:leader="dot" w:pos="9160"/>
            </w:tabs>
            <w:spacing w:before="132" w:line="219" w:lineRule="auto"/>
            <w:rPr>
              <w:rFonts w:ascii="Times New Roman" w:eastAsia="Times New Roman" w:hAnsi="Times New Roman" w:cs="Times New Roman"/>
              <w:sz w:val="20"/>
              <w:szCs w:val="20"/>
            </w:rPr>
          </w:pPr>
          <w:r>
            <w:rPr>
              <w:rFonts w:ascii="Times New Roman" w:eastAsia="Times New Roman" w:hAnsi="Times New Roman" w:cs="Times New Roman"/>
              <w:spacing w:val="8"/>
              <w:sz w:val="20"/>
              <w:szCs w:val="20"/>
            </w:rPr>
            <w:t>7</w:t>
          </w:r>
          <w:r>
            <w:rPr>
              <w:rFonts w:ascii="Times New Roman" w:eastAsia="Times New Roman" w:hAnsi="Times New Roman" w:cs="Times New Roman"/>
              <w:spacing w:val="16"/>
              <w:w w:val="101"/>
              <w:sz w:val="20"/>
              <w:szCs w:val="20"/>
            </w:rPr>
            <w:t xml:space="preserve">   </w:t>
          </w:r>
          <w:r>
            <w:rPr>
              <w:spacing w:val="8"/>
              <w:sz w:val="20"/>
              <w:szCs w:val="20"/>
            </w:rPr>
            <w:t>关于监督的术语</w:t>
          </w:r>
          <w:r>
            <w:rPr>
              <w:spacing w:val="45"/>
              <w:sz w:val="20"/>
              <w:szCs w:val="20"/>
            </w:rPr>
            <w:t xml:space="preserve"> </w:t>
          </w:r>
          <w:r>
            <w:rPr>
              <w:sz w:val="20"/>
              <w:szCs w:val="20"/>
            </w:rPr>
            <w:tab/>
          </w:r>
          <w:hyperlink w:anchor="bookmark7" w:history="1">
            <w:r>
              <w:rPr>
                <w:rFonts w:ascii="Times New Roman" w:eastAsia="Times New Roman" w:hAnsi="Times New Roman" w:cs="Times New Roman"/>
                <w:sz w:val="20"/>
                <w:szCs w:val="20"/>
              </w:rPr>
              <w:t>5</w:t>
            </w:r>
          </w:hyperlink>
        </w:p>
        <w:p>
          <w:pPr>
            <w:pStyle w:val="BodyText"/>
            <w:tabs>
              <w:tab w:val="right" w:leader="dot" w:pos="9160"/>
            </w:tabs>
            <w:spacing w:before="143" w:line="219" w:lineRule="auto"/>
            <w:rPr>
              <w:rFonts w:ascii="Times New Roman" w:eastAsia="Times New Roman" w:hAnsi="Times New Roman" w:cs="Times New Roman"/>
              <w:sz w:val="20"/>
              <w:szCs w:val="20"/>
            </w:rPr>
          </w:pPr>
          <w:r>
            <w:rPr>
              <w:rFonts w:ascii="Times New Roman" w:eastAsia="Times New Roman" w:hAnsi="Times New Roman" w:cs="Times New Roman"/>
              <w:spacing w:val="11"/>
              <w:sz w:val="20"/>
              <w:szCs w:val="20"/>
            </w:rPr>
            <w:t>8</w:t>
          </w:r>
          <w:r>
            <w:rPr>
              <w:rFonts w:ascii="Times New Roman" w:eastAsia="Times New Roman" w:hAnsi="Times New Roman" w:cs="Times New Roman"/>
              <w:sz w:val="20"/>
              <w:szCs w:val="20"/>
            </w:rPr>
            <w:t xml:space="preserve">    </w:t>
          </w:r>
          <w:r>
            <w:rPr>
              <w:spacing w:val="11"/>
              <w:sz w:val="20"/>
              <w:szCs w:val="20"/>
            </w:rPr>
            <w:t>关于贸易和法规的术语</w:t>
          </w:r>
          <w:r>
            <w:rPr>
              <w:spacing w:val="48"/>
              <w:sz w:val="20"/>
              <w:szCs w:val="20"/>
            </w:rPr>
            <w:t xml:space="preserve"> </w:t>
          </w:r>
          <w:r>
            <w:rPr>
              <w:sz w:val="20"/>
              <w:szCs w:val="20"/>
            </w:rPr>
            <w:tab/>
          </w:r>
          <w:hyperlink w:anchor="bookmark8" w:history="1">
            <w:r>
              <w:rPr>
                <w:rFonts w:ascii="Times New Roman" w:eastAsia="Times New Roman" w:hAnsi="Times New Roman" w:cs="Times New Roman"/>
                <w:sz w:val="20"/>
                <w:szCs w:val="20"/>
              </w:rPr>
              <w:t>6</w:t>
            </w:r>
          </w:hyperlink>
        </w:p>
        <w:p>
          <w:pPr>
            <w:pStyle w:val="BodyText"/>
            <w:tabs>
              <w:tab w:val="right" w:leader="dot" w:pos="9157"/>
            </w:tabs>
            <w:spacing w:before="111" w:line="219" w:lineRule="auto"/>
            <w:rPr>
              <w:rFonts w:ascii="Times New Roman" w:eastAsia="Times New Roman" w:hAnsi="Times New Roman" w:cs="Times New Roman"/>
              <w:sz w:val="20"/>
              <w:szCs w:val="20"/>
            </w:rPr>
          </w:pPr>
          <w:r>
            <w:rPr>
              <w:spacing w:val="10"/>
              <w:sz w:val="20"/>
              <w:szCs w:val="20"/>
            </w:rPr>
            <w:t>附录</w:t>
          </w:r>
          <w:r>
            <w:rPr>
              <w:spacing w:val="-52"/>
              <w:sz w:val="20"/>
              <w:szCs w:val="20"/>
            </w:rPr>
            <w:t xml:space="preserve"> </w:t>
          </w:r>
          <w:r>
            <w:rPr>
              <w:rFonts w:ascii="Times New Roman" w:eastAsia="Times New Roman" w:hAnsi="Times New Roman" w:cs="Times New Roman"/>
              <w:spacing w:val="10"/>
              <w:sz w:val="20"/>
              <w:szCs w:val="20"/>
            </w:rPr>
            <w:t xml:space="preserve">A  </w:t>
          </w:r>
          <w:r>
            <w:rPr>
              <w:spacing w:val="10"/>
              <w:sz w:val="20"/>
              <w:szCs w:val="20"/>
            </w:rPr>
            <w:t>(资料性)</w:t>
          </w:r>
          <w:r>
            <w:rPr>
              <w:spacing w:val="54"/>
              <w:sz w:val="20"/>
              <w:szCs w:val="20"/>
            </w:rPr>
            <w:t xml:space="preserve"> </w:t>
          </w:r>
          <w:r>
            <w:rPr>
              <w:spacing w:val="10"/>
              <w:sz w:val="20"/>
              <w:szCs w:val="20"/>
            </w:rPr>
            <w:t>合格评定的原则</w:t>
          </w:r>
          <w:r>
            <w:rPr>
              <w:spacing w:val="52"/>
              <w:sz w:val="20"/>
              <w:szCs w:val="20"/>
            </w:rPr>
            <w:t xml:space="preserve"> </w:t>
          </w:r>
          <w:r>
            <w:rPr>
              <w:sz w:val="20"/>
              <w:szCs w:val="20"/>
            </w:rPr>
            <w:tab/>
          </w:r>
          <w:hyperlink w:anchor="bookmark9" w:history="1">
            <w:r>
              <w:rPr>
                <w:rFonts w:ascii="Times New Roman" w:eastAsia="Times New Roman" w:hAnsi="Times New Roman" w:cs="Times New Roman"/>
                <w:sz w:val="20"/>
                <w:szCs w:val="20"/>
              </w:rPr>
              <w:t>8</w:t>
            </w:r>
          </w:hyperlink>
        </w:p>
        <w:p>
          <w:pPr>
            <w:pStyle w:val="BodyText"/>
            <w:tabs>
              <w:tab w:val="right" w:leader="dot" w:pos="9155"/>
            </w:tabs>
            <w:spacing w:before="133" w:line="219" w:lineRule="auto"/>
            <w:rPr>
              <w:rFonts w:ascii="Times New Roman" w:eastAsia="Times New Roman" w:hAnsi="Times New Roman" w:cs="Times New Roman"/>
              <w:sz w:val="20"/>
              <w:szCs w:val="20"/>
            </w:rPr>
          </w:pPr>
          <w:r>
            <w:rPr>
              <w:spacing w:val="9"/>
              <w:sz w:val="20"/>
              <w:szCs w:val="20"/>
            </w:rPr>
            <w:t>附录</w:t>
          </w:r>
          <w:r>
            <w:rPr>
              <w:spacing w:val="-44"/>
              <w:sz w:val="20"/>
              <w:szCs w:val="20"/>
            </w:rPr>
            <w:t xml:space="preserve"> </w:t>
          </w:r>
          <w:r>
            <w:rPr>
              <w:rFonts w:ascii="Times New Roman" w:eastAsia="Times New Roman" w:hAnsi="Times New Roman" w:cs="Times New Roman"/>
              <w:spacing w:val="9"/>
              <w:sz w:val="20"/>
              <w:szCs w:val="20"/>
            </w:rPr>
            <w:t>B</w:t>
          </w:r>
          <w:r>
            <w:rPr>
              <w:rFonts w:ascii="Times New Roman" w:eastAsia="Times New Roman" w:hAnsi="Times New Roman" w:cs="Times New Roman"/>
              <w:spacing w:val="30"/>
              <w:w w:val="101"/>
              <w:sz w:val="20"/>
              <w:szCs w:val="20"/>
            </w:rPr>
            <w:t xml:space="preserve"> </w:t>
          </w:r>
          <w:r>
            <w:rPr>
              <w:spacing w:val="9"/>
              <w:sz w:val="20"/>
              <w:szCs w:val="20"/>
            </w:rPr>
            <w:t>(资料性)</w:t>
          </w:r>
          <w:r>
            <w:rPr>
              <w:spacing w:val="42"/>
              <w:sz w:val="20"/>
              <w:szCs w:val="20"/>
            </w:rPr>
            <w:t xml:space="preserve"> </w:t>
          </w:r>
          <w:r>
            <w:rPr>
              <w:spacing w:val="9"/>
              <w:sz w:val="20"/>
              <w:szCs w:val="20"/>
            </w:rPr>
            <w:t>其他标准中定义的相关术语</w:t>
          </w:r>
          <w:r>
            <w:rPr>
              <w:spacing w:val="47"/>
              <w:sz w:val="20"/>
              <w:szCs w:val="20"/>
            </w:rPr>
            <w:t xml:space="preserve"> </w:t>
          </w:r>
          <w:r>
            <w:rPr>
              <w:sz w:val="20"/>
              <w:szCs w:val="20"/>
            </w:rPr>
            <w:tab/>
          </w:r>
          <w:r>
            <w:rPr>
              <w:spacing w:val="-37"/>
              <w:sz w:val="20"/>
              <w:szCs w:val="20"/>
            </w:rPr>
            <w:t xml:space="preserve"> </w:t>
          </w:r>
          <w:hyperlink w:anchor="bookmark10" w:history="1">
            <w:r>
              <w:rPr>
                <w:rFonts w:ascii="Times New Roman" w:eastAsia="Times New Roman" w:hAnsi="Times New Roman" w:cs="Times New Roman"/>
                <w:spacing w:val="-6"/>
                <w:sz w:val="20"/>
                <w:szCs w:val="20"/>
              </w:rPr>
              <w:t>12</w:t>
            </w:r>
          </w:hyperlink>
        </w:p>
        <w:p>
          <w:pPr>
            <w:pStyle w:val="BodyText"/>
            <w:tabs>
              <w:tab w:val="right" w:leader="dot" w:pos="9145"/>
            </w:tabs>
            <w:spacing w:before="144" w:line="219" w:lineRule="auto"/>
            <w:rPr>
              <w:rFonts w:ascii="Times New Roman" w:eastAsia="Times New Roman" w:hAnsi="Times New Roman" w:cs="Times New Roman"/>
              <w:sz w:val="20"/>
              <w:szCs w:val="20"/>
            </w:rPr>
          </w:pPr>
          <w:r>
            <w:rPr>
              <w:spacing w:val="3"/>
              <w:sz w:val="20"/>
              <w:szCs w:val="20"/>
            </w:rPr>
            <w:t>参考文献</w:t>
          </w:r>
          <w:r>
            <w:rPr>
              <w:spacing w:val="37"/>
              <w:sz w:val="20"/>
              <w:szCs w:val="20"/>
            </w:rPr>
            <w:t xml:space="preserve"> </w:t>
          </w:r>
          <w:r>
            <w:rPr>
              <w:sz w:val="20"/>
              <w:szCs w:val="20"/>
            </w:rPr>
            <w:tab/>
          </w:r>
          <w:r>
            <w:rPr>
              <w:spacing w:val="-57"/>
              <w:sz w:val="20"/>
              <w:szCs w:val="20"/>
            </w:rPr>
            <w:t xml:space="preserve"> </w:t>
          </w:r>
          <w:hyperlink w:anchor="bookmark11" w:history="1">
            <w:r>
              <w:rPr>
                <w:rFonts w:ascii="Times New Roman" w:eastAsia="Times New Roman" w:hAnsi="Times New Roman" w:cs="Times New Roman"/>
                <w:spacing w:val="-6"/>
                <w:sz w:val="20"/>
                <w:szCs w:val="20"/>
              </w:rPr>
              <w:t>18</w:t>
            </w:r>
          </w:hyperlink>
        </w:p>
        <w:p>
          <w:pPr>
            <w:pStyle w:val="BodyText"/>
            <w:tabs>
              <w:tab w:val="right" w:leader="dot" w:pos="9165"/>
            </w:tabs>
            <w:spacing w:before="134" w:line="220" w:lineRule="auto"/>
            <w:rPr>
              <w:rFonts w:ascii="Times New Roman" w:eastAsia="Times New Roman" w:hAnsi="Times New Roman" w:cs="Times New Roman"/>
              <w:sz w:val="20"/>
              <w:szCs w:val="20"/>
            </w:rPr>
          </w:pPr>
          <w:r>
            <w:rPr>
              <w:spacing w:val="2"/>
              <w:sz w:val="20"/>
              <w:szCs w:val="20"/>
            </w:rPr>
            <w:t>索引</w:t>
          </w:r>
          <w:r>
            <w:rPr>
              <w:spacing w:val="45"/>
              <w:sz w:val="20"/>
              <w:szCs w:val="20"/>
            </w:rPr>
            <w:t xml:space="preserve"> </w:t>
          </w:r>
          <w:r>
            <w:rPr>
              <w:sz w:val="20"/>
              <w:szCs w:val="20"/>
            </w:rPr>
            <w:tab/>
          </w:r>
          <w:r>
            <w:rPr>
              <w:spacing w:val="-37"/>
              <w:sz w:val="20"/>
              <w:szCs w:val="20"/>
            </w:rPr>
            <w:t xml:space="preserve"> </w:t>
          </w:r>
          <w:hyperlink w:anchor="bookmark12" w:history="1">
            <w:r>
              <w:rPr>
                <w:rFonts w:ascii="Times New Roman" w:eastAsia="Times New Roman" w:hAnsi="Times New Roman" w:cs="Times New Roman"/>
                <w:spacing w:val="-15"/>
                <w:sz w:val="20"/>
                <w:szCs w:val="20"/>
              </w:rPr>
              <w:t>1</w:t>
            </w:r>
            <w:r>
              <w:rPr>
                <w:rFonts w:ascii="Times New Roman" w:eastAsia="Times New Roman" w:hAnsi="Times New Roman" w:cs="Times New Roman"/>
                <w:spacing w:val="-9"/>
                <w:sz w:val="20"/>
                <w:szCs w:val="20"/>
              </w:rPr>
              <w:t>9</w:t>
            </w:r>
          </w:hyperlink>
        </w:p>
      </w:sdtContent>
    </w:sdt>
    <w:p>
      <w:pPr>
        <w:spacing w:line="220" w:lineRule="auto"/>
        <w:rPr>
          <w:rFonts w:ascii="Times New Roman" w:eastAsia="Times New Roman" w:hAnsi="Times New Roman" w:cs="Times New Roman"/>
          <w:sz w:val="20"/>
          <w:szCs w:val="20"/>
        </w:rPr>
        <w:sectPr>
          <w:pgSz w:w="11910" w:h="16840"/>
          <w:pgMar w:top="1431" w:right="1473" w:bottom="0" w:left="1259" w:header="0" w:footer="0" w:gutter="0"/>
          <w:pgNumType w:start="6"/>
          <w:cols w:space="708"/>
        </w:sectPr>
      </w:pPr>
    </w:p>
    <w:p>
      <w:pPr>
        <w:pStyle w:val="BodyText"/>
        <w:spacing w:before="42" w:line="224" w:lineRule="auto"/>
        <w:ind w:left="5433"/>
        <w:rPr>
          <w:sz w:val="21"/>
          <w:szCs w:val="21"/>
        </w:rPr>
      </w:pPr>
      <w:r>
        <w:rPr>
          <w:b/>
          <w:bCs/>
          <w:spacing w:val="-4"/>
          <w:sz w:val="21"/>
          <w:szCs w:val="21"/>
        </w:rPr>
        <w:t>GB/T</w:t>
      </w:r>
      <w:r>
        <w:rPr>
          <w:spacing w:val="82"/>
          <w:sz w:val="21"/>
          <w:szCs w:val="21"/>
        </w:rPr>
        <w:t xml:space="preserve"> </w:t>
      </w:r>
      <w:r>
        <w:rPr>
          <w:b/>
          <w:bCs/>
          <w:spacing w:val="-4"/>
          <w:sz w:val="21"/>
          <w:szCs w:val="21"/>
        </w:rPr>
        <w:t>27000—2023/ISO/IEC</w:t>
      </w:r>
      <w:r>
        <w:rPr>
          <w:spacing w:val="76"/>
          <w:sz w:val="21"/>
          <w:szCs w:val="21"/>
        </w:rPr>
        <w:t xml:space="preserve"> </w:t>
      </w:r>
      <w:r>
        <w:rPr>
          <w:b/>
          <w:bCs/>
          <w:spacing w:val="-4"/>
          <w:sz w:val="21"/>
          <w:szCs w:val="21"/>
        </w:rPr>
        <w:t>17000:2020</w:t>
      </w:r>
    </w:p>
    <w:p>
      <w:pPr>
        <w:spacing w:line="333" w:lineRule="auto"/>
        <w:rPr>
          <w:rFonts w:ascii="Arial"/>
          <w:sz w:val="21"/>
        </w:rPr>
      </w:pPr>
    </w:p>
    <w:p>
      <w:pPr>
        <w:spacing w:line="334" w:lineRule="auto"/>
        <w:rPr>
          <w:rFonts w:ascii="Arial"/>
          <w:sz w:val="21"/>
        </w:rPr>
      </w:pPr>
    </w:p>
    <w:p>
      <w:pPr>
        <w:spacing w:before="100" w:line="222" w:lineRule="auto"/>
        <w:ind w:left="3994"/>
        <w:rPr>
          <w:rFonts w:ascii="SimHei" w:eastAsia="SimHei" w:hAnsi="SimHei" w:cs="SimHei"/>
          <w:sz w:val="31"/>
          <w:szCs w:val="31"/>
        </w:rPr>
      </w:pPr>
      <w:bookmarkStart w:id="0" w:name="bookmark4"/>
      <w:bookmarkEnd w:id="0"/>
      <w:bookmarkStart w:id="1" w:name="bookmark5"/>
      <w:bookmarkEnd w:id="1"/>
      <w:r>
        <w:rPr>
          <w:rFonts w:ascii="SimHei" w:eastAsia="SimHei" w:hAnsi="SimHei" w:cs="SimHei"/>
          <w:b/>
          <w:bCs/>
          <w:spacing w:val="-10"/>
          <w:sz w:val="31"/>
          <w:szCs w:val="31"/>
        </w:rPr>
        <w:t>前</w:t>
      </w:r>
      <w:r>
        <w:rPr>
          <w:rFonts w:ascii="SimHei" w:eastAsia="SimHei" w:hAnsi="SimHei" w:cs="SimHei"/>
          <w:spacing w:val="3"/>
          <w:sz w:val="31"/>
          <w:szCs w:val="31"/>
        </w:rPr>
        <w:t xml:space="preserve">    </w:t>
      </w:r>
      <w:r>
        <w:rPr>
          <w:rFonts w:ascii="SimHei" w:eastAsia="SimHei" w:hAnsi="SimHei" w:cs="SimHei"/>
          <w:b/>
          <w:bCs/>
          <w:spacing w:val="-10"/>
          <w:sz w:val="31"/>
          <w:szCs w:val="31"/>
        </w:rPr>
        <w:t>言</w:t>
      </w:r>
    </w:p>
    <w:p>
      <w:pPr>
        <w:spacing w:line="277" w:lineRule="auto"/>
        <w:rPr>
          <w:rFonts w:ascii="Arial"/>
          <w:sz w:val="21"/>
        </w:rPr>
      </w:pPr>
    </w:p>
    <w:p>
      <w:pPr>
        <w:spacing w:line="277" w:lineRule="auto"/>
        <w:rPr>
          <w:rFonts w:ascii="Arial"/>
          <w:sz w:val="21"/>
        </w:rPr>
      </w:pPr>
    </w:p>
    <w:p>
      <w:pPr>
        <w:pStyle w:val="BodyText"/>
        <w:spacing w:before="68" w:line="251" w:lineRule="auto"/>
        <w:ind w:right="76" w:firstLine="419"/>
        <w:rPr>
          <w:sz w:val="21"/>
          <w:szCs w:val="21"/>
        </w:rPr>
      </w:pPr>
      <w:r>
        <w:rPr>
          <w:spacing w:val="-2"/>
          <w:sz w:val="21"/>
          <w:szCs w:val="21"/>
        </w:rPr>
        <w:t>本文件按照</w:t>
      </w:r>
      <w:r>
        <w:rPr>
          <w:spacing w:val="-37"/>
          <w:sz w:val="21"/>
          <w:szCs w:val="21"/>
        </w:rPr>
        <w:t xml:space="preserve"> </w:t>
      </w:r>
      <w:r>
        <w:rPr>
          <w:spacing w:val="-2"/>
          <w:sz w:val="21"/>
          <w:szCs w:val="21"/>
        </w:rPr>
        <w:t>GB/T 1.1—2020《标准化工作导则   第1部分：标准化文件的结构和起草规则》的规</w:t>
      </w:r>
      <w:r>
        <w:rPr>
          <w:sz w:val="21"/>
          <w:szCs w:val="21"/>
        </w:rPr>
        <w:t xml:space="preserve"> </w:t>
      </w:r>
      <w:r>
        <w:rPr>
          <w:spacing w:val="-9"/>
          <w:sz w:val="21"/>
          <w:szCs w:val="21"/>
        </w:rPr>
        <w:t>定起草。</w:t>
      </w:r>
    </w:p>
    <w:p>
      <w:pPr>
        <w:pStyle w:val="BodyText"/>
        <w:spacing w:before="58" w:line="251" w:lineRule="auto"/>
        <w:ind w:right="93" w:firstLine="419"/>
        <w:rPr>
          <w:sz w:val="21"/>
          <w:szCs w:val="21"/>
        </w:rPr>
      </w:pPr>
      <w:r>
        <w:rPr>
          <w:spacing w:val="-2"/>
          <w:sz w:val="21"/>
          <w:szCs w:val="21"/>
        </w:rPr>
        <w:t>本文件代替</w:t>
      </w:r>
      <w:r>
        <w:rPr>
          <w:spacing w:val="-32"/>
          <w:sz w:val="21"/>
          <w:szCs w:val="21"/>
        </w:rPr>
        <w:t xml:space="preserve"> </w:t>
      </w:r>
      <w:r>
        <w:rPr>
          <w:spacing w:val="-2"/>
          <w:sz w:val="21"/>
          <w:szCs w:val="21"/>
        </w:rPr>
        <w:t>GB/T 27000—2006《合格评定词汇和</w:t>
      </w:r>
      <w:r>
        <w:rPr>
          <w:spacing w:val="-3"/>
          <w:sz w:val="21"/>
          <w:szCs w:val="21"/>
        </w:rPr>
        <w:t>通用原则》。与</w:t>
      </w:r>
      <w:r>
        <w:rPr>
          <w:spacing w:val="-62"/>
          <w:sz w:val="21"/>
          <w:szCs w:val="21"/>
        </w:rPr>
        <w:t xml:space="preserve"> </w:t>
      </w:r>
      <w:r>
        <w:rPr>
          <w:spacing w:val="-3"/>
          <w:sz w:val="21"/>
          <w:szCs w:val="21"/>
        </w:rPr>
        <w:t>GB/T  27000—2006</w:t>
      </w:r>
      <w:r>
        <w:rPr>
          <w:spacing w:val="-26"/>
          <w:sz w:val="21"/>
          <w:szCs w:val="21"/>
        </w:rPr>
        <w:t xml:space="preserve"> </w:t>
      </w:r>
      <w:r>
        <w:rPr>
          <w:spacing w:val="-3"/>
          <w:sz w:val="21"/>
          <w:szCs w:val="21"/>
        </w:rPr>
        <w:t>相比，除结</w:t>
      </w:r>
      <w:r>
        <w:rPr>
          <w:sz w:val="21"/>
          <w:szCs w:val="21"/>
        </w:rPr>
        <w:t xml:space="preserve"> </w:t>
      </w:r>
      <w:r>
        <w:rPr>
          <w:spacing w:val="-8"/>
          <w:sz w:val="21"/>
          <w:szCs w:val="21"/>
        </w:rPr>
        <w:t>构调整和编辑性改动外，主要技术变化如下：</w:t>
      </w:r>
    </w:p>
    <w:p>
      <w:pPr>
        <w:pStyle w:val="BodyText"/>
        <w:spacing w:before="61" w:line="219" w:lineRule="auto"/>
        <w:ind w:left="419"/>
        <w:rPr>
          <w:sz w:val="21"/>
          <w:szCs w:val="21"/>
        </w:rPr>
      </w:pPr>
      <w:r>
        <w:rPr>
          <w:spacing w:val="-6"/>
          <w:sz w:val="21"/>
          <w:szCs w:val="21"/>
        </w:rPr>
        <w:t>——增加了术语：合格评定对象(见3.2)、所有</w:t>
      </w:r>
      <w:r>
        <w:rPr>
          <w:spacing w:val="-7"/>
          <w:sz w:val="21"/>
          <w:szCs w:val="21"/>
        </w:rPr>
        <w:t>者(见3.13)、公正性(见4.3)、独立性(见4.4)、审定</w:t>
      </w:r>
    </w:p>
    <w:p>
      <w:pPr>
        <w:pStyle w:val="BodyText"/>
        <w:spacing w:before="70" w:line="287" w:lineRule="exact"/>
        <w:ind w:left="840"/>
        <w:rPr>
          <w:sz w:val="21"/>
          <w:szCs w:val="21"/>
        </w:rPr>
      </w:pPr>
      <w:r>
        <w:rPr>
          <w:spacing w:val="-6"/>
          <w:position w:val="5"/>
          <w:sz w:val="21"/>
          <w:szCs w:val="21"/>
        </w:rPr>
        <w:t>(见5.5)、核查(见5.6)、决定(见6.2)、到</w:t>
      </w:r>
      <w:r>
        <w:rPr>
          <w:spacing w:val="-7"/>
          <w:position w:val="5"/>
          <w:sz w:val="21"/>
          <w:szCs w:val="21"/>
        </w:rPr>
        <w:t>期(见7.4)和恢复(见7.5);</w:t>
      </w:r>
    </w:p>
    <w:p>
      <w:pPr>
        <w:pStyle w:val="BodyText"/>
        <w:spacing w:line="212" w:lineRule="auto"/>
        <w:ind w:left="419"/>
        <w:rPr>
          <w:rFonts w:ascii="Times New Roman" w:eastAsia="Times New Roman" w:hAnsi="Times New Roman" w:cs="Times New Roman"/>
          <w:sz w:val="21"/>
          <w:szCs w:val="21"/>
        </w:rPr>
      </w:pPr>
      <w:r>
        <w:rPr>
          <w:spacing w:val="-2"/>
          <w:sz w:val="21"/>
          <w:szCs w:val="21"/>
        </w:rPr>
        <w:t>——更改了合格评定功能法(见</w:t>
      </w:r>
      <w:r>
        <w:rPr>
          <w:spacing w:val="-24"/>
          <w:sz w:val="21"/>
          <w:szCs w:val="21"/>
        </w:rPr>
        <w:t xml:space="preserve"> </w:t>
      </w:r>
      <w:r>
        <w:rPr>
          <w:spacing w:val="-2"/>
          <w:sz w:val="21"/>
          <w:szCs w:val="21"/>
        </w:rPr>
        <w:t>A.1,2006</w:t>
      </w:r>
      <w:r>
        <w:rPr>
          <w:spacing w:val="-33"/>
          <w:sz w:val="21"/>
          <w:szCs w:val="21"/>
        </w:rPr>
        <w:t xml:space="preserve"> </w:t>
      </w:r>
      <w:r>
        <w:rPr>
          <w:spacing w:val="-2"/>
          <w:sz w:val="21"/>
          <w:szCs w:val="21"/>
        </w:rPr>
        <w:t>年版的</w:t>
      </w:r>
      <w:r>
        <w:rPr>
          <w:spacing w:val="-46"/>
          <w:sz w:val="21"/>
          <w:szCs w:val="21"/>
        </w:rPr>
        <w:t xml:space="preserve"> </w:t>
      </w:r>
      <w:r>
        <w:rPr>
          <w:rFonts w:ascii="Times New Roman" w:eastAsia="Times New Roman" w:hAnsi="Times New Roman" w:cs="Times New Roman"/>
          <w:spacing w:val="-2"/>
          <w:sz w:val="21"/>
          <w:szCs w:val="21"/>
        </w:rPr>
        <w:t>A.1);</w:t>
      </w:r>
    </w:p>
    <w:p>
      <w:pPr>
        <w:pStyle w:val="BodyText"/>
        <w:spacing w:before="99" w:line="290" w:lineRule="exact"/>
        <w:ind w:left="419"/>
        <w:rPr>
          <w:sz w:val="21"/>
          <w:szCs w:val="21"/>
        </w:rPr>
      </w:pPr>
      <w:r>
        <w:rPr>
          <w:spacing w:val="-8"/>
          <w:position w:val="5"/>
          <w:sz w:val="21"/>
          <w:szCs w:val="21"/>
        </w:rPr>
        <w:t>——更改了术语“产品”的位置到附录</w:t>
      </w:r>
      <w:r>
        <w:rPr>
          <w:spacing w:val="-35"/>
          <w:position w:val="5"/>
          <w:sz w:val="21"/>
          <w:szCs w:val="21"/>
        </w:rPr>
        <w:t xml:space="preserve"> </w:t>
      </w:r>
      <w:r>
        <w:rPr>
          <w:rFonts w:ascii="Times New Roman" w:eastAsia="Times New Roman" w:hAnsi="Times New Roman" w:cs="Times New Roman"/>
          <w:spacing w:val="-8"/>
          <w:position w:val="5"/>
          <w:sz w:val="21"/>
          <w:szCs w:val="21"/>
        </w:rPr>
        <w:t>B</w:t>
      </w:r>
      <w:r>
        <w:rPr>
          <w:spacing w:val="-8"/>
          <w:position w:val="5"/>
          <w:sz w:val="21"/>
          <w:szCs w:val="21"/>
        </w:rPr>
        <w:t>(见附录 B,2006</w:t>
      </w:r>
      <w:r>
        <w:rPr>
          <w:spacing w:val="-51"/>
          <w:position w:val="5"/>
          <w:sz w:val="21"/>
          <w:szCs w:val="21"/>
        </w:rPr>
        <w:t xml:space="preserve"> </w:t>
      </w:r>
      <w:r>
        <w:rPr>
          <w:spacing w:val="-8"/>
          <w:position w:val="5"/>
          <w:sz w:val="21"/>
          <w:szCs w:val="21"/>
        </w:rPr>
        <w:t>年版的3.3);</w:t>
      </w:r>
    </w:p>
    <w:p>
      <w:pPr>
        <w:pStyle w:val="BodyText"/>
        <w:spacing w:line="212" w:lineRule="auto"/>
        <w:ind w:left="419"/>
        <w:rPr>
          <w:sz w:val="21"/>
          <w:szCs w:val="21"/>
        </w:rPr>
      </w:pPr>
      <w:r>
        <w:rPr>
          <w:spacing w:val="-2"/>
          <w:sz w:val="21"/>
          <w:szCs w:val="21"/>
        </w:rPr>
        <w:t>——增加了其他标准中定义的相关术语(见</w:t>
      </w:r>
      <w:r>
        <w:rPr>
          <w:spacing w:val="-46"/>
          <w:sz w:val="21"/>
          <w:szCs w:val="21"/>
        </w:rPr>
        <w:t xml:space="preserve"> </w:t>
      </w:r>
      <w:r>
        <w:rPr>
          <w:rFonts w:ascii="Times New Roman" w:eastAsia="Times New Roman" w:hAnsi="Times New Roman" w:cs="Times New Roman"/>
          <w:spacing w:val="-2"/>
          <w:sz w:val="21"/>
          <w:szCs w:val="21"/>
        </w:rPr>
        <w:t>B.1</w:t>
      </w:r>
      <w:r>
        <w:rPr>
          <w:rFonts w:ascii="Times New Roman" w:eastAsia="Times New Roman" w:hAnsi="Times New Roman" w:cs="Times New Roman"/>
          <w:spacing w:val="14"/>
          <w:sz w:val="21"/>
          <w:szCs w:val="21"/>
        </w:rPr>
        <w:t xml:space="preserve"> </w:t>
      </w:r>
      <w:r>
        <w:rPr>
          <w:spacing w:val="-3"/>
          <w:sz w:val="21"/>
          <w:szCs w:val="21"/>
        </w:rPr>
        <w:t>和</w:t>
      </w:r>
      <w:r>
        <w:rPr>
          <w:spacing w:val="-36"/>
          <w:sz w:val="21"/>
          <w:szCs w:val="21"/>
        </w:rPr>
        <w:t xml:space="preserve"> </w:t>
      </w:r>
      <w:r>
        <w:rPr>
          <w:rFonts w:ascii="Times New Roman" w:eastAsia="Times New Roman" w:hAnsi="Times New Roman" w:cs="Times New Roman"/>
          <w:spacing w:val="-3"/>
          <w:sz w:val="21"/>
          <w:szCs w:val="21"/>
        </w:rPr>
        <w:t>B.2)</w:t>
      </w:r>
      <w:r>
        <w:rPr>
          <w:spacing w:val="-3"/>
          <w:sz w:val="21"/>
          <w:szCs w:val="21"/>
        </w:rPr>
        <w:t>。</w:t>
      </w:r>
    </w:p>
    <w:p>
      <w:pPr>
        <w:pStyle w:val="BodyText"/>
        <w:spacing w:before="81" w:line="320" w:lineRule="exact"/>
        <w:ind w:left="419"/>
        <w:rPr>
          <w:sz w:val="21"/>
          <w:szCs w:val="21"/>
        </w:rPr>
      </w:pPr>
      <w:r>
        <w:rPr>
          <w:spacing w:val="-4"/>
          <w:position w:val="8"/>
          <w:sz w:val="21"/>
          <w:szCs w:val="21"/>
        </w:rPr>
        <w:t xml:space="preserve">本文件等同采用ISO/IEC 17000:2020《合格评定  </w:t>
      </w:r>
      <w:r>
        <w:rPr>
          <w:spacing w:val="-5"/>
          <w:position w:val="8"/>
          <w:sz w:val="21"/>
          <w:szCs w:val="21"/>
        </w:rPr>
        <w:t>词汇和通用原则》。</w:t>
      </w:r>
    </w:p>
    <w:p>
      <w:pPr>
        <w:pStyle w:val="BodyText"/>
        <w:spacing w:before="1" w:line="218" w:lineRule="auto"/>
        <w:ind w:left="419"/>
        <w:rPr>
          <w:sz w:val="21"/>
          <w:szCs w:val="21"/>
        </w:rPr>
      </w:pPr>
      <w:r>
        <w:rPr>
          <w:spacing w:val="-4"/>
          <w:sz w:val="21"/>
          <w:szCs w:val="21"/>
        </w:rPr>
        <w:t>本文件做了下列最小限度的编辑性改动：</w:t>
      </w:r>
    </w:p>
    <w:p>
      <w:pPr>
        <w:pStyle w:val="BodyText"/>
        <w:spacing w:before="72" w:line="219" w:lineRule="auto"/>
        <w:ind w:left="419"/>
        <w:rPr>
          <w:sz w:val="21"/>
          <w:szCs w:val="21"/>
        </w:rPr>
      </w:pPr>
      <w:r>
        <w:rPr>
          <w:spacing w:val="-3"/>
          <w:sz w:val="21"/>
          <w:szCs w:val="21"/>
        </w:rPr>
        <w:t>——增加了汉语拼音索引。</w:t>
      </w:r>
    </w:p>
    <w:p>
      <w:pPr>
        <w:pStyle w:val="BodyText"/>
        <w:spacing w:before="71" w:line="232" w:lineRule="auto"/>
        <w:ind w:left="419" w:right="1132"/>
        <w:rPr>
          <w:sz w:val="21"/>
          <w:szCs w:val="21"/>
        </w:rPr>
      </w:pPr>
      <w:r>
        <w:rPr>
          <w:spacing w:val="-1"/>
          <w:sz w:val="21"/>
          <w:szCs w:val="21"/>
        </w:rPr>
        <w:t>请注意本文件的某些内容可能涉及专利。本文件的发布机构不承担识别专利的责任。</w:t>
      </w:r>
      <w:r>
        <w:rPr>
          <w:sz w:val="21"/>
          <w:szCs w:val="21"/>
        </w:rPr>
        <w:t xml:space="preserve"> </w:t>
      </w:r>
      <w:r>
        <w:rPr>
          <w:spacing w:val="-2"/>
          <w:sz w:val="21"/>
          <w:szCs w:val="21"/>
        </w:rPr>
        <w:t>本文件由全国认证认可标准化技术委员会</w:t>
      </w:r>
      <w:r>
        <w:rPr>
          <w:rFonts w:ascii="Times New Roman" w:eastAsia="Times New Roman" w:hAnsi="Times New Roman" w:cs="Times New Roman"/>
          <w:spacing w:val="-2"/>
          <w:sz w:val="21"/>
          <w:szCs w:val="21"/>
        </w:rPr>
        <w:t>(SAC/TC    261)</w:t>
      </w:r>
      <w:r>
        <w:rPr>
          <w:spacing w:val="-2"/>
          <w:sz w:val="21"/>
          <w:szCs w:val="21"/>
        </w:rPr>
        <w:t>提出并归口。</w:t>
      </w:r>
    </w:p>
    <w:p>
      <w:pPr>
        <w:pStyle w:val="BodyText"/>
        <w:spacing w:before="100" w:line="265" w:lineRule="auto"/>
        <w:ind w:right="87" w:firstLine="419"/>
        <w:jc w:val="both"/>
        <w:rPr>
          <w:sz w:val="21"/>
          <w:szCs w:val="21"/>
        </w:rPr>
      </w:pPr>
      <w:r>
        <w:rPr>
          <w:spacing w:val="-6"/>
          <w:sz w:val="21"/>
          <w:szCs w:val="21"/>
        </w:rPr>
        <w:t>本文件起草单位：广州赛宝认证中心服务有限公司、中国合格评定国家认可中心、中国认证认</w:t>
      </w:r>
      <w:r>
        <w:rPr>
          <w:spacing w:val="-7"/>
          <w:sz w:val="21"/>
          <w:szCs w:val="21"/>
        </w:rPr>
        <w:t>可协</w:t>
      </w:r>
      <w:r>
        <w:rPr>
          <w:sz w:val="21"/>
          <w:szCs w:val="21"/>
        </w:rPr>
        <w:t xml:space="preserve"> </w:t>
      </w:r>
      <w:r>
        <w:rPr>
          <w:spacing w:val="-6"/>
          <w:sz w:val="21"/>
          <w:szCs w:val="21"/>
        </w:rPr>
        <w:t>会、国家市场监督管理总局认证监管司、国家市场监督管理总局认可检测司、国家市场监督管理总局认</w:t>
      </w:r>
      <w:r>
        <w:rPr>
          <w:spacing w:val="9"/>
          <w:sz w:val="21"/>
          <w:szCs w:val="21"/>
        </w:rPr>
        <w:t xml:space="preserve"> </w:t>
      </w:r>
      <w:r>
        <w:rPr>
          <w:spacing w:val="-10"/>
          <w:sz w:val="21"/>
          <w:szCs w:val="21"/>
        </w:rPr>
        <w:t>证认可技术研究中心、北京国实检测技术研究</w:t>
      </w:r>
      <w:r>
        <w:rPr>
          <w:spacing w:val="-11"/>
          <w:sz w:val="21"/>
          <w:szCs w:val="21"/>
        </w:rPr>
        <w:t>院、深圳华测国际认证有限公司、中国计量大学、北京赛西</w:t>
      </w:r>
      <w:r>
        <w:rPr>
          <w:sz w:val="21"/>
          <w:szCs w:val="21"/>
        </w:rPr>
        <w:t xml:space="preserve"> </w:t>
      </w:r>
      <w:r>
        <w:rPr>
          <w:spacing w:val="-6"/>
          <w:sz w:val="21"/>
          <w:szCs w:val="21"/>
        </w:rPr>
        <w:t>认证有限责任公司、北京恩格威认证中心有限公司、中标华信(北京)认证中心有限公司、中国家用电器</w:t>
      </w:r>
      <w:r>
        <w:rPr>
          <w:spacing w:val="13"/>
          <w:sz w:val="21"/>
          <w:szCs w:val="21"/>
        </w:rPr>
        <w:t xml:space="preserve"> </w:t>
      </w:r>
      <w:r>
        <w:rPr>
          <w:spacing w:val="-5"/>
          <w:sz w:val="21"/>
          <w:szCs w:val="21"/>
        </w:rPr>
        <w:t>研究院、苏州</w:t>
      </w:r>
      <w:r>
        <w:rPr>
          <w:spacing w:val="-36"/>
          <w:sz w:val="21"/>
          <w:szCs w:val="21"/>
        </w:rPr>
        <w:t xml:space="preserve"> </w:t>
      </w:r>
      <w:r>
        <w:rPr>
          <w:rFonts w:ascii="Times New Roman" w:eastAsia="Times New Roman" w:hAnsi="Times New Roman" w:cs="Times New Roman"/>
          <w:spacing w:val="-5"/>
          <w:sz w:val="21"/>
          <w:szCs w:val="21"/>
        </w:rPr>
        <w:t xml:space="preserve">UL </w:t>
      </w:r>
      <w:r>
        <w:rPr>
          <w:spacing w:val="-5"/>
          <w:sz w:val="21"/>
          <w:szCs w:val="21"/>
        </w:rPr>
        <w:t>美华认证有限公司、浙江方圆电气设备检测有限公司、北京中实国金国际</w:t>
      </w:r>
      <w:r>
        <w:rPr>
          <w:spacing w:val="-6"/>
          <w:sz w:val="21"/>
          <w:szCs w:val="21"/>
        </w:rPr>
        <w:t>实验室能力</w:t>
      </w:r>
      <w:r>
        <w:rPr>
          <w:sz w:val="21"/>
          <w:szCs w:val="21"/>
        </w:rPr>
        <w:t xml:space="preserve"> </w:t>
      </w:r>
      <w:r>
        <w:rPr>
          <w:spacing w:val="-6"/>
          <w:sz w:val="21"/>
          <w:szCs w:val="21"/>
        </w:rPr>
        <w:t>验证研究有限公司、北京中大华远认证中心有限公司、中环联合(北京)认证中心有限公司、中国质量认</w:t>
      </w:r>
      <w:r>
        <w:rPr>
          <w:spacing w:val="15"/>
          <w:sz w:val="21"/>
          <w:szCs w:val="21"/>
        </w:rPr>
        <w:t xml:space="preserve"> </w:t>
      </w:r>
      <w:r>
        <w:rPr>
          <w:spacing w:val="-9"/>
          <w:sz w:val="21"/>
          <w:szCs w:val="21"/>
        </w:rPr>
        <w:t>证中心、方圆标志认证集团有限公司、中国船级社质量认证有限公司、中国设备监理协会。</w:t>
      </w:r>
    </w:p>
    <w:p>
      <w:pPr>
        <w:pStyle w:val="BodyText"/>
        <w:spacing w:before="91" w:line="255" w:lineRule="auto"/>
        <w:ind w:firstLine="419"/>
        <w:jc w:val="both"/>
        <w:rPr>
          <w:sz w:val="21"/>
          <w:szCs w:val="21"/>
        </w:rPr>
      </w:pPr>
      <w:r>
        <w:rPr>
          <w:spacing w:val="-17"/>
          <w:sz w:val="21"/>
          <w:szCs w:val="21"/>
        </w:rPr>
        <w:t>本文件主要起草人：郑丹丹、何兆伟、陈恩成、娄丹、王亚宁、周璐、宋</w:t>
      </w:r>
      <w:r>
        <w:rPr>
          <w:spacing w:val="-18"/>
          <w:sz w:val="21"/>
          <w:szCs w:val="21"/>
        </w:rPr>
        <w:t>明顺、李卫华、黄涛、李喜俊、</w:t>
      </w:r>
      <w:r>
        <w:rPr>
          <w:sz w:val="21"/>
          <w:szCs w:val="21"/>
        </w:rPr>
        <w:t xml:space="preserve"> </w:t>
      </w:r>
      <w:r>
        <w:rPr>
          <w:spacing w:val="-21"/>
          <w:sz w:val="21"/>
          <w:szCs w:val="21"/>
        </w:rPr>
        <w:t>韩硕祥、贾岚、唐伟、孙兵、陈春艳、刘伯钊、陈宁、宫赤霄、唐凌天、</w:t>
      </w:r>
      <w:r>
        <w:rPr>
          <w:spacing w:val="-22"/>
          <w:sz w:val="21"/>
          <w:szCs w:val="21"/>
        </w:rPr>
        <w:t>喻平武、王筝、陈轶群、卢巧、逢华、</w:t>
      </w:r>
      <w:r>
        <w:rPr>
          <w:sz w:val="21"/>
          <w:szCs w:val="21"/>
        </w:rPr>
        <w:t xml:space="preserve"> </w:t>
      </w:r>
      <w:r>
        <w:rPr>
          <w:spacing w:val="-20"/>
          <w:sz w:val="21"/>
          <w:szCs w:val="21"/>
        </w:rPr>
        <w:t>卢文婷、黄乐富、姚业强。</w:t>
      </w:r>
    </w:p>
    <w:p>
      <w:pPr>
        <w:pStyle w:val="BodyText"/>
        <w:spacing w:before="70" w:line="310" w:lineRule="exact"/>
        <w:ind w:left="419"/>
        <w:rPr>
          <w:sz w:val="21"/>
          <w:szCs w:val="21"/>
        </w:rPr>
      </w:pPr>
      <w:r>
        <w:rPr>
          <w:spacing w:val="-4"/>
          <w:position w:val="7"/>
          <w:sz w:val="21"/>
          <w:szCs w:val="21"/>
        </w:rPr>
        <w:t>本文件及其所代替文件的历次版本发布情况为：</w:t>
      </w:r>
    </w:p>
    <w:p>
      <w:pPr>
        <w:pStyle w:val="BodyText"/>
        <w:spacing w:before="1" w:line="218" w:lineRule="auto"/>
        <w:ind w:left="419"/>
        <w:rPr>
          <w:sz w:val="21"/>
          <w:szCs w:val="21"/>
        </w:rPr>
      </w:pPr>
      <w:r>
        <w:rPr>
          <w:spacing w:val="1"/>
          <w:sz w:val="21"/>
          <w:szCs w:val="21"/>
        </w:rPr>
        <w:t>——2006年首次发布为</w:t>
      </w:r>
      <w:r>
        <w:rPr>
          <w:spacing w:val="-46"/>
          <w:sz w:val="21"/>
          <w:szCs w:val="21"/>
        </w:rPr>
        <w:t xml:space="preserve"> </w:t>
      </w:r>
      <w:r>
        <w:rPr>
          <w:sz w:val="21"/>
          <w:szCs w:val="21"/>
        </w:rPr>
        <w:t>GB</w:t>
      </w:r>
      <w:r>
        <w:rPr>
          <w:spacing w:val="1"/>
          <w:sz w:val="21"/>
          <w:szCs w:val="21"/>
        </w:rPr>
        <w:t>/T  27000—20</w:t>
      </w:r>
      <w:r>
        <w:rPr>
          <w:sz w:val="21"/>
          <w:szCs w:val="21"/>
        </w:rPr>
        <w:t>06;</w:t>
      </w:r>
    </w:p>
    <w:p>
      <w:pPr>
        <w:pStyle w:val="BodyText"/>
        <w:spacing w:before="71" w:line="219" w:lineRule="auto"/>
        <w:ind w:left="419"/>
        <w:rPr>
          <w:sz w:val="21"/>
          <w:szCs w:val="21"/>
        </w:rPr>
      </w:pPr>
      <w:r>
        <w:rPr>
          <w:spacing w:val="-3"/>
          <w:sz w:val="21"/>
          <w:szCs w:val="21"/>
        </w:rPr>
        <w:t>——本次为第一次修订。</w:t>
      </w:r>
    </w:p>
    <w:p>
      <w:pPr>
        <w:spacing w:line="219" w:lineRule="auto"/>
        <w:rPr>
          <w:sz w:val="21"/>
          <w:szCs w:val="21"/>
        </w:rPr>
        <w:sectPr>
          <w:footerReference w:type="default" r:id="rId7"/>
          <w:pgSz w:w="11910" w:h="16840"/>
          <w:pgMar w:top="1359" w:right="1204" w:bottom="1331" w:left="1420" w:header="0" w:footer="1144" w:gutter="0"/>
          <w:pgNumType w:start="7"/>
          <w:cols w:space="708"/>
        </w:sectPr>
      </w:pPr>
    </w:p>
    <w:p>
      <w:pPr>
        <w:pStyle w:val="BodyText"/>
        <w:spacing w:before="42" w:line="224" w:lineRule="auto"/>
        <w:ind w:left="3"/>
        <w:rPr>
          <w:sz w:val="21"/>
          <w:szCs w:val="21"/>
        </w:rPr>
      </w:pPr>
      <w:r>
        <w:rPr>
          <w:b/>
          <w:bCs/>
          <w:spacing w:val="-4"/>
          <w:sz w:val="21"/>
          <w:szCs w:val="21"/>
        </w:rPr>
        <w:t>GB/T</w:t>
      </w:r>
      <w:r>
        <w:rPr>
          <w:spacing w:val="87"/>
          <w:sz w:val="21"/>
          <w:szCs w:val="21"/>
        </w:rPr>
        <w:t xml:space="preserve"> </w:t>
      </w:r>
      <w:r>
        <w:rPr>
          <w:b/>
          <w:bCs/>
          <w:spacing w:val="-4"/>
          <w:sz w:val="21"/>
          <w:szCs w:val="21"/>
        </w:rPr>
        <w:t>27000—2023/ISO/IEC</w:t>
      </w:r>
      <w:r>
        <w:rPr>
          <w:spacing w:val="81"/>
          <w:sz w:val="21"/>
          <w:szCs w:val="21"/>
        </w:rPr>
        <w:t xml:space="preserve"> </w:t>
      </w:r>
      <w:r>
        <w:rPr>
          <w:b/>
          <w:bCs/>
          <w:spacing w:val="-4"/>
          <w:sz w:val="21"/>
          <w:szCs w:val="21"/>
        </w:rPr>
        <w:t>17000:2020</w:t>
      </w:r>
    </w:p>
    <w:p>
      <w:pPr>
        <w:spacing w:line="358" w:lineRule="auto"/>
        <w:rPr>
          <w:rFonts w:ascii="Arial"/>
          <w:sz w:val="21"/>
        </w:rPr>
      </w:pPr>
    </w:p>
    <w:p>
      <w:pPr>
        <w:spacing w:line="358" w:lineRule="auto"/>
        <w:rPr>
          <w:rFonts w:ascii="Arial"/>
          <w:sz w:val="21"/>
        </w:rPr>
      </w:pPr>
    </w:p>
    <w:p>
      <w:pPr>
        <w:spacing w:before="91" w:line="223" w:lineRule="auto"/>
        <w:ind w:left="4004"/>
        <w:rPr>
          <w:rFonts w:ascii="SimHei" w:eastAsia="SimHei" w:hAnsi="SimHei" w:cs="SimHei"/>
          <w:sz w:val="28"/>
          <w:szCs w:val="28"/>
        </w:rPr>
      </w:pPr>
      <w:bookmarkStart w:id="2" w:name="bookmark6"/>
      <w:bookmarkEnd w:id="2"/>
      <w:r>
        <w:rPr>
          <w:rFonts w:ascii="SimHei" w:eastAsia="SimHei" w:hAnsi="SimHei" w:cs="SimHei"/>
          <w:b/>
          <w:bCs/>
          <w:spacing w:val="-11"/>
          <w:sz w:val="28"/>
          <w:szCs w:val="28"/>
        </w:rPr>
        <w:t>引</w:t>
      </w:r>
      <w:r>
        <w:rPr>
          <w:rFonts w:ascii="SimHei" w:eastAsia="SimHei" w:hAnsi="SimHei" w:cs="SimHei"/>
          <w:spacing w:val="-11"/>
          <w:sz w:val="28"/>
          <w:szCs w:val="28"/>
        </w:rPr>
        <w:t xml:space="preserve">     </w:t>
      </w:r>
      <w:r>
        <w:rPr>
          <w:rFonts w:ascii="SimHei" w:eastAsia="SimHei" w:hAnsi="SimHei" w:cs="SimHei"/>
          <w:b/>
          <w:bCs/>
          <w:spacing w:val="-11"/>
          <w:sz w:val="28"/>
          <w:szCs w:val="28"/>
        </w:rPr>
        <w:t>言</w:t>
      </w:r>
    </w:p>
    <w:p>
      <w:pPr>
        <w:spacing w:line="259" w:lineRule="auto"/>
        <w:rPr>
          <w:rFonts w:ascii="Arial"/>
          <w:sz w:val="21"/>
        </w:rPr>
      </w:pPr>
    </w:p>
    <w:p>
      <w:pPr>
        <w:spacing w:line="259" w:lineRule="auto"/>
        <w:rPr>
          <w:rFonts w:ascii="Arial"/>
          <w:sz w:val="21"/>
        </w:rPr>
      </w:pPr>
    </w:p>
    <w:p>
      <w:pPr>
        <w:pStyle w:val="BodyText"/>
        <w:spacing w:before="68" w:line="271" w:lineRule="auto"/>
        <w:ind w:right="30" w:firstLine="420"/>
        <w:rPr>
          <w:sz w:val="21"/>
          <w:szCs w:val="21"/>
        </w:rPr>
      </w:pPr>
      <w:r>
        <w:rPr>
          <w:sz w:val="21"/>
          <w:szCs w:val="21"/>
        </w:rPr>
        <w:t>国际标准化组织合格评定委员会</w:t>
      </w:r>
      <w:r>
        <w:rPr>
          <w:rFonts w:ascii="Times New Roman" w:eastAsia="Times New Roman" w:hAnsi="Times New Roman" w:cs="Times New Roman"/>
          <w:sz w:val="21"/>
          <w:szCs w:val="21"/>
        </w:rPr>
        <w:t xml:space="preserve">(ISO/CASCO)   </w:t>
      </w:r>
      <w:r>
        <w:rPr>
          <w:sz w:val="21"/>
          <w:szCs w:val="21"/>
        </w:rPr>
        <w:t>负责制定与检验、检测和各种类型的认证等合格</w:t>
      </w:r>
      <w:r>
        <w:rPr>
          <w:spacing w:val="13"/>
          <w:sz w:val="21"/>
          <w:szCs w:val="21"/>
        </w:rPr>
        <w:t xml:space="preserve"> </w:t>
      </w:r>
      <w:r>
        <w:rPr>
          <w:sz w:val="21"/>
          <w:szCs w:val="21"/>
        </w:rPr>
        <w:t>评定活动相关的国际标准。多年以来，ISO/IEC</w:t>
      </w:r>
      <w:r>
        <w:rPr>
          <w:spacing w:val="44"/>
          <w:sz w:val="21"/>
          <w:szCs w:val="21"/>
        </w:rPr>
        <w:t xml:space="preserve"> </w:t>
      </w:r>
      <w:r>
        <w:rPr>
          <w:sz w:val="21"/>
          <w:szCs w:val="21"/>
        </w:rPr>
        <w:t xml:space="preserve">指南2中包含了一些合格评定的核心词汇，这些词汇 </w:t>
      </w:r>
      <w:r>
        <w:rPr>
          <w:spacing w:val="-1"/>
          <w:sz w:val="21"/>
          <w:szCs w:val="21"/>
        </w:rPr>
        <w:t>由最初的少量术语和定义发展而来，编制这些术语和定义是为了促进</w:t>
      </w:r>
      <w:r>
        <w:rPr>
          <w:spacing w:val="-2"/>
          <w:sz w:val="21"/>
          <w:szCs w:val="21"/>
        </w:rPr>
        <w:t>对基于传统制造业产品标准的产</w:t>
      </w:r>
      <w:r>
        <w:rPr>
          <w:sz w:val="21"/>
          <w:szCs w:val="21"/>
        </w:rPr>
        <w:t xml:space="preserve"> </w:t>
      </w:r>
      <w:r>
        <w:rPr>
          <w:spacing w:val="-6"/>
          <w:sz w:val="21"/>
          <w:szCs w:val="21"/>
        </w:rPr>
        <w:t>品认证的理解和沟通。</w:t>
      </w:r>
    </w:p>
    <w:p>
      <w:pPr>
        <w:pStyle w:val="BodyText"/>
        <w:spacing w:before="60" w:line="254" w:lineRule="auto"/>
        <w:ind w:firstLine="420"/>
        <w:rPr>
          <w:sz w:val="21"/>
          <w:szCs w:val="21"/>
        </w:rPr>
      </w:pPr>
      <w:r>
        <w:rPr>
          <w:spacing w:val="1"/>
          <w:sz w:val="21"/>
          <w:szCs w:val="21"/>
        </w:rPr>
        <w:t>2000年，</w:t>
      </w:r>
      <w:r>
        <w:rPr>
          <w:rFonts w:ascii="Times New Roman" w:eastAsia="Times New Roman" w:hAnsi="Times New Roman" w:cs="Times New Roman"/>
          <w:sz w:val="21"/>
          <w:szCs w:val="21"/>
        </w:rPr>
        <w:t>CASCO</w:t>
      </w:r>
      <w:r>
        <w:rPr>
          <w:rFonts w:ascii="Times New Roman" w:eastAsia="Times New Roman" w:hAnsi="Times New Roman" w:cs="Times New Roman"/>
          <w:spacing w:val="36"/>
          <w:sz w:val="21"/>
          <w:szCs w:val="21"/>
        </w:rPr>
        <w:t xml:space="preserve"> </w:t>
      </w:r>
      <w:r>
        <w:rPr>
          <w:spacing w:val="1"/>
          <w:sz w:val="21"/>
          <w:szCs w:val="21"/>
        </w:rPr>
        <w:t>决定将</w:t>
      </w:r>
      <w:r>
        <w:rPr>
          <w:spacing w:val="-41"/>
          <w:sz w:val="21"/>
          <w:szCs w:val="21"/>
        </w:rPr>
        <w:t xml:space="preserve"> </w:t>
      </w:r>
      <w:r>
        <w:rPr>
          <w:rFonts w:ascii="Times New Roman" w:eastAsia="Times New Roman" w:hAnsi="Times New Roman" w:cs="Times New Roman"/>
          <w:sz w:val="21"/>
          <w:szCs w:val="21"/>
        </w:rPr>
        <w:t>ISO</w:t>
      </w:r>
      <w:r>
        <w:rPr>
          <w:rFonts w:ascii="Times New Roman" w:eastAsia="Times New Roman" w:hAnsi="Times New Roman" w:cs="Times New Roman"/>
          <w:spacing w:val="1"/>
          <w:sz w:val="21"/>
          <w:szCs w:val="21"/>
        </w:rPr>
        <w:t>/</w:t>
      </w:r>
      <w:r>
        <w:rPr>
          <w:rFonts w:ascii="Times New Roman" w:eastAsia="Times New Roman" w:hAnsi="Times New Roman" w:cs="Times New Roman"/>
          <w:sz w:val="21"/>
          <w:szCs w:val="21"/>
        </w:rPr>
        <w:t>IEC</w:t>
      </w:r>
      <w:r>
        <w:rPr>
          <w:rFonts w:ascii="Times New Roman" w:eastAsia="Times New Roman" w:hAnsi="Times New Roman" w:cs="Times New Roman"/>
          <w:spacing w:val="1"/>
          <w:sz w:val="21"/>
          <w:szCs w:val="21"/>
        </w:rPr>
        <w:t xml:space="preserve">  </w:t>
      </w:r>
      <w:r>
        <w:rPr>
          <w:spacing w:val="1"/>
          <w:sz w:val="21"/>
          <w:szCs w:val="21"/>
        </w:rPr>
        <w:t>指南2中的合格评定术语移出，以一套独立</w:t>
      </w:r>
      <w:r>
        <w:rPr>
          <w:sz w:val="21"/>
          <w:szCs w:val="21"/>
        </w:rPr>
        <w:t xml:space="preserve">完整的词汇取而代 </w:t>
      </w:r>
      <w:r>
        <w:rPr>
          <w:spacing w:val="-5"/>
          <w:sz w:val="21"/>
          <w:szCs w:val="21"/>
        </w:rPr>
        <w:t>之，使之更加适用于规划中的合格评定国际标准，及其相关制修订工作。本文件首版发布于2006</w:t>
      </w:r>
      <w:r>
        <w:rPr>
          <w:spacing w:val="-6"/>
          <w:sz w:val="21"/>
          <w:szCs w:val="21"/>
        </w:rPr>
        <w:t>年，作</w:t>
      </w:r>
      <w:r>
        <w:rPr>
          <w:sz w:val="21"/>
          <w:szCs w:val="21"/>
        </w:rPr>
        <w:t xml:space="preserve"> </w:t>
      </w:r>
      <w:r>
        <w:rPr>
          <w:spacing w:val="-6"/>
          <w:sz w:val="21"/>
          <w:szCs w:val="21"/>
        </w:rPr>
        <w:t>为一个协调一致的框架体系，可以对更多的具体概念进行恰当定义，并用最适宜的术语加以</w:t>
      </w:r>
      <w:r>
        <w:rPr>
          <w:spacing w:val="-7"/>
          <w:sz w:val="21"/>
          <w:szCs w:val="21"/>
        </w:rPr>
        <w:t>表达。</w:t>
      </w:r>
    </w:p>
    <w:p>
      <w:pPr>
        <w:pStyle w:val="BodyText"/>
        <w:spacing w:before="60" w:line="256" w:lineRule="auto"/>
        <w:ind w:right="20" w:firstLine="420"/>
        <w:rPr>
          <w:sz w:val="21"/>
          <w:szCs w:val="21"/>
        </w:rPr>
      </w:pPr>
      <w:r>
        <w:rPr>
          <w:spacing w:val="-11"/>
          <w:sz w:val="21"/>
          <w:szCs w:val="21"/>
        </w:rPr>
        <w:t>其他特定活动，如认可、人员认证、符合性标志的使用等涉及的专有概念，不属于本文件的范围，由</w:t>
      </w:r>
      <w:r>
        <w:rPr>
          <w:spacing w:val="16"/>
          <w:sz w:val="21"/>
          <w:szCs w:val="21"/>
        </w:rPr>
        <w:t xml:space="preserve"> </w:t>
      </w:r>
      <w:r>
        <w:rPr>
          <w:spacing w:val="-4"/>
          <w:sz w:val="21"/>
          <w:szCs w:val="21"/>
        </w:rPr>
        <w:t>其他相关标准予以界定。</w:t>
      </w:r>
    </w:p>
    <w:p>
      <w:pPr>
        <w:pStyle w:val="BodyText"/>
        <w:spacing w:before="67" w:line="246" w:lineRule="auto"/>
        <w:ind w:right="3" w:firstLine="420"/>
        <w:rPr>
          <w:sz w:val="21"/>
          <w:szCs w:val="21"/>
        </w:rPr>
      </w:pPr>
      <w:r>
        <w:rPr>
          <w:spacing w:val="12"/>
          <w:sz w:val="21"/>
          <w:szCs w:val="21"/>
        </w:rPr>
        <w:t>第8章给出了贸易和法规有关的术语和定义。这些术语和定义不仅用于合格评定领域的标准</w:t>
      </w:r>
      <w:r>
        <w:rPr>
          <w:spacing w:val="13"/>
          <w:sz w:val="21"/>
          <w:szCs w:val="21"/>
        </w:rPr>
        <w:t xml:space="preserve"> </w:t>
      </w:r>
      <w:r>
        <w:rPr>
          <w:spacing w:val="-5"/>
          <w:sz w:val="21"/>
          <w:szCs w:val="21"/>
        </w:rPr>
        <w:t>化，也有助于政策制定者在法规与国际条约的框架内促进</w:t>
      </w:r>
      <w:r>
        <w:rPr>
          <w:spacing w:val="-6"/>
          <w:sz w:val="21"/>
          <w:szCs w:val="21"/>
        </w:rPr>
        <w:t>贸易便利化。</w:t>
      </w:r>
    </w:p>
    <w:p>
      <w:pPr>
        <w:pStyle w:val="BodyText"/>
        <w:spacing w:before="61" w:line="246" w:lineRule="auto"/>
        <w:ind w:right="4" w:firstLine="420"/>
        <w:rPr>
          <w:sz w:val="21"/>
          <w:szCs w:val="21"/>
        </w:rPr>
      </w:pPr>
      <w:r>
        <w:rPr>
          <w:spacing w:val="6"/>
          <w:sz w:val="21"/>
          <w:szCs w:val="21"/>
        </w:rPr>
        <w:t>本文件所规定的术语和定义，特别是第5章和第6章中的术语和定</w:t>
      </w:r>
      <w:r>
        <w:rPr>
          <w:spacing w:val="5"/>
          <w:sz w:val="21"/>
          <w:szCs w:val="21"/>
        </w:rPr>
        <w:t>义，体现了</w:t>
      </w:r>
      <w:r>
        <w:rPr>
          <w:rFonts w:ascii="Times New Roman" w:eastAsia="Times New Roman" w:hAnsi="Times New Roman" w:cs="Times New Roman"/>
          <w:sz w:val="21"/>
          <w:szCs w:val="21"/>
        </w:rPr>
        <w:t>CASCO</w:t>
      </w:r>
      <w:r>
        <w:rPr>
          <w:rFonts w:ascii="Times New Roman" w:eastAsia="Times New Roman" w:hAnsi="Times New Roman" w:cs="Times New Roman"/>
          <w:spacing w:val="36"/>
          <w:sz w:val="21"/>
          <w:szCs w:val="21"/>
        </w:rPr>
        <w:t xml:space="preserve"> </w:t>
      </w:r>
      <w:r>
        <w:rPr>
          <w:spacing w:val="5"/>
          <w:sz w:val="21"/>
          <w:szCs w:val="21"/>
        </w:rPr>
        <w:t>在2001年</w:t>
      </w:r>
      <w:r>
        <w:rPr>
          <w:sz w:val="21"/>
          <w:szCs w:val="21"/>
        </w:rPr>
        <w:t xml:space="preserve"> </w:t>
      </w:r>
      <w:r>
        <w:rPr>
          <w:spacing w:val="-1"/>
          <w:sz w:val="21"/>
          <w:szCs w:val="21"/>
        </w:rPr>
        <w:t>11月采纳的功能法。</w:t>
      </w:r>
    </w:p>
    <w:p>
      <w:pPr>
        <w:pStyle w:val="BodyText"/>
        <w:spacing w:before="70" w:line="219" w:lineRule="auto"/>
        <w:ind w:left="420"/>
        <w:rPr>
          <w:sz w:val="21"/>
          <w:szCs w:val="21"/>
        </w:rPr>
      </w:pPr>
      <w:r>
        <w:rPr>
          <w:spacing w:val="-2"/>
          <w:sz w:val="21"/>
          <w:szCs w:val="21"/>
        </w:rPr>
        <w:t>附录</w:t>
      </w:r>
      <w:r>
        <w:rPr>
          <w:spacing w:val="-37"/>
          <w:sz w:val="21"/>
          <w:szCs w:val="21"/>
        </w:rPr>
        <w:t xml:space="preserve"> </w:t>
      </w:r>
      <w:r>
        <w:rPr>
          <w:rFonts w:ascii="Times New Roman" w:eastAsia="Times New Roman" w:hAnsi="Times New Roman" w:cs="Times New Roman"/>
          <w:spacing w:val="-2"/>
          <w:sz w:val="21"/>
          <w:szCs w:val="21"/>
        </w:rPr>
        <w:t xml:space="preserve">A </w:t>
      </w:r>
      <w:r>
        <w:rPr>
          <w:spacing w:val="-2"/>
          <w:sz w:val="21"/>
          <w:szCs w:val="21"/>
        </w:rPr>
        <w:t>对功能法的描述有助于更好地理解所定义的概念及其分类和相互关系。</w:t>
      </w:r>
    </w:p>
    <w:p>
      <w:pPr>
        <w:pStyle w:val="BodyText"/>
        <w:spacing w:before="72" w:line="255" w:lineRule="auto"/>
        <w:ind w:right="5" w:firstLine="420"/>
        <w:rPr>
          <w:sz w:val="21"/>
          <w:szCs w:val="21"/>
        </w:rPr>
      </w:pPr>
      <w:r>
        <w:rPr>
          <w:spacing w:val="-1"/>
          <w:sz w:val="21"/>
          <w:szCs w:val="21"/>
        </w:rPr>
        <w:t>本文件中的术语被认为是必须予以定义的概念。用于表示合格评定概念的通用术语，如使用普通</w:t>
      </w:r>
      <w:r>
        <w:rPr>
          <w:spacing w:val="9"/>
          <w:sz w:val="21"/>
          <w:szCs w:val="21"/>
        </w:rPr>
        <w:t xml:space="preserve"> </w:t>
      </w:r>
      <w:r>
        <w:rPr>
          <w:spacing w:val="-1"/>
          <w:sz w:val="21"/>
          <w:szCs w:val="21"/>
        </w:rPr>
        <w:t>用语已足以说明其含义，则没有包括在本文件中。本文件</w:t>
      </w:r>
      <w:r>
        <w:rPr>
          <w:spacing w:val="-2"/>
          <w:sz w:val="21"/>
          <w:szCs w:val="21"/>
        </w:rPr>
        <w:t>未包括在合格评定系列标准中不具有通用性</w:t>
      </w:r>
      <w:r>
        <w:rPr>
          <w:sz w:val="21"/>
          <w:szCs w:val="21"/>
        </w:rPr>
        <w:t xml:space="preserve"> </w:t>
      </w:r>
      <w:r>
        <w:rPr>
          <w:spacing w:val="-4"/>
          <w:sz w:val="21"/>
          <w:szCs w:val="21"/>
        </w:rPr>
        <w:t>的术语以及在特定应用领域中有特殊定义的术语，这</w:t>
      </w:r>
      <w:r>
        <w:rPr>
          <w:spacing w:val="-5"/>
          <w:sz w:val="21"/>
          <w:szCs w:val="21"/>
        </w:rPr>
        <w:t>些术语包括在其他特定相关标准中。</w:t>
      </w:r>
    </w:p>
    <w:p>
      <w:pPr>
        <w:pStyle w:val="BodyText"/>
        <w:spacing w:before="69" w:line="219" w:lineRule="auto"/>
        <w:ind w:left="420"/>
        <w:rPr>
          <w:sz w:val="21"/>
          <w:szCs w:val="21"/>
        </w:rPr>
      </w:pPr>
      <w:r>
        <w:rPr>
          <w:spacing w:val="-2"/>
          <w:sz w:val="21"/>
          <w:szCs w:val="21"/>
        </w:rPr>
        <w:t>附录</w:t>
      </w:r>
      <w:r>
        <w:rPr>
          <w:spacing w:val="-39"/>
          <w:sz w:val="21"/>
          <w:szCs w:val="21"/>
        </w:rPr>
        <w:t xml:space="preserve"> </w:t>
      </w:r>
      <w:r>
        <w:rPr>
          <w:rFonts w:ascii="Times New Roman" w:eastAsia="Times New Roman" w:hAnsi="Times New Roman" w:cs="Times New Roman"/>
          <w:spacing w:val="-2"/>
          <w:sz w:val="21"/>
          <w:szCs w:val="21"/>
        </w:rPr>
        <w:t>B</w:t>
      </w:r>
      <w:r>
        <w:rPr>
          <w:spacing w:val="-2"/>
          <w:sz w:val="21"/>
          <w:szCs w:val="21"/>
        </w:rPr>
        <w:t>中列出了在其他文件中定义的相关术语：</w:t>
      </w:r>
    </w:p>
    <w:p>
      <w:pPr>
        <w:pStyle w:val="BodyText"/>
        <w:spacing w:before="72" w:line="219" w:lineRule="auto"/>
        <w:ind w:left="420"/>
        <w:rPr>
          <w:sz w:val="21"/>
          <w:szCs w:val="21"/>
        </w:rPr>
      </w:pPr>
      <w:r>
        <w:rPr>
          <w:spacing w:val="-1"/>
          <w:sz w:val="21"/>
          <w:szCs w:val="21"/>
        </w:rPr>
        <w:t>——其他合格评定标准中定义的适用于合格评定的特定领</w:t>
      </w:r>
      <w:r>
        <w:rPr>
          <w:spacing w:val="-2"/>
          <w:sz w:val="21"/>
          <w:szCs w:val="21"/>
        </w:rPr>
        <w:t>域的术语；</w:t>
      </w:r>
    </w:p>
    <w:p>
      <w:pPr>
        <w:pStyle w:val="BodyText"/>
        <w:spacing w:before="61" w:line="219" w:lineRule="auto"/>
        <w:ind w:left="420"/>
        <w:rPr>
          <w:sz w:val="21"/>
          <w:szCs w:val="21"/>
        </w:rPr>
      </w:pPr>
      <w:r>
        <w:rPr>
          <w:spacing w:val="-6"/>
          <w:sz w:val="21"/>
          <w:szCs w:val="21"/>
        </w:rPr>
        <w:t>——通用于合格评定语境，但未在合格评定标准内定义的术语。</w:t>
      </w:r>
    </w:p>
    <w:p>
      <w:pPr>
        <w:spacing w:line="219" w:lineRule="auto"/>
        <w:rPr>
          <w:sz w:val="21"/>
          <w:szCs w:val="21"/>
        </w:rPr>
        <w:sectPr>
          <w:footerReference w:type="default" r:id="rId8"/>
          <w:pgSz w:w="11910" w:h="16840"/>
          <w:pgMar w:top="1359" w:right="1436" w:bottom="1312" w:left="1259" w:header="0" w:footer="1134" w:gutter="0"/>
          <w:pgNumType w:start="8"/>
          <w:cols w:space="708"/>
        </w:sectPr>
      </w:pPr>
    </w:p>
    <w:p>
      <w:pPr>
        <w:pStyle w:val="BodyText"/>
        <w:spacing w:before="38" w:line="224" w:lineRule="auto"/>
        <w:ind w:right="30"/>
        <w:jc w:val="right"/>
        <w:rPr>
          <w:sz w:val="19"/>
          <w:szCs w:val="19"/>
        </w:rPr>
      </w:pPr>
      <w:r>
        <w:rPr>
          <w:b/>
          <w:bCs/>
          <w:spacing w:val="-3"/>
          <w:sz w:val="19"/>
          <w:szCs w:val="19"/>
        </w:rPr>
        <w:t>GB/T</w:t>
      </w:r>
      <w:r>
        <w:rPr>
          <w:spacing w:val="13"/>
          <w:sz w:val="19"/>
          <w:szCs w:val="19"/>
        </w:rPr>
        <w:t xml:space="preserve">   </w:t>
      </w:r>
      <w:r>
        <w:rPr>
          <w:b/>
          <w:bCs/>
          <w:spacing w:val="-3"/>
          <w:sz w:val="19"/>
          <w:szCs w:val="19"/>
        </w:rPr>
        <w:t>27000—2023/ISO/IEC</w:t>
      </w:r>
      <w:r>
        <w:rPr>
          <w:spacing w:val="18"/>
          <w:sz w:val="19"/>
          <w:szCs w:val="19"/>
        </w:rPr>
        <w:t xml:space="preserve">   </w:t>
      </w:r>
      <w:r>
        <w:rPr>
          <w:b/>
          <w:bCs/>
          <w:spacing w:val="-3"/>
          <w:sz w:val="19"/>
          <w:szCs w:val="19"/>
        </w:rPr>
        <w:t>17000:2</w:t>
      </w:r>
      <w:r>
        <w:rPr>
          <w:b/>
          <w:bCs/>
          <w:spacing w:val="-4"/>
          <w:sz w:val="19"/>
          <w:szCs w:val="19"/>
        </w:rPr>
        <w:t>020</w:t>
      </w:r>
    </w:p>
    <w:p>
      <w:pPr>
        <w:spacing w:line="341" w:lineRule="auto"/>
        <w:rPr>
          <w:rFonts w:ascii="Arial"/>
          <w:sz w:val="21"/>
        </w:rPr>
      </w:pPr>
    </w:p>
    <w:p>
      <w:pPr>
        <w:spacing w:line="342" w:lineRule="auto"/>
        <w:rPr>
          <w:rFonts w:ascii="Arial"/>
          <w:sz w:val="21"/>
        </w:rPr>
      </w:pPr>
    </w:p>
    <w:p>
      <w:pPr>
        <w:spacing w:before="97" w:line="222" w:lineRule="auto"/>
        <w:ind w:left="2764"/>
        <w:rPr>
          <w:rFonts w:ascii="SimHei" w:eastAsia="SimHei" w:hAnsi="SimHei" w:cs="SimHei"/>
          <w:sz w:val="30"/>
          <w:szCs w:val="30"/>
        </w:rPr>
      </w:pPr>
      <w:bookmarkStart w:id="3" w:name="bookmark7"/>
      <w:bookmarkEnd w:id="3"/>
      <w:r>
        <w:rPr>
          <w:rFonts w:ascii="SimHei" w:eastAsia="SimHei" w:hAnsi="SimHei" w:cs="SimHei"/>
          <w:b/>
          <w:bCs/>
          <w:spacing w:val="7"/>
          <w:sz w:val="30"/>
          <w:szCs w:val="30"/>
        </w:rPr>
        <w:t>合格评定</w:t>
      </w:r>
      <w:r>
        <w:rPr>
          <w:rFonts w:ascii="SimHei" w:eastAsia="SimHei" w:hAnsi="SimHei" w:cs="SimHei"/>
          <w:spacing w:val="7"/>
          <w:sz w:val="30"/>
          <w:szCs w:val="30"/>
        </w:rPr>
        <w:t xml:space="preserve">  </w:t>
      </w:r>
      <w:r>
        <w:rPr>
          <w:rFonts w:ascii="SimHei" w:eastAsia="SimHei" w:hAnsi="SimHei" w:cs="SimHei"/>
          <w:b/>
          <w:bCs/>
          <w:spacing w:val="7"/>
          <w:sz w:val="30"/>
          <w:szCs w:val="30"/>
        </w:rPr>
        <w:t>词汇和通用原则</w:t>
      </w:r>
    </w:p>
    <w:p>
      <w:pPr>
        <w:spacing w:line="291" w:lineRule="auto"/>
        <w:rPr>
          <w:rFonts w:ascii="Arial"/>
          <w:sz w:val="21"/>
        </w:rPr>
      </w:pPr>
    </w:p>
    <w:p>
      <w:pPr>
        <w:spacing w:line="292" w:lineRule="auto"/>
        <w:rPr>
          <w:rFonts w:ascii="Arial"/>
          <w:sz w:val="21"/>
        </w:rPr>
      </w:pPr>
    </w:p>
    <w:p>
      <w:pPr>
        <w:spacing w:before="62" w:line="223" w:lineRule="auto"/>
        <w:ind w:left="2"/>
        <w:rPr>
          <w:rFonts w:ascii="SimHei" w:eastAsia="SimHei" w:hAnsi="SimHei" w:cs="SimHei"/>
          <w:sz w:val="19"/>
          <w:szCs w:val="19"/>
        </w:rPr>
      </w:pPr>
      <w:r>
        <w:rPr>
          <w:rFonts w:ascii="SimHei" w:eastAsia="SimHei" w:hAnsi="SimHei" w:cs="SimHei"/>
          <w:b/>
          <w:bCs/>
          <w:spacing w:val="3"/>
          <w:sz w:val="19"/>
          <w:szCs w:val="19"/>
        </w:rPr>
        <w:t>1</w:t>
      </w:r>
      <w:r>
        <w:rPr>
          <w:rFonts w:ascii="SimHei" w:eastAsia="SimHei" w:hAnsi="SimHei" w:cs="SimHei"/>
          <w:spacing w:val="11"/>
          <w:sz w:val="19"/>
          <w:szCs w:val="19"/>
        </w:rPr>
        <w:t xml:space="preserve">  </w:t>
      </w:r>
      <w:r>
        <w:rPr>
          <w:rFonts w:ascii="SimHei" w:eastAsia="SimHei" w:hAnsi="SimHei" w:cs="SimHei"/>
          <w:b/>
          <w:bCs/>
          <w:spacing w:val="3"/>
          <w:sz w:val="19"/>
          <w:szCs w:val="19"/>
        </w:rPr>
        <w:t>范围</w:t>
      </w:r>
    </w:p>
    <w:p>
      <w:pPr>
        <w:spacing w:line="318" w:lineRule="auto"/>
        <w:rPr>
          <w:rFonts w:ascii="Arial"/>
          <w:sz w:val="21"/>
        </w:rPr>
      </w:pPr>
    </w:p>
    <w:p>
      <w:pPr>
        <w:pStyle w:val="BodyText"/>
        <w:spacing w:before="61" w:line="271" w:lineRule="auto"/>
        <w:ind w:right="81" w:firstLine="389"/>
        <w:rPr>
          <w:sz w:val="19"/>
          <w:szCs w:val="19"/>
        </w:rPr>
      </w:pPr>
      <w:r>
        <w:rPr>
          <w:spacing w:val="19"/>
          <w:sz w:val="19"/>
          <w:szCs w:val="19"/>
        </w:rPr>
        <w:t>本文件界定了与合格评定(包括对合格评定机构的认可</w:t>
      </w:r>
      <w:r>
        <w:rPr>
          <w:spacing w:val="18"/>
          <w:sz w:val="19"/>
          <w:szCs w:val="19"/>
        </w:rPr>
        <w:t>)及其在贸易便利化中的应用有关的通用术</w:t>
      </w:r>
      <w:r>
        <w:rPr>
          <w:sz w:val="19"/>
          <w:szCs w:val="19"/>
        </w:rPr>
        <w:t xml:space="preserve"> </w:t>
      </w:r>
      <w:r>
        <w:rPr>
          <w:spacing w:val="10"/>
          <w:sz w:val="19"/>
          <w:szCs w:val="19"/>
        </w:rPr>
        <w:t>语和定义。</w:t>
      </w:r>
    </w:p>
    <w:p>
      <w:pPr>
        <w:pStyle w:val="BodyText"/>
        <w:spacing w:before="92" w:line="219" w:lineRule="auto"/>
        <w:ind w:left="389"/>
        <w:rPr>
          <w:sz w:val="19"/>
          <w:szCs w:val="19"/>
        </w:rPr>
      </w:pPr>
      <w:r>
        <w:rPr>
          <w:spacing w:val="16"/>
          <w:sz w:val="19"/>
          <w:szCs w:val="19"/>
        </w:rPr>
        <w:t>附录</w:t>
      </w:r>
      <w:r>
        <w:rPr>
          <w:spacing w:val="-11"/>
          <w:sz w:val="19"/>
          <w:szCs w:val="19"/>
        </w:rPr>
        <w:t xml:space="preserve"> </w:t>
      </w:r>
      <w:r>
        <w:rPr>
          <w:rFonts w:ascii="Times New Roman" w:eastAsia="Times New Roman" w:hAnsi="Times New Roman" w:cs="Times New Roman"/>
          <w:spacing w:val="16"/>
          <w:sz w:val="19"/>
          <w:szCs w:val="19"/>
        </w:rPr>
        <w:t>A</w:t>
      </w:r>
      <w:r>
        <w:rPr>
          <w:rFonts w:ascii="Times New Roman" w:eastAsia="Times New Roman" w:hAnsi="Times New Roman" w:cs="Times New Roman"/>
          <w:spacing w:val="27"/>
          <w:sz w:val="19"/>
          <w:szCs w:val="19"/>
        </w:rPr>
        <w:t xml:space="preserve"> </w:t>
      </w:r>
      <w:r>
        <w:rPr>
          <w:spacing w:val="16"/>
          <w:sz w:val="19"/>
          <w:szCs w:val="19"/>
        </w:rPr>
        <w:t>给出了合格评定的通用原则和对合格评定功能法的描述。</w:t>
      </w:r>
    </w:p>
    <w:p>
      <w:pPr>
        <w:pStyle w:val="BodyText"/>
        <w:spacing w:before="64" w:line="277" w:lineRule="auto"/>
        <w:ind w:right="95" w:firstLine="389"/>
        <w:rPr>
          <w:sz w:val="19"/>
          <w:szCs w:val="19"/>
        </w:rPr>
      </w:pPr>
      <w:r>
        <w:rPr>
          <w:spacing w:val="19"/>
          <w:sz w:val="19"/>
          <w:szCs w:val="19"/>
        </w:rPr>
        <w:t>合格评定与管理体系、计量、标准化和统计学等其他领域相互</w:t>
      </w:r>
      <w:r>
        <w:rPr>
          <w:spacing w:val="18"/>
          <w:sz w:val="19"/>
          <w:szCs w:val="19"/>
        </w:rPr>
        <w:t>关联。本文件没有界定合格评定的</w:t>
      </w:r>
      <w:r>
        <w:rPr>
          <w:sz w:val="19"/>
          <w:szCs w:val="19"/>
        </w:rPr>
        <w:t xml:space="preserve"> </w:t>
      </w:r>
      <w:r>
        <w:rPr>
          <w:spacing w:val="8"/>
          <w:sz w:val="19"/>
          <w:szCs w:val="19"/>
        </w:rPr>
        <w:t>边界。</w:t>
      </w:r>
    </w:p>
    <w:p>
      <w:pPr>
        <w:spacing w:line="323" w:lineRule="auto"/>
        <w:rPr>
          <w:rFonts w:ascii="Arial"/>
          <w:sz w:val="21"/>
        </w:rPr>
      </w:pPr>
    </w:p>
    <w:p>
      <w:pPr>
        <w:spacing w:before="62" w:line="222" w:lineRule="auto"/>
        <w:ind w:left="2"/>
        <w:rPr>
          <w:rFonts w:ascii="SimHei" w:eastAsia="SimHei" w:hAnsi="SimHei" w:cs="SimHei"/>
          <w:sz w:val="19"/>
          <w:szCs w:val="19"/>
        </w:rPr>
      </w:pPr>
      <w:r>
        <w:rPr>
          <w:rFonts w:ascii="SimHei" w:eastAsia="SimHei" w:hAnsi="SimHei" w:cs="SimHei"/>
          <w:b/>
          <w:bCs/>
          <w:spacing w:val="12"/>
          <w:sz w:val="19"/>
          <w:szCs w:val="19"/>
        </w:rPr>
        <w:t>2</w:t>
      </w:r>
      <w:r>
        <w:rPr>
          <w:rFonts w:ascii="SimHei" w:eastAsia="SimHei" w:hAnsi="SimHei" w:cs="SimHei"/>
          <w:spacing w:val="17"/>
          <w:sz w:val="19"/>
          <w:szCs w:val="19"/>
        </w:rPr>
        <w:t xml:space="preserve">  </w:t>
      </w:r>
      <w:r>
        <w:rPr>
          <w:rFonts w:ascii="SimHei" w:eastAsia="SimHei" w:hAnsi="SimHei" w:cs="SimHei"/>
          <w:b/>
          <w:bCs/>
          <w:spacing w:val="12"/>
          <w:sz w:val="19"/>
          <w:szCs w:val="19"/>
        </w:rPr>
        <w:t>规范性引用文件</w:t>
      </w:r>
    </w:p>
    <w:p>
      <w:pPr>
        <w:spacing w:line="340" w:lineRule="auto"/>
        <w:rPr>
          <w:rFonts w:ascii="Arial"/>
          <w:sz w:val="21"/>
        </w:rPr>
      </w:pPr>
    </w:p>
    <w:p>
      <w:pPr>
        <w:pStyle w:val="BodyText"/>
        <w:spacing w:before="62" w:line="219" w:lineRule="auto"/>
        <w:ind w:left="389"/>
        <w:rPr>
          <w:sz w:val="19"/>
          <w:szCs w:val="19"/>
        </w:rPr>
      </w:pPr>
      <w:r>
        <w:rPr>
          <w:spacing w:val="15"/>
          <w:sz w:val="19"/>
          <w:szCs w:val="19"/>
        </w:rPr>
        <w:t>本文件没有规范性引用文件。</w:t>
      </w:r>
    </w:p>
    <w:p>
      <w:pPr>
        <w:spacing w:line="337" w:lineRule="auto"/>
        <w:rPr>
          <w:rFonts w:ascii="Arial"/>
          <w:sz w:val="21"/>
        </w:rPr>
      </w:pPr>
    </w:p>
    <w:p>
      <w:pPr>
        <w:spacing w:before="63" w:line="222" w:lineRule="auto"/>
        <w:ind w:left="2"/>
        <w:rPr>
          <w:rFonts w:ascii="SimHei" w:eastAsia="SimHei" w:hAnsi="SimHei" w:cs="SimHei"/>
          <w:sz w:val="19"/>
          <w:szCs w:val="19"/>
        </w:rPr>
      </w:pPr>
      <w:r>
        <w:rPr>
          <w:rFonts w:ascii="SimHei" w:eastAsia="SimHei" w:hAnsi="SimHei" w:cs="SimHei"/>
          <w:b/>
          <w:bCs/>
          <w:spacing w:val="14"/>
          <w:sz w:val="19"/>
          <w:szCs w:val="19"/>
        </w:rPr>
        <w:t>3</w:t>
      </w:r>
      <w:r>
        <w:rPr>
          <w:rFonts w:ascii="SimHei" w:eastAsia="SimHei" w:hAnsi="SimHei" w:cs="SimHei"/>
          <w:spacing w:val="14"/>
          <w:sz w:val="19"/>
          <w:szCs w:val="19"/>
        </w:rPr>
        <w:t xml:space="preserve">  </w:t>
      </w:r>
      <w:r>
        <w:rPr>
          <w:rFonts w:ascii="SimHei" w:eastAsia="SimHei" w:hAnsi="SimHei" w:cs="SimHei"/>
          <w:b/>
          <w:bCs/>
          <w:spacing w:val="14"/>
          <w:sz w:val="19"/>
          <w:szCs w:val="19"/>
        </w:rPr>
        <w:t>与合格评定相关的通用术语</w:t>
      </w:r>
    </w:p>
    <w:p>
      <w:pPr>
        <w:spacing w:line="367" w:lineRule="auto"/>
        <w:rPr>
          <w:rFonts w:ascii="Arial"/>
          <w:sz w:val="21"/>
        </w:rPr>
      </w:pPr>
    </w:p>
    <w:p>
      <w:pPr>
        <w:pStyle w:val="BodyText"/>
        <w:spacing w:before="62" w:line="184" w:lineRule="auto"/>
        <w:ind w:left="2"/>
        <w:rPr>
          <w:sz w:val="19"/>
          <w:szCs w:val="19"/>
        </w:rPr>
      </w:pPr>
      <w:r>
        <w:rPr>
          <w:b/>
          <w:bCs/>
          <w:spacing w:val="-5"/>
          <w:sz w:val="19"/>
          <w:szCs w:val="19"/>
        </w:rPr>
        <w:t>3.1</w:t>
      </w:r>
    </w:p>
    <w:p>
      <w:pPr>
        <w:pStyle w:val="BodyText"/>
        <w:spacing w:before="93" w:line="212" w:lineRule="auto"/>
        <w:ind w:left="392"/>
        <w:rPr>
          <w:rFonts w:ascii="Times New Roman" w:eastAsia="Times New Roman" w:hAnsi="Times New Roman" w:cs="Times New Roman"/>
          <w:sz w:val="19"/>
          <w:szCs w:val="19"/>
        </w:rPr>
      </w:pPr>
      <w:r>
        <w:rPr>
          <w:b/>
          <w:bCs/>
          <w:spacing w:val="2"/>
          <w:sz w:val="19"/>
          <w:szCs w:val="19"/>
        </w:rPr>
        <w:t>合格评定</w:t>
      </w:r>
      <w:r>
        <w:rPr>
          <w:spacing w:val="35"/>
          <w:sz w:val="19"/>
          <w:szCs w:val="19"/>
        </w:rPr>
        <w:t xml:space="preserve">  </w:t>
      </w:r>
      <w:r>
        <w:rPr>
          <w:rFonts w:ascii="Times New Roman" w:eastAsia="Times New Roman" w:hAnsi="Times New Roman" w:cs="Times New Roman"/>
          <w:b/>
          <w:bCs/>
          <w:sz w:val="19"/>
          <w:szCs w:val="19"/>
        </w:rPr>
        <w:t>conformity</w:t>
      </w:r>
      <w:r>
        <w:rPr>
          <w:rFonts w:ascii="Times New Roman" w:eastAsia="Times New Roman" w:hAnsi="Times New Roman" w:cs="Times New Roman"/>
          <w:b/>
          <w:bCs/>
          <w:spacing w:val="2"/>
          <w:sz w:val="19"/>
          <w:szCs w:val="19"/>
        </w:rPr>
        <w:t xml:space="preserve">    </w:t>
      </w:r>
      <w:r>
        <w:rPr>
          <w:rFonts w:ascii="Times New Roman" w:eastAsia="Times New Roman" w:hAnsi="Times New Roman" w:cs="Times New Roman"/>
          <w:b/>
          <w:bCs/>
          <w:sz w:val="19"/>
          <w:szCs w:val="19"/>
        </w:rPr>
        <w:t>assessment</w:t>
      </w:r>
    </w:p>
    <w:p>
      <w:pPr>
        <w:pStyle w:val="BodyText"/>
        <w:spacing w:before="94" w:line="219" w:lineRule="auto"/>
        <w:ind w:left="389"/>
        <w:rPr>
          <w:sz w:val="19"/>
          <w:szCs w:val="19"/>
        </w:rPr>
      </w:pPr>
      <w:r>
        <w:rPr>
          <w:spacing w:val="11"/>
          <w:sz w:val="19"/>
          <w:szCs w:val="19"/>
        </w:rPr>
        <w:t>规定要求(4.1)得到满足的证实。</w:t>
      </w:r>
    </w:p>
    <w:p>
      <w:pPr>
        <w:pStyle w:val="BodyText"/>
        <w:spacing w:before="53" w:line="219" w:lineRule="auto"/>
        <w:ind w:left="389"/>
        <w:rPr>
          <w:sz w:val="19"/>
          <w:szCs w:val="19"/>
        </w:rPr>
      </w:pPr>
      <w:r>
        <w:rPr>
          <w:spacing w:val="-9"/>
          <w:sz w:val="19"/>
          <w:szCs w:val="19"/>
        </w:rPr>
        <w:t>注1:附录</w:t>
      </w:r>
      <w:r>
        <w:rPr>
          <w:spacing w:val="-54"/>
          <w:sz w:val="19"/>
          <w:szCs w:val="19"/>
        </w:rPr>
        <w:t xml:space="preserve"> </w:t>
      </w:r>
      <w:r>
        <w:rPr>
          <w:rFonts w:ascii="Times New Roman" w:eastAsia="Times New Roman" w:hAnsi="Times New Roman" w:cs="Times New Roman"/>
          <w:spacing w:val="-9"/>
          <w:sz w:val="19"/>
          <w:szCs w:val="19"/>
        </w:rPr>
        <w:t xml:space="preserve">A </w:t>
      </w:r>
      <w:r>
        <w:rPr>
          <w:spacing w:val="-9"/>
          <w:sz w:val="19"/>
          <w:szCs w:val="19"/>
        </w:rPr>
        <w:t>中的功能法所描述的合格评定过程可能得到一个否定的结果，即证实规定要</w:t>
      </w:r>
      <w:r>
        <w:rPr>
          <w:spacing w:val="-10"/>
          <w:sz w:val="19"/>
          <w:szCs w:val="19"/>
        </w:rPr>
        <w:t>求未得到满足。</w:t>
      </w:r>
    </w:p>
    <w:p>
      <w:pPr>
        <w:pStyle w:val="BodyText"/>
        <w:spacing w:before="66" w:line="247" w:lineRule="auto"/>
        <w:ind w:left="849" w:right="32" w:hanging="460"/>
        <w:rPr>
          <w:sz w:val="19"/>
          <w:szCs w:val="19"/>
        </w:rPr>
      </w:pPr>
      <w:r>
        <w:rPr>
          <w:spacing w:val="-17"/>
          <w:sz w:val="19"/>
          <w:szCs w:val="19"/>
        </w:rPr>
        <w:t>注2:合格评定包括本文件其他地方所定义的活动，例如但不限于检测(5.2)、检验(5.3)、审定(5.5)、核查(5.6)、认证</w:t>
      </w:r>
      <w:r>
        <w:rPr>
          <w:spacing w:val="17"/>
          <w:sz w:val="19"/>
          <w:szCs w:val="19"/>
        </w:rPr>
        <w:t xml:space="preserve"> </w:t>
      </w:r>
      <w:r>
        <w:rPr>
          <w:spacing w:val="-13"/>
          <w:sz w:val="19"/>
          <w:szCs w:val="19"/>
        </w:rPr>
        <w:t>(6.6)以及认可(6.7)。</w:t>
      </w:r>
    </w:p>
    <w:p>
      <w:pPr>
        <w:pStyle w:val="BodyText"/>
        <w:spacing w:before="60" w:line="219" w:lineRule="auto"/>
        <w:ind w:left="379"/>
        <w:rPr>
          <w:sz w:val="19"/>
          <w:szCs w:val="19"/>
        </w:rPr>
      </w:pPr>
      <w:r>
        <w:rPr>
          <w:spacing w:val="-7"/>
          <w:sz w:val="19"/>
          <w:szCs w:val="19"/>
        </w:rPr>
        <w:t>注3:附录</w:t>
      </w:r>
      <w:r>
        <w:rPr>
          <w:spacing w:val="-44"/>
          <w:sz w:val="19"/>
          <w:szCs w:val="19"/>
        </w:rPr>
        <w:t xml:space="preserve"> </w:t>
      </w:r>
      <w:r>
        <w:rPr>
          <w:rFonts w:ascii="Times New Roman" w:eastAsia="Times New Roman" w:hAnsi="Times New Roman" w:cs="Times New Roman"/>
          <w:spacing w:val="-7"/>
          <w:sz w:val="19"/>
          <w:szCs w:val="19"/>
        </w:rPr>
        <w:t>A</w:t>
      </w:r>
      <w:r>
        <w:rPr>
          <w:rFonts w:ascii="Times New Roman" w:eastAsia="Times New Roman" w:hAnsi="Times New Roman" w:cs="Times New Roman"/>
          <w:spacing w:val="-13"/>
          <w:sz w:val="19"/>
          <w:szCs w:val="19"/>
        </w:rPr>
        <w:t xml:space="preserve"> </w:t>
      </w:r>
      <w:r>
        <w:rPr>
          <w:spacing w:val="-7"/>
          <w:sz w:val="19"/>
          <w:szCs w:val="19"/>
        </w:rPr>
        <w:t>将合格评定解释为一系列功能。有助于实现其中任一</w:t>
      </w:r>
      <w:r>
        <w:rPr>
          <w:spacing w:val="-8"/>
          <w:sz w:val="19"/>
          <w:szCs w:val="19"/>
        </w:rPr>
        <w:t>功能的活动可被描述为合格评定活动。</w:t>
      </w:r>
    </w:p>
    <w:p>
      <w:pPr>
        <w:pStyle w:val="BodyText"/>
        <w:spacing w:before="51" w:line="244" w:lineRule="auto"/>
        <w:ind w:left="849" w:right="30" w:hanging="460"/>
        <w:rPr>
          <w:sz w:val="19"/>
          <w:szCs w:val="19"/>
        </w:rPr>
      </w:pPr>
      <w:r>
        <w:rPr>
          <w:spacing w:val="-18"/>
          <w:sz w:val="19"/>
          <w:szCs w:val="19"/>
        </w:rPr>
        <w:t>注4:本文件不包含“合格”(conformity)的定义。“合格评定”定义中的“合格”二字不存在单独的含义。本文件也不</w:t>
      </w:r>
      <w:r>
        <w:rPr>
          <w:spacing w:val="10"/>
          <w:sz w:val="19"/>
          <w:szCs w:val="19"/>
        </w:rPr>
        <w:t xml:space="preserve"> </w:t>
      </w:r>
      <w:r>
        <w:rPr>
          <w:spacing w:val="-5"/>
          <w:sz w:val="19"/>
          <w:szCs w:val="19"/>
        </w:rPr>
        <w:t>涉及合规</w:t>
      </w:r>
      <w:r>
        <w:rPr>
          <w:rFonts w:ascii="Times New Roman" w:eastAsia="Times New Roman" w:hAnsi="Times New Roman" w:cs="Times New Roman"/>
          <w:spacing w:val="-5"/>
          <w:sz w:val="19"/>
          <w:szCs w:val="19"/>
        </w:rPr>
        <w:t>(compliance)</w:t>
      </w:r>
      <w:r>
        <w:rPr>
          <w:spacing w:val="-5"/>
          <w:sz w:val="19"/>
          <w:szCs w:val="19"/>
        </w:rPr>
        <w:t>的概念。</w:t>
      </w:r>
    </w:p>
    <w:p>
      <w:pPr>
        <w:pStyle w:val="BodyText"/>
        <w:spacing w:before="130" w:line="183" w:lineRule="auto"/>
        <w:ind w:left="2"/>
        <w:rPr>
          <w:sz w:val="19"/>
          <w:szCs w:val="19"/>
        </w:rPr>
      </w:pPr>
      <w:r>
        <w:rPr>
          <w:b/>
          <w:bCs/>
          <w:spacing w:val="-5"/>
          <w:sz w:val="19"/>
          <w:szCs w:val="19"/>
        </w:rPr>
        <w:t>3.2</w:t>
      </w:r>
    </w:p>
    <w:p>
      <w:pPr>
        <w:spacing w:before="73" w:line="212" w:lineRule="auto"/>
        <w:ind w:left="392"/>
        <w:rPr>
          <w:rFonts w:ascii="Times New Roman" w:eastAsia="Times New Roman" w:hAnsi="Times New Roman" w:cs="Times New Roman"/>
          <w:sz w:val="19"/>
          <w:szCs w:val="19"/>
        </w:rPr>
      </w:pPr>
      <w:r>
        <w:rPr>
          <w:rFonts w:ascii="SimHei" w:eastAsia="SimHei" w:hAnsi="SimHei" w:cs="SimHei"/>
          <w:b/>
          <w:bCs/>
          <w:spacing w:val="9"/>
          <w:sz w:val="19"/>
          <w:szCs w:val="19"/>
        </w:rPr>
        <w:t>合格评定对象</w:t>
      </w:r>
      <w:r>
        <w:rPr>
          <w:rFonts w:ascii="SimHei" w:eastAsia="SimHei" w:hAnsi="SimHei" w:cs="SimHei"/>
          <w:spacing w:val="36"/>
          <w:sz w:val="19"/>
          <w:szCs w:val="19"/>
        </w:rPr>
        <w:t xml:space="preserve">  </w:t>
      </w:r>
      <w:r>
        <w:rPr>
          <w:rFonts w:ascii="Times New Roman" w:eastAsia="Times New Roman" w:hAnsi="Times New Roman" w:cs="Times New Roman"/>
          <w:b/>
          <w:bCs/>
          <w:sz w:val="19"/>
          <w:szCs w:val="19"/>
        </w:rPr>
        <w:t>ohject</w:t>
      </w:r>
      <w:r>
        <w:rPr>
          <w:rFonts w:ascii="Times New Roman" w:eastAsia="Times New Roman" w:hAnsi="Times New Roman" w:cs="Times New Roman"/>
          <w:b/>
          <w:bCs/>
          <w:spacing w:val="9"/>
          <w:sz w:val="19"/>
          <w:szCs w:val="19"/>
        </w:rPr>
        <w:t xml:space="preserve">  </w:t>
      </w:r>
      <w:r>
        <w:rPr>
          <w:rFonts w:ascii="Times New Roman" w:eastAsia="Times New Roman" w:hAnsi="Times New Roman" w:cs="Times New Roman"/>
          <w:b/>
          <w:bCs/>
          <w:sz w:val="19"/>
          <w:szCs w:val="19"/>
        </w:rPr>
        <w:t>of</w:t>
      </w:r>
      <w:r>
        <w:rPr>
          <w:rFonts w:ascii="Times New Roman" w:eastAsia="Times New Roman" w:hAnsi="Times New Roman" w:cs="Times New Roman"/>
          <w:b/>
          <w:bCs/>
          <w:spacing w:val="9"/>
          <w:sz w:val="19"/>
          <w:szCs w:val="19"/>
        </w:rPr>
        <w:t xml:space="preserve">  </w:t>
      </w:r>
      <w:r>
        <w:rPr>
          <w:rFonts w:ascii="Times New Roman" w:eastAsia="Times New Roman" w:hAnsi="Times New Roman" w:cs="Times New Roman"/>
          <w:b/>
          <w:bCs/>
          <w:sz w:val="19"/>
          <w:szCs w:val="19"/>
        </w:rPr>
        <w:t>conformity</w:t>
      </w:r>
      <w:r>
        <w:rPr>
          <w:rFonts w:ascii="Times New Roman" w:eastAsia="Times New Roman" w:hAnsi="Times New Roman" w:cs="Times New Roman"/>
          <w:b/>
          <w:bCs/>
          <w:spacing w:val="11"/>
          <w:sz w:val="19"/>
          <w:szCs w:val="19"/>
        </w:rPr>
        <w:t xml:space="preserve">  </w:t>
      </w:r>
      <w:r>
        <w:rPr>
          <w:rFonts w:ascii="Times New Roman" w:eastAsia="Times New Roman" w:hAnsi="Times New Roman" w:cs="Times New Roman"/>
          <w:b/>
          <w:bCs/>
          <w:sz w:val="19"/>
          <w:szCs w:val="19"/>
        </w:rPr>
        <w:t>assessment</w:t>
      </w:r>
    </w:p>
    <w:p>
      <w:pPr>
        <w:pStyle w:val="BodyText"/>
        <w:spacing w:before="102" w:line="212" w:lineRule="auto"/>
        <w:ind w:left="389"/>
        <w:rPr>
          <w:rFonts w:ascii="Times New Roman" w:eastAsia="Times New Roman" w:hAnsi="Times New Roman" w:cs="Times New Roman"/>
          <w:sz w:val="19"/>
          <w:szCs w:val="19"/>
        </w:rPr>
      </w:pPr>
      <w:r>
        <w:rPr>
          <w:spacing w:val="-4"/>
          <w:sz w:val="19"/>
          <w:szCs w:val="19"/>
        </w:rPr>
        <w:t>对</w:t>
      </w:r>
      <w:r>
        <w:rPr>
          <w:spacing w:val="-12"/>
          <w:sz w:val="19"/>
          <w:szCs w:val="19"/>
        </w:rPr>
        <w:t xml:space="preserve"> </w:t>
      </w:r>
      <w:r>
        <w:rPr>
          <w:spacing w:val="-4"/>
          <w:sz w:val="19"/>
          <w:szCs w:val="19"/>
        </w:rPr>
        <w:t>象</w:t>
      </w:r>
      <w:r>
        <w:rPr>
          <w:spacing w:val="87"/>
          <w:sz w:val="19"/>
          <w:szCs w:val="19"/>
        </w:rPr>
        <w:t xml:space="preserve"> </w:t>
      </w:r>
      <w:r>
        <w:rPr>
          <w:rFonts w:ascii="Times New Roman" w:eastAsia="Times New Roman" w:hAnsi="Times New Roman" w:cs="Times New Roman"/>
          <w:spacing w:val="-4"/>
          <w:sz w:val="19"/>
          <w:szCs w:val="19"/>
        </w:rPr>
        <w:t>object</w:t>
      </w:r>
    </w:p>
    <w:p>
      <w:pPr>
        <w:pStyle w:val="BodyText"/>
        <w:spacing w:before="104" w:line="220" w:lineRule="auto"/>
        <w:ind w:left="389"/>
        <w:rPr>
          <w:sz w:val="19"/>
          <w:szCs w:val="19"/>
        </w:rPr>
      </w:pPr>
      <w:r>
        <w:rPr>
          <w:spacing w:val="10"/>
          <w:sz w:val="19"/>
          <w:szCs w:val="19"/>
        </w:rPr>
        <w:t>规定要求(4.1)适用的客体。</w:t>
      </w:r>
    </w:p>
    <w:p>
      <w:pPr>
        <w:pStyle w:val="BodyText"/>
        <w:spacing w:before="82" w:line="222" w:lineRule="auto"/>
        <w:ind w:left="389"/>
        <w:rPr>
          <w:sz w:val="19"/>
          <w:szCs w:val="19"/>
        </w:rPr>
        <w:sectPr>
          <w:footerReference w:type="default" r:id="rId9"/>
          <w:pgSz w:w="11910" w:h="16840"/>
          <w:pgMar w:top="1382" w:right="1259" w:bottom="1278" w:left="1400" w:header="0" w:footer="1139" w:gutter="0"/>
          <w:pgNumType w:start="9"/>
          <w:cols w:space="708"/>
        </w:sectPr>
      </w:pPr>
      <w:r>
        <w:rPr>
          <w:rFonts w:ascii="SimHei" w:eastAsia="SimHei" w:hAnsi="SimHei" w:cs="SimHei"/>
          <w:spacing w:val="-23"/>
          <w:w w:val="95"/>
          <w:sz w:val="19"/>
          <w:szCs w:val="19"/>
        </w:rPr>
        <w:t>示例</w:t>
      </w:r>
      <w:r>
        <w:rPr>
          <w:spacing w:val="-23"/>
          <w:w w:val="95"/>
          <w:sz w:val="19"/>
          <w:szCs w:val="19"/>
        </w:rPr>
        <w:t>：产品、过程、服务、体系、装置、项目、数据、设计、材料、宣称、人员、机构或组织，或者其中的任意组合。</w:t>
      </w:r>
    </w:p>
    <w:p>
      <w:pPr>
        <w:pStyle w:val="BodyText"/>
        <w:spacing w:before="22" w:line="255" w:lineRule="auto"/>
        <w:ind w:left="699" w:hanging="310"/>
        <w:rPr>
          <w:sz w:val="19"/>
          <w:szCs w:val="19"/>
        </w:rPr>
      </w:pPr>
      <w:r>
        <w:rPr>
          <w:spacing w:val="-17"/>
          <w:sz w:val="19"/>
          <w:szCs w:val="19"/>
        </w:rPr>
        <w:t>注：本文件中使用的“机构”</w:t>
      </w:r>
      <w:r>
        <w:rPr>
          <w:rFonts w:ascii="Times New Roman" w:eastAsia="Times New Roman" w:hAnsi="Times New Roman" w:cs="Times New Roman"/>
          <w:spacing w:val="-17"/>
          <w:sz w:val="19"/>
          <w:szCs w:val="19"/>
        </w:rPr>
        <w:t>(body)</w:t>
      </w:r>
      <w:r>
        <w:rPr>
          <w:rFonts w:ascii="Times New Roman" w:eastAsia="Times New Roman" w:hAnsi="Times New Roman" w:cs="Times New Roman"/>
          <w:spacing w:val="-19"/>
          <w:sz w:val="19"/>
          <w:szCs w:val="19"/>
        </w:rPr>
        <w:t xml:space="preserve"> </w:t>
      </w:r>
      <w:r>
        <w:rPr>
          <w:spacing w:val="-17"/>
          <w:sz w:val="19"/>
          <w:szCs w:val="19"/>
        </w:rPr>
        <w:t>一词指合格评定机构(3.6)和认可机构(3.7)。“组织”一词使用其常用的含义，根</w:t>
      </w:r>
      <w:r>
        <w:rPr>
          <w:sz w:val="19"/>
          <w:szCs w:val="19"/>
        </w:rPr>
        <w:t xml:space="preserve"> </w:t>
      </w:r>
      <w:r>
        <w:rPr>
          <w:spacing w:val="-7"/>
          <w:sz w:val="19"/>
          <w:szCs w:val="19"/>
        </w:rPr>
        <w:t>据上下文可能包括机构。</w:t>
      </w:r>
      <w:r>
        <w:rPr>
          <w:rFonts w:ascii="Times New Roman" w:eastAsia="Times New Roman" w:hAnsi="Times New Roman" w:cs="Times New Roman"/>
          <w:spacing w:val="-7"/>
          <w:sz w:val="19"/>
          <w:szCs w:val="19"/>
        </w:rPr>
        <w:t>ISO/IEC</w:t>
      </w:r>
      <w:r>
        <w:rPr>
          <w:rFonts w:ascii="Times New Roman" w:eastAsia="Times New Roman" w:hAnsi="Times New Roman" w:cs="Times New Roman"/>
          <w:spacing w:val="37"/>
          <w:w w:val="101"/>
          <w:sz w:val="19"/>
          <w:szCs w:val="19"/>
        </w:rPr>
        <w:t xml:space="preserve"> </w:t>
      </w:r>
      <w:r>
        <w:rPr>
          <w:spacing w:val="-7"/>
          <w:sz w:val="19"/>
          <w:szCs w:val="19"/>
        </w:rPr>
        <w:t>指南2对组织的特定定义是基于成员关系的机构，不适用于合格评定(3.1)</w:t>
      </w:r>
      <w:r>
        <w:rPr>
          <w:sz w:val="19"/>
          <w:szCs w:val="19"/>
        </w:rPr>
        <w:t xml:space="preserve"> </w:t>
      </w:r>
      <w:r>
        <w:rPr>
          <w:spacing w:val="-8"/>
          <w:sz w:val="19"/>
          <w:szCs w:val="19"/>
        </w:rPr>
        <w:t>领域。</w:t>
      </w:r>
    </w:p>
    <w:p>
      <w:pPr>
        <w:pStyle w:val="BodyText"/>
        <w:spacing w:before="140" w:line="183" w:lineRule="auto"/>
        <w:ind w:left="2"/>
        <w:rPr>
          <w:sz w:val="19"/>
          <w:szCs w:val="19"/>
        </w:rPr>
      </w:pPr>
      <w:r>
        <w:rPr>
          <w:b/>
          <w:bCs/>
          <w:spacing w:val="-5"/>
          <w:sz w:val="19"/>
          <w:szCs w:val="19"/>
        </w:rPr>
        <w:t>3.3</w:t>
      </w:r>
    </w:p>
    <w:p>
      <w:pPr>
        <w:spacing w:before="83" w:line="212" w:lineRule="auto"/>
        <w:ind w:left="392"/>
        <w:rPr>
          <w:rFonts w:ascii="Times New Roman" w:eastAsia="Times New Roman" w:hAnsi="Times New Roman" w:cs="Times New Roman"/>
          <w:sz w:val="19"/>
          <w:szCs w:val="19"/>
        </w:rPr>
      </w:pPr>
      <w:r>
        <w:rPr>
          <w:rFonts w:ascii="SimHei" w:eastAsia="SimHei" w:hAnsi="SimHei" w:cs="SimHei"/>
          <w:b/>
          <w:bCs/>
          <w:spacing w:val="8"/>
          <w:sz w:val="19"/>
          <w:szCs w:val="19"/>
        </w:rPr>
        <w:t>第一方合格评定活动</w:t>
      </w:r>
      <w:r>
        <w:rPr>
          <w:rFonts w:ascii="SimHei" w:eastAsia="SimHei" w:hAnsi="SimHei" w:cs="SimHei"/>
          <w:spacing w:val="8"/>
          <w:sz w:val="19"/>
          <w:szCs w:val="19"/>
        </w:rPr>
        <w:t xml:space="preserve">  </w:t>
      </w:r>
      <w:r>
        <w:rPr>
          <w:rFonts w:ascii="Times New Roman" w:eastAsia="Times New Roman" w:hAnsi="Times New Roman" w:cs="Times New Roman"/>
          <w:b/>
          <w:bCs/>
          <w:sz w:val="19"/>
          <w:szCs w:val="19"/>
        </w:rPr>
        <w:t>first</w:t>
      </w:r>
      <w:r>
        <w:rPr>
          <w:rFonts w:ascii="Times New Roman" w:eastAsia="Times New Roman" w:hAnsi="Times New Roman" w:cs="Times New Roman"/>
          <w:b/>
          <w:bCs/>
          <w:spacing w:val="8"/>
          <w:sz w:val="19"/>
          <w:szCs w:val="19"/>
        </w:rPr>
        <w:t>-</w:t>
      </w:r>
      <w:r>
        <w:rPr>
          <w:rFonts w:ascii="Times New Roman" w:eastAsia="Times New Roman" w:hAnsi="Times New Roman" w:cs="Times New Roman"/>
          <w:b/>
          <w:bCs/>
          <w:sz w:val="19"/>
          <w:szCs w:val="19"/>
        </w:rPr>
        <w:t>party</w:t>
      </w:r>
      <w:r>
        <w:rPr>
          <w:rFonts w:ascii="Times New Roman" w:eastAsia="Times New Roman" w:hAnsi="Times New Roman" w:cs="Times New Roman"/>
          <w:b/>
          <w:bCs/>
          <w:spacing w:val="8"/>
          <w:sz w:val="19"/>
          <w:szCs w:val="19"/>
        </w:rPr>
        <w:t xml:space="preserve">   </w:t>
      </w:r>
      <w:r>
        <w:rPr>
          <w:rFonts w:ascii="Times New Roman" w:eastAsia="Times New Roman" w:hAnsi="Times New Roman" w:cs="Times New Roman"/>
          <w:b/>
          <w:bCs/>
          <w:sz w:val="19"/>
          <w:szCs w:val="19"/>
        </w:rPr>
        <w:t>conformity</w:t>
      </w:r>
      <w:r>
        <w:rPr>
          <w:rFonts w:ascii="Times New Roman" w:eastAsia="Times New Roman" w:hAnsi="Times New Roman" w:cs="Times New Roman"/>
          <w:b/>
          <w:bCs/>
          <w:spacing w:val="23"/>
          <w:sz w:val="19"/>
          <w:szCs w:val="19"/>
        </w:rPr>
        <w:t xml:space="preserve">  </w:t>
      </w:r>
      <w:r>
        <w:rPr>
          <w:rFonts w:ascii="Times New Roman" w:eastAsia="Times New Roman" w:hAnsi="Times New Roman" w:cs="Times New Roman"/>
          <w:b/>
          <w:bCs/>
          <w:sz w:val="19"/>
          <w:szCs w:val="19"/>
        </w:rPr>
        <w:t>assessment</w:t>
      </w:r>
      <w:r>
        <w:rPr>
          <w:rFonts w:ascii="Times New Roman" w:eastAsia="Times New Roman" w:hAnsi="Times New Roman" w:cs="Times New Roman"/>
          <w:b/>
          <w:bCs/>
          <w:spacing w:val="16"/>
          <w:w w:val="101"/>
          <w:sz w:val="19"/>
          <w:szCs w:val="19"/>
        </w:rPr>
        <w:t xml:space="preserve">  </w:t>
      </w:r>
      <w:r>
        <w:rPr>
          <w:rFonts w:ascii="Times New Roman" w:eastAsia="Times New Roman" w:hAnsi="Times New Roman" w:cs="Times New Roman"/>
          <w:b/>
          <w:bCs/>
          <w:sz w:val="19"/>
          <w:szCs w:val="19"/>
        </w:rPr>
        <w:t>activity</w:t>
      </w:r>
    </w:p>
    <w:p>
      <w:pPr>
        <w:pStyle w:val="BodyText"/>
        <w:spacing w:before="102" w:line="219" w:lineRule="auto"/>
        <w:ind w:left="389"/>
        <w:rPr>
          <w:sz w:val="19"/>
          <w:szCs w:val="19"/>
        </w:rPr>
      </w:pPr>
      <w:r>
        <w:rPr>
          <w:spacing w:val="14"/>
          <w:sz w:val="19"/>
          <w:szCs w:val="19"/>
        </w:rPr>
        <w:t>由合格评定对象(3.2)的提供方或合格评定对象(3.2)自身的人员或组织实施的合格评定活动。</w:t>
      </w:r>
    </w:p>
    <w:p>
      <w:pPr>
        <w:pStyle w:val="BodyText"/>
        <w:spacing w:before="65" w:line="247" w:lineRule="auto"/>
        <w:ind w:left="849" w:right="32" w:hanging="460"/>
        <w:rPr>
          <w:sz w:val="19"/>
          <w:szCs w:val="19"/>
        </w:rPr>
      </w:pPr>
      <w:r>
        <w:rPr>
          <w:spacing w:val="-20"/>
          <w:sz w:val="19"/>
          <w:szCs w:val="19"/>
        </w:rPr>
        <w:t>注1:本文件中的“第一方”“第二方”和“第三方”用于区分针对给定对象的合格评定活动，不能与法律上表示合同各</w:t>
      </w:r>
      <w:r>
        <w:rPr>
          <w:spacing w:val="7"/>
          <w:sz w:val="19"/>
          <w:szCs w:val="19"/>
        </w:rPr>
        <w:t xml:space="preserve"> </w:t>
      </w:r>
      <w:r>
        <w:rPr>
          <w:spacing w:val="-12"/>
          <w:sz w:val="19"/>
          <w:szCs w:val="19"/>
        </w:rPr>
        <w:t>相关方的说法混淆。</w:t>
      </w:r>
    </w:p>
    <w:p>
      <w:pPr>
        <w:pStyle w:val="BodyText"/>
        <w:spacing w:before="50" w:line="243" w:lineRule="auto"/>
        <w:ind w:right="40" w:firstLine="392"/>
        <w:rPr>
          <w:sz w:val="19"/>
          <w:szCs w:val="19"/>
        </w:rPr>
      </w:pPr>
      <w:r>
        <w:rPr>
          <w:rFonts w:ascii="SimHei" w:eastAsia="SimHei" w:hAnsi="SimHei" w:cs="SimHei"/>
          <w:b/>
          <w:bCs/>
          <w:spacing w:val="-14"/>
          <w:sz w:val="19"/>
          <w:szCs w:val="19"/>
        </w:rPr>
        <w:t>示例</w:t>
      </w:r>
      <w:r>
        <w:rPr>
          <w:spacing w:val="-14"/>
          <w:sz w:val="19"/>
          <w:szCs w:val="19"/>
        </w:rPr>
        <w:t>：合格评定对象的提供方、设计方或所有方，合格评定对象的投资方和合格评定对象的广告方或推广方实施的</w:t>
      </w:r>
      <w:r>
        <w:rPr>
          <w:spacing w:val="12"/>
          <w:sz w:val="19"/>
          <w:szCs w:val="19"/>
        </w:rPr>
        <w:t xml:space="preserve"> </w:t>
      </w:r>
      <w:r>
        <w:rPr>
          <w:spacing w:val="-9"/>
          <w:sz w:val="19"/>
          <w:szCs w:val="19"/>
        </w:rPr>
        <w:t>活动。</w:t>
      </w:r>
    </w:p>
    <w:p>
      <w:pPr>
        <w:pStyle w:val="BodyText"/>
        <w:spacing w:before="72" w:line="243" w:lineRule="auto"/>
        <w:ind w:left="849" w:right="32" w:hanging="457"/>
        <w:rPr>
          <w:sz w:val="19"/>
          <w:szCs w:val="19"/>
        </w:rPr>
      </w:pPr>
      <w:r>
        <w:rPr>
          <w:b/>
          <w:bCs/>
          <w:spacing w:val="-11"/>
          <w:sz w:val="19"/>
          <w:szCs w:val="19"/>
        </w:rPr>
        <w:t>注2:</w:t>
      </w:r>
      <w:r>
        <w:rPr>
          <w:spacing w:val="-37"/>
          <w:sz w:val="19"/>
          <w:szCs w:val="19"/>
        </w:rPr>
        <w:t xml:space="preserve"> </w:t>
      </w:r>
      <w:r>
        <w:rPr>
          <w:spacing w:val="-11"/>
          <w:sz w:val="19"/>
          <w:szCs w:val="19"/>
        </w:rPr>
        <w:t>如果活动由外部机构实施，该机构代表了提供合格评定对象或自身为合格评定对象的人员或组织，并受其控</w:t>
      </w:r>
      <w:r>
        <w:rPr>
          <w:sz w:val="19"/>
          <w:szCs w:val="19"/>
        </w:rPr>
        <w:t xml:space="preserve"> </w:t>
      </w:r>
      <w:r>
        <w:rPr>
          <w:spacing w:val="-10"/>
          <w:sz w:val="19"/>
          <w:szCs w:val="19"/>
        </w:rPr>
        <w:t>制(如组织之外的咨询师所实施的内部审核),则该活动仍称为第一方合格评定活动。</w:t>
      </w:r>
    </w:p>
    <w:p>
      <w:pPr>
        <w:spacing w:line="243" w:lineRule="auto"/>
        <w:rPr>
          <w:sz w:val="19"/>
          <w:szCs w:val="19"/>
        </w:rPr>
        <w:sectPr>
          <w:footerReference w:type="default" r:id="rId10"/>
          <w:type w:val="nextPage"/>
          <w:pgSz w:w="11910" w:h="16840"/>
          <w:pgMar w:top="1382" w:right="1259" w:bottom="1278" w:left="1400" w:header="0" w:footer="1139" w:gutter="0"/>
          <w:pgNumType w:start="10"/>
          <w:cols w:space="708"/>
          <w:titlePg w:val="0"/>
        </w:sectPr>
      </w:pPr>
    </w:p>
    <w:p>
      <w:pPr>
        <w:pStyle w:val="BodyText"/>
        <w:spacing w:before="40" w:line="224" w:lineRule="auto"/>
        <w:ind w:left="2"/>
        <w:rPr>
          <w:sz w:val="20"/>
          <w:szCs w:val="20"/>
        </w:rPr>
      </w:pPr>
      <w:bookmarkStart w:id="4" w:name="bookmark8"/>
      <w:bookmarkEnd w:id="4"/>
      <w:r>
        <w:rPr>
          <w:b/>
          <w:bCs/>
          <w:spacing w:val="-3"/>
          <w:sz w:val="20"/>
          <w:szCs w:val="20"/>
        </w:rPr>
        <w:t>GB/T</w:t>
      </w:r>
      <w:r>
        <w:rPr>
          <w:spacing w:val="27"/>
          <w:sz w:val="20"/>
          <w:szCs w:val="20"/>
        </w:rPr>
        <w:t xml:space="preserve">  </w:t>
      </w:r>
      <w:r>
        <w:rPr>
          <w:b/>
          <w:bCs/>
          <w:spacing w:val="-3"/>
          <w:sz w:val="20"/>
          <w:szCs w:val="20"/>
        </w:rPr>
        <w:t>27000—2023/ISO/IEC</w:t>
      </w:r>
      <w:r>
        <w:rPr>
          <w:spacing w:val="34"/>
          <w:sz w:val="20"/>
          <w:szCs w:val="20"/>
        </w:rPr>
        <w:t xml:space="preserve">  </w:t>
      </w:r>
      <w:r>
        <w:rPr>
          <w:b/>
          <w:bCs/>
          <w:spacing w:val="-3"/>
          <w:sz w:val="20"/>
          <w:szCs w:val="20"/>
        </w:rPr>
        <w:t>1</w:t>
      </w:r>
      <w:r>
        <w:rPr>
          <w:b/>
          <w:bCs/>
          <w:spacing w:val="-4"/>
          <w:sz w:val="20"/>
          <w:szCs w:val="20"/>
        </w:rPr>
        <w:t>7000:2020</w:t>
      </w:r>
    </w:p>
    <w:p>
      <w:pPr>
        <w:spacing w:line="287" w:lineRule="auto"/>
        <w:rPr>
          <w:rFonts w:ascii="Arial"/>
          <w:sz w:val="21"/>
        </w:rPr>
      </w:pPr>
    </w:p>
    <w:p>
      <w:pPr>
        <w:pStyle w:val="BodyText"/>
        <w:spacing w:before="65" w:line="183" w:lineRule="auto"/>
        <w:ind w:left="2"/>
        <w:rPr>
          <w:sz w:val="20"/>
          <w:szCs w:val="20"/>
        </w:rPr>
      </w:pPr>
      <w:r>
        <w:rPr>
          <w:b/>
          <w:bCs/>
          <w:spacing w:val="-5"/>
          <w:sz w:val="20"/>
          <w:szCs w:val="20"/>
        </w:rPr>
        <w:t>3.4</w:t>
      </w:r>
    </w:p>
    <w:p>
      <w:pPr>
        <w:pStyle w:val="BodyText"/>
        <w:spacing w:before="83" w:line="217" w:lineRule="auto"/>
        <w:ind w:left="402"/>
        <w:rPr>
          <w:sz w:val="20"/>
          <w:szCs w:val="20"/>
        </w:rPr>
      </w:pPr>
      <w:r>
        <w:rPr>
          <w:rFonts w:ascii="SimHei" w:eastAsia="SimHei" w:hAnsi="SimHei" w:cs="SimHei"/>
          <w:b/>
          <w:bCs/>
          <w:spacing w:val="-10"/>
          <w:sz w:val="20"/>
          <w:szCs w:val="20"/>
        </w:rPr>
        <w:t>第二方合格评定活动</w:t>
      </w:r>
      <w:r>
        <w:rPr>
          <w:rFonts w:ascii="SimHei" w:eastAsia="SimHei" w:hAnsi="SimHei" w:cs="SimHei"/>
          <w:spacing w:val="39"/>
          <w:sz w:val="20"/>
          <w:szCs w:val="20"/>
        </w:rPr>
        <w:t xml:space="preserve">  </w:t>
      </w:r>
      <w:r>
        <w:rPr>
          <w:b/>
          <w:bCs/>
          <w:spacing w:val="-10"/>
          <w:sz w:val="20"/>
          <w:szCs w:val="20"/>
        </w:rPr>
        <w:t>second-party</w:t>
      </w:r>
      <w:r>
        <w:rPr>
          <w:spacing w:val="-10"/>
          <w:sz w:val="20"/>
          <w:szCs w:val="20"/>
        </w:rPr>
        <w:t xml:space="preserve"> </w:t>
      </w:r>
      <w:r>
        <w:rPr>
          <w:b/>
          <w:bCs/>
          <w:spacing w:val="-10"/>
          <w:sz w:val="20"/>
          <w:szCs w:val="20"/>
        </w:rPr>
        <w:t>conformity</w:t>
      </w:r>
      <w:r>
        <w:rPr>
          <w:spacing w:val="-10"/>
          <w:sz w:val="20"/>
          <w:szCs w:val="20"/>
        </w:rPr>
        <w:t xml:space="preserve"> </w:t>
      </w:r>
      <w:r>
        <w:rPr>
          <w:b/>
          <w:bCs/>
          <w:spacing w:val="-10"/>
          <w:sz w:val="20"/>
          <w:szCs w:val="20"/>
        </w:rPr>
        <w:t>assessment</w:t>
      </w:r>
      <w:r>
        <w:rPr>
          <w:spacing w:val="-10"/>
          <w:sz w:val="20"/>
          <w:szCs w:val="20"/>
        </w:rPr>
        <w:t xml:space="preserve"> </w:t>
      </w:r>
      <w:r>
        <w:rPr>
          <w:b/>
          <w:bCs/>
          <w:spacing w:val="-10"/>
          <w:sz w:val="20"/>
          <w:szCs w:val="20"/>
        </w:rPr>
        <w:t>activity</w:t>
      </w:r>
    </w:p>
    <w:p>
      <w:pPr>
        <w:pStyle w:val="BodyText"/>
        <w:spacing w:before="73" w:line="219" w:lineRule="auto"/>
        <w:ind w:left="400"/>
        <w:rPr>
          <w:sz w:val="20"/>
          <w:szCs w:val="20"/>
        </w:rPr>
      </w:pPr>
      <w:r>
        <w:rPr>
          <w:spacing w:val="6"/>
          <w:sz w:val="20"/>
          <w:szCs w:val="20"/>
        </w:rPr>
        <w:t>由对合格评定对象(3.2)具有使用方利益的人员或组织实施的合格评定活动。</w:t>
      </w:r>
    </w:p>
    <w:p>
      <w:pPr>
        <w:pStyle w:val="BodyText"/>
        <w:spacing w:before="61"/>
        <w:ind w:left="849" w:right="19" w:hanging="447"/>
        <w:rPr>
          <w:sz w:val="20"/>
          <w:szCs w:val="20"/>
        </w:rPr>
      </w:pPr>
      <w:r>
        <w:rPr>
          <w:b/>
          <w:bCs/>
          <w:spacing w:val="-23"/>
          <w:w w:val="96"/>
          <w:sz w:val="20"/>
          <w:szCs w:val="20"/>
        </w:rPr>
        <w:t>注1:</w:t>
      </w:r>
      <w:r>
        <w:rPr>
          <w:spacing w:val="-55"/>
          <w:sz w:val="20"/>
          <w:szCs w:val="20"/>
        </w:rPr>
        <w:t xml:space="preserve"> </w:t>
      </w:r>
      <w:r>
        <w:rPr>
          <w:spacing w:val="-23"/>
          <w:w w:val="96"/>
          <w:sz w:val="20"/>
          <w:szCs w:val="20"/>
        </w:rPr>
        <w:t>本文件中的“第一方”“第二方”和“第三方”用于区分针对给定对象的合格评定活动，不能与法律上表示</w:t>
      </w:r>
      <w:r>
        <w:rPr>
          <w:spacing w:val="-24"/>
          <w:w w:val="96"/>
          <w:sz w:val="20"/>
          <w:szCs w:val="20"/>
        </w:rPr>
        <w:t>合同各</w:t>
      </w:r>
      <w:r>
        <w:rPr>
          <w:sz w:val="20"/>
          <w:szCs w:val="20"/>
        </w:rPr>
        <w:t xml:space="preserve"> </w:t>
      </w:r>
      <w:r>
        <w:rPr>
          <w:spacing w:val="-20"/>
          <w:sz w:val="20"/>
          <w:szCs w:val="20"/>
        </w:rPr>
        <w:t>相关方的说法混淆。</w:t>
      </w:r>
    </w:p>
    <w:p>
      <w:pPr>
        <w:pStyle w:val="BodyText"/>
        <w:spacing w:before="58" w:line="246" w:lineRule="auto"/>
        <w:ind w:right="6" w:firstLine="402"/>
        <w:jc w:val="both"/>
        <w:rPr>
          <w:sz w:val="20"/>
          <w:szCs w:val="20"/>
        </w:rPr>
      </w:pPr>
      <w:r>
        <w:rPr>
          <w:rFonts w:ascii="SimHei" w:eastAsia="SimHei" w:hAnsi="SimHei" w:cs="SimHei"/>
          <w:b/>
          <w:bCs/>
          <w:spacing w:val="-20"/>
          <w:w w:val="98"/>
          <w:sz w:val="20"/>
          <w:szCs w:val="20"/>
        </w:rPr>
        <w:t>示例</w:t>
      </w:r>
      <w:r>
        <w:rPr>
          <w:spacing w:val="-19"/>
          <w:w w:val="98"/>
          <w:sz w:val="20"/>
          <w:szCs w:val="20"/>
        </w:rPr>
        <w:t>：实施第二方合格评定活动的人员或组织的例</w:t>
      </w:r>
      <w:r>
        <w:rPr>
          <w:spacing w:val="-20"/>
          <w:w w:val="98"/>
          <w:sz w:val="20"/>
          <w:szCs w:val="20"/>
        </w:rPr>
        <w:t>子有：产品的采购方或使用方，或是希望依赖供方管理体系的</w:t>
      </w:r>
      <w:r>
        <w:rPr>
          <w:spacing w:val="-18"/>
          <w:w w:val="98"/>
          <w:sz w:val="20"/>
          <w:szCs w:val="20"/>
        </w:rPr>
        <w:t>潜</w:t>
      </w:r>
      <w:r>
        <w:rPr>
          <w:sz w:val="20"/>
          <w:szCs w:val="20"/>
        </w:rPr>
        <w:t xml:space="preserve"> </w:t>
      </w:r>
      <w:r>
        <w:rPr>
          <w:spacing w:val="-18"/>
          <w:w w:val="97"/>
          <w:sz w:val="20"/>
          <w:szCs w:val="20"/>
        </w:rPr>
        <w:t>在顾客，或是代表此类利益的组织。代表使用方利益的组织包括消费者权益保护组织、为保护消费者和公众利益对产品</w:t>
      </w:r>
      <w:r>
        <w:rPr>
          <w:spacing w:val="35"/>
          <w:sz w:val="20"/>
          <w:szCs w:val="20"/>
        </w:rPr>
        <w:t xml:space="preserve"> </w:t>
      </w:r>
      <w:r>
        <w:rPr>
          <w:spacing w:val="-19"/>
          <w:w w:val="98"/>
          <w:sz w:val="20"/>
          <w:szCs w:val="20"/>
        </w:rPr>
        <w:t>和服务实施管理的监管方、政府集中采购组织以及私营部门采购代理。</w:t>
      </w:r>
    </w:p>
    <w:p>
      <w:pPr>
        <w:pStyle w:val="BodyText"/>
        <w:spacing w:before="82" w:line="232" w:lineRule="auto"/>
        <w:ind w:left="859" w:hanging="457"/>
        <w:rPr>
          <w:sz w:val="20"/>
          <w:szCs w:val="20"/>
        </w:rPr>
      </w:pPr>
      <w:r>
        <w:rPr>
          <w:b/>
          <w:bCs/>
          <w:spacing w:val="-23"/>
          <w:sz w:val="20"/>
          <w:szCs w:val="20"/>
        </w:rPr>
        <w:t>注2:</w:t>
      </w:r>
      <w:r>
        <w:rPr>
          <w:spacing w:val="-52"/>
          <w:sz w:val="20"/>
          <w:szCs w:val="20"/>
        </w:rPr>
        <w:t xml:space="preserve"> </w:t>
      </w:r>
      <w:r>
        <w:rPr>
          <w:spacing w:val="-23"/>
          <w:sz w:val="20"/>
          <w:szCs w:val="20"/>
        </w:rPr>
        <w:t>如果活动由外部机构实施</w:t>
      </w:r>
      <w:r>
        <w:rPr>
          <w:spacing w:val="-22"/>
          <w:sz w:val="20"/>
          <w:szCs w:val="20"/>
        </w:rPr>
        <w:t>，该机构代表了具有使用方利益的人员或组织，并受其控制(如外部机构代表采购</w:t>
      </w:r>
      <w:r>
        <w:rPr>
          <w:spacing w:val="-8"/>
          <w:sz w:val="20"/>
          <w:szCs w:val="20"/>
        </w:rPr>
        <w:t>方</w:t>
      </w:r>
      <w:r>
        <w:rPr>
          <w:sz w:val="20"/>
          <w:szCs w:val="20"/>
        </w:rPr>
        <w:t xml:space="preserve"> </w:t>
      </w:r>
      <w:r>
        <w:rPr>
          <w:spacing w:val="-19"/>
          <w:sz w:val="20"/>
          <w:szCs w:val="20"/>
        </w:rPr>
        <w:t>进行的供应链审核),则该活动仍称为第二方合格评定活动。</w:t>
      </w:r>
    </w:p>
    <w:p>
      <w:pPr>
        <w:pStyle w:val="BodyText"/>
        <w:spacing w:before="118" w:line="183" w:lineRule="auto"/>
        <w:ind w:left="2"/>
        <w:rPr>
          <w:sz w:val="20"/>
          <w:szCs w:val="20"/>
        </w:rPr>
      </w:pPr>
      <w:r>
        <w:rPr>
          <w:b/>
          <w:bCs/>
          <w:spacing w:val="-5"/>
          <w:sz w:val="20"/>
          <w:szCs w:val="20"/>
        </w:rPr>
        <w:t>3.5</w:t>
      </w:r>
    </w:p>
    <w:p>
      <w:pPr>
        <w:pStyle w:val="BodyText"/>
        <w:spacing w:before="84" w:line="217" w:lineRule="auto"/>
        <w:ind w:left="402"/>
        <w:rPr>
          <w:sz w:val="20"/>
          <w:szCs w:val="20"/>
        </w:rPr>
      </w:pPr>
      <w:r>
        <w:rPr>
          <w:rFonts w:ascii="SimHei" w:eastAsia="SimHei" w:hAnsi="SimHei" w:cs="SimHei"/>
          <w:b/>
          <w:bCs/>
          <w:spacing w:val="-10"/>
          <w:sz w:val="20"/>
          <w:szCs w:val="20"/>
        </w:rPr>
        <w:t>第三方合格评定活动</w:t>
      </w:r>
      <w:r>
        <w:rPr>
          <w:rFonts w:ascii="SimHei" w:eastAsia="SimHei" w:hAnsi="SimHei" w:cs="SimHei"/>
          <w:spacing w:val="22"/>
          <w:sz w:val="20"/>
          <w:szCs w:val="20"/>
        </w:rPr>
        <w:t xml:space="preserve">  </w:t>
      </w:r>
      <w:r>
        <w:rPr>
          <w:b/>
          <w:bCs/>
          <w:spacing w:val="-10"/>
          <w:sz w:val="20"/>
          <w:szCs w:val="20"/>
        </w:rPr>
        <w:t>third-part</w:t>
      </w:r>
      <w:r>
        <w:rPr>
          <w:b/>
          <w:bCs/>
          <w:spacing w:val="-11"/>
          <w:sz w:val="20"/>
          <w:szCs w:val="20"/>
        </w:rPr>
        <w:t>y</w:t>
      </w:r>
      <w:r>
        <w:rPr>
          <w:spacing w:val="-11"/>
          <w:sz w:val="20"/>
          <w:szCs w:val="20"/>
        </w:rPr>
        <w:t xml:space="preserve"> </w:t>
      </w:r>
      <w:r>
        <w:rPr>
          <w:b/>
          <w:bCs/>
          <w:spacing w:val="-11"/>
          <w:sz w:val="20"/>
          <w:szCs w:val="20"/>
        </w:rPr>
        <w:t>conformity</w:t>
      </w:r>
      <w:r>
        <w:rPr>
          <w:spacing w:val="-11"/>
          <w:sz w:val="20"/>
          <w:szCs w:val="20"/>
        </w:rPr>
        <w:t xml:space="preserve"> </w:t>
      </w:r>
      <w:r>
        <w:rPr>
          <w:b/>
          <w:bCs/>
          <w:spacing w:val="-11"/>
          <w:sz w:val="20"/>
          <w:szCs w:val="20"/>
        </w:rPr>
        <w:t>assessment</w:t>
      </w:r>
      <w:r>
        <w:rPr>
          <w:spacing w:val="-11"/>
          <w:sz w:val="20"/>
          <w:szCs w:val="20"/>
        </w:rPr>
        <w:t xml:space="preserve"> </w:t>
      </w:r>
      <w:r>
        <w:rPr>
          <w:b/>
          <w:bCs/>
          <w:spacing w:val="-11"/>
          <w:sz w:val="20"/>
          <w:szCs w:val="20"/>
        </w:rPr>
        <w:t>activity</w:t>
      </w:r>
    </w:p>
    <w:p>
      <w:pPr>
        <w:pStyle w:val="BodyText"/>
        <w:spacing w:before="62" w:line="268" w:lineRule="auto"/>
        <w:ind w:right="59" w:firstLine="400"/>
        <w:rPr>
          <w:sz w:val="20"/>
          <w:szCs w:val="20"/>
        </w:rPr>
      </w:pPr>
      <w:r>
        <w:rPr>
          <w:spacing w:val="6"/>
          <w:sz w:val="20"/>
          <w:szCs w:val="20"/>
        </w:rPr>
        <w:t xml:space="preserve">由独立于合格评定对象(3.2)的提供方，并且与该对象没有使用方利益的人员或组织实施的合格评 </w:t>
      </w:r>
      <w:r>
        <w:rPr>
          <w:spacing w:val="-2"/>
          <w:sz w:val="20"/>
          <w:szCs w:val="20"/>
        </w:rPr>
        <w:t>定活动。</w:t>
      </w:r>
    </w:p>
    <w:p>
      <w:pPr>
        <w:pStyle w:val="BodyText"/>
        <w:spacing w:before="50"/>
        <w:ind w:left="720" w:right="18" w:hanging="320"/>
        <w:rPr>
          <w:sz w:val="20"/>
          <w:szCs w:val="20"/>
        </w:rPr>
      </w:pPr>
      <w:r>
        <w:rPr>
          <w:spacing w:val="-22"/>
          <w:w w:val="96"/>
          <w:sz w:val="20"/>
          <w:szCs w:val="20"/>
        </w:rPr>
        <w:t>注：本文件中的“第一方”“第二方”和“第三方”用于区分针</w:t>
      </w:r>
      <w:r>
        <w:rPr>
          <w:spacing w:val="-23"/>
          <w:w w:val="96"/>
          <w:sz w:val="20"/>
          <w:szCs w:val="20"/>
        </w:rPr>
        <w:t>对给定对象的合格评定活动，不能与法律上表示合同各</w:t>
      </w:r>
      <w:r>
        <w:rPr>
          <w:sz w:val="20"/>
          <w:szCs w:val="20"/>
        </w:rPr>
        <w:t xml:space="preserve"> </w:t>
      </w:r>
      <w:r>
        <w:rPr>
          <w:spacing w:val="-19"/>
          <w:sz w:val="20"/>
          <w:szCs w:val="20"/>
        </w:rPr>
        <w:t>相关方的说法混淆。</w:t>
      </w:r>
    </w:p>
    <w:p>
      <w:pPr>
        <w:pStyle w:val="BodyText"/>
        <w:spacing w:before="110" w:line="183" w:lineRule="auto"/>
        <w:ind w:left="2"/>
        <w:rPr>
          <w:sz w:val="20"/>
          <w:szCs w:val="20"/>
        </w:rPr>
      </w:pPr>
      <w:r>
        <w:rPr>
          <w:b/>
          <w:bCs/>
          <w:spacing w:val="-5"/>
          <w:sz w:val="20"/>
          <w:szCs w:val="20"/>
        </w:rPr>
        <w:t>3.6</w:t>
      </w:r>
    </w:p>
    <w:p>
      <w:pPr>
        <w:spacing w:before="69" w:line="333" w:lineRule="exact"/>
        <w:ind w:left="400"/>
        <w:rPr>
          <w:rFonts w:ascii="Times New Roman" w:eastAsia="Times New Roman" w:hAnsi="Times New Roman" w:cs="Times New Roman"/>
          <w:sz w:val="20"/>
          <w:szCs w:val="20"/>
        </w:rPr>
      </w:pPr>
      <w:r>
        <w:rPr>
          <w:rFonts w:ascii="SimHei" w:eastAsia="SimHei" w:hAnsi="SimHei" w:cs="SimHei"/>
          <w:spacing w:val="4"/>
          <w:position w:val="10"/>
          <w:sz w:val="20"/>
          <w:szCs w:val="20"/>
        </w:rPr>
        <w:t>合格评定机构</w:t>
      </w:r>
      <w:r>
        <w:rPr>
          <w:rFonts w:ascii="SimHei" w:eastAsia="SimHei" w:hAnsi="SimHei" w:cs="SimHei"/>
          <w:spacing w:val="98"/>
          <w:position w:val="10"/>
          <w:sz w:val="20"/>
          <w:szCs w:val="20"/>
        </w:rPr>
        <w:t xml:space="preserve"> </w:t>
      </w:r>
      <w:r>
        <w:rPr>
          <w:rFonts w:ascii="Times New Roman" w:eastAsia="Times New Roman" w:hAnsi="Times New Roman" w:cs="Times New Roman"/>
          <w:position w:val="10"/>
          <w:sz w:val="20"/>
          <w:szCs w:val="20"/>
        </w:rPr>
        <w:t>conformity</w:t>
      </w:r>
      <w:r>
        <w:rPr>
          <w:rFonts w:ascii="Times New Roman" w:eastAsia="Times New Roman" w:hAnsi="Times New Roman" w:cs="Times New Roman"/>
          <w:spacing w:val="16"/>
          <w:w w:val="101"/>
          <w:position w:val="10"/>
          <w:sz w:val="20"/>
          <w:szCs w:val="20"/>
        </w:rPr>
        <w:t xml:space="preserve">  </w:t>
      </w:r>
      <w:r>
        <w:rPr>
          <w:rFonts w:ascii="Times New Roman" w:eastAsia="Times New Roman" w:hAnsi="Times New Roman" w:cs="Times New Roman"/>
          <w:position w:val="10"/>
          <w:sz w:val="20"/>
          <w:szCs w:val="20"/>
        </w:rPr>
        <w:t>assessment</w:t>
      </w:r>
      <w:r>
        <w:rPr>
          <w:rFonts w:ascii="Times New Roman" w:eastAsia="Times New Roman" w:hAnsi="Times New Roman" w:cs="Times New Roman"/>
          <w:spacing w:val="4"/>
          <w:position w:val="10"/>
          <w:sz w:val="20"/>
          <w:szCs w:val="20"/>
        </w:rPr>
        <w:t xml:space="preserve">  </w:t>
      </w:r>
      <w:r>
        <w:rPr>
          <w:rFonts w:ascii="Times New Roman" w:eastAsia="Times New Roman" w:hAnsi="Times New Roman" w:cs="Times New Roman"/>
          <w:position w:val="10"/>
          <w:sz w:val="20"/>
          <w:szCs w:val="20"/>
        </w:rPr>
        <w:t>body</w:t>
      </w:r>
    </w:p>
    <w:p>
      <w:pPr>
        <w:pStyle w:val="BodyText"/>
        <w:spacing w:line="218" w:lineRule="auto"/>
        <w:ind w:left="400"/>
        <w:rPr>
          <w:sz w:val="20"/>
          <w:szCs w:val="20"/>
        </w:rPr>
      </w:pPr>
      <w:r>
        <w:rPr>
          <w:spacing w:val="3"/>
          <w:sz w:val="20"/>
          <w:szCs w:val="20"/>
        </w:rPr>
        <w:t>实施除认可(6.7)外的合格评定活动的机构。</w:t>
      </w:r>
    </w:p>
    <w:p>
      <w:pPr>
        <w:pStyle w:val="BodyText"/>
        <w:spacing w:before="116" w:line="183" w:lineRule="auto"/>
        <w:rPr>
          <w:sz w:val="20"/>
          <w:szCs w:val="20"/>
        </w:rPr>
      </w:pPr>
      <w:r>
        <w:rPr>
          <w:spacing w:val="-3"/>
          <w:sz w:val="20"/>
          <w:szCs w:val="20"/>
        </w:rPr>
        <w:t>3.7</w:t>
      </w:r>
    </w:p>
    <w:p>
      <w:pPr>
        <w:spacing w:before="67" w:line="212" w:lineRule="auto"/>
        <w:ind w:left="402"/>
        <w:rPr>
          <w:rFonts w:ascii="Times New Roman" w:eastAsia="Times New Roman" w:hAnsi="Times New Roman" w:cs="Times New Roman"/>
          <w:sz w:val="20"/>
          <w:szCs w:val="20"/>
        </w:rPr>
      </w:pPr>
      <w:r>
        <w:rPr>
          <w:rFonts w:ascii="SimHei" w:eastAsia="SimHei" w:hAnsi="SimHei" w:cs="SimHei"/>
          <w:b/>
          <w:bCs/>
          <w:spacing w:val="1"/>
          <w:sz w:val="20"/>
          <w:szCs w:val="20"/>
        </w:rPr>
        <w:t>认可机构</w:t>
      </w:r>
      <w:r>
        <w:rPr>
          <w:rFonts w:ascii="SimHei" w:eastAsia="SimHei" w:hAnsi="SimHei" w:cs="SimHei"/>
          <w:spacing w:val="16"/>
          <w:sz w:val="20"/>
          <w:szCs w:val="20"/>
        </w:rPr>
        <w:t xml:space="preserve">  </w:t>
      </w:r>
      <w:r>
        <w:rPr>
          <w:rFonts w:ascii="Times New Roman" w:eastAsia="Times New Roman" w:hAnsi="Times New Roman" w:cs="Times New Roman"/>
          <w:b/>
          <w:bCs/>
          <w:sz w:val="20"/>
          <w:szCs w:val="20"/>
        </w:rPr>
        <w:t>acereditation</w:t>
      </w:r>
      <w:r>
        <w:rPr>
          <w:rFonts w:ascii="Times New Roman" w:eastAsia="Times New Roman" w:hAnsi="Times New Roman" w:cs="Times New Roman"/>
          <w:b/>
          <w:bCs/>
          <w:spacing w:val="1"/>
          <w:sz w:val="20"/>
          <w:szCs w:val="20"/>
        </w:rPr>
        <w:t xml:space="preserve"> </w:t>
      </w:r>
      <w:r>
        <w:rPr>
          <w:rFonts w:ascii="Times New Roman" w:eastAsia="Times New Roman" w:hAnsi="Times New Roman" w:cs="Times New Roman"/>
          <w:b/>
          <w:bCs/>
          <w:sz w:val="20"/>
          <w:szCs w:val="20"/>
        </w:rPr>
        <w:t>body</w:t>
      </w:r>
    </w:p>
    <w:p>
      <w:pPr>
        <w:pStyle w:val="BodyText"/>
        <w:spacing w:before="82" w:line="219" w:lineRule="auto"/>
        <w:ind w:left="400"/>
        <w:rPr>
          <w:sz w:val="20"/>
          <w:szCs w:val="20"/>
        </w:rPr>
      </w:pPr>
      <w:r>
        <w:rPr>
          <w:spacing w:val="1"/>
          <w:sz w:val="20"/>
          <w:szCs w:val="20"/>
        </w:rPr>
        <w:t>实施认可(6.7)的权威机构。</w:t>
      </w:r>
    </w:p>
    <w:p>
      <w:pPr>
        <w:pStyle w:val="BodyText"/>
        <w:spacing w:before="73" w:line="353" w:lineRule="exact"/>
        <w:ind w:left="390"/>
        <w:rPr>
          <w:sz w:val="20"/>
          <w:szCs w:val="20"/>
        </w:rPr>
      </w:pPr>
      <w:r>
        <w:rPr>
          <w:spacing w:val="-22"/>
          <w:w w:val="97"/>
          <w:position w:val="11"/>
          <w:sz w:val="20"/>
          <w:szCs w:val="20"/>
        </w:rPr>
        <w:t>注：认可机构的权威性可能源自政府、公共权威机构、合同、市场认同或方案所有者。</w:t>
      </w:r>
    </w:p>
    <w:p>
      <w:pPr>
        <w:pStyle w:val="BodyText"/>
        <w:spacing w:line="183" w:lineRule="auto"/>
        <w:rPr>
          <w:sz w:val="20"/>
          <w:szCs w:val="20"/>
        </w:rPr>
      </w:pPr>
      <w:r>
        <w:rPr>
          <w:spacing w:val="-3"/>
          <w:sz w:val="20"/>
          <w:szCs w:val="20"/>
        </w:rPr>
        <w:t>3.8</w:t>
      </w:r>
    </w:p>
    <w:p>
      <w:pPr>
        <w:spacing w:before="67" w:line="212" w:lineRule="auto"/>
        <w:ind w:left="402"/>
        <w:rPr>
          <w:rFonts w:ascii="Times New Roman" w:eastAsia="Times New Roman" w:hAnsi="Times New Roman" w:cs="Times New Roman"/>
          <w:sz w:val="20"/>
          <w:szCs w:val="20"/>
        </w:rPr>
      </w:pPr>
      <w:r>
        <w:rPr>
          <w:rFonts w:ascii="SimHei" w:eastAsia="SimHei" w:hAnsi="SimHei" w:cs="SimHei"/>
          <w:b/>
          <w:bCs/>
          <w:spacing w:val="1"/>
          <w:sz w:val="20"/>
          <w:szCs w:val="20"/>
        </w:rPr>
        <w:t>合格评定制度</w:t>
      </w:r>
      <w:r>
        <w:rPr>
          <w:rFonts w:ascii="SimHei" w:eastAsia="SimHei" w:hAnsi="SimHei" w:cs="SimHei"/>
          <w:spacing w:val="1"/>
          <w:sz w:val="20"/>
          <w:szCs w:val="20"/>
        </w:rPr>
        <w:t xml:space="preserve">  </w:t>
      </w:r>
      <w:r>
        <w:rPr>
          <w:rFonts w:ascii="Times New Roman" w:eastAsia="Times New Roman" w:hAnsi="Times New Roman" w:cs="Times New Roman"/>
          <w:b/>
          <w:bCs/>
          <w:sz w:val="20"/>
          <w:szCs w:val="20"/>
        </w:rPr>
        <w:t>conformity</w:t>
      </w:r>
      <w:r>
        <w:rPr>
          <w:rFonts w:ascii="Times New Roman" w:eastAsia="Times New Roman" w:hAnsi="Times New Roman" w:cs="Times New Roman"/>
          <w:b/>
          <w:bCs/>
          <w:spacing w:val="25"/>
          <w:w w:val="101"/>
          <w:sz w:val="20"/>
          <w:szCs w:val="20"/>
        </w:rPr>
        <w:t xml:space="preserve"> </w:t>
      </w:r>
      <w:r>
        <w:rPr>
          <w:rFonts w:ascii="Times New Roman" w:eastAsia="Times New Roman" w:hAnsi="Times New Roman" w:cs="Times New Roman"/>
          <w:b/>
          <w:bCs/>
          <w:sz w:val="20"/>
          <w:szCs w:val="20"/>
        </w:rPr>
        <w:t>assessment</w:t>
      </w:r>
      <w:r>
        <w:rPr>
          <w:rFonts w:ascii="Times New Roman" w:eastAsia="Times New Roman" w:hAnsi="Times New Roman" w:cs="Times New Roman"/>
          <w:b/>
          <w:bCs/>
          <w:spacing w:val="22"/>
          <w:w w:val="101"/>
          <w:sz w:val="20"/>
          <w:szCs w:val="20"/>
        </w:rPr>
        <w:t xml:space="preserve"> </w:t>
      </w:r>
      <w:r>
        <w:rPr>
          <w:rFonts w:ascii="Times New Roman" w:eastAsia="Times New Roman" w:hAnsi="Times New Roman" w:cs="Times New Roman"/>
          <w:b/>
          <w:bCs/>
          <w:sz w:val="20"/>
          <w:szCs w:val="20"/>
        </w:rPr>
        <w:t>system</w:t>
      </w:r>
    </w:p>
    <w:p>
      <w:pPr>
        <w:pStyle w:val="BodyText"/>
        <w:spacing w:before="63" w:line="330" w:lineRule="exact"/>
        <w:ind w:left="400"/>
        <w:rPr>
          <w:sz w:val="20"/>
          <w:szCs w:val="20"/>
        </w:rPr>
      </w:pPr>
      <w:r>
        <w:rPr>
          <w:spacing w:val="4"/>
          <w:position w:val="9"/>
          <w:sz w:val="20"/>
          <w:szCs w:val="20"/>
        </w:rPr>
        <w:t>管理相似或相关合格评定方案(3.9)的一组规则和程序(4.</w:t>
      </w:r>
      <w:r>
        <w:rPr>
          <w:spacing w:val="3"/>
          <w:position w:val="9"/>
          <w:sz w:val="20"/>
          <w:szCs w:val="20"/>
        </w:rPr>
        <w:t>2)。</w:t>
      </w:r>
    </w:p>
    <w:p>
      <w:pPr>
        <w:pStyle w:val="BodyText"/>
        <w:spacing w:line="219" w:lineRule="auto"/>
        <w:ind w:left="390"/>
        <w:rPr>
          <w:sz w:val="20"/>
          <w:szCs w:val="20"/>
        </w:rPr>
      </w:pPr>
      <w:r>
        <w:rPr>
          <w:spacing w:val="-23"/>
          <w:w w:val="97"/>
          <w:sz w:val="20"/>
          <w:szCs w:val="20"/>
        </w:rPr>
        <w:t>注：合格评定制度可以在国际、区域、国家、地区或行业的层面</w:t>
      </w:r>
      <w:r>
        <w:rPr>
          <w:spacing w:val="-24"/>
          <w:w w:val="97"/>
          <w:sz w:val="20"/>
          <w:szCs w:val="20"/>
        </w:rPr>
        <w:t>上运作。</w:t>
      </w:r>
    </w:p>
    <w:p>
      <w:pPr>
        <w:pStyle w:val="BodyText"/>
        <w:spacing w:before="105" w:line="183" w:lineRule="auto"/>
        <w:rPr>
          <w:sz w:val="20"/>
          <w:szCs w:val="20"/>
        </w:rPr>
      </w:pPr>
      <w:r>
        <w:rPr>
          <w:spacing w:val="-3"/>
          <w:sz w:val="20"/>
          <w:szCs w:val="20"/>
        </w:rPr>
        <w:t>3.9</w:t>
      </w:r>
    </w:p>
    <w:p>
      <w:pPr>
        <w:spacing w:before="87" w:line="212" w:lineRule="auto"/>
        <w:ind w:left="402"/>
        <w:rPr>
          <w:rFonts w:ascii="Times New Roman" w:eastAsia="Times New Roman" w:hAnsi="Times New Roman" w:cs="Times New Roman"/>
          <w:sz w:val="20"/>
          <w:szCs w:val="20"/>
        </w:rPr>
      </w:pPr>
      <w:r>
        <w:rPr>
          <w:rFonts w:ascii="SimHei" w:eastAsia="SimHei" w:hAnsi="SimHei" w:cs="SimHei"/>
          <w:b/>
          <w:bCs/>
          <w:sz w:val="20"/>
          <w:szCs w:val="20"/>
        </w:rPr>
        <w:t>合格评定方案</w:t>
      </w:r>
      <w:r>
        <w:rPr>
          <w:rFonts w:ascii="SimHei" w:eastAsia="SimHei" w:hAnsi="SimHei" w:cs="SimHei"/>
          <w:sz w:val="20"/>
          <w:szCs w:val="20"/>
        </w:rPr>
        <w:t xml:space="preserve">  </w:t>
      </w:r>
      <w:r>
        <w:rPr>
          <w:rFonts w:ascii="Times New Roman" w:eastAsia="Times New Roman" w:hAnsi="Times New Roman" w:cs="Times New Roman"/>
          <w:b/>
          <w:bCs/>
          <w:sz w:val="20"/>
          <w:szCs w:val="20"/>
        </w:rPr>
        <w:t>conformity</w:t>
      </w:r>
      <w:r>
        <w:rPr>
          <w:rFonts w:ascii="Times New Roman" w:eastAsia="Times New Roman" w:hAnsi="Times New Roman" w:cs="Times New Roman"/>
          <w:b/>
          <w:bCs/>
          <w:spacing w:val="27"/>
          <w:sz w:val="20"/>
          <w:szCs w:val="20"/>
        </w:rPr>
        <w:t xml:space="preserve"> </w:t>
      </w:r>
      <w:r>
        <w:rPr>
          <w:rFonts w:ascii="Times New Roman" w:eastAsia="Times New Roman" w:hAnsi="Times New Roman" w:cs="Times New Roman"/>
          <w:b/>
          <w:bCs/>
          <w:sz w:val="20"/>
          <w:szCs w:val="20"/>
        </w:rPr>
        <w:t>assessment</w:t>
      </w:r>
      <w:r>
        <w:rPr>
          <w:rFonts w:ascii="Times New Roman" w:eastAsia="Times New Roman" w:hAnsi="Times New Roman" w:cs="Times New Roman"/>
          <w:b/>
          <w:bCs/>
          <w:spacing w:val="25"/>
          <w:w w:val="101"/>
          <w:sz w:val="20"/>
          <w:szCs w:val="20"/>
        </w:rPr>
        <w:t xml:space="preserve"> </w:t>
      </w:r>
      <w:r>
        <w:rPr>
          <w:rFonts w:ascii="Times New Roman" w:eastAsia="Times New Roman" w:hAnsi="Times New Roman" w:cs="Times New Roman"/>
          <w:b/>
          <w:bCs/>
          <w:sz w:val="20"/>
          <w:szCs w:val="20"/>
        </w:rPr>
        <w:t>scheme;conformity</w:t>
      </w:r>
      <w:r>
        <w:rPr>
          <w:rFonts w:ascii="Times New Roman" w:eastAsia="Times New Roman" w:hAnsi="Times New Roman" w:cs="Times New Roman"/>
          <w:b/>
          <w:bCs/>
          <w:spacing w:val="27"/>
          <w:sz w:val="20"/>
          <w:szCs w:val="20"/>
        </w:rPr>
        <w:t xml:space="preserve"> </w:t>
      </w:r>
      <w:r>
        <w:rPr>
          <w:rFonts w:ascii="Times New Roman" w:eastAsia="Times New Roman" w:hAnsi="Times New Roman" w:cs="Times New Roman"/>
          <w:b/>
          <w:bCs/>
          <w:sz w:val="20"/>
          <w:szCs w:val="20"/>
        </w:rPr>
        <w:t>assessment</w:t>
      </w:r>
      <w:r>
        <w:rPr>
          <w:rFonts w:ascii="Times New Roman" w:eastAsia="Times New Roman" w:hAnsi="Times New Roman" w:cs="Times New Roman"/>
          <w:b/>
          <w:bCs/>
          <w:spacing w:val="21"/>
          <w:w w:val="101"/>
          <w:sz w:val="20"/>
          <w:szCs w:val="20"/>
        </w:rPr>
        <w:t xml:space="preserve"> </w:t>
      </w:r>
      <w:r>
        <w:rPr>
          <w:rFonts w:ascii="Times New Roman" w:eastAsia="Times New Roman" w:hAnsi="Times New Roman" w:cs="Times New Roman"/>
          <w:b/>
          <w:bCs/>
          <w:sz w:val="20"/>
          <w:szCs w:val="20"/>
        </w:rPr>
        <w:t>pr</w:t>
      </w:r>
      <w:r>
        <w:rPr>
          <w:rFonts w:ascii="Times New Roman" w:eastAsia="Times New Roman" w:hAnsi="Times New Roman" w:cs="Times New Roman"/>
          <w:b/>
          <w:bCs/>
          <w:spacing w:val="-1"/>
          <w:sz w:val="20"/>
          <w:szCs w:val="20"/>
        </w:rPr>
        <w:t>ogramme</w:t>
      </w:r>
    </w:p>
    <w:p>
      <w:pPr>
        <w:pStyle w:val="BodyText"/>
        <w:spacing w:before="81" w:line="261" w:lineRule="auto"/>
        <w:ind w:right="55" w:firstLine="400"/>
        <w:rPr>
          <w:sz w:val="20"/>
          <w:szCs w:val="20"/>
        </w:rPr>
      </w:pPr>
      <w:r>
        <w:rPr>
          <w:spacing w:val="10"/>
          <w:sz w:val="20"/>
          <w:szCs w:val="20"/>
        </w:rPr>
        <w:t>一组描述合格评定对象(3.2)、识别规定要求(4.1)并提供实施合格评定(3.</w:t>
      </w:r>
      <w:r>
        <w:rPr>
          <w:spacing w:val="9"/>
          <w:sz w:val="20"/>
          <w:szCs w:val="20"/>
        </w:rPr>
        <w:t>1)方法的规则和程序</w:t>
      </w:r>
      <w:r>
        <w:rPr>
          <w:sz w:val="20"/>
          <w:szCs w:val="20"/>
        </w:rPr>
        <w:t xml:space="preserve"> </w:t>
      </w:r>
      <w:r>
        <w:rPr>
          <w:spacing w:val="-10"/>
          <w:sz w:val="20"/>
          <w:szCs w:val="20"/>
        </w:rPr>
        <w:t>(4.2)。</w:t>
      </w:r>
    </w:p>
    <w:p>
      <w:pPr>
        <w:pStyle w:val="BodyText"/>
        <w:spacing w:before="47" w:line="219" w:lineRule="auto"/>
        <w:ind w:left="390"/>
        <w:rPr>
          <w:sz w:val="20"/>
          <w:szCs w:val="20"/>
        </w:rPr>
      </w:pPr>
      <w:r>
        <w:rPr>
          <w:spacing w:val="-15"/>
          <w:sz w:val="20"/>
          <w:szCs w:val="20"/>
        </w:rPr>
        <w:t>注1:合格评定方案可能纳入合格评定制度(3.8)内管理。</w:t>
      </w:r>
    </w:p>
    <w:p>
      <w:pPr>
        <w:pStyle w:val="BodyText"/>
        <w:spacing w:before="51" w:line="222" w:lineRule="auto"/>
        <w:ind w:left="390"/>
        <w:rPr>
          <w:sz w:val="20"/>
          <w:szCs w:val="20"/>
        </w:rPr>
      </w:pPr>
      <w:r>
        <w:rPr>
          <w:rFonts w:ascii="SimHei" w:eastAsia="SimHei" w:hAnsi="SimHei" w:cs="SimHei"/>
          <w:spacing w:val="-24"/>
          <w:sz w:val="20"/>
          <w:szCs w:val="20"/>
        </w:rPr>
        <w:t>注2</w:t>
      </w:r>
      <w:r>
        <w:rPr>
          <w:spacing w:val="-24"/>
          <w:sz w:val="20"/>
          <w:szCs w:val="20"/>
        </w:rPr>
        <w:t>:合格评定方案可能在国际、区域、国家、地区或行业的层面上运</w:t>
      </w:r>
      <w:r>
        <w:rPr>
          <w:spacing w:val="-25"/>
          <w:sz w:val="20"/>
          <w:szCs w:val="20"/>
        </w:rPr>
        <w:t>作。</w:t>
      </w:r>
    </w:p>
    <w:p>
      <w:pPr>
        <w:pStyle w:val="BodyText"/>
        <w:spacing w:before="50" w:line="219" w:lineRule="auto"/>
        <w:ind w:left="390"/>
        <w:rPr>
          <w:sz w:val="20"/>
          <w:szCs w:val="20"/>
        </w:rPr>
      </w:pPr>
      <w:r>
        <w:rPr>
          <w:spacing w:val="-15"/>
          <w:sz w:val="20"/>
          <w:szCs w:val="20"/>
        </w:rPr>
        <w:t>注3:一个合格评定方案可能覆盖附录</w:t>
      </w:r>
      <w:r>
        <w:rPr>
          <w:spacing w:val="-29"/>
          <w:sz w:val="20"/>
          <w:szCs w:val="20"/>
        </w:rPr>
        <w:t xml:space="preserve"> </w:t>
      </w:r>
      <w:r>
        <w:rPr>
          <w:rFonts w:ascii="Times New Roman" w:eastAsia="Times New Roman" w:hAnsi="Times New Roman" w:cs="Times New Roman"/>
          <w:spacing w:val="-15"/>
          <w:sz w:val="20"/>
          <w:szCs w:val="20"/>
        </w:rPr>
        <w:t>A</w:t>
      </w:r>
      <w:r>
        <w:rPr>
          <w:spacing w:val="-15"/>
          <w:sz w:val="20"/>
          <w:szCs w:val="20"/>
        </w:rPr>
        <w:t>所述的全部或部分合格评</w:t>
      </w:r>
      <w:r>
        <w:rPr>
          <w:spacing w:val="-16"/>
          <w:sz w:val="20"/>
          <w:szCs w:val="20"/>
        </w:rPr>
        <w:t>定功能。</w:t>
      </w:r>
    </w:p>
    <w:p>
      <w:pPr>
        <w:pStyle w:val="BodyText"/>
        <w:spacing w:before="102" w:line="184" w:lineRule="auto"/>
        <w:ind w:left="2"/>
        <w:rPr>
          <w:sz w:val="20"/>
          <w:szCs w:val="20"/>
        </w:rPr>
        <w:sectPr>
          <w:footerReference w:type="default" r:id="rId11"/>
          <w:pgSz w:w="11910" w:h="16840"/>
          <w:pgMar w:top="1370" w:right="1433" w:bottom="1278" w:left="1239" w:header="0" w:footer="1139" w:gutter="0"/>
          <w:pgNumType w:start="11"/>
          <w:cols w:space="708"/>
        </w:sectPr>
      </w:pPr>
      <w:r>
        <w:rPr>
          <w:b/>
          <w:bCs/>
          <w:spacing w:val="-5"/>
          <w:sz w:val="20"/>
          <w:szCs w:val="20"/>
        </w:rPr>
        <w:t>3.10</w:t>
      </w:r>
    </w:p>
    <w:p>
      <w:pPr>
        <w:pStyle w:val="BodyText"/>
        <w:spacing w:before="71" w:line="224" w:lineRule="auto"/>
        <w:ind w:left="402"/>
        <w:rPr>
          <w:sz w:val="20"/>
          <w:szCs w:val="20"/>
        </w:rPr>
      </w:pPr>
      <w:r>
        <w:rPr>
          <w:rFonts w:ascii="SimHei" w:eastAsia="SimHei" w:hAnsi="SimHei" w:cs="SimHei"/>
          <w:b/>
          <w:bCs/>
          <w:spacing w:val="-9"/>
          <w:sz w:val="20"/>
          <w:szCs w:val="20"/>
        </w:rPr>
        <w:t>准入</w:t>
      </w:r>
      <w:r>
        <w:rPr>
          <w:rFonts w:ascii="SimHei" w:eastAsia="SimHei" w:hAnsi="SimHei" w:cs="SimHei"/>
          <w:spacing w:val="5"/>
          <w:sz w:val="20"/>
          <w:szCs w:val="20"/>
        </w:rPr>
        <w:t xml:space="preserve">  </w:t>
      </w:r>
      <w:r>
        <w:rPr>
          <w:b/>
          <w:bCs/>
          <w:spacing w:val="-9"/>
          <w:sz w:val="20"/>
          <w:szCs w:val="20"/>
        </w:rPr>
        <w:t>access</w:t>
      </w:r>
    </w:p>
    <w:p>
      <w:pPr>
        <w:pStyle w:val="BodyText"/>
        <w:spacing w:before="79" w:line="220" w:lineRule="auto"/>
        <w:ind w:left="400"/>
        <w:rPr>
          <w:rFonts w:ascii="Times New Roman" w:eastAsia="Times New Roman" w:hAnsi="Times New Roman" w:cs="Times New Roman"/>
          <w:sz w:val="20"/>
          <w:szCs w:val="20"/>
        </w:rPr>
      </w:pPr>
      <w:r>
        <w:rPr>
          <w:spacing w:val="-1"/>
          <w:sz w:val="20"/>
          <w:szCs w:val="20"/>
        </w:rPr>
        <w:t xml:space="preserve">方案的准入  </w:t>
      </w:r>
      <w:r>
        <w:rPr>
          <w:rFonts w:ascii="Times New Roman" w:eastAsia="Times New Roman" w:hAnsi="Times New Roman" w:cs="Times New Roman"/>
          <w:spacing w:val="-1"/>
          <w:sz w:val="20"/>
          <w:szCs w:val="20"/>
        </w:rPr>
        <w:t>access</w:t>
      </w:r>
      <w:r>
        <w:rPr>
          <w:rFonts w:ascii="Times New Roman" w:eastAsia="Times New Roman" w:hAnsi="Times New Roman" w:cs="Times New Roman"/>
          <w:spacing w:val="18"/>
          <w:sz w:val="20"/>
          <w:szCs w:val="20"/>
        </w:rPr>
        <w:t xml:space="preserve">  </w:t>
      </w:r>
      <w:r>
        <w:rPr>
          <w:rFonts w:ascii="Times New Roman" w:eastAsia="Times New Roman" w:hAnsi="Times New Roman" w:cs="Times New Roman"/>
          <w:spacing w:val="-1"/>
          <w:sz w:val="20"/>
          <w:szCs w:val="20"/>
        </w:rPr>
        <w:t>to</w:t>
      </w:r>
      <w:r>
        <w:rPr>
          <w:rFonts w:ascii="Times New Roman" w:eastAsia="Times New Roman" w:hAnsi="Times New Roman" w:cs="Times New Roman"/>
          <w:spacing w:val="13"/>
          <w:w w:val="101"/>
          <w:sz w:val="20"/>
          <w:szCs w:val="20"/>
        </w:rPr>
        <w:t xml:space="preserve">  </w:t>
      </w:r>
      <w:r>
        <w:rPr>
          <w:rFonts w:ascii="Times New Roman" w:eastAsia="Times New Roman" w:hAnsi="Times New Roman" w:cs="Times New Roman"/>
          <w:spacing w:val="-1"/>
          <w:sz w:val="20"/>
          <w:szCs w:val="20"/>
        </w:rPr>
        <w:t>a</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pacing w:val="-1"/>
          <w:sz w:val="20"/>
          <w:szCs w:val="20"/>
        </w:rPr>
        <w:t>scheme</w:t>
      </w:r>
    </w:p>
    <w:p>
      <w:pPr>
        <w:pStyle w:val="BodyText"/>
        <w:spacing w:before="90" w:line="219" w:lineRule="auto"/>
        <w:ind w:left="470"/>
        <w:rPr>
          <w:sz w:val="20"/>
          <w:szCs w:val="20"/>
        </w:rPr>
      </w:pPr>
      <w:r>
        <w:rPr>
          <w:spacing w:val="4"/>
          <w:sz w:val="20"/>
          <w:szCs w:val="20"/>
        </w:rPr>
        <w:t>申请者从合格评定方案(3.9)实施机构获得合格评定(3.1)服务的机会。</w:t>
      </w:r>
    </w:p>
    <w:p>
      <w:pPr>
        <w:pStyle w:val="BodyText"/>
        <w:spacing w:before="113" w:line="184" w:lineRule="auto"/>
        <w:ind w:left="2"/>
        <w:rPr>
          <w:sz w:val="20"/>
          <w:szCs w:val="20"/>
        </w:rPr>
      </w:pPr>
      <w:r>
        <w:rPr>
          <w:b/>
          <w:bCs/>
          <w:spacing w:val="-5"/>
          <w:sz w:val="20"/>
          <w:szCs w:val="20"/>
        </w:rPr>
        <w:t>3.11</w:t>
      </w:r>
    </w:p>
    <w:p>
      <w:pPr>
        <w:spacing w:before="79" w:line="212" w:lineRule="auto"/>
        <w:ind w:left="402"/>
        <w:rPr>
          <w:rFonts w:ascii="Times New Roman" w:eastAsia="Times New Roman" w:hAnsi="Times New Roman" w:cs="Times New Roman"/>
          <w:sz w:val="20"/>
          <w:szCs w:val="20"/>
        </w:rPr>
      </w:pPr>
      <w:r>
        <w:rPr>
          <w:rFonts w:ascii="SimHei" w:eastAsia="SimHei" w:hAnsi="SimHei" w:cs="SimHei"/>
          <w:b/>
          <w:bCs/>
          <w:spacing w:val="5"/>
          <w:sz w:val="20"/>
          <w:szCs w:val="20"/>
        </w:rPr>
        <w:t>参与者</w:t>
      </w:r>
      <w:r>
        <w:rPr>
          <w:rFonts w:ascii="SimHei" w:eastAsia="SimHei" w:hAnsi="SimHei" w:cs="SimHei"/>
          <w:sz w:val="20"/>
          <w:szCs w:val="20"/>
        </w:rPr>
        <w:t xml:space="preserve">  </w:t>
      </w:r>
      <w:r>
        <w:rPr>
          <w:rFonts w:ascii="Times New Roman" w:eastAsia="Times New Roman" w:hAnsi="Times New Roman" w:cs="Times New Roman"/>
          <w:b/>
          <w:bCs/>
          <w:sz w:val="20"/>
          <w:szCs w:val="20"/>
        </w:rPr>
        <w:t>participant</w:t>
      </w:r>
    </w:p>
    <w:p>
      <w:pPr>
        <w:pStyle w:val="BodyText"/>
        <w:spacing w:before="40" w:line="212" w:lineRule="auto"/>
        <w:ind w:left="400"/>
        <w:rPr>
          <w:rFonts w:ascii="Times New Roman" w:eastAsia="Times New Roman" w:hAnsi="Times New Roman" w:cs="Times New Roman"/>
          <w:sz w:val="20"/>
          <w:szCs w:val="20"/>
        </w:rPr>
      </w:pPr>
      <w:r>
        <w:rPr>
          <w:spacing w:val="2"/>
          <w:sz w:val="20"/>
          <w:szCs w:val="20"/>
        </w:rPr>
        <w:t xml:space="preserve">制度参与者  </w:t>
      </w:r>
      <w:r>
        <w:rPr>
          <w:rFonts w:ascii="Times New Roman" w:eastAsia="Times New Roman" w:hAnsi="Times New Roman" w:cs="Times New Roman"/>
          <w:sz w:val="20"/>
          <w:szCs w:val="20"/>
        </w:rPr>
        <w:t>participant</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sz w:val="20"/>
          <w:szCs w:val="20"/>
        </w:rPr>
        <w:t>in</w:t>
      </w:r>
      <w:r>
        <w:rPr>
          <w:rFonts w:ascii="Times New Roman" w:eastAsia="Times New Roman" w:hAnsi="Times New Roman" w:cs="Times New Roman"/>
          <w:spacing w:val="22"/>
          <w:w w:val="101"/>
          <w:sz w:val="20"/>
          <w:szCs w:val="20"/>
        </w:rPr>
        <w:t xml:space="preserve">  </w:t>
      </w:r>
      <w:r>
        <w:rPr>
          <w:rFonts w:ascii="Times New Roman" w:eastAsia="Times New Roman" w:hAnsi="Times New Roman" w:cs="Times New Roman"/>
          <w:sz w:val="20"/>
          <w:szCs w:val="20"/>
        </w:rPr>
        <w:t>a</w:t>
      </w:r>
      <w:r>
        <w:rPr>
          <w:rFonts w:ascii="Times New Roman" w:eastAsia="Times New Roman" w:hAnsi="Times New Roman" w:cs="Times New Roman"/>
          <w:spacing w:val="21"/>
          <w:sz w:val="20"/>
          <w:szCs w:val="20"/>
        </w:rPr>
        <w:t xml:space="preserve">  </w:t>
      </w:r>
      <w:r>
        <w:rPr>
          <w:rFonts w:ascii="Times New Roman" w:eastAsia="Times New Roman" w:hAnsi="Times New Roman" w:cs="Times New Roman"/>
          <w:sz w:val="20"/>
          <w:szCs w:val="20"/>
        </w:rPr>
        <w:t>system</w:t>
      </w:r>
    </w:p>
    <w:p>
      <w:pPr>
        <w:pStyle w:val="BodyText"/>
        <w:spacing w:before="121" w:line="212" w:lineRule="auto"/>
        <w:ind w:left="400"/>
        <w:rPr>
          <w:rFonts w:ascii="Times New Roman" w:eastAsia="Times New Roman" w:hAnsi="Times New Roman" w:cs="Times New Roman"/>
          <w:sz w:val="20"/>
          <w:szCs w:val="20"/>
        </w:rPr>
      </w:pPr>
      <w:r>
        <w:rPr>
          <w:spacing w:val="3"/>
          <w:sz w:val="20"/>
          <w:szCs w:val="20"/>
        </w:rPr>
        <w:t>方案参与者</w:t>
      </w:r>
      <w:r>
        <w:rPr>
          <w:spacing w:val="20"/>
          <w:sz w:val="20"/>
          <w:szCs w:val="20"/>
        </w:rPr>
        <w:t xml:space="preserve">  </w:t>
      </w:r>
      <w:r>
        <w:rPr>
          <w:rFonts w:ascii="Times New Roman" w:eastAsia="Times New Roman" w:hAnsi="Times New Roman" w:cs="Times New Roman"/>
          <w:sz w:val="20"/>
          <w:szCs w:val="20"/>
        </w:rPr>
        <w:t>participant</w:t>
      </w:r>
      <w:r>
        <w:rPr>
          <w:rFonts w:ascii="Times New Roman" w:eastAsia="Times New Roman" w:hAnsi="Times New Roman" w:cs="Times New Roman"/>
          <w:spacing w:val="18"/>
          <w:sz w:val="20"/>
          <w:szCs w:val="20"/>
        </w:rPr>
        <w:t xml:space="preserve">  </w:t>
      </w:r>
      <w:r>
        <w:rPr>
          <w:rFonts w:ascii="Times New Roman" w:eastAsia="Times New Roman" w:hAnsi="Times New Roman" w:cs="Times New Roman"/>
          <w:sz w:val="20"/>
          <w:szCs w:val="20"/>
        </w:rPr>
        <w:t>in</w:t>
      </w:r>
      <w:r>
        <w:rPr>
          <w:rFonts w:ascii="Times New Roman" w:eastAsia="Times New Roman" w:hAnsi="Times New Roman" w:cs="Times New Roman"/>
          <w:spacing w:val="18"/>
          <w:sz w:val="20"/>
          <w:szCs w:val="20"/>
        </w:rPr>
        <w:t xml:space="preserve">  </w:t>
      </w:r>
      <w:r>
        <w:rPr>
          <w:rFonts w:ascii="Times New Roman" w:eastAsia="Times New Roman" w:hAnsi="Times New Roman" w:cs="Times New Roman"/>
          <w:sz w:val="20"/>
          <w:szCs w:val="20"/>
        </w:rPr>
        <w:t>a</w:t>
      </w:r>
      <w:r>
        <w:rPr>
          <w:rFonts w:ascii="Times New Roman" w:eastAsia="Times New Roman" w:hAnsi="Times New Roman" w:cs="Times New Roman"/>
          <w:spacing w:val="19"/>
          <w:w w:val="101"/>
          <w:sz w:val="20"/>
          <w:szCs w:val="20"/>
        </w:rPr>
        <w:t xml:space="preserve">  </w:t>
      </w:r>
      <w:r>
        <w:rPr>
          <w:rFonts w:ascii="Times New Roman" w:eastAsia="Times New Roman" w:hAnsi="Times New Roman" w:cs="Times New Roman"/>
          <w:sz w:val="20"/>
          <w:szCs w:val="20"/>
        </w:rPr>
        <w:t>scheme</w:t>
      </w:r>
    </w:p>
    <w:p>
      <w:pPr>
        <w:pStyle w:val="BodyText"/>
        <w:spacing w:before="83" w:line="263" w:lineRule="auto"/>
        <w:ind w:right="56" w:firstLine="400"/>
        <w:rPr>
          <w:sz w:val="20"/>
          <w:szCs w:val="20"/>
        </w:rPr>
      </w:pPr>
      <w:r>
        <w:rPr>
          <w:spacing w:val="6"/>
          <w:sz w:val="20"/>
          <w:szCs w:val="20"/>
        </w:rPr>
        <w:t>按合格评定制度(3.8)或合格评定方案(3.9)的规则和程</w:t>
      </w:r>
      <w:r>
        <w:rPr>
          <w:spacing w:val="5"/>
          <w:sz w:val="20"/>
          <w:szCs w:val="20"/>
        </w:rPr>
        <w:t>序(4.2)实施或运作但不参与其制定、修订</w:t>
      </w:r>
      <w:r>
        <w:rPr>
          <w:sz w:val="20"/>
          <w:szCs w:val="20"/>
        </w:rPr>
        <w:t xml:space="preserve"> </w:t>
      </w:r>
      <w:r>
        <w:rPr>
          <w:spacing w:val="5"/>
          <w:sz w:val="20"/>
          <w:szCs w:val="20"/>
        </w:rPr>
        <w:t>或批准的人员或组织。</w:t>
      </w:r>
    </w:p>
    <w:p>
      <w:pPr>
        <w:spacing w:line="263" w:lineRule="auto"/>
        <w:rPr>
          <w:sz w:val="20"/>
          <w:szCs w:val="20"/>
        </w:rPr>
        <w:sectPr>
          <w:footerReference w:type="default" r:id="rId12"/>
          <w:type w:val="nextPage"/>
          <w:pgSz w:w="11910" w:h="16840"/>
          <w:pgMar w:top="1370" w:right="1433" w:bottom="1278" w:left="1239" w:header="0" w:footer="1139" w:gutter="0"/>
          <w:pgNumType w:start="12"/>
          <w:cols w:space="708"/>
          <w:titlePg w:val="0"/>
        </w:sectPr>
      </w:pPr>
    </w:p>
    <w:p>
      <w:pPr>
        <w:pStyle w:val="BodyText"/>
        <w:spacing w:before="40" w:line="224" w:lineRule="auto"/>
        <w:jc w:val="right"/>
        <w:rPr>
          <w:sz w:val="20"/>
          <w:szCs w:val="20"/>
        </w:rPr>
      </w:pPr>
      <w:r>
        <w:rPr>
          <w:b/>
          <w:bCs/>
          <w:spacing w:val="-3"/>
          <w:sz w:val="20"/>
          <w:szCs w:val="20"/>
        </w:rPr>
        <w:t>GB/T</w:t>
      </w:r>
      <w:r>
        <w:rPr>
          <w:spacing w:val="25"/>
          <w:sz w:val="20"/>
          <w:szCs w:val="20"/>
        </w:rPr>
        <w:t xml:space="preserve">  </w:t>
      </w:r>
      <w:r>
        <w:rPr>
          <w:b/>
          <w:bCs/>
          <w:spacing w:val="-3"/>
          <w:sz w:val="20"/>
          <w:szCs w:val="20"/>
        </w:rPr>
        <w:t>27000—2023/ISO/IE</w:t>
      </w:r>
      <w:r>
        <w:rPr>
          <w:b/>
          <w:bCs/>
          <w:spacing w:val="-4"/>
          <w:sz w:val="20"/>
          <w:szCs w:val="20"/>
        </w:rPr>
        <w:t>C</w:t>
      </w:r>
      <w:r>
        <w:rPr>
          <w:spacing w:val="31"/>
          <w:sz w:val="20"/>
          <w:szCs w:val="20"/>
        </w:rPr>
        <w:t xml:space="preserve">  </w:t>
      </w:r>
      <w:r>
        <w:rPr>
          <w:b/>
          <w:bCs/>
          <w:spacing w:val="-4"/>
          <w:sz w:val="20"/>
          <w:szCs w:val="20"/>
        </w:rPr>
        <w:t>17000:2020</w:t>
      </w:r>
    </w:p>
    <w:p>
      <w:pPr>
        <w:spacing w:line="286" w:lineRule="auto"/>
        <w:rPr>
          <w:rFonts w:ascii="Arial"/>
          <w:sz w:val="21"/>
        </w:rPr>
      </w:pPr>
    </w:p>
    <w:p>
      <w:pPr>
        <w:pStyle w:val="BodyText"/>
        <w:spacing w:before="65" w:line="184" w:lineRule="auto"/>
        <w:ind w:left="2"/>
        <w:rPr>
          <w:sz w:val="20"/>
          <w:szCs w:val="20"/>
        </w:rPr>
      </w:pPr>
      <w:r>
        <w:rPr>
          <w:b/>
          <w:bCs/>
          <w:spacing w:val="-5"/>
          <w:sz w:val="20"/>
          <w:szCs w:val="20"/>
        </w:rPr>
        <w:t>3.12</w:t>
      </w:r>
    </w:p>
    <w:p>
      <w:pPr>
        <w:spacing w:before="47" w:line="221" w:lineRule="auto"/>
        <w:ind w:left="402"/>
        <w:rPr>
          <w:rFonts w:ascii="Times New Roman" w:eastAsia="Times New Roman" w:hAnsi="Times New Roman" w:cs="Times New Roman"/>
          <w:sz w:val="20"/>
          <w:szCs w:val="20"/>
        </w:rPr>
      </w:pPr>
      <w:r>
        <w:rPr>
          <w:rFonts w:ascii="SimHei" w:eastAsia="SimHei" w:hAnsi="SimHei" w:cs="SimHei"/>
          <w:b/>
          <w:bCs/>
          <w:spacing w:val="2"/>
          <w:sz w:val="20"/>
          <w:szCs w:val="20"/>
        </w:rPr>
        <w:t>成员</w:t>
      </w:r>
      <w:r>
        <w:rPr>
          <w:rFonts w:ascii="SimHei" w:eastAsia="SimHei" w:hAnsi="SimHei" w:cs="SimHei"/>
          <w:spacing w:val="81"/>
          <w:sz w:val="20"/>
          <w:szCs w:val="20"/>
        </w:rPr>
        <w:t xml:space="preserve"> </w:t>
      </w:r>
      <w:r>
        <w:rPr>
          <w:rFonts w:ascii="Times New Roman" w:eastAsia="Times New Roman" w:hAnsi="Times New Roman" w:cs="Times New Roman"/>
          <w:b/>
          <w:bCs/>
          <w:sz w:val="20"/>
          <w:szCs w:val="20"/>
        </w:rPr>
        <w:t>member</w:t>
      </w:r>
    </w:p>
    <w:p>
      <w:pPr>
        <w:pStyle w:val="BodyText"/>
        <w:spacing w:before="42" w:line="212" w:lineRule="auto"/>
        <w:ind w:left="399"/>
        <w:rPr>
          <w:rFonts w:ascii="Times New Roman" w:eastAsia="Times New Roman" w:hAnsi="Times New Roman" w:cs="Times New Roman"/>
          <w:sz w:val="20"/>
          <w:szCs w:val="20"/>
        </w:rPr>
      </w:pPr>
      <w:r>
        <w:rPr>
          <w:spacing w:val="4"/>
          <w:sz w:val="20"/>
          <w:szCs w:val="20"/>
        </w:rPr>
        <w:t xml:space="preserve">制度成员  </w:t>
      </w:r>
      <w:r>
        <w:rPr>
          <w:rFonts w:ascii="Times New Roman" w:eastAsia="Times New Roman" w:hAnsi="Times New Roman" w:cs="Times New Roman"/>
          <w:sz w:val="20"/>
          <w:szCs w:val="20"/>
        </w:rPr>
        <w:t>member</w:t>
      </w:r>
      <w:r>
        <w:rPr>
          <w:rFonts w:ascii="Times New Roman" w:eastAsia="Times New Roman" w:hAnsi="Times New Roman" w:cs="Times New Roman"/>
          <w:spacing w:val="18"/>
          <w:w w:val="101"/>
          <w:sz w:val="20"/>
          <w:szCs w:val="20"/>
        </w:rPr>
        <w:t xml:space="preserve">  </w:t>
      </w:r>
      <w:r>
        <w:rPr>
          <w:rFonts w:ascii="Times New Roman" w:eastAsia="Times New Roman" w:hAnsi="Times New Roman" w:cs="Times New Roman"/>
          <w:sz w:val="20"/>
          <w:szCs w:val="20"/>
        </w:rPr>
        <w:t>of</w:t>
      </w:r>
      <w:r>
        <w:rPr>
          <w:rFonts w:ascii="Times New Roman" w:eastAsia="Times New Roman" w:hAnsi="Times New Roman" w:cs="Times New Roman"/>
          <w:spacing w:val="8"/>
          <w:sz w:val="20"/>
          <w:szCs w:val="20"/>
        </w:rPr>
        <w:t xml:space="preserve">  </w:t>
      </w:r>
      <w:r>
        <w:rPr>
          <w:rFonts w:ascii="Times New Roman" w:eastAsia="Times New Roman" w:hAnsi="Times New Roman" w:cs="Times New Roman"/>
          <w:sz w:val="20"/>
          <w:szCs w:val="20"/>
        </w:rPr>
        <w:t>a</w:t>
      </w:r>
      <w:r>
        <w:rPr>
          <w:rFonts w:ascii="Times New Roman" w:eastAsia="Times New Roman" w:hAnsi="Times New Roman" w:cs="Times New Roman"/>
          <w:spacing w:val="19"/>
          <w:w w:val="101"/>
          <w:sz w:val="20"/>
          <w:szCs w:val="20"/>
        </w:rPr>
        <w:t xml:space="preserve">  </w:t>
      </w:r>
      <w:r>
        <w:rPr>
          <w:rFonts w:ascii="Times New Roman" w:eastAsia="Times New Roman" w:hAnsi="Times New Roman" w:cs="Times New Roman"/>
          <w:sz w:val="20"/>
          <w:szCs w:val="20"/>
        </w:rPr>
        <w:t>system</w:t>
      </w:r>
    </w:p>
    <w:p>
      <w:pPr>
        <w:pStyle w:val="BodyText"/>
        <w:spacing w:before="113" w:line="220" w:lineRule="auto"/>
        <w:ind w:left="399"/>
        <w:rPr>
          <w:rFonts w:ascii="Times New Roman" w:eastAsia="Times New Roman" w:hAnsi="Times New Roman" w:cs="Times New Roman"/>
          <w:sz w:val="20"/>
          <w:szCs w:val="20"/>
        </w:rPr>
      </w:pPr>
      <w:r>
        <w:rPr>
          <w:spacing w:val="3"/>
          <w:sz w:val="20"/>
          <w:szCs w:val="20"/>
        </w:rPr>
        <w:t xml:space="preserve">方案成员  </w:t>
      </w:r>
      <w:r>
        <w:rPr>
          <w:rFonts w:ascii="Times New Roman" w:eastAsia="Times New Roman" w:hAnsi="Times New Roman" w:cs="Times New Roman"/>
          <w:sz w:val="20"/>
          <w:szCs w:val="20"/>
        </w:rPr>
        <w:t>member</w:t>
      </w:r>
      <w:r>
        <w:rPr>
          <w:rFonts w:ascii="Times New Roman" w:eastAsia="Times New Roman" w:hAnsi="Times New Roman" w:cs="Times New Roman"/>
          <w:spacing w:val="12"/>
          <w:w w:val="101"/>
          <w:sz w:val="20"/>
          <w:szCs w:val="20"/>
        </w:rPr>
        <w:t xml:space="preserve">  </w:t>
      </w:r>
      <w:r>
        <w:rPr>
          <w:rFonts w:ascii="Times New Roman" w:eastAsia="Times New Roman" w:hAnsi="Times New Roman" w:cs="Times New Roman"/>
          <w:sz w:val="20"/>
          <w:szCs w:val="20"/>
        </w:rPr>
        <w:t>of</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z w:val="20"/>
          <w:szCs w:val="20"/>
        </w:rPr>
        <w:t>a</w:t>
      </w:r>
      <w:r>
        <w:rPr>
          <w:rFonts w:ascii="Times New Roman" w:eastAsia="Times New Roman" w:hAnsi="Times New Roman" w:cs="Times New Roman"/>
          <w:spacing w:val="13"/>
          <w:sz w:val="20"/>
          <w:szCs w:val="20"/>
        </w:rPr>
        <w:t xml:space="preserve">  </w:t>
      </w:r>
      <w:r>
        <w:rPr>
          <w:rFonts w:ascii="Times New Roman" w:eastAsia="Times New Roman" w:hAnsi="Times New Roman" w:cs="Times New Roman"/>
          <w:sz w:val="20"/>
          <w:szCs w:val="20"/>
        </w:rPr>
        <w:t>scheme</w:t>
      </w:r>
    </w:p>
    <w:p>
      <w:pPr>
        <w:pStyle w:val="BodyText"/>
        <w:spacing w:before="61" w:line="257" w:lineRule="auto"/>
        <w:ind w:right="48" w:firstLine="399"/>
        <w:rPr>
          <w:sz w:val="20"/>
          <w:szCs w:val="20"/>
        </w:rPr>
      </w:pPr>
      <w:r>
        <w:rPr>
          <w:spacing w:val="10"/>
          <w:sz w:val="20"/>
          <w:szCs w:val="20"/>
        </w:rPr>
        <w:t>参与合格评定制度(3.8)或合格评定方案(3.9)的规则和程序(4.2)的</w:t>
      </w:r>
      <w:r>
        <w:rPr>
          <w:spacing w:val="9"/>
          <w:sz w:val="20"/>
          <w:szCs w:val="20"/>
        </w:rPr>
        <w:t>制定、修订或批准的人员或</w:t>
      </w:r>
      <w:r>
        <w:rPr>
          <w:sz w:val="20"/>
          <w:szCs w:val="20"/>
        </w:rPr>
        <w:t xml:space="preserve"> </w:t>
      </w:r>
      <w:r>
        <w:rPr>
          <w:sz w:val="20"/>
          <w:szCs w:val="20"/>
        </w:rPr>
        <w:t>组织。</w:t>
      </w:r>
    </w:p>
    <w:p>
      <w:pPr>
        <w:pStyle w:val="BodyText"/>
        <w:spacing w:before="91" w:line="184" w:lineRule="auto"/>
        <w:ind w:left="2"/>
        <w:rPr>
          <w:sz w:val="20"/>
          <w:szCs w:val="20"/>
        </w:rPr>
      </w:pPr>
      <w:r>
        <w:rPr>
          <w:b/>
          <w:bCs/>
          <w:spacing w:val="-5"/>
          <w:sz w:val="20"/>
          <w:szCs w:val="20"/>
        </w:rPr>
        <w:t>3.13</w:t>
      </w:r>
    </w:p>
    <w:p>
      <w:pPr>
        <w:pStyle w:val="BodyText"/>
        <w:spacing w:before="60" w:line="223" w:lineRule="auto"/>
        <w:ind w:left="402"/>
        <w:rPr>
          <w:sz w:val="20"/>
          <w:szCs w:val="20"/>
        </w:rPr>
      </w:pPr>
      <w:r>
        <w:rPr>
          <w:rFonts w:ascii="SimHei" w:eastAsia="SimHei" w:hAnsi="SimHei" w:cs="SimHei"/>
          <w:b/>
          <w:bCs/>
          <w:spacing w:val="-5"/>
          <w:sz w:val="20"/>
          <w:szCs w:val="20"/>
        </w:rPr>
        <w:t>所有者</w:t>
      </w:r>
      <w:r>
        <w:rPr>
          <w:rFonts w:ascii="SimHei" w:eastAsia="SimHei" w:hAnsi="SimHei" w:cs="SimHei"/>
          <w:spacing w:val="12"/>
          <w:sz w:val="20"/>
          <w:szCs w:val="20"/>
        </w:rPr>
        <w:t xml:space="preserve">  </w:t>
      </w:r>
      <w:r>
        <w:rPr>
          <w:b/>
          <w:bCs/>
          <w:spacing w:val="-5"/>
          <w:sz w:val="20"/>
          <w:szCs w:val="20"/>
        </w:rPr>
        <w:t>owner</w:t>
      </w:r>
    </w:p>
    <w:p>
      <w:pPr>
        <w:pStyle w:val="BodyText"/>
        <w:spacing w:before="38" w:line="334" w:lineRule="exact"/>
        <w:ind w:left="399"/>
        <w:rPr>
          <w:rFonts w:ascii="Times New Roman" w:eastAsia="Times New Roman" w:hAnsi="Times New Roman" w:cs="Times New Roman"/>
          <w:sz w:val="20"/>
          <w:szCs w:val="20"/>
        </w:rPr>
      </w:pPr>
      <w:r>
        <w:rPr>
          <w:spacing w:val="2"/>
          <w:position w:val="10"/>
          <w:sz w:val="20"/>
          <w:szCs w:val="20"/>
        </w:rPr>
        <w:t xml:space="preserve">制度所有者  </w:t>
      </w:r>
      <w:r>
        <w:rPr>
          <w:rFonts w:ascii="Times New Roman" w:eastAsia="Times New Roman" w:hAnsi="Times New Roman" w:cs="Times New Roman"/>
          <w:position w:val="10"/>
          <w:sz w:val="20"/>
          <w:szCs w:val="20"/>
        </w:rPr>
        <w:t>owner</w:t>
      </w:r>
      <w:r>
        <w:rPr>
          <w:rFonts w:ascii="Times New Roman" w:eastAsia="Times New Roman" w:hAnsi="Times New Roman" w:cs="Times New Roman"/>
          <w:spacing w:val="2"/>
          <w:position w:val="10"/>
          <w:sz w:val="20"/>
          <w:szCs w:val="20"/>
        </w:rPr>
        <w:t xml:space="preserve">   </w:t>
      </w:r>
      <w:r>
        <w:rPr>
          <w:rFonts w:ascii="Times New Roman" w:eastAsia="Times New Roman" w:hAnsi="Times New Roman" w:cs="Times New Roman"/>
          <w:position w:val="10"/>
          <w:sz w:val="20"/>
          <w:szCs w:val="20"/>
        </w:rPr>
        <w:t>of</w:t>
      </w:r>
      <w:r>
        <w:rPr>
          <w:rFonts w:ascii="Times New Roman" w:eastAsia="Times New Roman" w:hAnsi="Times New Roman" w:cs="Times New Roman"/>
          <w:spacing w:val="2"/>
          <w:position w:val="10"/>
          <w:sz w:val="20"/>
          <w:szCs w:val="20"/>
        </w:rPr>
        <w:t xml:space="preserve">   </w:t>
      </w:r>
      <w:r>
        <w:rPr>
          <w:rFonts w:ascii="Times New Roman" w:eastAsia="Times New Roman" w:hAnsi="Times New Roman" w:cs="Times New Roman"/>
          <w:position w:val="10"/>
          <w:sz w:val="20"/>
          <w:szCs w:val="20"/>
        </w:rPr>
        <w:t>a</w:t>
      </w:r>
      <w:r>
        <w:rPr>
          <w:rFonts w:ascii="Times New Roman" w:eastAsia="Times New Roman" w:hAnsi="Times New Roman" w:cs="Times New Roman"/>
          <w:spacing w:val="2"/>
          <w:position w:val="10"/>
          <w:sz w:val="20"/>
          <w:szCs w:val="20"/>
        </w:rPr>
        <w:t xml:space="preserve">   </w:t>
      </w:r>
      <w:r>
        <w:rPr>
          <w:rFonts w:ascii="Times New Roman" w:eastAsia="Times New Roman" w:hAnsi="Times New Roman" w:cs="Times New Roman"/>
          <w:position w:val="10"/>
          <w:sz w:val="20"/>
          <w:szCs w:val="20"/>
        </w:rPr>
        <w:t>system</w:t>
      </w:r>
      <w:r>
        <w:rPr>
          <w:rFonts w:ascii="Times New Roman" w:eastAsia="Times New Roman" w:hAnsi="Times New Roman" w:cs="Times New Roman"/>
          <w:spacing w:val="2"/>
          <w:position w:val="10"/>
          <w:sz w:val="20"/>
          <w:szCs w:val="20"/>
        </w:rPr>
        <w:t>;</w:t>
      </w:r>
      <w:r>
        <w:rPr>
          <w:rFonts w:ascii="Times New Roman" w:eastAsia="Times New Roman" w:hAnsi="Times New Roman" w:cs="Times New Roman"/>
          <w:position w:val="10"/>
          <w:sz w:val="20"/>
          <w:szCs w:val="20"/>
        </w:rPr>
        <w:t>system</w:t>
      </w:r>
      <w:r>
        <w:rPr>
          <w:rFonts w:ascii="Times New Roman" w:eastAsia="Times New Roman" w:hAnsi="Times New Roman" w:cs="Times New Roman"/>
          <w:spacing w:val="2"/>
          <w:position w:val="10"/>
          <w:sz w:val="20"/>
          <w:szCs w:val="20"/>
        </w:rPr>
        <w:t xml:space="preserve">   </w:t>
      </w:r>
      <w:r>
        <w:rPr>
          <w:rFonts w:ascii="Times New Roman" w:eastAsia="Times New Roman" w:hAnsi="Times New Roman" w:cs="Times New Roman"/>
          <w:position w:val="10"/>
          <w:sz w:val="20"/>
          <w:szCs w:val="20"/>
        </w:rPr>
        <w:t>owner</w:t>
      </w:r>
    </w:p>
    <w:p>
      <w:pPr>
        <w:pStyle w:val="BodyText"/>
        <w:spacing w:line="220" w:lineRule="auto"/>
        <w:ind w:left="399"/>
        <w:rPr>
          <w:sz w:val="20"/>
          <w:szCs w:val="20"/>
        </w:rPr>
      </w:pPr>
      <w:r>
        <w:rPr>
          <w:spacing w:val="-1"/>
          <w:sz w:val="20"/>
          <w:szCs w:val="20"/>
        </w:rPr>
        <w:t>方案所有者  owner</w:t>
      </w:r>
      <w:r>
        <w:rPr>
          <w:spacing w:val="47"/>
          <w:sz w:val="20"/>
          <w:szCs w:val="20"/>
        </w:rPr>
        <w:t xml:space="preserve"> </w:t>
      </w:r>
      <w:r>
        <w:rPr>
          <w:spacing w:val="-1"/>
          <w:sz w:val="20"/>
          <w:szCs w:val="20"/>
        </w:rPr>
        <w:t>of</w:t>
      </w:r>
      <w:r>
        <w:rPr>
          <w:spacing w:val="35"/>
          <w:sz w:val="20"/>
          <w:szCs w:val="20"/>
        </w:rPr>
        <w:t xml:space="preserve"> </w:t>
      </w:r>
      <w:r>
        <w:rPr>
          <w:spacing w:val="-1"/>
          <w:sz w:val="20"/>
          <w:szCs w:val="20"/>
        </w:rPr>
        <w:t>a</w:t>
      </w:r>
      <w:r>
        <w:rPr>
          <w:spacing w:val="44"/>
          <w:sz w:val="20"/>
          <w:szCs w:val="20"/>
        </w:rPr>
        <w:t xml:space="preserve"> </w:t>
      </w:r>
      <w:r>
        <w:rPr>
          <w:spacing w:val="-1"/>
          <w:sz w:val="20"/>
          <w:szCs w:val="20"/>
        </w:rPr>
        <w:t>scheme;scheme</w:t>
      </w:r>
      <w:r>
        <w:rPr>
          <w:spacing w:val="36"/>
          <w:sz w:val="20"/>
          <w:szCs w:val="20"/>
        </w:rPr>
        <w:t xml:space="preserve"> </w:t>
      </w:r>
      <w:r>
        <w:rPr>
          <w:spacing w:val="-1"/>
          <w:sz w:val="20"/>
          <w:szCs w:val="20"/>
        </w:rPr>
        <w:t>owner</w:t>
      </w:r>
    </w:p>
    <w:p>
      <w:pPr>
        <w:pStyle w:val="BodyText"/>
        <w:spacing w:before="80" w:line="229" w:lineRule="auto"/>
        <w:ind w:left="399"/>
        <w:rPr>
          <w:sz w:val="20"/>
          <w:szCs w:val="20"/>
        </w:rPr>
      </w:pPr>
      <w:r>
        <w:rPr>
          <w:spacing w:val="5"/>
          <w:sz w:val="20"/>
          <w:szCs w:val="20"/>
        </w:rPr>
        <w:t>负责合格评定制度(3.8)或合格评定方案(3.9)的开发和维护的人员或组</w:t>
      </w:r>
      <w:r>
        <w:rPr>
          <w:spacing w:val="4"/>
          <w:sz w:val="20"/>
          <w:szCs w:val="20"/>
        </w:rPr>
        <w:t>织。</w:t>
      </w:r>
    </w:p>
    <w:p>
      <w:pPr>
        <w:pStyle w:val="BodyText"/>
        <w:spacing w:line="212" w:lineRule="auto"/>
        <w:ind w:left="399"/>
        <w:rPr>
          <w:sz w:val="20"/>
          <w:szCs w:val="20"/>
        </w:rPr>
      </w:pPr>
      <w:r>
        <w:rPr>
          <w:spacing w:val="-14"/>
          <w:sz w:val="20"/>
          <w:szCs w:val="20"/>
        </w:rPr>
        <w:t>注1:方案所有者不一定运作合格评定方案(3.</w:t>
      </w:r>
      <w:r>
        <w:rPr>
          <w:rFonts w:ascii="Times New Roman" w:eastAsia="Times New Roman" w:hAnsi="Times New Roman" w:cs="Times New Roman"/>
          <w:spacing w:val="-14"/>
          <w:sz w:val="20"/>
          <w:szCs w:val="20"/>
        </w:rPr>
        <w:t>9)</w:t>
      </w:r>
      <w:r>
        <w:rPr>
          <w:spacing w:val="-14"/>
          <w:sz w:val="20"/>
          <w:szCs w:val="20"/>
        </w:rPr>
        <w:t>。</w:t>
      </w:r>
    </w:p>
    <w:p>
      <w:pPr>
        <w:pStyle w:val="BodyText"/>
        <w:spacing w:before="82" w:line="606" w:lineRule="exact"/>
        <w:ind w:left="402"/>
        <w:rPr>
          <w:sz w:val="20"/>
          <w:szCs w:val="20"/>
        </w:rPr>
      </w:pPr>
      <w:r>
        <w:rPr>
          <w:b/>
          <w:bCs/>
          <w:spacing w:val="-19"/>
          <w:w w:val="98"/>
          <w:position w:val="31"/>
          <w:sz w:val="20"/>
          <w:szCs w:val="20"/>
        </w:rPr>
        <w:t>注2:</w:t>
      </w:r>
      <w:r>
        <w:rPr>
          <w:spacing w:val="-19"/>
          <w:w w:val="98"/>
          <w:position w:val="31"/>
          <w:sz w:val="20"/>
          <w:szCs w:val="20"/>
        </w:rPr>
        <w:t>制度所有者或方案所有者可以是合格评定机构(3.6)本身、政府机构、行业协会、合格评定机构群体或其他。</w:t>
      </w:r>
    </w:p>
    <w:p>
      <w:pPr>
        <w:spacing w:before="1" w:line="220" w:lineRule="auto"/>
        <w:ind w:left="2"/>
        <w:rPr>
          <w:rFonts w:ascii="SimHei" w:eastAsia="SimHei" w:hAnsi="SimHei" w:cs="SimHei"/>
          <w:sz w:val="20"/>
          <w:szCs w:val="20"/>
        </w:rPr>
      </w:pPr>
      <w:r>
        <w:rPr>
          <w:rFonts w:ascii="SimHei" w:eastAsia="SimHei" w:hAnsi="SimHei" w:cs="SimHei"/>
          <w:b/>
          <w:bCs/>
          <w:spacing w:val="5"/>
          <w:sz w:val="20"/>
          <w:szCs w:val="20"/>
        </w:rPr>
        <w:t>4</w:t>
      </w:r>
      <w:r>
        <w:rPr>
          <w:rFonts w:ascii="SimHei" w:eastAsia="SimHei" w:hAnsi="SimHei" w:cs="SimHei"/>
          <w:spacing w:val="5"/>
          <w:sz w:val="20"/>
          <w:szCs w:val="20"/>
        </w:rPr>
        <w:t xml:space="preserve">  </w:t>
      </w:r>
      <w:r>
        <w:rPr>
          <w:rFonts w:ascii="SimHei" w:eastAsia="SimHei" w:hAnsi="SimHei" w:cs="SimHei"/>
          <w:b/>
          <w:bCs/>
          <w:spacing w:val="5"/>
          <w:sz w:val="20"/>
          <w:szCs w:val="20"/>
        </w:rPr>
        <w:t>与基本概念相关的术语</w:t>
      </w:r>
    </w:p>
    <w:p>
      <w:pPr>
        <w:spacing w:line="356" w:lineRule="auto"/>
        <w:rPr>
          <w:rFonts w:ascii="Arial"/>
          <w:sz w:val="21"/>
        </w:rPr>
      </w:pPr>
    </w:p>
    <w:p>
      <w:pPr>
        <w:pStyle w:val="BodyText"/>
        <w:spacing w:before="66" w:line="184" w:lineRule="auto"/>
        <w:ind w:left="2"/>
        <w:rPr>
          <w:sz w:val="20"/>
          <w:szCs w:val="20"/>
        </w:rPr>
      </w:pPr>
      <w:r>
        <w:rPr>
          <w:b/>
          <w:bCs/>
          <w:spacing w:val="-4"/>
          <w:sz w:val="20"/>
          <w:szCs w:val="20"/>
        </w:rPr>
        <w:t>4.1</w:t>
      </w:r>
    </w:p>
    <w:p>
      <w:pPr>
        <w:spacing w:before="50" w:line="212" w:lineRule="auto"/>
        <w:ind w:left="402"/>
        <w:rPr>
          <w:rFonts w:ascii="Times New Roman" w:eastAsia="Times New Roman" w:hAnsi="Times New Roman" w:cs="Times New Roman"/>
          <w:sz w:val="20"/>
          <w:szCs w:val="20"/>
        </w:rPr>
      </w:pPr>
      <w:r>
        <w:rPr>
          <w:rFonts w:ascii="SimHei" w:eastAsia="SimHei" w:hAnsi="SimHei" w:cs="SimHei"/>
          <w:b/>
          <w:bCs/>
          <w:spacing w:val="-1"/>
          <w:sz w:val="20"/>
          <w:szCs w:val="20"/>
        </w:rPr>
        <w:t>规定要求</w:t>
      </w:r>
      <w:r>
        <w:rPr>
          <w:rFonts w:ascii="SimHei" w:eastAsia="SimHei" w:hAnsi="SimHei" w:cs="SimHei"/>
          <w:spacing w:val="-1"/>
          <w:sz w:val="20"/>
          <w:szCs w:val="20"/>
        </w:rPr>
        <w:t xml:space="preserve">  </w:t>
      </w:r>
      <w:r>
        <w:rPr>
          <w:rFonts w:ascii="Times New Roman" w:eastAsia="Times New Roman" w:hAnsi="Times New Roman" w:cs="Times New Roman"/>
          <w:b/>
          <w:bCs/>
          <w:spacing w:val="-1"/>
          <w:sz w:val="20"/>
          <w:szCs w:val="20"/>
        </w:rPr>
        <w:t>specified  requirement</w:t>
      </w:r>
    </w:p>
    <w:p>
      <w:pPr>
        <w:pStyle w:val="BodyText"/>
        <w:spacing w:before="93" w:line="219" w:lineRule="auto"/>
        <w:ind w:left="399"/>
        <w:rPr>
          <w:sz w:val="20"/>
          <w:szCs w:val="20"/>
        </w:rPr>
      </w:pPr>
      <w:r>
        <w:rPr>
          <w:spacing w:val="4"/>
          <w:sz w:val="20"/>
          <w:szCs w:val="20"/>
        </w:rPr>
        <w:t>明示的需求或期望。</w:t>
      </w:r>
    </w:p>
    <w:p>
      <w:pPr>
        <w:pStyle w:val="BodyText"/>
        <w:spacing w:before="42" w:line="281" w:lineRule="exact"/>
        <w:ind w:left="399"/>
        <w:rPr>
          <w:sz w:val="20"/>
          <w:szCs w:val="20"/>
        </w:rPr>
      </w:pPr>
      <w:r>
        <w:rPr>
          <w:spacing w:val="-19"/>
          <w:position w:val="5"/>
          <w:sz w:val="20"/>
          <w:szCs w:val="20"/>
        </w:rPr>
        <w:t>注1:可能在诸如法规、标准和技术规范这</w:t>
      </w:r>
      <w:r>
        <w:rPr>
          <w:spacing w:val="-20"/>
          <w:position w:val="5"/>
          <w:sz w:val="20"/>
          <w:szCs w:val="20"/>
        </w:rPr>
        <w:t>样的规范性文件中对规定要求作出说明。</w:t>
      </w:r>
    </w:p>
    <w:p>
      <w:pPr>
        <w:pStyle w:val="BodyText"/>
        <w:spacing w:line="226" w:lineRule="auto"/>
        <w:ind w:left="389"/>
        <w:rPr>
          <w:sz w:val="20"/>
          <w:szCs w:val="20"/>
        </w:rPr>
      </w:pPr>
      <w:r>
        <w:rPr>
          <w:rFonts w:ascii="YouYuan" w:eastAsia="YouYuan" w:hAnsi="YouYuan" w:cs="YouYuan"/>
          <w:spacing w:val="-19"/>
          <w:sz w:val="20"/>
          <w:szCs w:val="20"/>
        </w:rPr>
        <w:t>注2</w:t>
      </w:r>
      <w:r>
        <w:rPr>
          <w:spacing w:val="-19"/>
          <w:sz w:val="20"/>
          <w:szCs w:val="20"/>
        </w:rPr>
        <w:t>:规定要求可能是具体的，也可能是通用的。</w:t>
      </w:r>
    </w:p>
    <w:p>
      <w:pPr>
        <w:pStyle w:val="BodyText"/>
        <w:spacing w:before="94" w:line="183" w:lineRule="auto"/>
        <w:ind w:left="2"/>
        <w:rPr>
          <w:sz w:val="20"/>
          <w:szCs w:val="20"/>
        </w:rPr>
      </w:pPr>
      <w:r>
        <w:rPr>
          <w:b/>
          <w:bCs/>
          <w:spacing w:val="-4"/>
          <w:sz w:val="20"/>
          <w:szCs w:val="20"/>
        </w:rPr>
        <w:t>4.2</w:t>
      </w:r>
    </w:p>
    <w:p>
      <w:pPr>
        <w:spacing w:before="81" w:line="220" w:lineRule="auto"/>
        <w:ind w:left="402"/>
        <w:rPr>
          <w:rFonts w:ascii="Times New Roman" w:eastAsia="Times New Roman" w:hAnsi="Times New Roman" w:cs="Times New Roman"/>
          <w:sz w:val="20"/>
          <w:szCs w:val="20"/>
        </w:rPr>
      </w:pPr>
      <w:r>
        <w:rPr>
          <w:rFonts w:ascii="STXinwei" w:eastAsia="STXinwei" w:hAnsi="STXinwei" w:cs="STXinwei"/>
          <w:b/>
          <w:bCs/>
          <w:spacing w:val="-7"/>
          <w:sz w:val="20"/>
          <w:szCs w:val="20"/>
        </w:rPr>
        <w:t>程</w:t>
      </w:r>
      <w:r>
        <w:rPr>
          <w:rFonts w:ascii="STXinwei" w:eastAsia="STXinwei" w:hAnsi="STXinwei" w:cs="STXinwei"/>
          <w:spacing w:val="18"/>
          <w:w w:val="101"/>
          <w:sz w:val="20"/>
          <w:szCs w:val="20"/>
        </w:rPr>
        <w:t xml:space="preserve"> </w:t>
      </w:r>
      <w:r>
        <w:rPr>
          <w:rFonts w:ascii="STXinwei" w:eastAsia="STXinwei" w:hAnsi="STXinwei" w:cs="STXinwei"/>
          <w:b/>
          <w:bCs/>
          <w:spacing w:val="-7"/>
          <w:sz w:val="20"/>
          <w:szCs w:val="20"/>
        </w:rPr>
        <w:t>序</w:t>
      </w:r>
      <w:r>
        <w:rPr>
          <w:rFonts w:ascii="STXinwei" w:eastAsia="STXinwei" w:hAnsi="STXinwei" w:cs="STXinwei"/>
          <w:spacing w:val="12"/>
          <w:sz w:val="20"/>
          <w:szCs w:val="20"/>
        </w:rPr>
        <w:t xml:space="preserve">   </w:t>
      </w:r>
      <w:r>
        <w:rPr>
          <w:rFonts w:ascii="Times New Roman" w:eastAsia="Times New Roman" w:hAnsi="Times New Roman" w:cs="Times New Roman"/>
          <w:b/>
          <w:bCs/>
          <w:spacing w:val="-7"/>
          <w:sz w:val="20"/>
          <w:szCs w:val="20"/>
        </w:rPr>
        <w:t>procedure</w:t>
      </w:r>
    </w:p>
    <w:p>
      <w:pPr>
        <w:pStyle w:val="BodyText"/>
        <w:spacing w:before="49" w:line="219" w:lineRule="auto"/>
        <w:ind w:left="399"/>
        <w:rPr>
          <w:sz w:val="20"/>
          <w:szCs w:val="20"/>
        </w:rPr>
      </w:pPr>
      <w:r>
        <w:rPr>
          <w:spacing w:val="6"/>
          <w:sz w:val="20"/>
          <w:szCs w:val="20"/>
        </w:rPr>
        <w:t>为进行某项活动或过程所规定的途径。</w:t>
      </w:r>
    </w:p>
    <w:p>
      <w:pPr>
        <w:pStyle w:val="BodyText"/>
        <w:spacing w:before="53" w:line="245" w:lineRule="auto"/>
        <w:ind w:left="399" w:right="1777" w:hanging="10"/>
        <w:rPr>
          <w:sz w:val="20"/>
          <w:szCs w:val="20"/>
        </w:rPr>
      </w:pPr>
      <w:r>
        <w:rPr>
          <w:spacing w:val="-22"/>
          <w:w w:val="97"/>
          <w:sz w:val="20"/>
          <w:szCs w:val="20"/>
        </w:rPr>
        <w:t>注：在此语境中，过程定义为“利用输入实现预期结果的相互关联或相互作用的一组活动”。</w:t>
      </w:r>
      <w:r>
        <w:rPr>
          <w:spacing w:val="7"/>
          <w:sz w:val="20"/>
          <w:szCs w:val="20"/>
        </w:rPr>
        <w:t xml:space="preserve"> </w:t>
      </w:r>
      <w:r>
        <w:rPr>
          <w:spacing w:val="-2"/>
          <w:sz w:val="20"/>
          <w:szCs w:val="20"/>
        </w:rPr>
        <w:t>[来源：GB/T</w:t>
      </w:r>
      <w:r>
        <w:rPr>
          <w:spacing w:val="45"/>
          <w:sz w:val="20"/>
          <w:szCs w:val="20"/>
        </w:rPr>
        <w:t xml:space="preserve">  </w:t>
      </w:r>
      <w:r>
        <w:rPr>
          <w:spacing w:val="-2"/>
          <w:sz w:val="20"/>
          <w:szCs w:val="20"/>
        </w:rPr>
        <w:t>19000—2016,3.4.5,有修改——原注释已</w:t>
      </w:r>
      <w:r>
        <w:rPr>
          <w:spacing w:val="-3"/>
          <w:sz w:val="20"/>
          <w:szCs w:val="20"/>
        </w:rPr>
        <w:t>被新注释替代。]</w:t>
      </w:r>
    </w:p>
    <w:p>
      <w:pPr>
        <w:pStyle w:val="BodyText"/>
        <w:spacing w:before="98" w:line="183" w:lineRule="auto"/>
        <w:ind w:left="2"/>
        <w:rPr>
          <w:sz w:val="20"/>
          <w:szCs w:val="20"/>
        </w:rPr>
      </w:pPr>
      <w:r>
        <w:rPr>
          <w:b/>
          <w:bCs/>
          <w:spacing w:val="-4"/>
          <w:sz w:val="20"/>
          <w:szCs w:val="20"/>
        </w:rPr>
        <w:t>4.3</w:t>
      </w:r>
    </w:p>
    <w:p>
      <w:pPr>
        <w:spacing w:before="29" w:line="212" w:lineRule="auto"/>
        <w:ind w:left="402"/>
        <w:rPr>
          <w:rFonts w:ascii="Times New Roman" w:eastAsia="Times New Roman" w:hAnsi="Times New Roman" w:cs="Times New Roman"/>
          <w:sz w:val="20"/>
          <w:szCs w:val="20"/>
        </w:rPr>
      </w:pPr>
      <w:r>
        <w:rPr>
          <w:rFonts w:ascii="SimHei" w:eastAsia="SimHei" w:hAnsi="SimHei" w:cs="SimHei"/>
          <w:b/>
          <w:bCs/>
          <w:spacing w:val="-1"/>
          <w:sz w:val="20"/>
          <w:szCs w:val="20"/>
        </w:rPr>
        <w:t>公正性</w:t>
      </w:r>
      <w:r>
        <w:rPr>
          <w:rFonts w:ascii="SimHei" w:eastAsia="SimHei" w:hAnsi="SimHei" w:cs="SimHei"/>
          <w:spacing w:val="-1"/>
          <w:sz w:val="20"/>
          <w:szCs w:val="20"/>
        </w:rPr>
        <w:t xml:space="preserve">  </w:t>
      </w:r>
      <w:r>
        <w:rPr>
          <w:rFonts w:ascii="Times New Roman" w:eastAsia="Times New Roman" w:hAnsi="Times New Roman" w:cs="Times New Roman"/>
          <w:b/>
          <w:bCs/>
          <w:spacing w:val="-1"/>
          <w:sz w:val="20"/>
          <w:szCs w:val="20"/>
        </w:rPr>
        <w:t>impartiality</w:t>
      </w:r>
    </w:p>
    <w:p>
      <w:pPr>
        <w:pStyle w:val="BodyText"/>
        <w:spacing w:before="94" w:line="219" w:lineRule="auto"/>
        <w:ind w:left="399"/>
        <w:rPr>
          <w:sz w:val="20"/>
          <w:szCs w:val="20"/>
        </w:rPr>
      </w:pPr>
      <w:r>
        <w:rPr>
          <w:spacing w:val="4"/>
          <w:sz w:val="20"/>
          <w:szCs w:val="20"/>
        </w:rPr>
        <w:t>合格评定活动结果的客观性。</w:t>
      </w:r>
    </w:p>
    <w:p>
      <w:pPr>
        <w:pStyle w:val="BodyText"/>
        <w:spacing w:before="63" w:line="219" w:lineRule="auto"/>
        <w:ind w:left="399"/>
        <w:rPr>
          <w:sz w:val="20"/>
          <w:szCs w:val="20"/>
        </w:rPr>
      </w:pPr>
      <w:r>
        <w:rPr>
          <w:spacing w:val="-21"/>
          <w:sz w:val="20"/>
          <w:szCs w:val="20"/>
        </w:rPr>
        <w:t>注：客观性能理解为免受偏见的影响或免受利益冲突的</w:t>
      </w:r>
      <w:r>
        <w:rPr>
          <w:spacing w:val="-22"/>
          <w:sz w:val="20"/>
          <w:szCs w:val="20"/>
        </w:rPr>
        <w:t>影响。</w:t>
      </w:r>
    </w:p>
    <w:p>
      <w:pPr>
        <w:pStyle w:val="BodyText"/>
        <w:spacing w:before="112" w:line="183" w:lineRule="auto"/>
        <w:ind w:left="2"/>
        <w:rPr>
          <w:sz w:val="20"/>
          <w:szCs w:val="20"/>
        </w:rPr>
      </w:pPr>
      <w:r>
        <w:rPr>
          <w:b/>
          <w:bCs/>
          <w:spacing w:val="-9"/>
          <w:sz w:val="20"/>
          <w:szCs w:val="20"/>
        </w:rPr>
        <w:t>4.4</w:t>
      </w:r>
    </w:p>
    <w:p>
      <w:pPr>
        <w:spacing w:before="69" w:line="212" w:lineRule="auto"/>
        <w:ind w:left="402"/>
        <w:rPr>
          <w:rFonts w:ascii="Times New Roman" w:eastAsia="Times New Roman" w:hAnsi="Times New Roman" w:cs="Times New Roman"/>
          <w:sz w:val="20"/>
          <w:szCs w:val="20"/>
        </w:rPr>
      </w:pPr>
      <w:r>
        <w:rPr>
          <w:rFonts w:ascii="SimHei" w:eastAsia="SimHei" w:hAnsi="SimHei" w:cs="SimHei"/>
          <w:b/>
          <w:bCs/>
          <w:spacing w:val="-1"/>
          <w:sz w:val="20"/>
          <w:szCs w:val="20"/>
        </w:rPr>
        <w:t>独立性</w:t>
      </w:r>
      <w:r>
        <w:rPr>
          <w:rFonts w:ascii="SimHei" w:eastAsia="SimHei" w:hAnsi="SimHei" w:cs="SimHei"/>
          <w:spacing w:val="-1"/>
          <w:sz w:val="20"/>
          <w:szCs w:val="20"/>
        </w:rPr>
        <w:t xml:space="preserve">  </w:t>
      </w:r>
      <w:r>
        <w:rPr>
          <w:rFonts w:ascii="Times New Roman" w:eastAsia="Times New Roman" w:hAnsi="Times New Roman" w:cs="Times New Roman"/>
          <w:b/>
          <w:bCs/>
          <w:spacing w:val="-1"/>
          <w:sz w:val="20"/>
          <w:szCs w:val="20"/>
        </w:rPr>
        <w:t>independence</w:t>
      </w:r>
    </w:p>
    <w:p>
      <w:pPr>
        <w:pStyle w:val="BodyText"/>
        <w:spacing w:before="53" w:line="219" w:lineRule="auto"/>
        <w:ind w:left="399"/>
        <w:rPr>
          <w:sz w:val="20"/>
          <w:szCs w:val="20"/>
        </w:rPr>
      </w:pPr>
      <w:r>
        <w:rPr>
          <w:spacing w:val="7"/>
          <w:sz w:val="20"/>
          <w:szCs w:val="20"/>
        </w:rPr>
        <w:t>人员或组织不受其他人员或组织的控制或权力影响。</w:t>
      </w:r>
    </w:p>
    <w:p>
      <w:pPr>
        <w:pStyle w:val="BodyText"/>
        <w:spacing w:before="62" w:line="222" w:lineRule="auto"/>
        <w:ind w:left="389"/>
        <w:rPr>
          <w:sz w:val="20"/>
          <w:szCs w:val="20"/>
        </w:rPr>
        <w:sectPr>
          <w:footerReference w:type="default" r:id="rId13"/>
          <w:pgSz w:w="11910" w:h="16840"/>
          <w:pgMar w:top="1370" w:right="1282" w:bottom="1278" w:left="1400" w:header="0" w:footer="1139" w:gutter="0"/>
          <w:pgNumType w:start="13"/>
          <w:cols w:space="708"/>
        </w:sectPr>
      </w:pPr>
      <w:r>
        <w:rPr>
          <w:rFonts w:ascii="SimHei" w:eastAsia="SimHei" w:hAnsi="SimHei" w:cs="SimHei"/>
          <w:spacing w:val="-19"/>
          <w:w w:val="99"/>
          <w:sz w:val="20"/>
          <w:szCs w:val="20"/>
        </w:rPr>
        <w:t>示例</w:t>
      </w:r>
      <w:r>
        <w:rPr>
          <w:spacing w:val="-19"/>
          <w:w w:val="99"/>
          <w:sz w:val="20"/>
          <w:szCs w:val="20"/>
        </w:rPr>
        <w:t>：合格评定机构(3.6)独立于作为合格评定对象(3.2)的人员或独立于提供合格评定对象(3.</w:t>
      </w:r>
      <w:r>
        <w:rPr>
          <w:spacing w:val="-20"/>
          <w:w w:val="99"/>
          <w:sz w:val="20"/>
          <w:szCs w:val="20"/>
        </w:rPr>
        <w:t>2)的组织。</w:t>
      </w:r>
    </w:p>
    <w:p>
      <w:pPr>
        <w:spacing w:line="299" w:lineRule="auto"/>
        <w:rPr>
          <w:rFonts w:ascii="Arial"/>
          <w:sz w:val="21"/>
        </w:rPr>
      </w:pPr>
    </w:p>
    <w:p>
      <w:pPr>
        <w:spacing w:before="65" w:line="221" w:lineRule="auto"/>
        <w:ind w:left="2"/>
        <w:rPr>
          <w:rFonts w:ascii="SimHei" w:eastAsia="SimHei" w:hAnsi="SimHei" w:cs="SimHei"/>
          <w:sz w:val="20"/>
          <w:szCs w:val="20"/>
        </w:rPr>
      </w:pPr>
      <w:r>
        <w:rPr>
          <w:rFonts w:ascii="SimHei" w:eastAsia="SimHei" w:hAnsi="SimHei" w:cs="SimHei"/>
          <w:b/>
          <w:bCs/>
          <w:spacing w:val="5"/>
          <w:sz w:val="20"/>
          <w:szCs w:val="20"/>
        </w:rPr>
        <w:t>5</w:t>
      </w:r>
      <w:r>
        <w:rPr>
          <w:rFonts w:ascii="SimHei" w:eastAsia="SimHei" w:hAnsi="SimHei" w:cs="SimHei"/>
          <w:spacing w:val="5"/>
          <w:sz w:val="20"/>
          <w:szCs w:val="20"/>
        </w:rPr>
        <w:t xml:space="preserve">  </w:t>
      </w:r>
      <w:r>
        <w:rPr>
          <w:rFonts w:ascii="SimHei" w:eastAsia="SimHei" w:hAnsi="SimHei" w:cs="SimHei"/>
          <w:b/>
          <w:bCs/>
          <w:spacing w:val="5"/>
          <w:sz w:val="20"/>
          <w:szCs w:val="20"/>
        </w:rPr>
        <w:t>关于选取和确定的术语</w:t>
      </w:r>
    </w:p>
    <w:p>
      <w:pPr>
        <w:spacing w:line="366" w:lineRule="auto"/>
        <w:rPr>
          <w:rFonts w:ascii="Arial"/>
          <w:sz w:val="21"/>
        </w:rPr>
      </w:pPr>
    </w:p>
    <w:p>
      <w:pPr>
        <w:pStyle w:val="BodyText"/>
        <w:spacing w:before="66" w:line="184" w:lineRule="auto"/>
        <w:ind w:left="2"/>
        <w:rPr>
          <w:sz w:val="20"/>
          <w:szCs w:val="20"/>
        </w:rPr>
      </w:pPr>
      <w:r>
        <w:rPr>
          <w:b/>
          <w:bCs/>
          <w:spacing w:val="-11"/>
          <w:sz w:val="20"/>
          <w:szCs w:val="20"/>
        </w:rPr>
        <w:t>5.1</w:t>
      </w:r>
    </w:p>
    <w:p>
      <w:pPr>
        <w:spacing w:before="59" w:line="212" w:lineRule="auto"/>
        <w:ind w:left="399"/>
        <w:rPr>
          <w:rFonts w:ascii="Times New Roman" w:eastAsia="Times New Roman" w:hAnsi="Times New Roman" w:cs="Times New Roman"/>
          <w:sz w:val="20"/>
          <w:szCs w:val="20"/>
        </w:rPr>
      </w:pPr>
      <w:r>
        <w:rPr>
          <w:rFonts w:ascii="SimHei" w:eastAsia="SimHei" w:hAnsi="SimHei" w:cs="SimHei"/>
          <w:spacing w:val="5"/>
          <w:sz w:val="20"/>
          <w:szCs w:val="20"/>
        </w:rPr>
        <w:t>抽样</w:t>
      </w:r>
      <w:r>
        <w:rPr>
          <w:rFonts w:ascii="SimHei" w:eastAsia="SimHei" w:hAnsi="SimHei" w:cs="SimHei"/>
          <w:sz w:val="20"/>
          <w:szCs w:val="20"/>
        </w:rPr>
        <w:t xml:space="preserve">  </w:t>
      </w:r>
      <w:r>
        <w:rPr>
          <w:rFonts w:ascii="Times New Roman" w:eastAsia="Times New Roman" w:hAnsi="Times New Roman" w:cs="Times New Roman"/>
          <w:sz w:val="20"/>
          <w:szCs w:val="20"/>
        </w:rPr>
        <w:t>sampling</w:t>
      </w:r>
    </w:p>
    <w:p>
      <w:pPr>
        <w:pStyle w:val="BodyText"/>
        <w:spacing w:before="92" w:line="281" w:lineRule="exact"/>
        <w:ind w:left="399"/>
        <w:rPr>
          <w:sz w:val="20"/>
          <w:szCs w:val="20"/>
        </w:rPr>
      </w:pPr>
      <w:r>
        <w:rPr>
          <w:spacing w:val="4"/>
          <w:position w:val="5"/>
          <w:sz w:val="20"/>
          <w:szCs w:val="20"/>
        </w:rPr>
        <w:t>合格评定对象(3.2)相关材料或数据的选取和(或)收集。</w:t>
      </w:r>
    </w:p>
    <w:p>
      <w:pPr>
        <w:pStyle w:val="BodyText"/>
        <w:spacing w:line="219" w:lineRule="auto"/>
        <w:ind w:left="389"/>
        <w:rPr>
          <w:sz w:val="20"/>
          <w:szCs w:val="20"/>
        </w:rPr>
      </w:pPr>
      <w:r>
        <w:rPr>
          <w:spacing w:val="-23"/>
          <w:sz w:val="20"/>
          <w:szCs w:val="20"/>
        </w:rPr>
        <w:t>注1:选取可能基于程序、自动化系统、专业判断等。</w:t>
      </w:r>
    </w:p>
    <w:p>
      <w:pPr>
        <w:pStyle w:val="BodyText"/>
        <w:spacing w:before="32" w:line="342" w:lineRule="exact"/>
        <w:ind w:left="389"/>
        <w:rPr>
          <w:sz w:val="20"/>
          <w:szCs w:val="20"/>
        </w:rPr>
      </w:pPr>
      <w:r>
        <w:rPr>
          <w:rFonts w:ascii="SimHei" w:eastAsia="SimHei" w:hAnsi="SimHei" w:cs="SimHei"/>
          <w:spacing w:val="-16"/>
          <w:position w:val="10"/>
          <w:sz w:val="20"/>
          <w:szCs w:val="20"/>
        </w:rPr>
        <w:t>注2</w:t>
      </w:r>
      <w:r>
        <w:rPr>
          <w:spacing w:val="-16"/>
          <w:position w:val="10"/>
          <w:sz w:val="20"/>
          <w:szCs w:val="20"/>
        </w:rPr>
        <w:t>:选取和收集可能由相同或不同的人员或组织进行。</w:t>
      </w:r>
    </w:p>
    <w:p>
      <w:pPr>
        <w:pStyle w:val="BodyText"/>
        <w:spacing w:line="183" w:lineRule="auto"/>
        <w:rPr>
          <w:sz w:val="20"/>
          <w:szCs w:val="20"/>
        </w:rPr>
      </w:pPr>
      <w:r>
        <w:rPr>
          <w:spacing w:val="-3"/>
          <w:sz w:val="20"/>
          <w:szCs w:val="20"/>
        </w:rPr>
        <w:t>5.2</w:t>
      </w:r>
    </w:p>
    <w:p>
      <w:pPr>
        <w:spacing w:before="58" w:line="212" w:lineRule="auto"/>
        <w:ind w:left="399"/>
        <w:rPr>
          <w:rFonts w:ascii="Times New Roman" w:eastAsia="Times New Roman" w:hAnsi="Times New Roman" w:cs="Times New Roman"/>
          <w:sz w:val="20"/>
          <w:szCs w:val="20"/>
        </w:rPr>
      </w:pPr>
      <w:r>
        <w:rPr>
          <w:rFonts w:ascii="SimHei" w:eastAsia="SimHei" w:hAnsi="SimHei" w:cs="SimHei"/>
          <w:spacing w:val="11"/>
          <w:sz w:val="20"/>
          <w:szCs w:val="20"/>
        </w:rPr>
        <w:t>检测</w:t>
      </w:r>
      <w:r>
        <w:rPr>
          <w:rFonts w:ascii="SimHei" w:eastAsia="SimHei" w:hAnsi="SimHei" w:cs="SimHei"/>
          <w:spacing w:val="2"/>
          <w:sz w:val="20"/>
          <w:szCs w:val="20"/>
        </w:rPr>
        <w:t xml:space="preserve">  </w:t>
      </w:r>
      <w:r>
        <w:rPr>
          <w:rFonts w:ascii="Times New Roman" w:eastAsia="Times New Roman" w:hAnsi="Times New Roman" w:cs="Times New Roman"/>
          <w:sz w:val="20"/>
          <w:szCs w:val="20"/>
        </w:rPr>
        <w:t>testing</w:t>
      </w:r>
    </w:p>
    <w:p>
      <w:pPr>
        <w:pStyle w:val="BodyText"/>
        <w:spacing w:before="83" w:line="219" w:lineRule="auto"/>
        <w:ind w:left="399"/>
        <w:rPr>
          <w:sz w:val="20"/>
          <w:szCs w:val="20"/>
        </w:rPr>
      </w:pPr>
      <w:r>
        <w:rPr>
          <w:spacing w:val="3"/>
          <w:sz w:val="20"/>
          <w:szCs w:val="20"/>
        </w:rPr>
        <w:t>按照程序(4.2)确定合格评定对象(3.2)的一个或多个特性。</w:t>
      </w:r>
    </w:p>
    <w:p>
      <w:pPr>
        <w:spacing w:line="219" w:lineRule="auto"/>
        <w:rPr>
          <w:sz w:val="20"/>
          <w:szCs w:val="20"/>
        </w:rPr>
        <w:sectPr>
          <w:footerReference w:type="default" r:id="rId14"/>
          <w:type w:val="nextPage"/>
          <w:pgSz w:w="11910" w:h="16840"/>
          <w:pgMar w:top="1370" w:right="1282" w:bottom="1278" w:left="1400" w:header="0" w:footer="1139" w:gutter="0"/>
          <w:pgNumType w:start="14"/>
          <w:cols w:space="708"/>
          <w:titlePg w:val="0"/>
        </w:sectPr>
      </w:pPr>
    </w:p>
    <w:p>
      <w:pPr>
        <w:pStyle w:val="BodyText"/>
        <w:spacing w:before="40" w:line="224" w:lineRule="auto"/>
        <w:ind w:left="2"/>
        <w:rPr>
          <w:sz w:val="20"/>
          <w:szCs w:val="20"/>
        </w:rPr>
      </w:pPr>
      <w:bookmarkStart w:id="5" w:name="bookmark9"/>
      <w:bookmarkEnd w:id="5"/>
      <w:r>
        <w:rPr>
          <w:b/>
          <w:bCs/>
          <w:spacing w:val="-3"/>
          <w:sz w:val="20"/>
          <w:szCs w:val="20"/>
        </w:rPr>
        <w:t>GB/T</w:t>
      </w:r>
      <w:r>
        <w:rPr>
          <w:spacing w:val="27"/>
          <w:sz w:val="20"/>
          <w:szCs w:val="20"/>
        </w:rPr>
        <w:t xml:space="preserve">  </w:t>
      </w:r>
      <w:r>
        <w:rPr>
          <w:b/>
          <w:bCs/>
          <w:spacing w:val="-3"/>
          <w:sz w:val="20"/>
          <w:szCs w:val="20"/>
        </w:rPr>
        <w:t>27000—2023/ISO/IEC</w:t>
      </w:r>
      <w:r>
        <w:rPr>
          <w:spacing w:val="34"/>
          <w:sz w:val="20"/>
          <w:szCs w:val="20"/>
        </w:rPr>
        <w:t xml:space="preserve">  </w:t>
      </w:r>
      <w:r>
        <w:rPr>
          <w:b/>
          <w:bCs/>
          <w:spacing w:val="-3"/>
          <w:sz w:val="20"/>
          <w:szCs w:val="20"/>
        </w:rPr>
        <w:t>1</w:t>
      </w:r>
      <w:r>
        <w:rPr>
          <w:b/>
          <w:bCs/>
          <w:spacing w:val="-4"/>
          <w:sz w:val="20"/>
          <w:szCs w:val="20"/>
        </w:rPr>
        <w:t>7000:2020</w:t>
      </w:r>
    </w:p>
    <w:p>
      <w:pPr>
        <w:pStyle w:val="BodyText"/>
        <w:spacing w:before="280" w:line="222" w:lineRule="auto"/>
        <w:ind w:left="402"/>
        <w:rPr>
          <w:sz w:val="20"/>
          <w:szCs w:val="20"/>
        </w:rPr>
      </w:pPr>
      <w:r>
        <w:rPr>
          <w:rFonts w:ascii="SimHei" w:eastAsia="SimHei" w:hAnsi="SimHei" w:cs="SimHei"/>
          <w:b/>
          <w:bCs/>
          <w:spacing w:val="-19"/>
          <w:sz w:val="20"/>
          <w:szCs w:val="20"/>
        </w:rPr>
        <w:t>注1:</w:t>
      </w:r>
      <w:r>
        <w:rPr>
          <w:spacing w:val="-19"/>
          <w:sz w:val="20"/>
          <w:szCs w:val="20"/>
        </w:rPr>
        <w:t>程序可能用以控制检测中的变量，从而提高</w:t>
      </w:r>
      <w:r>
        <w:rPr>
          <w:spacing w:val="-20"/>
          <w:sz w:val="20"/>
          <w:szCs w:val="20"/>
        </w:rPr>
        <w:t>结果的准确性或可靠性。</w:t>
      </w:r>
    </w:p>
    <w:p>
      <w:pPr>
        <w:pStyle w:val="BodyText"/>
        <w:spacing w:before="53" w:line="219" w:lineRule="auto"/>
        <w:ind w:left="372"/>
        <w:rPr>
          <w:sz w:val="20"/>
          <w:szCs w:val="20"/>
        </w:rPr>
      </w:pPr>
      <w:r>
        <w:rPr>
          <w:b/>
          <w:bCs/>
          <w:spacing w:val="-18"/>
          <w:sz w:val="20"/>
          <w:szCs w:val="20"/>
        </w:rPr>
        <w:t>注2:</w:t>
      </w:r>
      <w:r>
        <w:rPr>
          <w:spacing w:val="-41"/>
          <w:sz w:val="20"/>
          <w:szCs w:val="20"/>
        </w:rPr>
        <w:t xml:space="preserve"> </w:t>
      </w:r>
      <w:r>
        <w:rPr>
          <w:spacing w:val="-18"/>
          <w:sz w:val="20"/>
          <w:szCs w:val="20"/>
        </w:rPr>
        <w:t>检测的结果可能用规定的单位或与达成一致的参照物的客观对比来表达。</w:t>
      </w:r>
    </w:p>
    <w:p>
      <w:pPr>
        <w:pStyle w:val="BodyText"/>
        <w:spacing w:before="32" w:line="269" w:lineRule="exact"/>
        <w:ind w:left="402"/>
        <w:rPr>
          <w:sz w:val="20"/>
          <w:szCs w:val="20"/>
        </w:rPr>
      </w:pPr>
      <w:r>
        <w:rPr>
          <w:b/>
          <w:bCs/>
          <w:spacing w:val="-16"/>
          <w:position w:val="4"/>
          <w:sz w:val="20"/>
          <w:szCs w:val="20"/>
        </w:rPr>
        <w:t>注3:</w:t>
      </w:r>
      <w:r>
        <w:rPr>
          <w:spacing w:val="-16"/>
          <w:position w:val="4"/>
          <w:sz w:val="20"/>
          <w:szCs w:val="20"/>
        </w:rPr>
        <w:t>检测的输出可能包括对于检测结果和规定</w:t>
      </w:r>
      <w:r>
        <w:rPr>
          <w:spacing w:val="-17"/>
          <w:position w:val="4"/>
          <w:sz w:val="20"/>
          <w:szCs w:val="20"/>
        </w:rPr>
        <w:t>要求满足情况的评论(如意见和解释)。</w:t>
      </w:r>
    </w:p>
    <w:p>
      <w:pPr>
        <w:pStyle w:val="BodyText"/>
        <w:spacing w:line="218" w:lineRule="auto"/>
        <w:ind w:left="372"/>
        <w:rPr>
          <w:sz w:val="20"/>
          <w:szCs w:val="20"/>
        </w:rPr>
      </w:pPr>
      <w:r>
        <w:rPr>
          <w:b/>
          <w:bCs/>
          <w:spacing w:val="-14"/>
          <w:sz w:val="20"/>
          <w:szCs w:val="20"/>
        </w:rPr>
        <w:t>注4:</w:t>
      </w:r>
      <w:r>
        <w:rPr>
          <w:spacing w:val="-45"/>
          <w:sz w:val="20"/>
          <w:szCs w:val="20"/>
        </w:rPr>
        <w:t xml:space="preserve"> </w:t>
      </w:r>
      <w:r>
        <w:rPr>
          <w:rFonts w:ascii="Times New Roman" w:eastAsia="Times New Roman" w:hAnsi="Times New Roman" w:cs="Times New Roman"/>
          <w:spacing w:val="-14"/>
          <w:sz w:val="20"/>
          <w:szCs w:val="20"/>
        </w:rPr>
        <w:t>A.3.4</w:t>
      </w:r>
      <w:r>
        <w:rPr>
          <w:spacing w:val="-14"/>
          <w:sz w:val="20"/>
          <w:szCs w:val="20"/>
        </w:rPr>
        <w:t>中提供了有关检测(5.2)和检</w:t>
      </w:r>
      <w:r>
        <w:rPr>
          <w:spacing w:val="-15"/>
          <w:sz w:val="20"/>
          <w:szCs w:val="20"/>
        </w:rPr>
        <w:t>验(5.3)的概念的更多信息。</w:t>
      </w:r>
    </w:p>
    <w:p>
      <w:pPr>
        <w:pStyle w:val="BodyText"/>
        <w:spacing w:before="104" w:line="183" w:lineRule="auto"/>
        <w:ind w:left="2"/>
        <w:rPr>
          <w:sz w:val="20"/>
          <w:szCs w:val="20"/>
        </w:rPr>
      </w:pPr>
      <w:r>
        <w:rPr>
          <w:b/>
          <w:bCs/>
          <w:spacing w:val="-5"/>
          <w:sz w:val="20"/>
          <w:szCs w:val="20"/>
        </w:rPr>
        <w:t>5.3</w:t>
      </w:r>
    </w:p>
    <w:p>
      <w:pPr>
        <w:spacing w:before="70" w:line="212" w:lineRule="auto"/>
        <w:ind w:left="402"/>
        <w:rPr>
          <w:rFonts w:ascii="Times New Roman" w:eastAsia="Times New Roman" w:hAnsi="Times New Roman" w:cs="Times New Roman"/>
          <w:sz w:val="20"/>
          <w:szCs w:val="20"/>
        </w:rPr>
      </w:pPr>
      <w:r>
        <w:rPr>
          <w:rFonts w:ascii="SimHei" w:eastAsia="SimHei" w:hAnsi="SimHei" w:cs="SimHei"/>
          <w:b/>
          <w:bCs/>
          <w:spacing w:val="-2"/>
          <w:sz w:val="20"/>
          <w:szCs w:val="20"/>
        </w:rPr>
        <w:t>检验</w:t>
      </w:r>
      <w:r>
        <w:rPr>
          <w:rFonts w:ascii="SimHei" w:eastAsia="SimHei" w:hAnsi="SimHei" w:cs="SimHei"/>
          <w:spacing w:val="15"/>
          <w:sz w:val="20"/>
          <w:szCs w:val="20"/>
        </w:rPr>
        <w:t xml:space="preserve">  </w:t>
      </w:r>
      <w:r>
        <w:rPr>
          <w:rFonts w:ascii="Times New Roman" w:eastAsia="Times New Roman" w:hAnsi="Times New Roman" w:cs="Times New Roman"/>
          <w:b/>
          <w:bCs/>
          <w:spacing w:val="-2"/>
          <w:sz w:val="20"/>
          <w:szCs w:val="20"/>
        </w:rPr>
        <w:t>inspection</w:t>
      </w:r>
    </w:p>
    <w:p>
      <w:pPr>
        <w:pStyle w:val="BodyText"/>
        <w:spacing w:before="83" w:line="257" w:lineRule="auto"/>
        <w:ind w:firstLine="400"/>
        <w:rPr>
          <w:sz w:val="20"/>
          <w:szCs w:val="20"/>
        </w:rPr>
      </w:pPr>
      <w:r>
        <w:rPr>
          <w:spacing w:val="6"/>
          <w:sz w:val="20"/>
          <w:szCs w:val="20"/>
        </w:rPr>
        <w:t>对合格评定对象(3.2)的审查，并确定其与具体要求的符合性，或在专业判断的基础上确定其与通</w:t>
      </w:r>
      <w:r>
        <w:rPr>
          <w:spacing w:val="7"/>
          <w:sz w:val="20"/>
          <w:szCs w:val="20"/>
        </w:rPr>
        <w:t xml:space="preserve"> </w:t>
      </w:r>
      <w:r>
        <w:rPr>
          <w:spacing w:val="2"/>
          <w:sz w:val="20"/>
          <w:szCs w:val="20"/>
        </w:rPr>
        <w:t>用要求的符合性。</w:t>
      </w:r>
    </w:p>
    <w:p>
      <w:pPr>
        <w:pStyle w:val="BodyText"/>
        <w:spacing w:before="52" w:line="270" w:lineRule="exact"/>
        <w:ind w:left="372"/>
        <w:rPr>
          <w:sz w:val="20"/>
          <w:szCs w:val="20"/>
        </w:rPr>
      </w:pPr>
      <w:r>
        <w:rPr>
          <w:b/>
          <w:bCs/>
          <w:spacing w:val="-20"/>
          <w:position w:val="4"/>
          <w:sz w:val="20"/>
          <w:szCs w:val="20"/>
        </w:rPr>
        <w:t>注1:</w:t>
      </w:r>
      <w:r>
        <w:rPr>
          <w:spacing w:val="-55"/>
          <w:position w:val="4"/>
          <w:sz w:val="20"/>
          <w:szCs w:val="20"/>
        </w:rPr>
        <w:t xml:space="preserve"> </w:t>
      </w:r>
      <w:r>
        <w:rPr>
          <w:spacing w:val="-20"/>
          <w:position w:val="4"/>
          <w:sz w:val="20"/>
          <w:szCs w:val="20"/>
        </w:rPr>
        <w:t>审查可能包括直接或间接的观察，观察</w:t>
      </w:r>
      <w:r>
        <w:rPr>
          <w:spacing w:val="-21"/>
          <w:position w:val="4"/>
          <w:sz w:val="20"/>
          <w:szCs w:val="20"/>
        </w:rPr>
        <w:t>则可包括测量或仪器的输出。</w:t>
      </w:r>
    </w:p>
    <w:p>
      <w:pPr>
        <w:pStyle w:val="BodyText"/>
        <w:spacing w:before="1" w:line="219" w:lineRule="auto"/>
        <w:ind w:left="370"/>
        <w:rPr>
          <w:sz w:val="20"/>
          <w:szCs w:val="20"/>
        </w:rPr>
      </w:pPr>
      <w:r>
        <w:rPr>
          <w:spacing w:val="-15"/>
          <w:sz w:val="20"/>
          <w:szCs w:val="20"/>
        </w:rPr>
        <w:t>注2:合格评定方案(3.9)或合同可能规定检验仅为</w:t>
      </w:r>
      <w:r>
        <w:rPr>
          <w:spacing w:val="-16"/>
          <w:sz w:val="20"/>
          <w:szCs w:val="20"/>
        </w:rPr>
        <w:t>审查。</w:t>
      </w:r>
    </w:p>
    <w:p>
      <w:pPr>
        <w:pStyle w:val="BodyText"/>
        <w:spacing w:before="41" w:line="219" w:lineRule="auto"/>
        <w:ind w:left="400"/>
        <w:rPr>
          <w:sz w:val="20"/>
          <w:szCs w:val="20"/>
        </w:rPr>
      </w:pPr>
      <w:r>
        <w:rPr>
          <w:spacing w:val="-14"/>
          <w:sz w:val="20"/>
          <w:szCs w:val="20"/>
        </w:rPr>
        <w:t>注3:</w:t>
      </w:r>
      <w:r>
        <w:rPr>
          <w:rFonts w:ascii="Times New Roman" w:eastAsia="Times New Roman" w:hAnsi="Times New Roman" w:cs="Times New Roman"/>
          <w:spacing w:val="-14"/>
          <w:sz w:val="20"/>
          <w:szCs w:val="20"/>
        </w:rPr>
        <w:t>A.3.4</w:t>
      </w:r>
      <w:r>
        <w:rPr>
          <w:rFonts w:ascii="Times New Roman" w:eastAsia="Times New Roman" w:hAnsi="Times New Roman" w:cs="Times New Roman"/>
          <w:spacing w:val="14"/>
          <w:sz w:val="20"/>
          <w:szCs w:val="20"/>
        </w:rPr>
        <w:t xml:space="preserve"> </w:t>
      </w:r>
      <w:r>
        <w:rPr>
          <w:spacing w:val="-14"/>
          <w:sz w:val="20"/>
          <w:szCs w:val="20"/>
        </w:rPr>
        <w:t>中提供了有关检测(5.</w:t>
      </w:r>
      <w:r>
        <w:rPr>
          <w:spacing w:val="-15"/>
          <w:sz w:val="20"/>
          <w:szCs w:val="20"/>
        </w:rPr>
        <w:t>2)和检验(5.3)概念的更多信息。</w:t>
      </w:r>
    </w:p>
    <w:p>
      <w:pPr>
        <w:pStyle w:val="BodyText"/>
        <w:spacing w:before="104" w:line="183" w:lineRule="auto"/>
        <w:ind w:left="2"/>
        <w:rPr>
          <w:sz w:val="20"/>
          <w:szCs w:val="20"/>
        </w:rPr>
      </w:pPr>
      <w:r>
        <w:rPr>
          <w:b/>
          <w:bCs/>
          <w:spacing w:val="-5"/>
          <w:sz w:val="20"/>
          <w:szCs w:val="20"/>
        </w:rPr>
        <w:t>5.4</w:t>
      </w:r>
    </w:p>
    <w:p>
      <w:pPr>
        <w:spacing w:before="69" w:line="222" w:lineRule="auto"/>
        <w:ind w:left="402"/>
        <w:rPr>
          <w:rFonts w:ascii="Times New Roman" w:eastAsia="Times New Roman" w:hAnsi="Times New Roman" w:cs="Times New Roman"/>
          <w:sz w:val="20"/>
          <w:szCs w:val="20"/>
        </w:rPr>
      </w:pPr>
      <w:r>
        <w:rPr>
          <w:rFonts w:ascii="SimHei" w:eastAsia="SimHei" w:hAnsi="SimHei" w:cs="SimHei"/>
          <w:b/>
          <w:bCs/>
          <w:spacing w:val="-3"/>
          <w:sz w:val="20"/>
          <w:szCs w:val="20"/>
        </w:rPr>
        <w:t>审核</w:t>
      </w:r>
      <w:r>
        <w:rPr>
          <w:rFonts w:ascii="SimHei" w:eastAsia="SimHei" w:hAnsi="SimHei" w:cs="SimHei"/>
          <w:spacing w:val="-3"/>
          <w:sz w:val="20"/>
          <w:szCs w:val="20"/>
        </w:rPr>
        <w:t xml:space="preserve">  </w:t>
      </w:r>
      <w:r>
        <w:rPr>
          <w:rFonts w:ascii="Times New Roman" w:eastAsia="Times New Roman" w:hAnsi="Times New Roman" w:cs="Times New Roman"/>
          <w:b/>
          <w:bCs/>
          <w:spacing w:val="-3"/>
          <w:sz w:val="20"/>
          <w:szCs w:val="20"/>
        </w:rPr>
        <w:t>audit</w:t>
      </w:r>
    </w:p>
    <w:p>
      <w:pPr>
        <w:pStyle w:val="BodyText"/>
        <w:spacing w:before="82"/>
        <w:ind w:left="370" w:right="8" w:firstLine="30"/>
        <w:rPr>
          <w:sz w:val="20"/>
          <w:szCs w:val="20"/>
        </w:rPr>
      </w:pPr>
      <w:r>
        <w:rPr>
          <w:spacing w:val="4"/>
          <w:sz w:val="20"/>
          <w:szCs w:val="20"/>
        </w:rPr>
        <w:t>获取与合格评定对象(3.2)有关的信息并进行客观</w:t>
      </w:r>
      <w:r>
        <w:rPr>
          <w:spacing w:val="3"/>
          <w:sz w:val="20"/>
          <w:szCs w:val="20"/>
        </w:rPr>
        <w:t>评价，以确定规定要求(4.1)的满足程度的过程。</w:t>
      </w:r>
      <w:r>
        <w:rPr>
          <w:sz w:val="20"/>
          <w:szCs w:val="20"/>
        </w:rPr>
        <w:t xml:space="preserve"> </w:t>
      </w:r>
      <w:r>
        <w:rPr>
          <w:rFonts w:ascii="SimHei" w:eastAsia="SimHei" w:hAnsi="SimHei" w:cs="SimHei"/>
          <w:spacing w:val="-19"/>
          <w:sz w:val="20"/>
          <w:szCs w:val="20"/>
        </w:rPr>
        <w:t>注1</w:t>
      </w:r>
      <w:r>
        <w:rPr>
          <w:spacing w:val="-19"/>
          <w:sz w:val="20"/>
          <w:szCs w:val="20"/>
        </w:rPr>
        <w:t>:在进行审核之前明确规定要求，以便获取相关信息。</w:t>
      </w:r>
    </w:p>
    <w:p>
      <w:pPr>
        <w:pStyle w:val="BodyText"/>
        <w:spacing w:before="30" w:line="280" w:lineRule="exact"/>
        <w:ind w:left="370"/>
        <w:rPr>
          <w:sz w:val="20"/>
          <w:szCs w:val="20"/>
        </w:rPr>
      </w:pPr>
      <w:r>
        <w:rPr>
          <w:rFonts w:ascii="SimHei" w:eastAsia="SimHei" w:hAnsi="SimHei" w:cs="SimHei"/>
          <w:spacing w:val="-22"/>
          <w:position w:val="5"/>
          <w:sz w:val="20"/>
          <w:szCs w:val="20"/>
        </w:rPr>
        <w:t>注2:</w:t>
      </w:r>
      <w:r>
        <w:rPr>
          <w:spacing w:val="-22"/>
          <w:position w:val="5"/>
          <w:sz w:val="20"/>
          <w:szCs w:val="20"/>
        </w:rPr>
        <w:t>审核对象的例子有管理体系、过程、产</w:t>
      </w:r>
      <w:r>
        <w:rPr>
          <w:spacing w:val="-23"/>
          <w:position w:val="5"/>
          <w:sz w:val="20"/>
          <w:szCs w:val="20"/>
        </w:rPr>
        <w:t>品和服务。</w:t>
      </w:r>
    </w:p>
    <w:p>
      <w:pPr>
        <w:pStyle w:val="BodyText"/>
        <w:spacing w:line="221" w:lineRule="auto"/>
        <w:ind w:left="370"/>
        <w:rPr>
          <w:sz w:val="20"/>
          <w:szCs w:val="20"/>
        </w:rPr>
      </w:pPr>
      <w:r>
        <w:rPr>
          <w:rFonts w:ascii="SimHei" w:eastAsia="SimHei" w:hAnsi="SimHei" w:cs="SimHei"/>
          <w:spacing w:val="-22"/>
          <w:sz w:val="20"/>
          <w:szCs w:val="20"/>
        </w:rPr>
        <w:t>注3:</w:t>
      </w:r>
      <w:r>
        <w:rPr>
          <w:spacing w:val="-22"/>
          <w:sz w:val="20"/>
          <w:szCs w:val="20"/>
        </w:rPr>
        <w:t>以认可为目的的审核过程称为“评审</w:t>
      </w:r>
      <w:r>
        <w:rPr>
          <w:spacing w:val="-23"/>
          <w:sz w:val="20"/>
          <w:szCs w:val="20"/>
        </w:rPr>
        <w:t>”。</w:t>
      </w:r>
    </w:p>
    <w:p>
      <w:pPr>
        <w:pStyle w:val="BodyText"/>
        <w:spacing w:before="102" w:line="182" w:lineRule="auto"/>
        <w:ind w:left="2"/>
        <w:rPr>
          <w:sz w:val="20"/>
          <w:szCs w:val="20"/>
        </w:rPr>
      </w:pPr>
      <w:r>
        <w:rPr>
          <w:b/>
          <w:bCs/>
          <w:spacing w:val="-5"/>
          <w:sz w:val="20"/>
          <w:szCs w:val="20"/>
        </w:rPr>
        <w:t>5.5</w:t>
      </w:r>
    </w:p>
    <w:p>
      <w:pPr>
        <w:spacing w:before="69" w:line="222" w:lineRule="auto"/>
        <w:ind w:left="402"/>
        <w:rPr>
          <w:rFonts w:ascii="Times New Roman" w:eastAsia="Times New Roman" w:hAnsi="Times New Roman" w:cs="Times New Roman"/>
          <w:sz w:val="20"/>
          <w:szCs w:val="20"/>
        </w:rPr>
      </w:pPr>
      <w:r>
        <w:rPr>
          <w:rFonts w:ascii="SimHei" w:eastAsia="SimHei" w:hAnsi="SimHei" w:cs="SimHei"/>
          <w:b/>
          <w:bCs/>
          <w:spacing w:val="-2"/>
          <w:sz w:val="20"/>
          <w:szCs w:val="20"/>
        </w:rPr>
        <w:t>审定</w:t>
      </w:r>
      <w:r>
        <w:rPr>
          <w:rFonts w:ascii="SimHei" w:eastAsia="SimHei" w:hAnsi="SimHei" w:cs="SimHei"/>
          <w:spacing w:val="16"/>
          <w:sz w:val="20"/>
          <w:szCs w:val="20"/>
        </w:rPr>
        <w:t xml:space="preserve">  </w:t>
      </w:r>
      <w:r>
        <w:rPr>
          <w:rFonts w:ascii="Times New Roman" w:eastAsia="Times New Roman" w:hAnsi="Times New Roman" w:cs="Times New Roman"/>
          <w:b/>
          <w:bCs/>
          <w:spacing w:val="-2"/>
          <w:sz w:val="20"/>
          <w:szCs w:val="20"/>
        </w:rPr>
        <w:t>validation</w:t>
      </w:r>
    </w:p>
    <w:p>
      <w:pPr>
        <w:pStyle w:val="BodyText"/>
        <w:spacing w:before="83" w:line="220" w:lineRule="auto"/>
        <w:ind w:left="400"/>
        <w:rPr>
          <w:sz w:val="20"/>
          <w:szCs w:val="20"/>
        </w:rPr>
      </w:pPr>
      <w:r>
        <w:rPr>
          <w:spacing w:val="-2"/>
          <w:sz w:val="20"/>
          <w:szCs w:val="20"/>
        </w:rPr>
        <w:t>确认</w:t>
      </w:r>
    </w:p>
    <w:p>
      <w:pPr>
        <w:pStyle w:val="BodyText"/>
        <w:spacing w:before="51" w:line="248" w:lineRule="auto"/>
        <w:ind w:left="370" w:right="488" w:firstLine="30"/>
        <w:rPr>
          <w:sz w:val="20"/>
          <w:szCs w:val="20"/>
        </w:rPr>
      </w:pPr>
      <w:r>
        <w:rPr>
          <w:spacing w:val="4"/>
          <w:sz w:val="20"/>
          <w:szCs w:val="20"/>
        </w:rPr>
        <w:t>通过提供规定要求(4.1)已得到满足的客观证据，对特定预期用途或应用的合理性予以认定。</w:t>
      </w:r>
      <w:r>
        <w:rPr>
          <w:spacing w:val="16"/>
          <w:sz w:val="20"/>
          <w:szCs w:val="20"/>
        </w:rPr>
        <w:t xml:space="preserve"> </w:t>
      </w:r>
      <w:r>
        <w:rPr>
          <w:spacing w:val="-21"/>
          <w:sz w:val="20"/>
          <w:szCs w:val="20"/>
        </w:rPr>
        <w:t>注：审定能用于认定有关预期用途的宣称中所声明的信息。</w:t>
      </w:r>
    </w:p>
    <w:p>
      <w:pPr>
        <w:pStyle w:val="BodyText"/>
        <w:spacing w:before="102" w:line="183" w:lineRule="auto"/>
        <w:ind w:left="2"/>
        <w:rPr>
          <w:sz w:val="20"/>
          <w:szCs w:val="20"/>
        </w:rPr>
      </w:pPr>
      <w:r>
        <w:rPr>
          <w:b/>
          <w:bCs/>
          <w:spacing w:val="-5"/>
          <w:sz w:val="20"/>
          <w:szCs w:val="20"/>
        </w:rPr>
        <w:t>5.6</w:t>
      </w:r>
    </w:p>
    <w:p>
      <w:pPr>
        <w:pStyle w:val="BodyText"/>
        <w:spacing w:before="80" w:line="223" w:lineRule="auto"/>
        <w:ind w:left="402"/>
        <w:rPr>
          <w:sz w:val="20"/>
          <w:szCs w:val="20"/>
        </w:rPr>
      </w:pPr>
      <w:r>
        <w:rPr>
          <w:rFonts w:ascii="SimHei" w:eastAsia="SimHei" w:hAnsi="SimHei" w:cs="SimHei"/>
          <w:b/>
          <w:bCs/>
          <w:spacing w:val="-17"/>
          <w:sz w:val="20"/>
          <w:szCs w:val="20"/>
        </w:rPr>
        <w:t>核查</w:t>
      </w:r>
      <w:r>
        <w:rPr>
          <w:rFonts w:ascii="SimHei" w:eastAsia="SimHei" w:hAnsi="SimHei" w:cs="SimHei"/>
          <w:spacing w:val="7"/>
          <w:sz w:val="20"/>
          <w:szCs w:val="20"/>
        </w:rPr>
        <w:t xml:space="preserve">  </w:t>
      </w:r>
      <w:r>
        <w:rPr>
          <w:b/>
          <w:bCs/>
          <w:spacing w:val="-17"/>
          <w:sz w:val="20"/>
          <w:szCs w:val="20"/>
        </w:rPr>
        <w:t>verification</w:t>
      </w:r>
    </w:p>
    <w:p>
      <w:pPr>
        <w:pStyle w:val="BodyText"/>
        <w:spacing w:before="87" w:line="224" w:lineRule="auto"/>
        <w:ind w:left="400"/>
        <w:rPr>
          <w:sz w:val="20"/>
          <w:szCs w:val="20"/>
        </w:rPr>
      </w:pPr>
      <w:r>
        <w:rPr>
          <w:spacing w:val="-2"/>
          <w:sz w:val="20"/>
          <w:szCs w:val="20"/>
        </w:rPr>
        <w:t>验证</w:t>
      </w:r>
    </w:p>
    <w:p>
      <w:pPr>
        <w:pStyle w:val="BodyText"/>
        <w:spacing w:before="20" w:line="311" w:lineRule="exact"/>
        <w:ind w:left="400"/>
        <w:rPr>
          <w:sz w:val="20"/>
          <w:szCs w:val="20"/>
        </w:rPr>
      </w:pPr>
      <w:r>
        <w:rPr>
          <w:spacing w:val="3"/>
          <w:position w:val="8"/>
          <w:sz w:val="20"/>
          <w:szCs w:val="20"/>
        </w:rPr>
        <w:t>通过提供规定要求(4.1)已得到满足的客观证</w:t>
      </w:r>
      <w:r>
        <w:rPr>
          <w:spacing w:val="2"/>
          <w:position w:val="8"/>
          <w:sz w:val="20"/>
          <w:szCs w:val="20"/>
        </w:rPr>
        <w:t>据，对真实性予以认定。</w:t>
      </w:r>
    </w:p>
    <w:p>
      <w:pPr>
        <w:pStyle w:val="BodyText"/>
        <w:spacing w:line="219" w:lineRule="auto"/>
        <w:ind w:left="400"/>
        <w:rPr>
          <w:sz w:val="20"/>
          <w:szCs w:val="20"/>
        </w:rPr>
      </w:pPr>
      <w:r>
        <w:rPr>
          <w:spacing w:val="-21"/>
          <w:sz w:val="20"/>
          <w:szCs w:val="20"/>
        </w:rPr>
        <w:t>注：核查能用于认定有关已发生事件或已获取结果的宣称中所声明的信息。</w:t>
      </w:r>
    </w:p>
    <w:p>
      <w:pPr>
        <w:pStyle w:val="BodyText"/>
        <w:spacing w:before="103" w:line="182" w:lineRule="auto"/>
        <w:ind w:left="2"/>
        <w:rPr>
          <w:sz w:val="20"/>
          <w:szCs w:val="20"/>
        </w:rPr>
      </w:pPr>
      <w:r>
        <w:rPr>
          <w:b/>
          <w:bCs/>
          <w:spacing w:val="-5"/>
          <w:sz w:val="20"/>
          <w:szCs w:val="20"/>
        </w:rPr>
        <w:t>5.7</w:t>
      </w:r>
    </w:p>
    <w:p>
      <w:pPr>
        <w:spacing w:before="70" w:line="212" w:lineRule="auto"/>
        <w:ind w:left="402"/>
        <w:rPr>
          <w:rFonts w:ascii="Times New Roman" w:eastAsia="Times New Roman" w:hAnsi="Times New Roman" w:cs="Times New Roman"/>
          <w:sz w:val="20"/>
          <w:szCs w:val="20"/>
        </w:rPr>
      </w:pPr>
      <w:r>
        <w:rPr>
          <w:rFonts w:ascii="SimHei" w:eastAsia="SimHei" w:hAnsi="SimHei" w:cs="SimHei"/>
          <w:b/>
          <w:bCs/>
          <w:spacing w:val="-2"/>
          <w:sz w:val="20"/>
          <w:szCs w:val="20"/>
        </w:rPr>
        <w:t>同行评审</w:t>
      </w:r>
      <w:r>
        <w:rPr>
          <w:rFonts w:ascii="SimHei" w:eastAsia="SimHei" w:hAnsi="SimHei" w:cs="SimHei"/>
          <w:spacing w:val="-2"/>
          <w:sz w:val="20"/>
          <w:szCs w:val="20"/>
        </w:rPr>
        <w:t xml:space="preserve">  </w:t>
      </w:r>
      <w:r>
        <w:rPr>
          <w:rFonts w:ascii="Times New Roman" w:eastAsia="Times New Roman" w:hAnsi="Times New Roman" w:cs="Times New Roman"/>
          <w:b/>
          <w:bCs/>
          <w:spacing w:val="-2"/>
          <w:sz w:val="20"/>
          <w:szCs w:val="20"/>
        </w:rPr>
        <w:t>peer  assessment</w:t>
      </w:r>
    </w:p>
    <w:p>
      <w:pPr>
        <w:pStyle w:val="BodyText"/>
        <w:spacing w:before="101" w:line="239" w:lineRule="auto"/>
        <w:ind w:left="372" w:right="1057" w:firstLine="27"/>
        <w:rPr>
          <w:sz w:val="20"/>
          <w:szCs w:val="20"/>
        </w:rPr>
      </w:pPr>
      <w:r>
        <w:rPr>
          <w:spacing w:val="5"/>
          <w:sz w:val="20"/>
          <w:szCs w:val="20"/>
        </w:rPr>
        <w:t>协议集团(8.10)中其他机构或其候选机构的代表根据规定要求(4.1)对某机构的评审。</w:t>
      </w:r>
      <w:r>
        <w:rPr>
          <w:spacing w:val="4"/>
          <w:sz w:val="20"/>
          <w:szCs w:val="20"/>
        </w:rPr>
        <w:t xml:space="preserve"> </w:t>
      </w:r>
      <w:r>
        <w:rPr>
          <w:b/>
          <w:bCs/>
          <w:spacing w:val="-24"/>
          <w:sz w:val="20"/>
          <w:szCs w:val="20"/>
        </w:rPr>
        <w:t>注1:</w:t>
      </w:r>
      <w:r>
        <w:rPr>
          <w:spacing w:val="-24"/>
          <w:sz w:val="20"/>
          <w:szCs w:val="20"/>
        </w:rPr>
        <w:t>“候选机构”的概念包括正在组建一个新集团的情况，因为此时集团中还没有机构。</w:t>
      </w:r>
    </w:p>
    <w:p>
      <w:pPr>
        <w:pStyle w:val="BodyText"/>
        <w:spacing w:before="22" w:line="628" w:lineRule="exact"/>
        <w:ind w:left="372"/>
        <w:rPr>
          <w:sz w:val="20"/>
          <w:szCs w:val="20"/>
        </w:rPr>
      </w:pPr>
      <w:r>
        <w:rPr>
          <w:rFonts w:ascii="YouYuan" w:eastAsia="YouYuan" w:hAnsi="YouYuan" w:cs="YouYuan"/>
          <w:b/>
          <w:bCs/>
          <w:spacing w:val="-30"/>
          <w:w w:val="98"/>
          <w:position w:val="33"/>
          <w:sz w:val="20"/>
          <w:szCs w:val="20"/>
        </w:rPr>
        <w:t>注2</w:t>
      </w:r>
      <w:r>
        <w:rPr>
          <w:b/>
          <w:bCs/>
          <w:spacing w:val="-30"/>
          <w:w w:val="98"/>
          <w:position w:val="33"/>
          <w:sz w:val="20"/>
          <w:szCs w:val="20"/>
        </w:rPr>
        <w:t>:</w:t>
      </w:r>
      <w:r>
        <w:rPr>
          <w:spacing w:val="-41"/>
          <w:position w:val="33"/>
          <w:sz w:val="20"/>
          <w:szCs w:val="20"/>
        </w:rPr>
        <w:t xml:space="preserve"> </w:t>
      </w:r>
      <w:r>
        <w:rPr>
          <w:spacing w:val="-30"/>
          <w:w w:val="98"/>
          <w:position w:val="33"/>
          <w:sz w:val="20"/>
          <w:szCs w:val="20"/>
        </w:rPr>
        <w:t>有时“同行评审”也称为“同行评价”。</w:t>
      </w:r>
    </w:p>
    <w:p>
      <w:pPr>
        <w:spacing w:before="1" w:line="220" w:lineRule="auto"/>
        <w:ind w:left="2"/>
        <w:rPr>
          <w:rFonts w:ascii="SimHei" w:eastAsia="SimHei" w:hAnsi="SimHei" w:cs="SimHei"/>
          <w:sz w:val="20"/>
          <w:szCs w:val="20"/>
        </w:rPr>
      </w:pPr>
      <w:r>
        <w:rPr>
          <w:rFonts w:ascii="SimHei" w:eastAsia="SimHei" w:hAnsi="SimHei" w:cs="SimHei"/>
          <w:b/>
          <w:bCs/>
          <w:spacing w:val="-2"/>
          <w:sz w:val="20"/>
          <w:szCs w:val="20"/>
        </w:rPr>
        <w:t>6</w:t>
      </w:r>
      <w:r>
        <w:rPr>
          <w:rFonts w:ascii="SimHei" w:eastAsia="SimHei" w:hAnsi="SimHei" w:cs="SimHei"/>
          <w:spacing w:val="109"/>
          <w:sz w:val="20"/>
          <w:szCs w:val="20"/>
        </w:rPr>
        <w:t xml:space="preserve"> </w:t>
      </w:r>
      <w:r>
        <w:rPr>
          <w:rFonts w:ascii="SimHei" w:eastAsia="SimHei" w:hAnsi="SimHei" w:cs="SimHei"/>
          <w:b/>
          <w:bCs/>
          <w:spacing w:val="-2"/>
          <w:sz w:val="20"/>
          <w:szCs w:val="20"/>
        </w:rPr>
        <w:t>关于复核、决定和证明的术语</w:t>
      </w:r>
    </w:p>
    <w:p>
      <w:pPr>
        <w:spacing w:line="346" w:lineRule="auto"/>
        <w:rPr>
          <w:rFonts w:ascii="Arial"/>
          <w:sz w:val="21"/>
        </w:rPr>
        <w:sectPr>
          <w:footerReference w:type="default" r:id="rId15"/>
          <w:pgSz w:w="11910" w:h="16840"/>
          <w:pgMar w:top="1370" w:right="1491" w:bottom="1281" w:left="1239" w:header="0" w:footer="1152" w:gutter="0"/>
          <w:pgNumType w:start="15"/>
          <w:cols w:space="708"/>
        </w:sectPr>
      </w:pPr>
    </w:p>
    <w:p>
      <w:pPr>
        <w:pStyle w:val="BodyText"/>
        <w:spacing w:before="65" w:line="184" w:lineRule="auto"/>
        <w:ind w:left="2"/>
        <w:rPr>
          <w:sz w:val="20"/>
          <w:szCs w:val="20"/>
        </w:rPr>
      </w:pPr>
      <w:r>
        <w:rPr>
          <w:b/>
          <w:bCs/>
          <w:spacing w:val="-5"/>
          <w:sz w:val="20"/>
          <w:szCs w:val="20"/>
        </w:rPr>
        <w:t>6.1</w:t>
      </w:r>
    </w:p>
    <w:p>
      <w:pPr>
        <w:pStyle w:val="BodyText"/>
        <w:spacing w:before="78" w:line="222" w:lineRule="auto"/>
        <w:ind w:left="402"/>
        <w:rPr>
          <w:sz w:val="20"/>
          <w:szCs w:val="20"/>
        </w:rPr>
      </w:pPr>
      <w:r>
        <w:rPr>
          <w:rFonts w:ascii="SimHei" w:eastAsia="SimHei" w:hAnsi="SimHei" w:cs="SimHei"/>
          <w:b/>
          <w:bCs/>
          <w:spacing w:val="-12"/>
          <w:sz w:val="20"/>
          <w:szCs w:val="20"/>
        </w:rPr>
        <w:t>复核</w:t>
      </w:r>
      <w:r>
        <w:rPr>
          <w:rFonts w:ascii="SimHei" w:eastAsia="SimHei" w:hAnsi="SimHei" w:cs="SimHei"/>
          <w:spacing w:val="17"/>
          <w:sz w:val="20"/>
          <w:szCs w:val="20"/>
        </w:rPr>
        <w:t xml:space="preserve">  </w:t>
      </w:r>
      <w:r>
        <w:rPr>
          <w:b/>
          <w:bCs/>
          <w:spacing w:val="-12"/>
          <w:sz w:val="20"/>
          <w:szCs w:val="20"/>
        </w:rPr>
        <w:t>review</w:t>
      </w:r>
    </w:p>
    <w:p>
      <w:pPr>
        <w:pStyle w:val="BodyText"/>
        <w:spacing w:before="64" w:line="261" w:lineRule="auto"/>
        <w:ind w:left="40" w:right="20" w:firstLine="360"/>
        <w:rPr>
          <w:sz w:val="20"/>
          <w:szCs w:val="20"/>
        </w:rPr>
      </w:pPr>
      <w:r>
        <w:rPr>
          <w:spacing w:val="3"/>
          <w:sz w:val="20"/>
          <w:szCs w:val="20"/>
        </w:rPr>
        <w:t>针对合格评定对象(3.2)满足规定要求(4.1)的情况，对选取和确定活动及其结果的适宜性、充分性</w:t>
      </w:r>
      <w:r>
        <w:rPr>
          <w:spacing w:val="12"/>
          <w:sz w:val="20"/>
          <w:szCs w:val="20"/>
        </w:rPr>
        <w:t xml:space="preserve"> </w:t>
      </w:r>
      <w:r>
        <w:rPr>
          <w:spacing w:val="5"/>
          <w:sz w:val="20"/>
          <w:szCs w:val="20"/>
        </w:rPr>
        <w:t>和有效性进行的考虑。</w:t>
      </w:r>
    </w:p>
    <w:p>
      <w:pPr>
        <w:pStyle w:val="BodyText"/>
        <w:spacing w:before="104" w:line="183" w:lineRule="auto"/>
        <w:ind w:left="2"/>
        <w:rPr>
          <w:sz w:val="20"/>
          <w:szCs w:val="20"/>
        </w:rPr>
      </w:pPr>
      <w:r>
        <w:rPr>
          <w:b/>
          <w:bCs/>
          <w:spacing w:val="-5"/>
          <w:sz w:val="20"/>
          <w:szCs w:val="20"/>
        </w:rPr>
        <w:t>6.2</w:t>
      </w:r>
    </w:p>
    <w:p>
      <w:pPr>
        <w:spacing w:before="62" w:line="222" w:lineRule="auto"/>
        <w:ind w:left="400"/>
        <w:rPr>
          <w:rFonts w:ascii="Times New Roman" w:eastAsia="Times New Roman" w:hAnsi="Times New Roman" w:cs="Times New Roman"/>
          <w:sz w:val="20"/>
          <w:szCs w:val="20"/>
        </w:rPr>
      </w:pPr>
      <w:r>
        <w:rPr>
          <w:rFonts w:ascii="SimHei" w:eastAsia="SimHei" w:hAnsi="SimHei" w:cs="SimHei"/>
          <w:spacing w:val="-2"/>
          <w:sz w:val="20"/>
          <w:szCs w:val="20"/>
        </w:rPr>
        <w:t>决定</w:t>
      </w:r>
      <w:r>
        <w:rPr>
          <w:rFonts w:ascii="SimHei" w:eastAsia="SimHei" w:hAnsi="SimHei" w:cs="SimHei"/>
          <w:spacing w:val="21"/>
          <w:sz w:val="20"/>
          <w:szCs w:val="20"/>
        </w:rPr>
        <w:t xml:space="preserve">  </w:t>
      </w:r>
      <w:r>
        <w:rPr>
          <w:rFonts w:ascii="Times New Roman" w:eastAsia="Times New Roman" w:hAnsi="Times New Roman" w:cs="Times New Roman"/>
          <w:spacing w:val="-2"/>
          <w:sz w:val="20"/>
          <w:szCs w:val="20"/>
        </w:rPr>
        <w:t>decision</w:t>
      </w:r>
    </w:p>
    <w:p>
      <w:pPr>
        <w:pStyle w:val="BodyText"/>
        <w:spacing w:before="100" w:line="219" w:lineRule="auto"/>
        <w:ind w:left="400"/>
        <w:rPr>
          <w:sz w:val="20"/>
          <w:szCs w:val="20"/>
        </w:rPr>
      </w:pPr>
      <w:r>
        <w:rPr>
          <w:spacing w:val="5"/>
          <w:sz w:val="20"/>
          <w:szCs w:val="20"/>
        </w:rPr>
        <w:t>根据复核(6.1)结果作出的规定要求(4.1)是</w:t>
      </w:r>
      <w:r>
        <w:rPr>
          <w:spacing w:val="4"/>
          <w:sz w:val="20"/>
          <w:szCs w:val="20"/>
        </w:rPr>
        <w:t>否已证实得到满足的结论。</w:t>
      </w:r>
    </w:p>
    <w:p>
      <w:pPr>
        <w:pStyle w:val="BodyText"/>
        <w:spacing w:before="92" w:line="183" w:lineRule="auto"/>
        <w:ind w:left="2"/>
        <w:rPr>
          <w:sz w:val="20"/>
          <w:szCs w:val="20"/>
        </w:rPr>
      </w:pPr>
      <w:r>
        <w:rPr>
          <w:b/>
          <w:bCs/>
          <w:spacing w:val="-5"/>
          <w:sz w:val="20"/>
          <w:szCs w:val="20"/>
        </w:rPr>
        <w:t>6.3</w:t>
      </w:r>
    </w:p>
    <w:p>
      <w:pPr>
        <w:pStyle w:val="BodyText"/>
        <w:spacing w:before="80" w:line="221" w:lineRule="auto"/>
        <w:ind w:left="400"/>
        <w:rPr>
          <w:sz w:val="20"/>
          <w:szCs w:val="20"/>
        </w:rPr>
      </w:pPr>
      <w:r>
        <w:rPr>
          <w:rFonts w:ascii="SimHei" w:eastAsia="SimHei" w:hAnsi="SimHei" w:cs="SimHei"/>
          <w:spacing w:val="-11"/>
          <w:sz w:val="20"/>
          <w:szCs w:val="20"/>
        </w:rPr>
        <w:t>证明</w:t>
      </w:r>
      <w:r>
        <w:rPr>
          <w:rFonts w:ascii="SimHei" w:eastAsia="SimHei" w:hAnsi="SimHei" w:cs="SimHei"/>
          <w:spacing w:val="83"/>
          <w:sz w:val="20"/>
          <w:szCs w:val="20"/>
        </w:rPr>
        <w:t xml:space="preserve"> </w:t>
      </w:r>
      <w:r>
        <w:rPr>
          <w:spacing w:val="-11"/>
          <w:sz w:val="20"/>
          <w:szCs w:val="20"/>
        </w:rPr>
        <w:t>attestation</w:t>
      </w:r>
    </w:p>
    <w:p>
      <w:pPr>
        <w:pStyle w:val="BodyText"/>
        <w:spacing w:before="81" w:line="219" w:lineRule="auto"/>
        <w:ind w:left="400"/>
        <w:rPr>
          <w:sz w:val="20"/>
          <w:szCs w:val="20"/>
        </w:rPr>
      </w:pPr>
      <w:r>
        <w:rPr>
          <w:spacing w:val="1"/>
          <w:sz w:val="20"/>
          <w:szCs w:val="20"/>
        </w:rPr>
        <w:t>根据决定(6.2)发布陈述，证实规定要求(4.1)已得到满足。</w:t>
      </w:r>
    </w:p>
    <w:p>
      <w:pPr>
        <w:spacing w:line="219" w:lineRule="auto"/>
        <w:rPr>
          <w:sz w:val="20"/>
          <w:szCs w:val="20"/>
        </w:rPr>
        <w:sectPr>
          <w:footerReference w:type="default" r:id="rId16"/>
          <w:type w:val="nextPage"/>
          <w:pgSz w:w="11910" w:h="16840"/>
          <w:pgMar w:top="1370" w:right="1491" w:bottom="1281" w:left="1239" w:header="0" w:footer="1152" w:gutter="0"/>
          <w:pgNumType w:start="16"/>
          <w:cols w:space="708"/>
          <w:titlePg w:val="0"/>
        </w:sectPr>
      </w:pPr>
    </w:p>
    <w:p>
      <w:pPr>
        <w:pStyle w:val="BodyText"/>
        <w:spacing w:before="40" w:line="224" w:lineRule="auto"/>
        <w:jc w:val="right"/>
        <w:rPr>
          <w:sz w:val="20"/>
          <w:szCs w:val="20"/>
        </w:rPr>
      </w:pPr>
      <w:r>
        <w:rPr>
          <w:b/>
          <w:bCs/>
          <w:spacing w:val="-3"/>
          <w:sz w:val="20"/>
          <w:szCs w:val="20"/>
        </w:rPr>
        <w:t>GB/T</w:t>
      </w:r>
      <w:r>
        <w:rPr>
          <w:spacing w:val="22"/>
          <w:sz w:val="20"/>
          <w:szCs w:val="20"/>
        </w:rPr>
        <w:t xml:space="preserve">  </w:t>
      </w:r>
      <w:r>
        <w:rPr>
          <w:b/>
          <w:bCs/>
          <w:spacing w:val="-3"/>
          <w:sz w:val="20"/>
          <w:szCs w:val="20"/>
        </w:rPr>
        <w:t>27000—2023/ISO/IE</w:t>
      </w:r>
      <w:r>
        <w:rPr>
          <w:b/>
          <w:bCs/>
          <w:spacing w:val="-4"/>
          <w:sz w:val="20"/>
          <w:szCs w:val="20"/>
        </w:rPr>
        <w:t>C</w:t>
      </w:r>
      <w:r>
        <w:rPr>
          <w:spacing w:val="29"/>
          <w:sz w:val="20"/>
          <w:szCs w:val="20"/>
        </w:rPr>
        <w:t xml:space="preserve">  </w:t>
      </w:r>
      <w:r>
        <w:rPr>
          <w:b/>
          <w:bCs/>
          <w:spacing w:val="-4"/>
          <w:sz w:val="20"/>
          <w:szCs w:val="20"/>
        </w:rPr>
        <w:t>17000:2020</w:t>
      </w:r>
    </w:p>
    <w:p>
      <w:pPr>
        <w:pStyle w:val="BodyText"/>
        <w:spacing w:before="294" w:line="248" w:lineRule="auto"/>
        <w:ind w:left="859" w:hanging="470"/>
        <w:rPr>
          <w:sz w:val="20"/>
          <w:szCs w:val="20"/>
        </w:rPr>
      </w:pPr>
      <w:r>
        <w:rPr>
          <w:spacing w:val="-24"/>
          <w:sz w:val="20"/>
          <w:szCs w:val="20"/>
        </w:rPr>
        <w:t>注1:本文件中称为“符合性陈</w:t>
      </w:r>
      <w:r>
        <w:rPr>
          <w:spacing w:val="-23"/>
          <w:sz w:val="20"/>
          <w:szCs w:val="20"/>
        </w:rPr>
        <w:t>述”的结论陈述，旨在提供规定要求已得到满足的保证。该保证本身并不足以提供</w:t>
      </w:r>
      <w:r>
        <w:rPr>
          <w:spacing w:val="-9"/>
          <w:sz w:val="20"/>
          <w:szCs w:val="20"/>
        </w:rPr>
        <w:t>合</w:t>
      </w:r>
      <w:r>
        <w:rPr>
          <w:spacing w:val="9"/>
          <w:sz w:val="20"/>
          <w:szCs w:val="20"/>
        </w:rPr>
        <w:t xml:space="preserve"> </w:t>
      </w:r>
      <w:r>
        <w:rPr>
          <w:spacing w:val="-20"/>
          <w:sz w:val="20"/>
          <w:szCs w:val="20"/>
        </w:rPr>
        <w:t>同方面或其他法律方面的担保。</w:t>
      </w:r>
    </w:p>
    <w:p>
      <w:pPr>
        <w:pStyle w:val="BodyText"/>
        <w:spacing w:before="71" w:line="244" w:lineRule="auto"/>
        <w:ind w:left="839" w:hanging="447"/>
        <w:rPr>
          <w:sz w:val="20"/>
          <w:szCs w:val="20"/>
        </w:rPr>
      </w:pPr>
      <w:r>
        <w:rPr>
          <w:b/>
          <w:bCs/>
          <w:spacing w:val="-16"/>
          <w:sz w:val="20"/>
          <w:szCs w:val="20"/>
        </w:rPr>
        <w:t>注2:</w:t>
      </w:r>
      <w:r>
        <w:rPr>
          <w:spacing w:val="-16"/>
          <w:sz w:val="20"/>
          <w:szCs w:val="20"/>
        </w:rPr>
        <w:t>术语声明</w:t>
      </w:r>
      <w:r>
        <w:rPr>
          <w:spacing w:val="-15"/>
          <w:sz w:val="20"/>
          <w:szCs w:val="20"/>
        </w:rPr>
        <w:t>(6.5)、认证(6.6)和认可(6.7)区分了第一方证明和第三</w:t>
      </w:r>
      <w:r>
        <w:rPr>
          <w:spacing w:val="-16"/>
          <w:sz w:val="20"/>
          <w:szCs w:val="20"/>
        </w:rPr>
        <w:t>方证明，但没有适用于第二方证明的相</w:t>
      </w:r>
      <w:r>
        <w:rPr>
          <w:spacing w:val="-9"/>
          <w:sz w:val="20"/>
          <w:szCs w:val="20"/>
        </w:rPr>
        <w:t>应</w:t>
      </w:r>
      <w:r>
        <w:rPr>
          <w:sz w:val="20"/>
          <w:szCs w:val="20"/>
        </w:rPr>
        <w:t xml:space="preserve"> </w:t>
      </w:r>
      <w:r>
        <w:rPr>
          <w:spacing w:val="-14"/>
          <w:sz w:val="20"/>
          <w:szCs w:val="20"/>
        </w:rPr>
        <w:t>术语。</w:t>
      </w:r>
    </w:p>
    <w:p>
      <w:pPr>
        <w:pStyle w:val="BodyText"/>
        <w:spacing w:before="132" w:line="183" w:lineRule="auto"/>
        <w:ind w:left="2"/>
        <w:rPr>
          <w:sz w:val="20"/>
          <w:szCs w:val="20"/>
        </w:rPr>
      </w:pPr>
      <w:r>
        <w:rPr>
          <w:b/>
          <w:bCs/>
          <w:spacing w:val="-5"/>
          <w:sz w:val="20"/>
          <w:szCs w:val="20"/>
        </w:rPr>
        <w:t>6.4</w:t>
      </w:r>
    </w:p>
    <w:p>
      <w:pPr>
        <w:spacing w:before="99" w:line="212" w:lineRule="auto"/>
        <w:ind w:left="439"/>
        <w:rPr>
          <w:rFonts w:ascii="Times New Roman" w:eastAsia="Times New Roman" w:hAnsi="Times New Roman" w:cs="Times New Roman"/>
          <w:sz w:val="20"/>
          <w:szCs w:val="20"/>
        </w:rPr>
      </w:pPr>
      <w:r>
        <w:rPr>
          <w:rFonts w:ascii="SimHei" w:eastAsia="SimHei" w:hAnsi="SimHei" w:cs="SimHei"/>
          <w:spacing w:val="-1"/>
          <w:sz w:val="20"/>
          <w:szCs w:val="20"/>
        </w:rPr>
        <w:t>证明范围</w:t>
      </w:r>
      <w:r>
        <w:rPr>
          <w:rFonts w:ascii="SimHei" w:eastAsia="SimHei" w:hAnsi="SimHei" w:cs="SimHei"/>
          <w:spacing w:val="-1"/>
          <w:sz w:val="20"/>
          <w:szCs w:val="20"/>
        </w:rPr>
        <w:t xml:space="preserve">  </w:t>
      </w:r>
      <w:r>
        <w:rPr>
          <w:rFonts w:ascii="Times New Roman" w:eastAsia="Times New Roman" w:hAnsi="Times New Roman" w:cs="Times New Roman"/>
          <w:spacing w:val="-1"/>
          <w:sz w:val="20"/>
          <w:szCs w:val="20"/>
        </w:rPr>
        <w:t>scope</w:t>
      </w:r>
      <w:r>
        <w:rPr>
          <w:rFonts w:ascii="Times New Roman" w:eastAsia="Times New Roman" w:hAnsi="Times New Roman" w:cs="Times New Roman"/>
          <w:spacing w:val="29"/>
          <w:w w:val="101"/>
          <w:sz w:val="20"/>
          <w:szCs w:val="20"/>
        </w:rPr>
        <w:t xml:space="preserve">  </w:t>
      </w:r>
      <w:r>
        <w:rPr>
          <w:rFonts w:ascii="Times New Roman" w:eastAsia="Times New Roman" w:hAnsi="Times New Roman" w:cs="Times New Roman"/>
          <w:spacing w:val="-1"/>
          <w:sz w:val="20"/>
          <w:szCs w:val="20"/>
        </w:rPr>
        <w:t>of</w:t>
      </w:r>
      <w:r>
        <w:rPr>
          <w:rFonts w:ascii="Times New Roman" w:eastAsia="Times New Roman" w:hAnsi="Times New Roman" w:cs="Times New Roman"/>
          <w:spacing w:val="10"/>
          <w:sz w:val="20"/>
          <w:szCs w:val="20"/>
        </w:rPr>
        <w:t xml:space="preserve">  </w:t>
      </w:r>
      <w:r>
        <w:rPr>
          <w:rFonts w:ascii="Times New Roman" w:eastAsia="Times New Roman" w:hAnsi="Times New Roman" w:cs="Times New Roman"/>
          <w:spacing w:val="-1"/>
          <w:sz w:val="20"/>
          <w:szCs w:val="20"/>
        </w:rPr>
        <w:t>attestation</w:t>
      </w:r>
    </w:p>
    <w:p>
      <w:pPr>
        <w:pStyle w:val="BodyText"/>
        <w:spacing w:before="102" w:line="362" w:lineRule="exact"/>
        <w:ind w:left="439"/>
        <w:rPr>
          <w:sz w:val="20"/>
          <w:szCs w:val="20"/>
        </w:rPr>
      </w:pPr>
      <w:r>
        <w:rPr>
          <w:spacing w:val="3"/>
          <w:position w:val="12"/>
          <w:sz w:val="20"/>
          <w:szCs w:val="20"/>
        </w:rPr>
        <w:t>证明(6.3)所覆盖的合格评定对象(3.2</w:t>
      </w:r>
      <w:r>
        <w:rPr>
          <w:spacing w:val="2"/>
          <w:position w:val="12"/>
          <w:sz w:val="20"/>
          <w:szCs w:val="20"/>
        </w:rPr>
        <w:t>)的范围或特性。</w:t>
      </w:r>
    </w:p>
    <w:p>
      <w:pPr>
        <w:pStyle w:val="BodyText"/>
        <w:spacing w:line="183" w:lineRule="auto"/>
        <w:rPr>
          <w:sz w:val="20"/>
          <w:szCs w:val="20"/>
        </w:rPr>
      </w:pPr>
      <w:r>
        <w:rPr>
          <w:spacing w:val="-3"/>
          <w:sz w:val="20"/>
          <w:szCs w:val="20"/>
        </w:rPr>
        <w:t>6.5</w:t>
      </w:r>
    </w:p>
    <w:p>
      <w:pPr>
        <w:spacing w:before="88" w:line="332" w:lineRule="exact"/>
        <w:ind w:left="439"/>
        <w:rPr>
          <w:rFonts w:ascii="Times New Roman" w:eastAsia="Times New Roman" w:hAnsi="Times New Roman" w:cs="Times New Roman"/>
          <w:sz w:val="20"/>
          <w:szCs w:val="20"/>
        </w:rPr>
      </w:pPr>
      <w:r>
        <w:rPr>
          <w:rFonts w:ascii="SimHei" w:eastAsia="SimHei" w:hAnsi="SimHei" w:cs="SimHei"/>
          <w:spacing w:val="-2"/>
          <w:position w:val="9"/>
          <w:sz w:val="20"/>
          <w:szCs w:val="20"/>
        </w:rPr>
        <w:t>声明</w:t>
      </w:r>
      <w:r>
        <w:rPr>
          <w:rFonts w:ascii="SimHei" w:eastAsia="SimHei" w:hAnsi="SimHei" w:cs="SimHei"/>
          <w:spacing w:val="-2"/>
          <w:position w:val="9"/>
          <w:sz w:val="20"/>
          <w:szCs w:val="20"/>
        </w:rPr>
        <w:t xml:space="preserve">  </w:t>
      </w:r>
      <w:r>
        <w:rPr>
          <w:rFonts w:ascii="Times New Roman" w:eastAsia="Times New Roman" w:hAnsi="Times New Roman" w:cs="Times New Roman"/>
          <w:spacing w:val="-2"/>
          <w:position w:val="9"/>
          <w:sz w:val="20"/>
          <w:szCs w:val="20"/>
        </w:rPr>
        <w:t>declaration</w:t>
      </w:r>
    </w:p>
    <w:p>
      <w:pPr>
        <w:pStyle w:val="BodyText"/>
        <w:spacing w:line="219" w:lineRule="auto"/>
        <w:ind w:left="439"/>
        <w:rPr>
          <w:sz w:val="20"/>
          <w:szCs w:val="20"/>
        </w:rPr>
      </w:pPr>
      <w:r>
        <w:rPr>
          <w:sz w:val="20"/>
          <w:szCs w:val="20"/>
        </w:rPr>
        <w:t>第一方证明(6.3)。</w:t>
      </w:r>
    </w:p>
    <w:p>
      <w:pPr>
        <w:pStyle w:val="BodyText"/>
        <w:spacing w:before="122" w:line="183" w:lineRule="auto"/>
        <w:ind w:left="2"/>
        <w:rPr>
          <w:sz w:val="20"/>
          <w:szCs w:val="20"/>
        </w:rPr>
      </w:pPr>
      <w:r>
        <w:rPr>
          <w:b/>
          <w:bCs/>
          <w:spacing w:val="-5"/>
          <w:sz w:val="20"/>
          <w:szCs w:val="20"/>
        </w:rPr>
        <w:t>6.6</w:t>
      </w:r>
    </w:p>
    <w:p>
      <w:pPr>
        <w:pStyle w:val="BodyText"/>
        <w:spacing w:before="91" w:line="221" w:lineRule="auto"/>
        <w:ind w:left="442"/>
        <w:rPr>
          <w:rFonts w:ascii="Times New Roman" w:eastAsia="Times New Roman" w:hAnsi="Times New Roman" w:cs="Times New Roman"/>
          <w:sz w:val="20"/>
          <w:szCs w:val="20"/>
        </w:rPr>
      </w:pPr>
      <w:r>
        <w:rPr>
          <w:b/>
          <w:bCs/>
          <w:spacing w:val="-2"/>
          <w:sz w:val="20"/>
          <w:szCs w:val="20"/>
        </w:rPr>
        <w:t>认证</w:t>
      </w:r>
      <w:r>
        <w:rPr>
          <w:spacing w:val="104"/>
          <w:sz w:val="20"/>
          <w:szCs w:val="20"/>
        </w:rPr>
        <w:t xml:space="preserve"> </w:t>
      </w:r>
      <w:r>
        <w:rPr>
          <w:rFonts w:ascii="Times New Roman" w:eastAsia="Times New Roman" w:hAnsi="Times New Roman" w:cs="Times New Roman"/>
          <w:b/>
          <w:bCs/>
          <w:spacing w:val="-2"/>
          <w:sz w:val="20"/>
          <w:szCs w:val="20"/>
        </w:rPr>
        <w:t>certification</w:t>
      </w:r>
    </w:p>
    <w:p>
      <w:pPr>
        <w:pStyle w:val="BodyText"/>
        <w:spacing w:before="100" w:line="216" w:lineRule="auto"/>
        <w:ind w:left="439"/>
        <w:rPr>
          <w:sz w:val="20"/>
          <w:szCs w:val="20"/>
        </w:rPr>
      </w:pPr>
      <w:r>
        <w:rPr>
          <w:spacing w:val="2"/>
          <w:sz w:val="20"/>
          <w:szCs w:val="20"/>
        </w:rPr>
        <w:t>与合格评定对象(3.2)有关的第三方证明(6.3),认可(6.7)除外。</w:t>
      </w:r>
    </w:p>
    <w:p>
      <w:pPr>
        <w:pStyle w:val="BodyText"/>
        <w:spacing w:before="128" w:line="183" w:lineRule="auto"/>
        <w:ind w:left="2"/>
        <w:rPr>
          <w:sz w:val="20"/>
          <w:szCs w:val="20"/>
        </w:rPr>
      </w:pPr>
      <w:r>
        <w:rPr>
          <w:b/>
          <w:bCs/>
          <w:spacing w:val="-5"/>
          <w:sz w:val="20"/>
          <w:szCs w:val="20"/>
        </w:rPr>
        <w:t>6.7</w:t>
      </w:r>
    </w:p>
    <w:p>
      <w:pPr>
        <w:pStyle w:val="BodyText"/>
        <w:spacing w:before="80" w:line="221" w:lineRule="auto"/>
        <w:ind w:left="442"/>
        <w:rPr>
          <w:rFonts w:ascii="Times New Roman" w:eastAsia="Times New Roman" w:hAnsi="Times New Roman" w:cs="Times New Roman"/>
          <w:sz w:val="20"/>
          <w:szCs w:val="20"/>
        </w:rPr>
      </w:pPr>
      <w:r>
        <w:rPr>
          <w:b/>
          <w:bCs/>
          <w:spacing w:val="-1"/>
          <w:sz w:val="20"/>
          <w:szCs w:val="20"/>
        </w:rPr>
        <w:t>认可</w:t>
      </w:r>
      <w:r>
        <w:rPr>
          <w:spacing w:val="-1"/>
          <w:sz w:val="20"/>
          <w:szCs w:val="20"/>
        </w:rPr>
        <w:t xml:space="preserve">  </w:t>
      </w:r>
      <w:r>
        <w:rPr>
          <w:rFonts w:ascii="Times New Roman" w:eastAsia="Times New Roman" w:hAnsi="Times New Roman" w:cs="Times New Roman"/>
          <w:b/>
          <w:bCs/>
          <w:spacing w:val="-1"/>
          <w:sz w:val="20"/>
          <w:szCs w:val="20"/>
        </w:rPr>
        <w:t>accreditation</w:t>
      </w:r>
    </w:p>
    <w:p>
      <w:pPr>
        <w:pStyle w:val="BodyText"/>
        <w:spacing w:before="112" w:line="253" w:lineRule="auto"/>
        <w:ind w:firstLine="439"/>
        <w:rPr>
          <w:sz w:val="20"/>
          <w:szCs w:val="20"/>
        </w:rPr>
      </w:pPr>
      <w:r>
        <w:rPr>
          <w:spacing w:val="8"/>
          <w:sz w:val="20"/>
          <w:szCs w:val="20"/>
        </w:rPr>
        <w:t>正式表明合格评定机构(3.6)具备实施特定合格评定活动的能力、公正性(4.3)和一致运作的第三</w:t>
      </w:r>
      <w:r>
        <w:rPr>
          <w:spacing w:val="10"/>
          <w:sz w:val="20"/>
          <w:szCs w:val="20"/>
        </w:rPr>
        <w:t xml:space="preserve"> </w:t>
      </w:r>
      <w:r>
        <w:rPr>
          <w:spacing w:val="-3"/>
          <w:sz w:val="20"/>
          <w:szCs w:val="20"/>
        </w:rPr>
        <w:t>方证明(6.3)。</w:t>
      </w:r>
    </w:p>
    <w:p>
      <w:pPr>
        <w:spacing w:line="340" w:lineRule="auto"/>
        <w:rPr>
          <w:rFonts w:ascii="Arial"/>
          <w:sz w:val="21"/>
        </w:rPr>
      </w:pPr>
    </w:p>
    <w:p>
      <w:pPr>
        <w:spacing w:before="66" w:line="221" w:lineRule="auto"/>
        <w:ind w:left="2"/>
        <w:rPr>
          <w:rFonts w:ascii="SimHei" w:eastAsia="SimHei" w:hAnsi="SimHei" w:cs="SimHei"/>
          <w:sz w:val="20"/>
          <w:szCs w:val="20"/>
        </w:rPr>
      </w:pPr>
      <w:r>
        <w:rPr>
          <w:rFonts w:ascii="SimHei" w:eastAsia="SimHei" w:hAnsi="SimHei" w:cs="SimHei"/>
          <w:b/>
          <w:bCs/>
          <w:spacing w:val="4"/>
          <w:sz w:val="20"/>
          <w:szCs w:val="20"/>
        </w:rPr>
        <w:t>7</w:t>
      </w:r>
      <w:r>
        <w:rPr>
          <w:rFonts w:ascii="SimHei" w:eastAsia="SimHei" w:hAnsi="SimHei" w:cs="SimHei"/>
          <w:spacing w:val="4"/>
          <w:sz w:val="20"/>
          <w:szCs w:val="20"/>
        </w:rPr>
        <w:t xml:space="preserve">  </w:t>
      </w:r>
      <w:r>
        <w:rPr>
          <w:rFonts w:ascii="SimHei" w:eastAsia="SimHei" w:hAnsi="SimHei" w:cs="SimHei"/>
          <w:b/>
          <w:bCs/>
          <w:spacing w:val="4"/>
          <w:sz w:val="20"/>
          <w:szCs w:val="20"/>
        </w:rPr>
        <w:t>关于监督的术语</w:t>
      </w:r>
    </w:p>
    <w:p>
      <w:pPr>
        <w:spacing w:line="427" w:lineRule="auto"/>
        <w:rPr>
          <w:rFonts w:ascii="Arial"/>
          <w:sz w:val="21"/>
        </w:rPr>
      </w:pPr>
    </w:p>
    <w:p>
      <w:pPr>
        <w:pStyle w:val="BodyText"/>
        <w:spacing w:before="52" w:line="184" w:lineRule="auto"/>
        <w:ind w:left="2"/>
        <w:rPr>
          <w:sz w:val="16"/>
          <w:szCs w:val="16"/>
        </w:rPr>
      </w:pPr>
      <w:r>
        <w:rPr>
          <w:b/>
          <w:bCs/>
          <w:spacing w:val="-4"/>
          <w:sz w:val="16"/>
          <w:szCs w:val="16"/>
        </w:rPr>
        <w:t>7.1</w:t>
      </w:r>
    </w:p>
    <w:p>
      <w:pPr>
        <w:spacing w:before="102" w:line="221" w:lineRule="auto"/>
        <w:ind w:left="439"/>
        <w:rPr>
          <w:rFonts w:ascii="Times New Roman" w:eastAsia="Times New Roman" w:hAnsi="Times New Roman" w:cs="Times New Roman"/>
          <w:sz w:val="20"/>
          <w:szCs w:val="20"/>
        </w:rPr>
      </w:pPr>
      <w:r>
        <w:rPr>
          <w:rFonts w:ascii="SimHei" w:eastAsia="SimHei" w:hAnsi="SimHei" w:cs="SimHei"/>
          <w:spacing w:val="-2"/>
          <w:sz w:val="20"/>
          <w:szCs w:val="20"/>
        </w:rPr>
        <w:t>监督</w:t>
      </w:r>
      <w:r>
        <w:rPr>
          <w:rFonts w:ascii="SimHei" w:eastAsia="SimHei" w:hAnsi="SimHei" w:cs="SimHei"/>
          <w:spacing w:val="107"/>
          <w:sz w:val="20"/>
          <w:szCs w:val="20"/>
        </w:rPr>
        <w:t xml:space="preserve"> </w:t>
      </w:r>
      <w:r>
        <w:rPr>
          <w:rFonts w:ascii="Times New Roman" w:eastAsia="Times New Roman" w:hAnsi="Times New Roman" w:cs="Times New Roman"/>
          <w:spacing w:val="-2"/>
          <w:sz w:val="20"/>
          <w:szCs w:val="20"/>
        </w:rPr>
        <w:t>surveillance</w:t>
      </w:r>
    </w:p>
    <w:p>
      <w:pPr>
        <w:pStyle w:val="BodyText"/>
        <w:spacing w:before="91" w:line="219" w:lineRule="auto"/>
        <w:ind w:left="439"/>
        <w:rPr>
          <w:sz w:val="20"/>
          <w:szCs w:val="20"/>
        </w:rPr>
      </w:pPr>
      <w:r>
        <w:rPr>
          <w:spacing w:val="3"/>
          <w:sz w:val="20"/>
          <w:szCs w:val="20"/>
        </w:rPr>
        <w:t>合格评定活动的系统性重复，是保持符合性陈述有效性的基础。</w:t>
      </w:r>
    </w:p>
    <w:p>
      <w:pPr>
        <w:pStyle w:val="BodyText"/>
        <w:spacing w:before="124" w:line="183" w:lineRule="auto"/>
        <w:ind w:left="2"/>
        <w:rPr>
          <w:sz w:val="20"/>
          <w:szCs w:val="20"/>
        </w:rPr>
      </w:pPr>
      <w:r>
        <w:rPr>
          <w:b/>
          <w:bCs/>
          <w:spacing w:val="-5"/>
          <w:sz w:val="20"/>
          <w:szCs w:val="20"/>
        </w:rPr>
        <w:t>7.2</w:t>
      </w:r>
    </w:p>
    <w:p>
      <w:pPr>
        <w:spacing w:before="99" w:line="212" w:lineRule="auto"/>
        <w:ind w:left="442"/>
        <w:rPr>
          <w:rFonts w:ascii="Times New Roman" w:eastAsia="Times New Roman" w:hAnsi="Times New Roman" w:cs="Times New Roman"/>
          <w:sz w:val="20"/>
          <w:szCs w:val="20"/>
        </w:rPr>
      </w:pPr>
      <w:r>
        <w:rPr>
          <w:rFonts w:ascii="SimHei" w:eastAsia="SimHei" w:hAnsi="SimHei" w:cs="SimHei"/>
          <w:b/>
          <w:bCs/>
          <w:spacing w:val="-3"/>
          <w:sz w:val="20"/>
          <w:szCs w:val="20"/>
        </w:rPr>
        <w:t>暂停</w:t>
      </w:r>
      <w:r>
        <w:rPr>
          <w:rFonts w:ascii="SimHei" w:eastAsia="SimHei" w:hAnsi="SimHei" w:cs="SimHei"/>
          <w:spacing w:val="10"/>
          <w:sz w:val="20"/>
          <w:szCs w:val="20"/>
        </w:rPr>
        <w:t xml:space="preserve">  </w:t>
      </w:r>
      <w:r>
        <w:rPr>
          <w:rFonts w:ascii="Times New Roman" w:eastAsia="Times New Roman" w:hAnsi="Times New Roman" w:cs="Times New Roman"/>
          <w:b/>
          <w:bCs/>
          <w:spacing w:val="-3"/>
          <w:sz w:val="20"/>
          <w:szCs w:val="20"/>
        </w:rPr>
        <w:t>suspension</w:t>
      </w:r>
    </w:p>
    <w:p>
      <w:pPr>
        <w:pStyle w:val="BodyText"/>
        <w:spacing w:before="102" w:line="298" w:lineRule="exact"/>
        <w:ind w:left="439"/>
        <w:rPr>
          <w:sz w:val="20"/>
          <w:szCs w:val="20"/>
        </w:rPr>
      </w:pPr>
      <w:r>
        <w:rPr>
          <w:spacing w:val="6"/>
          <w:position w:val="7"/>
          <w:sz w:val="20"/>
          <w:szCs w:val="20"/>
        </w:rPr>
        <w:t>签发陈述的机构对全部或部分指定的证明范围(6.4)符合性陈述的临时限制。</w:t>
      </w:r>
    </w:p>
    <w:p>
      <w:pPr>
        <w:pStyle w:val="BodyText"/>
        <w:spacing w:line="221" w:lineRule="auto"/>
        <w:ind w:left="392"/>
        <w:rPr>
          <w:sz w:val="20"/>
          <w:szCs w:val="20"/>
        </w:rPr>
      </w:pPr>
      <w:r>
        <w:rPr>
          <w:rFonts w:ascii="SimHei" w:eastAsia="SimHei" w:hAnsi="SimHei" w:cs="SimHei"/>
          <w:b/>
          <w:bCs/>
          <w:spacing w:val="-23"/>
          <w:sz w:val="20"/>
          <w:szCs w:val="20"/>
        </w:rPr>
        <w:t>示例</w:t>
      </w:r>
      <w:r>
        <w:rPr>
          <w:rFonts w:ascii="SimHei" w:eastAsia="SimHei" w:hAnsi="SimHei" w:cs="SimHei"/>
          <w:spacing w:val="-27"/>
          <w:sz w:val="20"/>
          <w:szCs w:val="20"/>
        </w:rPr>
        <w:t xml:space="preserve"> </w:t>
      </w:r>
      <w:r>
        <w:rPr>
          <w:spacing w:val="-23"/>
          <w:sz w:val="20"/>
          <w:szCs w:val="20"/>
        </w:rPr>
        <w:t>1:由于规定要求(4.1)不再满足，签发机构暂停符合性陈述。</w:t>
      </w:r>
    </w:p>
    <w:p>
      <w:pPr>
        <w:pStyle w:val="BodyText"/>
        <w:spacing w:before="70" w:line="222" w:lineRule="auto"/>
        <w:ind w:left="392"/>
        <w:rPr>
          <w:sz w:val="20"/>
          <w:szCs w:val="20"/>
        </w:rPr>
      </w:pPr>
      <w:r>
        <w:rPr>
          <w:rFonts w:ascii="SimHei" w:eastAsia="SimHei" w:hAnsi="SimHei" w:cs="SimHei"/>
          <w:b/>
          <w:bCs/>
          <w:spacing w:val="-18"/>
          <w:sz w:val="20"/>
          <w:szCs w:val="20"/>
        </w:rPr>
        <w:t>示例2:</w:t>
      </w:r>
      <w:r>
        <w:rPr>
          <w:spacing w:val="-18"/>
          <w:sz w:val="20"/>
          <w:szCs w:val="20"/>
        </w:rPr>
        <w:t>签发机构的客户主动要求暂停符合性陈述。</w:t>
      </w:r>
    </w:p>
    <w:p>
      <w:pPr>
        <w:pStyle w:val="BodyText"/>
        <w:spacing w:before="60" w:line="373" w:lineRule="exact"/>
        <w:ind w:left="392"/>
        <w:rPr>
          <w:sz w:val="20"/>
          <w:szCs w:val="20"/>
        </w:rPr>
      </w:pPr>
      <w:r>
        <w:rPr>
          <w:rFonts w:ascii="SimHei" w:eastAsia="SimHei" w:hAnsi="SimHei" w:cs="SimHei"/>
          <w:b/>
          <w:bCs/>
          <w:spacing w:val="-21"/>
          <w:position w:val="13"/>
          <w:sz w:val="20"/>
          <w:szCs w:val="20"/>
        </w:rPr>
        <w:t>示例</w:t>
      </w:r>
      <w:r>
        <w:rPr>
          <w:rFonts w:ascii="SimHei" w:eastAsia="SimHei" w:hAnsi="SimHei" w:cs="SimHei"/>
          <w:spacing w:val="-29"/>
          <w:position w:val="13"/>
          <w:sz w:val="20"/>
          <w:szCs w:val="20"/>
        </w:rPr>
        <w:t xml:space="preserve"> </w:t>
      </w:r>
      <w:r>
        <w:rPr>
          <w:b/>
          <w:bCs/>
          <w:spacing w:val="-21"/>
          <w:position w:val="13"/>
          <w:sz w:val="20"/>
          <w:szCs w:val="20"/>
        </w:rPr>
        <w:t>3</w:t>
      </w:r>
      <w:r>
        <w:rPr>
          <w:spacing w:val="-21"/>
          <w:position w:val="13"/>
          <w:sz w:val="20"/>
          <w:szCs w:val="20"/>
        </w:rPr>
        <w:t>:签发机构由于临时停止该类合格评定活动而暂停符合性陈述。</w:t>
      </w:r>
    </w:p>
    <w:p>
      <w:pPr>
        <w:pStyle w:val="BodyText"/>
        <w:spacing w:line="183" w:lineRule="auto"/>
        <w:ind w:left="2"/>
        <w:rPr>
          <w:sz w:val="20"/>
          <w:szCs w:val="20"/>
        </w:rPr>
      </w:pPr>
      <w:r>
        <w:rPr>
          <w:b/>
          <w:bCs/>
          <w:spacing w:val="-5"/>
          <w:sz w:val="20"/>
          <w:szCs w:val="20"/>
        </w:rPr>
        <w:t>7.3</w:t>
      </w:r>
    </w:p>
    <w:p>
      <w:pPr>
        <w:pStyle w:val="BodyText"/>
        <w:spacing w:before="92" w:line="224" w:lineRule="auto"/>
        <w:ind w:left="442"/>
        <w:rPr>
          <w:sz w:val="20"/>
          <w:szCs w:val="20"/>
        </w:rPr>
      </w:pPr>
      <w:r>
        <w:rPr>
          <w:rFonts w:ascii="SimHei" w:eastAsia="SimHei" w:hAnsi="SimHei" w:cs="SimHei"/>
          <w:b/>
          <w:bCs/>
          <w:spacing w:val="-3"/>
          <w:sz w:val="20"/>
          <w:szCs w:val="20"/>
        </w:rPr>
        <w:t>撤销</w:t>
      </w:r>
      <w:r>
        <w:rPr>
          <w:rFonts w:ascii="SimHei" w:eastAsia="SimHei" w:hAnsi="SimHei" w:cs="SimHei"/>
          <w:spacing w:val="9"/>
          <w:sz w:val="20"/>
          <w:szCs w:val="20"/>
        </w:rPr>
        <w:t xml:space="preserve">  </w:t>
      </w:r>
      <w:r>
        <w:rPr>
          <w:b/>
          <w:bCs/>
          <w:spacing w:val="-3"/>
          <w:sz w:val="20"/>
          <w:szCs w:val="20"/>
        </w:rPr>
        <w:t>withdrawal</w:t>
      </w:r>
    </w:p>
    <w:p>
      <w:pPr>
        <w:pStyle w:val="BodyText"/>
        <w:spacing w:before="88" w:line="221" w:lineRule="auto"/>
        <w:ind w:left="439"/>
        <w:rPr>
          <w:rFonts w:ascii="Times New Roman" w:eastAsia="Times New Roman" w:hAnsi="Times New Roman" w:cs="Times New Roman"/>
          <w:sz w:val="20"/>
          <w:szCs w:val="20"/>
        </w:rPr>
      </w:pPr>
      <w:r>
        <w:rPr>
          <w:spacing w:val="-1"/>
          <w:sz w:val="20"/>
          <w:szCs w:val="20"/>
        </w:rPr>
        <w:t xml:space="preserve">注销  </w:t>
      </w:r>
      <w:r>
        <w:rPr>
          <w:rFonts w:ascii="Times New Roman" w:eastAsia="Times New Roman" w:hAnsi="Times New Roman" w:cs="Times New Roman"/>
          <w:spacing w:val="-1"/>
          <w:sz w:val="20"/>
          <w:szCs w:val="20"/>
        </w:rPr>
        <w:t>cancellation</w:t>
      </w:r>
    </w:p>
    <w:p>
      <w:pPr>
        <w:pStyle w:val="BodyText"/>
        <w:spacing w:before="89" w:line="219" w:lineRule="auto"/>
        <w:ind w:left="439"/>
        <w:rPr>
          <w:sz w:val="20"/>
          <w:szCs w:val="20"/>
        </w:rPr>
        <w:sectPr>
          <w:footerReference w:type="default" r:id="rId17"/>
          <w:pgSz w:w="11910" w:h="16840"/>
          <w:pgMar w:top="1370" w:right="1292" w:bottom="1277" w:left="1390" w:header="0" w:footer="1139" w:gutter="0"/>
          <w:pgNumType w:start="17"/>
          <w:cols w:space="708"/>
        </w:sectPr>
      </w:pPr>
      <w:r>
        <w:rPr>
          <w:spacing w:val="6"/>
          <w:sz w:val="20"/>
          <w:szCs w:val="20"/>
        </w:rPr>
        <w:t>签发陈述的机构对符合性陈述的废止。</w:t>
      </w:r>
    </w:p>
    <w:p>
      <w:pPr>
        <w:pStyle w:val="BodyText"/>
        <w:spacing w:before="60" w:line="300" w:lineRule="exact"/>
        <w:ind w:left="392"/>
        <w:rPr>
          <w:sz w:val="20"/>
          <w:szCs w:val="20"/>
        </w:rPr>
      </w:pPr>
      <w:r>
        <w:rPr>
          <w:rFonts w:ascii="SimHei" w:eastAsia="SimHei" w:hAnsi="SimHei" w:cs="SimHei"/>
          <w:b/>
          <w:bCs/>
          <w:spacing w:val="-23"/>
          <w:position w:val="7"/>
          <w:sz w:val="20"/>
          <w:szCs w:val="20"/>
        </w:rPr>
        <w:t>示例</w:t>
      </w:r>
      <w:r>
        <w:rPr>
          <w:rFonts w:ascii="SimHei" w:eastAsia="SimHei" w:hAnsi="SimHei" w:cs="SimHei"/>
          <w:spacing w:val="-27"/>
          <w:position w:val="7"/>
          <w:sz w:val="20"/>
          <w:szCs w:val="20"/>
        </w:rPr>
        <w:t xml:space="preserve"> </w:t>
      </w:r>
      <w:r>
        <w:rPr>
          <w:spacing w:val="-23"/>
          <w:position w:val="7"/>
          <w:sz w:val="20"/>
          <w:szCs w:val="20"/>
        </w:rPr>
        <w:t>1:由于规定要求(4.1)不再满足，签发机构撤销符合性陈述。</w:t>
      </w:r>
    </w:p>
    <w:p>
      <w:pPr>
        <w:pStyle w:val="BodyText"/>
        <w:spacing w:before="1" w:line="221" w:lineRule="auto"/>
        <w:ind w:left="392"/>
        <w:rPr>
          <w:sz w:val="20"/>
          <w:szCs w:val="20"/>
        </w:rPr>
      </w:pPr>
      <w:r>
        <w:rPr>
          <w:rFonts w:ascii="SimHei" w:eastAsia="SimHei" w:hAnsi="SimHei" w:cs="SimHei"/>
          <w:b/>
          <w:bCs/>
          <w:spacing w:val="-18"/>
          <w:sz w:val="20"/>
          <w:szCs w:val="20"/>
        </w:rPr>
        <w:t>示例2</w:t>
      </w:r>
      <w:r>
        <w:rPr>
          <w:b/>
          <w:bCs/>
          <w:spacing w:val="-18"/>
          <w:sz w:val="20"/>
          <w:szCs w:val="20"/>
        </w:rPr>
        <w:t>:</w:t>
      </w:r>
      <w:r>
        <w:rPr>
          <w:spacing w:val="-18"/>
          <w:sz w:val="20"/>
          <w:szCs w:val="20"/>
        </w:rPr>
        <w:t>签发机构的客户主动要求撤销符合性陈述。</w:t>
      </w:r>
    </w:p>
    <w:p>
      <w:pPr>
        <w:pStyle w:val="BodyText"/>
        <w:spacing w:before="72" w:line="222" w:lineRule="auto"/>
        <w:ind w:left="389"/>
        <w:rPr>
          <w:sz w:val="20"/>
          <w:szCs w:val="20"/>
        </w:rPr>
      </w:pPr>
      <w:r>
        <w:rPr>
          <w:rFonts w:ascii="SimHei" w:eastAsia="SimHei" w:hAnsi="SimHei" w:cs="SimHei"/>
          <w:spacing w:val="-20"/>
          <w:sz w:val="20"/>
          <w:szCs w:val="20"/>
        </w:rPr>
        <w:t>示例</w:t>
      </w:r>
      <w:r>
        <w:rPr>
          <w:rFonts w:ascii="SimHei" w:eastAsia="SimHei" w:hAnsi="SimHei" w:cs="SimHei"/>
          <w:spacing w:val="-41"/>
          <w:sz w:val="20"/>
          <w:szCs w:val="20"/>
        </w:rPr>
        <w:t xml:space="preserve"> </w:t>
      </w:r>
      <w:r>
        <w:rPr>
          <w:spacing w:val="-20"/>
          <w:sz w:val="20"/>
          <w:szCs w:val="20"/>
        </w:rPr>
        <w:t>3:签发机构由于停止实施该类合格评定活动而撤销或转让符合性陈述。</w:t>
      </w:r>
    </w:p>
    <w:p>
      <w:pPr>
        <w:pStyle w:val="BodyText"/>
        <w:spacing w:before="120" w:line="183" w:lineRule="auto"/>
        <w:ind w:left="2"/>
        <w:rPr>
          <w:sz w:val="20"/>
          <w:szCs w:val="20"/>
        </w:rPr>
      </w:pPr>
      <w:r>
        <w:rPr>
          <w:b/>
          <w:bCs/>
          <w:spacing w:val="-5"/>
          <w:sz w:val="20"/>
          <w:szCs w:val="20"/>
        </w:rPr>
        <w:t>7.4</w:t>
      </w:r>
    </w:p>
    <w:p>
      <w:pPr>
        <w:spacing w:before="60" w:line="212" w:lineRule="auto"/>
        <w:ind w:left="439"/>
        <w:rPr>
          <w:rFonts w:ascii="Times New Roman" w:eastAsia="Times New Roman" w:hAnsi="Times New Roman" w:cs="Times New Roman"/>
          <w:sz w:val="20"/>
          <w:szCs w:val="20"/>
        </w:rPr>
      </w:pPr>
      <w:r>
        <w:rPr>
          <w:rFonts w:ascii="SimHei" w:eastAsia="SimHei" w:hAnsi="SimHei" w:cs="SimHei"/>
          <w:spacing w:val="-3"/>
          <w:sz w:val="20"/>
          <w:szCs w:val="20"/>
        </w:rPr>
        <w:t>到期</w:t>
      </w:r>
      <w:r>
        <w:rPr>
          <w:rFonts w:ascii="SimHei" w:eastAsia="SimHei" w:hAnsi="SimHei" w:cs="SimHei"/>
          <w:spacing w:val="8"/>
          <w:sz w:val="20"/>
          <w:szCs w:val="20"/>
        </w:rPr>
        <w:t xml:space="preserve">  </w:t>
      </w:r>
      <w:r>
        <w:rPr>
          <w:rFonts w:ascii="Times New Roman" w:eastAsia="Times New Roman" w:hAnsi="Times New Roman" w:cs="Times New Roman"/>
          <w:spacing w:val="-3"/>
          <w:sz w:val="20"/>
          <w:szCs w:val="20"/>
        </w:rPr>
        <w:t>expiry</w:t>
      </w:r>
    </w:p>
    <w:p>
      <w:pPr>
        <w:pStyle w:val="BodyText"/>
        <w:spacing w:before="142" w:line="364" w:lineRule="exact"/>
        <w:ind w:left="439"/>
        <w:rPr>
          <w:sz w:val="20"/>
          <w:szCs w:val="20"/>
        </w:rPr>
      </w:pPr>
      <w:r>
        <w:rPr>
          <w:spacing w:val="6"/>
          <w:position w:val="12"/>
          <w:sz w:val="20"/>
          <w:szCs w:val="20"/>
        </w:rPr>
        <w:t>符合性陈述的有效性在规定期限后的终止。</w:t>
      </w:r>
    </w:p>
    <w:p>
      <w:pPr>
        <w:pStyle w:val="BodyText"/>
        <w:spacing w:before="1" w:line="181" w:lineRule="auto"/>
        <w:rPr>
          <w:sz w:val="20"/>
          <w:szCs w:val="20"/>
        </w:rPr>
      </w:pPr>
      <w:r>
        <w:rPr>
          <w:spacing w:val="-3"/>
          <w:sz w:val="20"/>
          <w:szCs w:val="20"/>
        </w:rPr>
        <w:t>7.5</w:t>
      </w:r>
    </w:p>
    <w:p>
      <w:pPr>
        <w:spacing w:before="99" w:line="222" w:lineRule="auto"/>
        <w:ind w:left="439"/>
        <w:rPr>
          <w:rFonts w:ascii="Times New Roman" w:eastAsia="Times New Roman" w:hAnsi="Times New Roman" w:cs="Times New Roman"/>
          <w:sz w:val="20"/>
          <w:szCs w:val="20"/>
        </w:rPr>
      </w:pPr>
      <w:r>
        <w:rPr>
          <w:rFonts w:ascii="SimHei" w:eastAsia="SimHei" w:hAnsi="SimHei" w:cs="SimHei"/>
          <w:spacing w:val="-1"/>
          <w:sz w:val="20"/>
          <w:szCs w:val="20"/>
        </w:rPr>
        <w:t>恢复</w:t>
      </w:r>
      <w:r>
        <w:rPr>
          <w:rFonts w:ascii="SimHei" w:eastAsia="SimHei" w:hAnsi="SimHei" w:cs="SimHei"/>
          <w:spacing w:val="-1"/>
          <w:sz w:val="20"/>
          <w:szCs w:val="20"/>
        </w:rPr>
        <w:t xml:space="preserve">  </w:t>
      </w:r>
      <w:r>
        <w:rPr>
          <w:rFonts w:ascii="Times New Roman" w:eastAsia="Times New Roman" w:hAnsi="Times New Roman" w:cs="Times New Roman"/>
          <w:spacing w:val="-1"/>
          <w:sz w:val="20"/>
          <w:szCs w:val="20"/>
        </w:rPr>
        <w:t>restoration</w:t>
      </w:r>
    </w:p>
    <w:p>
      <w:pPr>
        <w:pStyle w:val="BodyText"/>
        <w:spacing w:before="79" w:line="219" w:lineRule="auto"/>
        <w:ind w:left="439"/>
        <w:rPr>
          <w:sz w:val="20"/>
          <w:szCs w:val="20"/>
        </w:rPr>
      </w:pPr>
      <w:r>
        <w:rPr>
          <w:spacing w:val="5"/>
          <w:sz w:val="20"/>
          <w:szCs w:val="20"/>
        </w:rPr>
        <w:t>全部或部分符合性陈述的复原。</w:t>
      </w:r>
    </w:p>
    <w:p>
      <w:pPr>
        <w:spacing w:line="219" w:lineRule="auto"/>
        <w:rPr>
          <w:sz w:val="20"/>
          <w:szCs w:val="20"/>
        </w:rPr>
        <w:sectPr>
          <w:footerReference w:type="default" r:id="rId18"/>
          <w:type w:val="nextPage"/>
          <w:pgSz w:w="11910" w:h="16840"/>
          <w:pgMar w:top="1370" w:right="1292" w:bottom="1277" w:left="1390" w:header="0" w:footer="1139" w:gutter="0"/>
          <w:pgNumType w:start="18"/>
          <w:cols w:space="708"/>
          <w:titlePg w:val="0"/>
        </w:sectPr>
      </w:pPr>
    </w:p>
    <w:p>
      <w:pPr>
        <w:pStyle w:val="BodyText"/>
        <w:spacing w:before="40" w:line="224" w:lineRule="auto"/>
        <w:ind w:left="2"/>
        <w:rPr>
          <w:sz w:val="20"/>
          <w:szCs w:val="20"/>
        </w:rPr>
      </w:pPr>
      <w:r>
        <w:rPr>
          <w:b/>
          <w:bCs/>
          <w:spacing w:val="-3"/>
          <w:sz w:val="20"/>
          <w:szCs w:val="20"/>
        </w:rPr>
        <w:t>GB/T</w:t>
      </w:r>
      <w:r>
        <w:rPr>
          <w:spacing w:val="27"/>
          <w:sz w:val="20"/>
          <w:szCs w:val="20"/>
        </w:rPr>
        <w:t xml:space="preserve">  </w:t>
      </w:r>
      <w:r>
        <w:rPr>
          <w:b/>
          <w:bCs/>
          <w:spacing w:val="-3"/>
          <w:sz w:val="20"/>
          <w:szCs w:val="20"/>
        </w:rPr>
        <w:t>27000—2023/ISO/IEC</w:t>
      </w:r>
      <w:r>
        <w:rPr>
          <w:spacing w:val="34"/>
          <w:sz w:val="20"/>
          <w:szCs w:val="20"/>
        </w:rPr>
        <w:t xml:space="preserve">  </w:t>
      </w:r>
      <w:r>
        <w:rPr>
          <w:b/>
          <w:bCs/>
          <w:spacing w:val="-3"/>
          <w:sz w:val="20"/>
          <w:szCs w:val="20"/>
        </w:rPr>
        <w:t>1</w:t>
      </w:r>
      <w:r>
        <w:rPr>
          <w:b/>
          <w:bCs/>
          <w:spacing w:val="-4"/>
          <w:sz w:val="20"/>
          <w:szCs w:val="20"/>
        </w:rPr>
        <w:t>7000:2020</w:t>
      </w:r>
    </w:p>
    <w:p>
      <w:pPr>
        <w:spacing w:line="287" w:lineRule="auto"/>
        <w:rPr>
          <w:rFonts w:ascii="Arial"/>
          <w:sz w:val="21"/>
        </w:rPr>
      </w:pPr>
    </w:p>
    <w:p>
      <w:pPr>
        <w:pStyle w:val="BodyText"/>
        <w:spacing w:before="65" w:line="183" w:lineRule="auto"/>
        <w:ind w:left="2"/>
        <w:rPr>
          <w:sz w:val="20"/>
          <w:szCs w:val="20"/>
        </w:rPr>
      </w:pPr>
      <w:r>
        <w:rPr>
          <w:b/>
          <w:bCs/>
          <w:spacing w:val="-5"/>
          <w:sz w:val="20"/>
          <w:szCs w:val="20"/>
        </w:rPr>
        <w:t>7.6</w:t>
      </w:r>
    </w:p>
    <w:p>
      <w:pPr>
        <w:pStyle w:val="BodyText"/>
        <w:spacing w:before="69" w:line="212" w:lineRule="auto"/>
        <w:ind w:left="432"/>
        <w:rPr>
          <w:rFonts w:ascii="Times New Roman" w:eastAsia="Times New Roman" w:hAnsi="Times New Roman" w:cs="Times New Roman"/>
          <w:sz w:val="20"/>
          <w:szCs w:val="20"/>
        </w:rPr>
      </w:pPr>
      <w:r>
        <w:rPr>
          <w:b/>
          <w:bCs/>
          <w:spacing w:val="-6"/>
          <w:sz w:val="20"/>
          <w:szCs w:val="20"/>
        </w:rPr>
        <w:t>申诉</w:t>
      </w:r>
      <w:r>
        <w:rPr>
          <w:spacing w:val="15"/>
          <w:sz w:val="20"/>
          <w:szCs w:val="20"/>
        </w:rPr>
        <w:t xml:space="preserve">  </w:t>
      </w:r>
      <w:r>
        <w:rPr>
          <w:rFonts w:ascii="Times New Roman" w:eastAsia="Times New Roman" w:hAnsi="Times New Roman" w:cs="Times New Roman"/>
          <w:b/>
          <w:bCs/>
          <w:spacing w:val="-6"/>
          <w:sz w:val="20"/>
          <w:szCs w:val="20"/>
        </w:rPr>
        <w:t>appeal</w:t>
      </w:r>
    </w:p>
    <w:p>
      <w:pPr>
        <w:pStyle w:val="BodyText"/>
        <w:spacing w:before="102" w:line="257" w:lineRule="auto"/>
        <w:ind w:right="4" w:firstLine="430"/>
        <w:rPr>
          <w:sz w:val="20"/>
          <w:szCs w:val="20"/>
        </w:rPr>
      </w:pPr>
      <w:r>
        <w:rPr>
          <w:spacing w:val="5"/>
          <w:sz w:val="20"/>
          <w:szCs w:val="20"/>
        </w:rPr>
        <w:t>提供合格评定对象(3.2)或自身为合格评定对象(3.2)的个人或组织，向合格评定机构(3.6)或认可</w:t>
      </w:r>
      <w:r>
        <w:rPr>
          <w:spacing w:val="7"/>
          <w:sz w:val="20"/>
          <w:szCs w:val="20"/>
        </w:rPr>
        <w:t xml:space="preserve"> </w:t>
      </w:r>
      <w:r>
        <w:rPr>
          <w:spacing w:val="8"/>
          <w:sz w:val="20"/>
          <w:szCs w:val="20"/>
        </w:rPr>
        <w:t>机构(3.7)提出的就其对该对象所作出的决定(6.2)进行重新考虑的请求。</w:t>
      </w:r>
    </w:p>
    <w:p>
      <w:pPr>
        <w:pStyle w:val="BodyText"/>
        <w:spacing w:before="114" w:line="182" w:lineRule="auto"/>
        <w:ind w:left="2"/>
        <w:rPr>
          <w:sz w:val="20"/>
          <w:szCs w:val="20"/>
        </w:rPr>
      </w:pPr>
      <w:r>
        <w:rPr>
          <w:b/>
          <w:bCs/>
          <w:spacing w:val="-5"/>
          <w:sz w:val="20"/>
          <w:szCs w:val="20"/>
        </w:rPr>
        <w:t>7.7</w:t>
      </w:r>
    </w:p>
    <w:p>
      <w:pPr>
        <w:spacing w:before="69" w:line="212" w:lineRule="auto"/>
        <w:ind w:left="432"/>
        <w:rPr>
          <w:rFonts w:ascii="Times New Roman" w:eastAsia="Times New Roman" w:hAnsi="Times New Roman" w:cs="Times New Roman"/>
          <w:sz w:val="20"/>
          <w:szCs w:val="20"/>
        </w:rPr>
      </w:pPr>
      <w:r>
        <w:rPr>
          <w:rFonts w:ascii="SimHei" w:eastAsia="SimHei" w:hAnsi="SimHei" w:cs="SimHei"/>
          <w:b/>
          <w:bCs/>
          <w:spacing w:val="-2"/>
          <w:sz w:val="20"/>
          <w:szCs w:val="20"/>
        </w:rPr>
        <w:t>投诉</w:t>
      </w:r>
      <w:r>
        <w:rPr>
          <w:rFonts w:ascii="SimHei" w:eastAsia="SimHei" w:hAnsi="SimHei" w:cs="SimHei"/>
          <w:spacing w:val="13"/>
          <w:sz w:val="20"/>
          <w:szCs w:val="20"/>
        </w:rPr>
        <w:t xml:space="preserve">  </w:t>
      </w:r>
      <w:r>
        <w:rPr>
          <w:rFonts w:ascii="Times New Roman" w:eastAsia="Times New Roman" w:hAnsi="Times New Roman" w:cs="Times New Roman"/>
          <w:b/>
          <w:bCs/>
          <w:spacing w:val="-2"/>
          <w:sz w:val="20"/>
          <w:szCs w:val="20"/>
        </w:rPr>
        <w:t>complaint</w:t>
      </w:r>
    </w:p>
    <w:p>
      <w:pPr>
        <w:pStyle w:val="BodyText"/>
        <w:spacing w:before="72" w:line="267" w:lineRule="auto"/>
        <w:ind w:firstLine="430"/>
        <w:rPr>
          <w:sz w:val="20"/>
          <w:szCs w:val="20"/>
        </w:rPr>
      </w:pPr>
      <w:r>
        <w:rPr>
          <w:spacing w:val="5"/>
          <w:sz w:val="20"/>
          <w:szCs w:val="20"/>
        </w:rPr>
        <w:t>除申诉(7.6)外，任何个人或组织向合格评定机构(3.6)或认可机构(3.7)就其活动表示不满意并期</w:t>
      </w:r>
      <w:r>
        <w:rPr>
          <w:spacing w:val="12"/>
          <w:sz w:val="20"/>
          <w:szCs w:val="20"/>
        </w:rPr>
        <w:t xml:space="preserve"> </w:t>
      </w:r>
      <w:r>
        <w:rPr>
          <w:spacing w:val="4"/>
          <w:sz w:val="20"/>
          <w:szCs w:val="20"/>
        </w:rPr>
        <w:t>望得到回复的行为。</w:t>
      </w:r>
    </w:p>
    <w:p>
      <w:pPr>
        <w:spacing w:line="332" w:lineRule="auto"/>
        <w:rPr>
          <w:rFonts w:ascii="Arial"/>
          <w:sz w:val="21"/>
        </w:rPr>
      </w:pPr>
    </w:p>
    <w:p>
      <w:pPr>
        <w:spacing w:before="66" w:line="222" w:lineRule="auto"/>
        <w:ind w:left="2"/>
        <w:rPr>
          <w:rFonts w:ascii="SimHei" w:eastAsia="SimHei" w:hAnsi="SimHei" w:cs="SimHei"/>
          <w:sz w:val="20"/>
          <w:szCs w:val="20"/>
        </w:rPr>
      </w:pPr>
      <w:r>
        <w:rPr>
          <w:rFonts w:ascii="SimHei" w:eastAsia="SimHei" w:hAnsi="SimHei" w:cs="SimHei"/>
          <w:b/>
          <w:bCs/>
          <w:spacing w:val="4"/>
          <w:sz w:val="20"/>
          <w:szCs w:val="20"/>
        </w:rPr>
        <w:t>8</w:t>
      </w:r>
      <w:r>
        <w:rPr>
          <w:rFonts w:ascii="SimHei" w:eastAsia="SimHei" w:hAnsi="SimHei" w:cs="SimHei"/>
          <w:spacing w:val="7"/>
          <w:sz w:val="20"/>
          <w:szCs w:val="20"/>
        </w:rPr>
        <w:t xml:space="preserve">  </w:t>
      </w:r>
      <w:r>
        <w:rPr>
          <w:rFonts w:ascii="SimHei" w:eastAsia="SimHei" w:hAnsi="SimHei" w:cs="SimHei"/>
          <w:b/>
          <w:bCs/>
          <w:spacing w:val="4"/>
          <w:sz w:val="20"/>
          <w:szCs w:val="20"/>
        </w:rPr>
        <w:t>关于贸易和法规的术语</w:t>
      </w:r>
    </w:p>
    <w:p>
      <w:pPr>
        <w:spacing w:line="363" w:lineRule="auto"/>
        <w:rPr>
          <w:rFonts w:ascii="Arial"/>
          <w:sz w:val="21"/>
        </w:rPr>
      </w:pPr>
    </w:p>
    <w:p>
      <w:pPr>
        <w:pStyle w:val="BodyText"/>
        <w:spacing w:before="65" w:line="184" w:lineRule="auto"/>
        <w:ind w:left="2"/>
        <w:rPr>
          <w:sz w:val="20"/>
          <w:szCs w:val="20"/>
        </w:rPr>
      </w:pPr>
      <w:r>
        <w:rPr>
          <w:b/>
          <w:bCs/>
          <w:spacing w:val="-5"/>
          <w:sz w:val="20"/>
          <w:szCs w:val="20"/>
        </w:rPr>
        <w:t>8.1</w:t>
      </w:r>
    </w:p>
    <w:p>
      <w:pPr>
        <w:pStyle w:val="BodyText"/>
        <w:spacing w:before="84" w:line="217" w:lineRule="auto"/>
        <w:ind w:left="432"/>
        <w:rPr>
          <w:sz w:val="20"/>
          <w:szCs w:val="20"/>
        </w:rPr>
      </w:pPr>
      <w:r>
        <w:rPr>
          <w:rFonts w:ascii="SimHei" w:eastAsia="SimHei" w:hAnsi="SimHei" w:cs="SimHei"/>
          <w:b/>
          <w:bCs/>
          <w:spacing w:val="-3"/>
          <w:sz w:val="20"/>
          <w:szCs w:val="20"/>
        </w:rPr>
        <w:t>批准</w:t>
      </w:r>
      <w:r>
        <w:rPr>
          <w:rFonts w:ascii="SimHei" w:eastAsia="SimHei" w:hAnsi="SimHei" w:cs="SimHei"/>
          <w:spacing w:val="-3"/>
          <w:sz w:val="20"/>
          <w:szCs w:val="20"/>
        </w:rPr>
        <w:t xml:space="preserve">  </w:t>
      </w:r>
      <w:r>
        <w:rPr>
          <w:b/>
          <w:bCs/>
          <w:spacing w:val="-3"/>
          <w:sz w:val="20"/>
          <w:szCs w:val="20"/>
        </w:rPr>
        <w:t>approval</w:t>
      </w:r>
    </w:p>
    <w:p>
      <w:pPr>
        <w:pStyle w:val="BodyText"/>
        <w:spacing w:before="83" w:line="299" w:lineRule="exact"/>
        <w:ind w:left="430"/>
        <w:rPr>
          <w:sz w:val="20"/>
          <w:szCs w:val="20"/>
        </w:rPr>
      </w:pPr>
      <w:r>
        <w:rPr>
          <w:spacing w:val="1"/>
          <w:position w:val="7"/>
          <w:sz w:val="20"/>
          <w:szCs w:val="20"/>
        </w:rPr>
        <w:t>根据明示的目的或条件，对销售或使用的产</w:t>
      </w:r>
      <w:r>
        <w:rPr>
          <w:position w:val="7"/>
          <w:sz w:val="20"/>
          <w:szCs w:val="20"/>
        </w:rPr>
        <w:t>品、服务或过程的许可。</w:t>
      </w:r>
    </w:p>
    <w:p>
      <w:pPr>
        <w:pStyle w:val="BodyText"/>
        <w:spacing w:before="1" w:line="218" w:lineRule="auto"/>
        <w:ind w:left="392"/>
        <w:rPr>
          <w:sz w:val="20"/>
          <w:szCs w:val="20"/>
        </w:rPr>
      </w:pPr>
      <w:r>
        <w:rPr>
          <w:b/>
          <w:bCs/>
          <w:spacing w:val="-18"/>
          <w:sz w:val="20"/>
          <w:szCs w:val="20"/>
        </w:rPr>
        <w:t>注1:</w:t>
      </w:r>
      <w:r>
        <w:rPr>
          <w:spacing w:val="-43"/>
          <w:sz w:val="20"/>
          <w:szCs w:val="20"/>
        </w:rPr>
        <w:t xml:space="preserve"> </w:t>
      </w:r>
      <w:r>
        <w:rPr>
          <w:spacing w:val="-18"/>
          <w:sz w:val="20"/>
          <w:szCs w:val="20"/>
        </w:rPr>
        <w:t>可能将满足规定要求或完成规定程序作为批准依据。</w:t>
      </w:r>
    </w:p>
    <w:p>
      <w:pPr>
        <w:pStyle w:val="BodyText"/>
        <w:spacing w:before="50" w:line="364" w:lineRule="exact"/>
        <w:ind w:left="392"/>
        <w:rPr>
          <w:sz w:val="20"/>
          <w:szCs w:val="20"/>
        </w:rPr>
      </w:pPr>
      <w:r>
        <w:rPr>
          <w:rFonts w:ascii="SimHei" w:eastAsia="SimHei" w:hAnsi="SimHei" w:cs="SimHei"/>
          <w:b/>
          <w:bCs/>
          <w:spacing w:val="-17"/>
          <w:position w:val="12"/>
          <w:sz w:val="20"/>
          <w:szCs w:val="20"/>
        </w:rPr>
        <w:t>注2:</w:t>
      </w:r>
      <w:r>
        <w:rPr>
          <w:rFonts w:ascii="SimHei" w:eastAsia="SimHei" w:hAnsi="SimHei" w:cs="SimHei"/>
          <w:spacing w:val="-49"/>
          <w:position w:val="12"/>
          <w:sz w:val="20"/>
          <w:szCs w:val="20"/>
        </w:rPr>
        <w:t xml:space="preserve"> </w:t>
      </w:r>
      <w:r>
        <w:rPr>
          <w:spacing w:val="-17"/>
          <w:position w:val="12"/>
          <w:sz w:val="20"/>
          <w:szCs w:val="20"/>
        </w:rPr>
        <w:t>批准可能依据合格评定方案(3.9)的范围而作出。</w:t>
      </w:r>
    </w:p>
    <w:p>
      <w:pPr>
        <w:pStyle w:val="BodyText"/>
        <w:spacing w:line="183" w:lineRule="auto"/>
        <w:ind w:left="2"/>
        <w:rPr>
          <w:sz w:val="20"/>
          <w:szCs w:val="20"/>
        </w:rPr>
      </w:pPr>
      <w:r>
        <w:rPr>
          <w:b/>
          <w:bCs/>
          <w:spacing w:val="-5"/>
          <w:sz w:val="20"/>
          <w:szCs w:val="20"/>
        </w:rPr>
        <w:t>8.2</w:t>
      </w:r>
    </w:p>
    <w:p>
      <w:pPr>
        <w:pStyle w:val="BodyText"/>
        <w:spacing w:before="69" w:line="212" w:lineRule="auto"/>
        <w:ind w:left="432"/>
        <w:rPr>
          <w:rFonts w:ascii="Times New Roman" w:eastAsia="Times New Roman" w:hAnsi="Times New Roman" w:cs="Times New Roman"/>
          <w:sz w:val="20"/>
          <w:szCs w:val="20"/>
        </w:rPr>
      </w:pPr>
      <w:r>
        <w:rPr>
          <w:b/>
          <w:bCs/>
          <w:spacing w:val="-2"/>
          <w:sz w:val="20"/>
          <w:szCs w:val="20"/>
        </w:rPr>
        <w:t>指定</w:t>
      </w:r>
      <w:r>
        <w:rPr>
          <w:spacing w:val="100"/>
          <w:sz w:val="20"/>
          <w:szCs w:val="20"/>
        </w:rPr>
        <w:t xml:space="preserve"> </w:t>
      </w:r>
      <w:r>
        <w:rPr>
          <w:rFonts w:ascii="Times New Roman" w:eastAsia="Times New Roman" w:hAnsi="Times New Roman" w:cs="Times New Roman"/>
          <w:b/>
          <w:bCs/>
          <w:spacing w:val="-2"/>
          <w:sz w:val="20"/>
          <w:szCs w:val="20"/>
        </w:rPr>
        <w:t>designation</w:t>
      </w:r>
    </w:p>
    <w:p>
      <w:pPr>
        <w:pStyle w:val="BodyText"/>
        <w:spacing w:before="72" w:line="329" w:lineRule="exact"/>
        <w:ind w:left="430"/>
        <w:rPr>
          <w:sz w:val="20"/>
          <w:szCs w:val="20"/>
        </w:rPr>
      </w:pPr>
      <w:r>
        <w:rPr>
          <w:spacing w:val="6"/>
          <w:position w:val="9"/>
          <w:sz w:val="20"/>
          <w:szCs w:val="20"/>
        </w:rPr>
        <w:t>政府对合格评定机构(3.6)从事规定的合格评定活动的授权。</w:t>
      </w:r>
    </w:p>
    <w:p>
      <w:pPr>
        <w:pStyle w:val="BodyText"/>
        <w:spacing w:before="1" w:line="217" w:lineRule="auto"/>
        <w:ind w:left="390"/>
        <w:rPr>
          <w:sz w:val="20"/>
          <w:szCs w:val="20"/>
        </w:rPr>
      </w:pPr>
      <w:r>
        <w:rPr>
          <w:spacing w:val="-29"/>
          <w:w w:val="92"/>
          <w:sz w:val="20"/>
          <w:szCs w:val="20"/>
        </w:rPr>
        <w:t>注：“指定”有时称为“公告”。</w:t>
      </w:r>
    </w:p>
    <w:p>
      <w:pPr>
        <w:pStyle w:val="BodyText"/>
        <w:spacing w:before="116" w:line="183" w:lineRule="auto"/>
        <w:ind w:left="2"/>
        <w:rPr>
          <w:sz w:val="20"/>
          <w:szCs w:val="20"/>
        </w:rPr>
      </w:pPr>
      <w:r>
        <w:rPr>
          <w:b/>
          <w:bCs/>
          <w:spacing w:val="-5"/>
          <w:sz w:val="20"/>
          <w:szCs w:val="20"/>
        </w:rPr>
        <w:t>8.3</w:t>
      </w:r>
    </w:p>
    <w:p>
      <w:pPr>
        <w:spacing w:before="69" w:line="212" w:lineRule="auto"/>
        <w:ind w:left="432"/>
        <w:rPr>
          <w:rFonts w:ascii="Times New Roman" w:eastAsia="Times New Roman" w:hAnsi="Times New Roman" w:cs="Times New Roman"/>
          <w:sz w:val="20"/>
          <w:szCs w:val="20"/>
        </w:rPr>
      </w:pPr>
      <w:r>
        <w:rPr>
          <w:rFonts w:ascii="SimHei" w:eastAsia="SimHei" w:hAnsi="SimHei" w:cs="SimHei"/>
          <w:b/>
          <w:bCs/>
          <w:spacing w:val="-2"/>
          <w:sz w:val="20"/>
          <w:szCs w:val="20"/>
        </w:rPr>
        <w:t>指定机关</w:t>
      </w:r>
      <w:r>
        <w:rPr>
          <w:rFonts w:ascii="SimHei" w:eastAsia="SimHei" w:hAnsi="SimHei" w:cs="SimHei"/>
          <w:spacing w:val="24"/>
          <w:sz w:val="20"/>
          <w:szCs w:val="20"/>
        </w:rPr>
        <w:t xml:space="preserve">  </w:t>
      </w:r>
      <w:r>
        <w:rPr>
          <w:rFonts w:ascii="Times New Roman" w:eastAsia="Times New Roman" w:hAnsi="Times New Roman" w:cs="Times New Roman"/>
          <w:b/>
          <w:bCs/>
          <w:spacing w:val="-2"/>
          <w:sz w:val="20"/>
          <w:szCs w:val="20"/>
        </w:rPr>
        <w:t>designating</w:t>
      </w:r>
      <w:r>
        <w:rPr>
          <w:rFonts w:ascii="Times New Roman" w:eastAsia="Times New Roman" w:hAnsi="Times New Roman" w:cs="Times New Roman"/>
          <w:b/>
          <w:bCs/>
          <w:spacing w:val="42"/>
          <w:w w:val="101"/>
          <w:sz w:val="20"/>
          <w:szCs w:val="20"/>
        </w:rPr>
        <w:t xml:space="preserve"> </w:t>
      </w:r>
      <w:r>
        <w:rPr>
          <w:rFonts w:ascii="Times New Roman" w:eastAsia="Times New Roman" w:hAnsi="Times New Roman" w:cs="Times New Roman"/>
          <w:b/>
          <w:bCs/>
          <w:spacing w:val="-2"/>
          <w:sz w:val="20"/>
          <w:szCs w:val="20"/>
        </w:rPr>
        <w:t>authority</w:t>
      </w:r>
    </w:p>
    <w:p>
      <w:pPr>
        <w:pStyle w:val="BodyText"/>
        <w:spacing w:before="71" w:line="268" w:lineRule="auto"/>
        <w:ind w:right="4" w:firstLine="430"/>
        <w:rPr>
          <w:sz w:val="20"/>
          <w:szCs w:val="20"/>
        </w:rPr>
      </w:pPr>
      <w:r>
        <w:rPr>
          <w:spacing w:val="8"/>
          <w:sz w:val="20"/>
          <w:szCs w:val="20"/>
        </w:rPr>
        <w:t>政府内部设立的或由政府授权的组织，负责指定合格评定机构(3</w:t>
      </w:r>
      <w:r>
        <w:rPr>
          <w:spacing w:val="7"/>
          <w:sz w:val="20"/>
          <w:szCs w:val="20"/>
        </w:rPr>
        <w:t>.6)以及对其指定(8.2)的暂停或</w:t>
      </w:r>
      <w:r>
        <w:rPr>
          <w:sz w:val="20"/>
          <w:szCs w:val="20"/>
        </w:rPr>
        <w:t xml:space="preserve"> </w:t>
      </w:r>
      <w:r>
        <w:rPr>
          <w:spacing w:val="-8"/>
          <w:sz w:val="20"/>
          <w:szCs w:val="20"/>
        </w:rPr>
        <w:t>撤销。</w:t>
      </w:r>
    </w:p>
    <w:p>
      <w:pPr>
        <w:pStyle w:val="BodyText"/>
        <w:spacing w:before="111" w:line="183" w:lineRule="auto"/>
        <w:ind w:left="2"/>
        <w:rPr>
          <w:sz w:val="20"/>
          <w:szCs w:val="20"/>
        </w:rPr>
      </w:pPr>
      <w:r>
        <w:rPr>
          <w:b/>
          <w:bCs/>
          <w:spacing w:val="-9"/>
          <w:sz w:val="20"/>
          <w:szCs w:val="20"/>
        </w:rPr>
        <w:t>8.4</w:t>
      </w:r>
    </w:p>
    <w:p>
      <w:pPr>
        <w:spacing w:before="80" w:line="212" w:lineRule="auto"/>
        <w:ind w:left="432"/>
        <w:rPr>
          <w:rFonts w:ascii="Times New Roman" w:eastAsia="Times New Roman" w:hAnsi="Times New Roman" w:cs="Times New Roman"/>
          <w:sz w:val="20"/>
          <w:szCs w:val="20"/>
        </w:rPr>
      </w:pPr>
      <w:r>
        <w:rPr>
          <w:rFonts w:ascii="SimHei" w:eastAsia="SimHei" w:hAnsi="SimHei" w:cs="SimHei"/>
          <w:b/>
          <w:bCs/>
          <w:spacing w:val="-2"/>
          <w:sz w:val="20"/>
          <w:szCs w:val="20"/>
        </w:rPr>
        <w:t>等效</w:t>
      </w:r>
      <w:r>
        <w:rPr>
          <w:rFonts w:ascii="SimHei" w:eastAsia="SimHei" w:hAnsi="SimHei" w:cs="SimHei"/>
          <w:spacing w:val="14"/>
          <w:sz w:val="20"/>
          <w:szCs w:val="20"/>
        </w:rPr>
        <w:t xml:space="preserve">  </w:t>
      </w:r>
      <w:r>
        <w:rPr>
          <w:rFonts w:ascii="Times New Roman" w:eastAsia="Times New Roman" w:hAnsi="Times New Roman" w:cs="Times New Roman"/>
          <w:b/>
          <w:bCs/>
          <w:spacing w:val="-2"/>
          <w:sz w:val="20"/>
          <w:szCs w:val="20"/>
        </w:rPr>
        <w:t>equivalence</w:t>
      </w:r>
    </w:p>
    <w:p>
      <w:pPr>
        <w:pStyle w:val="BodyText"/>
        <w:spacing w:before="90" w:line="212" w:lineRule="auto"/>
        <w:ind w:left="430"/>
        <w:rPr>
          <w:rFonts w:ascii="Times New Roman" w:eastAsia="Times New Roman" w:hAnsi="Times New Roman" w:cs="Times New Roman"/>
          <w:sz w:val="20"/>
          <w:szCs w:val="20"/>
        </w:rPr>
      </w:pPr>
      <w:r>
        <w:rPr>
          <w:spacing w:val="5"/>
          <w:sz w:val="20"/>
          <w:szCs w:val="20"/>
        </w:rPr>
        <w:t>合格评定结果的等效</w:t>
      </w:r>
      <w:r>
        <w:rPr>
          <w:spacing w:val="10"/>
          <w:sz w:val="20"/>
          <w:szCs w:val="20"/>
        </w:rPr>
        <w:t xml:space="preserve">  </w:t>
      </w:r>
      <w:r>
        <w:rPr>
          <w:rFonts w:ascii="Times New Roman" w:eastAsia="Times New Roman" w:hAnsi="Times New Roman" w:cs="Times New Roman"/>
          <w:sz w:val="20"/>
          <w:szCs w:val="20"/>
        </w:rPr>
        <w:t>equivalence</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z w:val="20"/>
          <w:szCs w:val="20"/>
        </w:rPr>
        <w:t>of</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z w:val="20"/>
          <w:szCs w:val="20"/>
        </w:rPr>
        <w:t>conformity</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z w:val="20"/>
          <w:szCs w:val="20"/>
        </w:rPr>
        <w:t>assessment</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z w:val="20"/>
          <w:szCs w:val="20"/>
        </w:rPr>
        <w:t>results</w:t>
      </w:r>
    </w:p>
    <w:p>
      <w:pPr>
        <w:pStyle w:val="BodyText"/>
        <w:spacing w:before="71" w:line="269" w:lineRule="auto"/>
        <w:ind w:right="4" w:firstLine="430"/>
        <w:rPr>
          <w:sz w:val="20"/>
          <w:szCs w:val="20"/>
        </w:rPr>
      </w:pPr>
      <w:r>
        <w:rPr>
          <w:spacing w:val="13"/>
          <w:sz w:val="20"/>
          <w:szCs w:val="20"/>
        </w:rPr>
        <w:t>针对相同的规定要求(4.1),不同的合格评定结果所提供的相</w:t>
      </w:r>
      <w:r>
        <w:rPr>
          <w:spacing w:val="12"/>
          <w:sz w:val="20"/>
          <w:szCs w:val="20"/>
        </w:rPr>
        <w:t>同水平的符合性保证是充分的、足</w:t>
      </w:r>
      <w:r>
        <w:rPr>
          <w:sz w:val="20"/>
          <w:szCs w:val="20"/>
        </w:rPr>
        <w:t xml:space="preserve"> </w:t>
      </w:r>
      <w:r>
        <w:rPr>
          <w:sz w:val="20"/>
          <w:szCs w:val="20"/>
        </w:rPr>
        <w:t>够的。</w:t>
      </w:r>
    </w:p>
    <w:p>
      <w:pPr>
        <w:pStyle w:val="BodyText"/>
        <w:spacing w:before="56" w:line="216" w:lineRule="auto"/>
        <w:ind w:left="390"/>
        <w:rPr>
          <w:sz w:val="20"/>
          <w:szCs w:val="20"/>
        </w:rPr>
      </w:pPr>
      <w:r>
        <w:rPr>
          <w:spacing w:val="-20"/>
          <w:w w:val="98"/>
          <w:sz w:val="20"/>
          <w:szCs w:val="20"/>
        </w:rPr>
        <w:t>注：“合格评定结果”表示任何合格评定活动的输出(如报告或证书),并可能包含不</w:t>
      </w:r>
      <w:r>
        <w:rPr>
          <w:spacing w:val="-21"/>
          <w:w w:val="98"/>
          <w:sz w:val="20"/>
          <w:szCs w:val="20"/>
        </w:rPr>
        <w:t>符合的发现。</w:t>
      </w:r>
    </w:p>
    <w:p>
      <w:pPr>
        <w:pStyle w:val="BodyText"/>
        <w:spacing w:before="119" w:line="183" w:lineRule="auto"/>
        <w:ind w:left="2"/>
        <w:rPr>
          <w:sz w:val="20"/>
          <w:szCs w:val="20"/>
        </w:rPr>
      </w:pPr>
      <w:r>
        <w:rPr>
          <w:b/>
          <w:bCs/>
          <w:spacing w:val="-5"/>
          <w:sz w:val="20"/>
          <w:szCs w:val="20"/>
        </w:rPr>
        <w:t>8.5</w:t>
      </w:r>
    </w:p>
    <w:p>
      <w:pPr>
        <w:pStyle w:val="BodyText"/>
        <w:spacing w:before="69" w:line="212" w:lineRule="auto"/>
        <w:ind w:left="432"/>
        <w:rPr>
          <w:rFonts w:ascii="Times New Roman" w:eastAsia="Times New Roman" w:hAnsi="Times New Roman" w:cs="Times New Roman"/>
          <w:sz w:val="20"/>
          <w:szCs w:val="20"/>
        </w:rPr>
      </w:pPr>
      <w:r>
        <w:rPr>
          <w:b/>
          <w:bCs/>
          <w:spacing w:val="-2"/>
          <w:sz w:val="20"/>
          <w:szCs w:val="20"/>
        </w:rPr>
        <w:t>承认</w:t>
      </w:r>
      <w:r>
        <w:rPr>
          <w:spacing w:val="15"/>
          <w:sz w:val="20"/>
          <w:szCs w:val="20"/>
        </w:rPr>
        <w:t xml:space="preserve">  </w:t>
      </w:r>
      <w:r>
        <w:rPr>
          <w:rFonts w:ascii="Times New Roman" w:eastAsia="Times New Roman" w:hAnsi="Times New Roman" w:cs="Times New Roman"/>
          <w:b/>
          <w:bCs/>
          <w:spacing w:val="-2"/>
          <w:sz w:val="20"/>
          <w:szCs w:val="20"/>
        </w:rPr>
        <w:t>recognition</w:t>
      </w:r>
    </w:p>
    <w:p>
      <w:pPr>
        <w:pStyle w:val="BodyText"/>
        <w:spacing w:before="90" w:line="332" w:lineRule="exact"/>
        <w:ind w:left="430"/>
        <w:rPr>
          <w:rFonts w:ascii="Times New Roman" w:eastAsia="Times New Roman" w:hAnsi="Times New Roman" w:cs="Times New Roman"/>
          <w:sz w:val="20"/>
          <w:szCs w:val="20"/>
        </w:rPr>
        <w:sectPr>
          <w:footerReference w:type="default" r:id="rId19"/>
          <w:pgSz w:w="11910" w:h="16840"/>
          <w:pgMar w:top="1370" w:right="1476" w:bottom="1278" w:left="1239" w:header="0" w:footer="1139" w:gutter="0"/>
          <w:pgNumType w:start="19"/>
          <w:cols w:space="708"/>
        </w:sectPr>
      </w:pPr>
      <w:r>
        <w:rPr>
          <w:spacing w:val="7"/>
          <w:position w:val="10"/>
          <w:sz w:val="20"/>
          <w:szCs w:val="20"/>
        </w:rPr>
        <w:t>合格评定结果的承认</w:t>
      </w:r>
      <w:r>
        <w:rPr>
          <w:spacing w:val="103"/>
          <w:position w:val="10"/>
          <w:sz w:val="20"/>
          <w:szCs w:val="20"/>
        </w:rPr>
        <w:t xml:space="preserve"> </w:t>
      </w:r>
      <w:r>
        <w:rPr>
          <w:rFonts w:ascii="Times New Roman" w:eastAsia="Times New Roman" w:hAnsi="Times New Roman" w:cs="Times New Roman"/>
          <w:position w:val="10"/>
          <w:sz w:val="20"/>
          <w:szCs w:val="20"/>
        </w:rPr>
        <w:t>recognition</w:t>
      </w:r>
      <w:r>
        <w:rPr>
          <w:rFonts w:ascii="Times New Roman" w:eastAsia="Times New Roman" w:hAnsi="Times New Roman" w:cs="Times New Roman"/>
          <w:spacing w:val="24"/>
          <w:position w:val="10"/>
          <w:sz w:val="20"/>
          <w:szCs w:val="20"/>
        </w:rPr>
        <w:t xml:space="preserve">  </w:t>
      </w:r>
      <w:r>
        <w:rPr>
          <w:rFonts w:ascii="Times New Roman" w:eastAsia="Times New Roman" w:hAnsi="Times New Roman" w:cs="Times New Roman"/>
          <w:position w:val="10"/>
          <w:sz w:val="20"/>
          <w:szCs w:val="20"/>
        </w:rPr>
        <w:t>of</w:t>
      </w:r>
      <w:r>
        <w:rPr>
          <w:rFonts w:ascii="Times New Roman" w:eastAsia="Times New Roman" w:hAnsi="Times New Roman" w:cs="Times New Roman"/>
          <w:spacing w:val="14"/>
          <w:position w:val="10"/>
          <w:sz w:val="20"/>
          <w:szCs w:val="20"/>
        </w:rPr>
        <w:t xml:space="preserve">  </w:t>
      </w:r>
      <w:r>
        <w:rPr>
          <w:rFonts w:ascii="Times New Roman" w:eastAsia="Times New Roman" w:hAnsi="Times New Roman" w:cs="Times New Roman"/>
          <w:position w:val="10"/>
          <w:sz w:val="20"/>
          <w:szCs w:val="20"/>
        </w:rPr>
        <w:t>a</w:t>
      </w:r>
      <w:r>
        <w:rPr>
          <w:rFonts w:ascii="Times New Roman" w:eastAsia="Times New Roman" w:hAnsi="Times New Roman" w:cs="Times New Roman"/>
          <w:spacing w:val="24"/>
          <w:position w:val="10"/>
          <w:sz w:val="20"/>
          <w:szCs w:val="20"/>
        </w:rPr>
        <w:t xml:space="preserve">  </w:t>
      </w:r>
      <w:r>
        <w:rPr>
          <w:rFonts w:ascii="Times New Roman" w:eastAsia="Times New Roman" w:hAnsi="Times New Roman" w:cs="Times New Roman"/>
          <w:position w:val="10"/>
          <w:sz w:val="20"/>
          <w:szCs w:val="20"/>
        </w:rPr>
        <w:t>conformity</w:t>
      </w:r>
      <w:r>
        <w:rPr>
          <w:rFonts w:ascii="Times New Roman" w:eastAsia="Times New Roman" w:hAnsi="Times New Roman" w:cs="Times New Roman"/>
          <w:spacing w:val="24"/>
          <w:w w:val="101"/>
          <w:position w:val="10"/>
          <w:sz w:val="20"/>
          <w:szCs w:val="20"/>
        </w:rPr>
        <w:t xml:space="preserve">  </w:t>
      </w:r>
      <w:r>
        <w:rPr>
          <w:rFonts w:ascii="Times New Roman" w:eastAsia="Times New Roman" w:hAnsi="Times New Roman" w:cs="Times New Roman"/>
          <w:position w:val="10"/>
          <w:sz w:val="20"/>
          <w:szCs w:val="20"/>
        </w:rPr>
        <w:t>assessment</w:t>
      </w:r>
      <w:r>
        <w:rPr>
          <w:rFonts w:ascii="Times New Roman" w:eastAsia="Times New Roman" w:hAnsi="Times New Roman" w:cs="Times New Roman"/>
          <w:spacing w:val="21"/>
          <w:position w:val="10"/>
          <w:sz w:val="20"/>
          <w:szCs w:val="20"/>
        </w:rPr>
        <w:t xml:space="preserve">  </w:t>
      </w:r>
      <w:r>
        <w:rPr>
          <w:rFonts w:ascii="Times New Roman" w:eastAsia="Times New Roman" w:hAnsi="Times New Roman" w:cs="Times New Roman"/>
          <w:position w:val="10"/>
          <w:sz w:val="20"/>
          <w:szCs w:val="20"/>
        </w:rPr>
        <w:t>result</w:t>
      </w:r>
    </w:p>
    <w:p>
      <w:pPr>
        <w:pStyle w:val="BodyText"/>
        <w:spacing w:before="1" w:line="218" w:lineRule="auto"/>
        <w:ind w:left="430"/>
        <w:rPr>
          <w:sz w:val="20"/>
          <w:szCs w:val="20"/>
        </w:rPr>
      </w:pPr>
      <w:r>
        <w:rPr>
          <w:spacing w:val="7"/>
          <w:sz w:val="20"/>
          <w:szCs w:val="20"/>
        </w:rPr>
        <w:t>对另一人员或组织提供的合格评定结果的有效性的认同。</w:t>
      </w:r>
    </w:p>
    <w:p>
      <w:pPr>
        <w:pStyle w:val="BodyText"/>
        <w:spacing w:before="61" w:line="216" w:lineRule="auto"/>
        <w:ind w:left="390"/>
        <w:rPr>
          <w:sz w:val="20"/>
          <w:szCs w:val="20"/>
        </w:rPr>
      </w:pPr>
      <w:r>
        <w:rPr>
          <w:spacing w:val="-20"/>
          <w:w w:val="98"/>
          <w:sz w:val="20"/>
          <w:szCs w:val="20"/>
        </w:rPr>
        <w:t>注：“合格评定结果”表示任何合格评定活动的输出(如报告或证书),并可能包含不</w:t>
      </w:r>
      <w:r>
        <w:rPr>
          <w:spacing w:val="-21"/>
          <w:w w:val="98"/>
          <w:sz w:val="20"/>
          <w:szCs w:val="20"/>
        </w:rPr>
        <w:t>符合的发现。</w:t>
      </w:r>
    </w:p>
    <w:p>
      <w:pPr>
        <w:pStyle w:val="BodyText"/>
        <w:spacing w:before="119" w:line="183" w:lineRule="auto"/>
        <w:ind w:left="2"/>
        <w:rPr>
          <w:sz w:val="20"/>
          <w:szCs w:val="20"/>
        </w:rPr>
      </w:pPr>
      <w:r>
        <w:rPr>
          <w:b/>
          <w:bCs/>
          <w:spacing w:val="-5"/>
          <w:sz w:val="20"/>
          <w:szCs w:val="20"/>
        </w:rPr>
        <w:t>8.6</w:t>
      </w:r>
    </w:p>
    <w:p>
      <w:pPr>
        <w:spacing w:before="69" w:line="212" w:lineRule="auto"/>
        <w:ind w:left="432"/>
        <w:rPr>
          <w:rFonts w:ascii="Times New Roman" w:eastAsia="Times New Roman" w:hAnsi="Times New Roman" w:cs="Times New Roman"/>
          <w:sz w:val="20"/>
          <w:szCs w:val="20"/>
        </w:rPr>
      </w:pPr>
      <w:r>
        <w:rPr>
          <w:rFonts w:ascii="SimHei" w:eastAsia="SimHei" w:hAnsi="SimHei" w:cs="SimHei"/>
          <w:b/>
          <w:bCs/>
          <w:spacing w:val="2"/>
          <w:sz w:val="20"/>
          <w:szCs w:val="20"/>
        </w:rPr>
        <w:t>接受</w:t>
      </w:r>
      <w:r>
        <w:rPr>
          <w:rFonts w:ascii="SimHei" w:eastAsia="SimHei" w:hAnsi="SimHei" w:cs="SimHei"/>
          <w:spacing w:val="99"/>
          <w:sz w:val="20"/>
          <w:szCs w:val="20"/>
        </w:rPr>
        <w:t xml:space="preserve"> </w:t>
      </w:r>
      <w:r>
        <w:rPr>
          <w:rFonts w:ascii="Times New Roman" w:eastAsia="Times New Roman" w:hAnsi="Times New Roman" w:cs="Times New Roman"/>
          <w:b/>
          <w:bCs/>
          <w:sz w:val="20"/>
          <w:szCs w:val="20"/>
        </w:rPr>
        <w:t>acceptance</w:t>
      </w:r>
    </w:p>
    <w:p>
      <w:pPr>
        <w:pStyle w:val="BodyText"/>
        <w:spacing w:before="97" w:line="325" w:lineRule="exact"/>
        <w:ind w:left="430"/>
        <w:rPr>
          <w:sz w:val="20"/>
          <w:szCs w:val="20"/>
        </w:rPr>
      </w:pPr>
      <w:r>
        <w:rPr>
          <w:spacing w:val="-4"/>
          <w:position w:val="9"/>
          <w:sz w:val="20"/>
          <w:szCs w:val="20"/>
        </w:rPr>
        <w:t>合格评定结果的接受  acceptance of a conformity assessment</w:t>
      </w:r>
      <w:r>
        <w:rPr>
          <w:spacing w:val="6"/>
          <w:position w:val="9"/>
          <w:sz w:val="20"/>
          <w:szCs w:val="20"/>
        </w:rPr>
        <w:t xml:space="preserve"> </w:t>
      </w:r>
      <w:r>
        <w:rPr>
          <w:spacing w:val="-4"/>
          <w:position w:val="9"/>
          <w:sz w:val="20"/>
          <w:szCs w:val="20"/>
        </w:rPr>
        <w:t>result</w:t>
      </w:r>
    </w:p>
    <w:p>
      <w:pPr>
        <w:pStyle w:val="BodyText"/>
        <w:spacing w:before="1" w:line="218" w:lineRule="auto"/>
        <w:ind w:left="430"/>
        <w:rPr>
          <w:sz w:val="20"/>
          <w:szCs w:val="20"/>
        </w:rPr>
      </w:pPr>
      <w:r>
        <w:rPr>
          <w:spacing w:val="7"/>
          <w:sz w:val="20"/>
          <w:szCs w:val="20"/>
        </w:rPr>
        <w:t>对其他人员或组织提供的合格评定结果的使用。</w:t>
      </w:r>
    </w:p>
    <w:p>
      <w:pPr>
        <w:pStyle w:val="BodyText"/>
        <w:spacing w:before="51" w:line="216" w:lineRule="auto"/>
        <w:ind w:left="390"/>
        <w:rPr>
          <w:sz w:val="20"/>
          <w:szCs w:val="20"/>
        </w:rPr>
      </w:pPr>
      <w:r>
        <w:rPr>
          <w:spacing w:val="-20"/>
          <w:w w:val="98"/>
          <w:sz w:val="20"/>
          <w:szCs w:val="20"/>
        </w:rPr>
        <w:t>注：“合格评定结果”表示任何合格评定活动的输出(如报告或证书),并可能包含不</w:t>
      </w:r>
      <w:r>
        <w:rPr>
          <w:spacing w:val="-21"/>
          <w:w w:val="98"/>
          <w:sz w:val="20"/>
          <w:szCs w:val="20"/>
        </w:rPr>
        <w:t>符合的发现。</w:t>
      </w:r>
    </w:p>
    <w:p>
      <w:pPr>
        <w:pStyle w:val="BodyText"/>
        <w:spacing w:before="119" w:line="183" w:lineRule="auto"/>
        <w:ind w:left="2"/>
        <w:rPr>
          <w:sz w:val="20"/>
          <w:szCs w:val="20"/>
        </w:rPr>
      </w:pPr>
      <w:r>
        <w:rPr>
          <w:b/>
          <w:bCs/>
          <w:spacing w:val="-5"/>
          <w:sz w:val="20"/>
          <w:szCs w:val="20"/>
        </w:rPr>
        <w:t>8.7</w:t>
      </w:r>
    </w:p>
    <w:p>
      <w:pPr>
        <w:spacing w:before="49" w:line="212" w:lineRule="auto"/>
        <w:ind w:left="430"/>
        <w:rPr>
          <w:rFonts w:ascii="Times New Roman" w:eastAsia="Times New Roman" w:hAnsi="Times New Roman" w:cs="Times New Roman"/>
          <w:sz w:val="20"/>
          <w:szCs w:val="20"/>
        </w:rPr>
      </w:pPr>
      <w:r>
        <w:rPr>
          <w:rFonts w:ascii="SimHei" w:eastAsia="SimHei" w:hAnsi="SimHei" w:cs="SimHei"/>
          <w:spacing w:val="-1"/>
          <w:sz w:val="20"/>
          <w:szCs w:val="20"/>
        </w:rPr>
        <w:t>单边安排</w:t>
      </w:r>
      <w:r>
        <w:rPr>
          <w:rFonts w:ascii="SimHei" w:eastAsia="SimHei" w:hAnsi="SimHei" w:cs="SimHei"/>
          <w:spacing w:val="17"/>
          <w:sz w:val="20"/>
          <w:szCs w:val="20"/>
        </w:rPr>
        <w:t xml:space="preserve">  </w:t>
      </w:r>
      <w:r>
        <w:rPr>
          <w:rFonts w:ascii="Times New Roman" w:eastAsia="Times New Roman" w:hAnsi="Times New Roman" w:cs="Times New Roman"/>
          <w:spacing w:val="-1"/>
          <w:sz w:val="20"/>
          <w:szCs w:val="20"/>
        </w:rPr>
        <w:t>unilateral     arrangement</w:t>
      </w:r>
    </w:p>
    <w:p>
      <w:pPr>
        <w:pStyle w:val="BodyText"/>
        <w:spacing w:before="123" w:line="219" w:lineRule="auto"/>
        <w:ind w:left="430"/>
        <w:rPr>
          <w:sz w:val="20"/>
          <w:szCs w:val="20"/>
        </w:rPr>
      </w:pPr>
      <w:r>
        <w:rPr>
          <w:spacing w:val="7"/>
          <w:sz w:val="20"/>
          <w:szCs w:val="20"/>
        </w:rPr>
        <w:t>一方承认或接受另一方的合格评定结果的安排。</w:t>
      </w:r>
    </w:p>
    <w:p>
      <w:pPr>
        <w:spacing w:line="219" w:lineRule="auto"/>
        <w:rPr>
          <w:sz w:val="20"/>
          <w:szCs w:val="20"/>
        </w:rPr>
        <w:sectPr>
          <w:footerReference w:type="default" r:id="rId20"/>
          <w:type w:val="nextPage"/>
          <w:pgSz w:w="11910" w:h="16840"/>
          <w:pgMar w:top="1370" w:right="1476" w:bottom="1278" w:left="1239" w:header="0" w:footer="1139" w:gutter="0"/>
          <w:pgNumType w:start="20"/>
          <w:cols w:space="708"/>
          <w:titlePg w:val="0"/>
        </w:sectPr>
      </w:pPr>
    </w:p>
    <w:p>
      <w:pPr>
        <w:pStyle w:val="BodyText"/>
        <w:spacing w:before="40" w:line="224" w:lineRule="auto"/>
        <w:jc w:val="right"/>
        <w:rPr>
          <w:sz w:val="20"/>
          <w:szCs w:val="20"/>
        </w:rPr>
      </w:pPr>
      <w:r>
        <w:rPr>
          <w:b/>
          <w:bCs/>
          <w:spacing w:val="-3"/>
          <w:sz w:val="20"/>
          <w:szCs w:val="20"/>
        </w:rPr>
        <w:t>GB/T</w:t>
      </w:r>
      <w:r>
        <w:rPr>
          <w:spacing w:val="25"/>
          <w:sz w:val="20"/>
          <w:szCs w:val="20"/>
        </w:rPr>
        <w:t xml:space="preserve">  </w:t>
      </w:r>
      <w:r>
        <w:rPr>
          <w:b/>
          <w:bCs/>
          <w:spacing w:val="-3"/>
          <w:sz w:val="20"/>
          <w:szCs w:val="20"/>
        </w:rPr>
        <w:t>27000—2023/ISO/IE</w:t>
      </w:r>
      <w:r>
        <w:rPr>
          <w:b/>
          <w:bCs/>
          <w:spacing w:val="-4"/>
          <w:sz w:val="20"/>
          <w:szCs w:val="20"/>
        </w:rPr>
        <w:t>C</w:t>
      </w:r>
      <w:r>
        <w:rPr>
          <w:spacing w:val="31"/>
          <w:sz w:val="20"/>
          <w:szCs w:val="20"/>
        </w:rPr>
        <w:t xml:space="preserve">  </w:t>
      </w:r>
      <w:r>
        <w:rPr>
          <w:b/>
          <w:bCs/>
          <w:spacing w:val="-4"/>
          <w:sz w:val="20"/>
          <w:szCs w:val="20"/>
        </w:rPr>
        <w:t>17000:2020</w:t>
      </w:r>
    </w:p>
    <w:p>
      <w:pPr>
        <w:pStyle w:val="BodyText"/>
        <w:spacing w:before="281" w:line="216" w:lineRule="auto"/>
        <w:ind w:left="389"/>
        <w:rPr>
          <w:sz w:val="20"/>
          <w:szCs w:val="20"/>
        </w:rPr>
      </w:pPr>
      <w:r>
        <w:rPr>
          <w:spacing w:val="-20"/>
          <w:w w:val="98"/>
          <w:sz w:val="20"/>
          <w:szCs w:val="20"/>
        </w:rPr>
        <w:t>注：“合格评定结果”表示任何合格评定活动的输出(如报告或</w:t>
      </w:r>
      <w:r>
        <w:rPr>
          <w:spacing w:val="-21"/>
          <w:w w:val="98"/>
          <w:sz w:val="20"/>
          <w:szCs w:val="20"/>
        </w:rPr>
        <w:t>证书),并可能包含不符合的发现。</w:t>
      </w:r>
    </w:p>
    <w:p>
      <w:pPr>
        <w:pStyle w:val="BodyText"/>
        <w:spacing w:before="128" w:line="183" w:lineRule="auto"/>
        <w:ind w:left="2"/>
        <w:rPr>
          <w:sz w:val="20"/>
          <w:szCs w:val="20"/>
        </w:rPr>
      </w:pPr>
      <w:r>
        <w:rPr>
          <w:b/>
          <w:bCs/>
          <w:spacing w:val="-5"/>
          <w:sz w:val="20"/>
          <w:szCs w:val="20"/>
        </w:rPr>
        <w:t>8.8</w:t>
      </w:r>
    </w:p>
    <w:p>
      <w:pPr>
        <w:spacing w:before="59" w:line="212" w:lineRule="auto"/>
        <w:ind w:left="432"/>
        <w:rPr>
          <w:rFonts w:ascii="Times New Roman" w:eastAsia="Times New Roman" w:hAnsi="Times New Roman" w:cs="Times New Roman"/>
          <w:sz w:val="20"/>
          <w:szCs w:val="20"/>
        </w:rPr>
      </w:pPr>
      <w:r>
        <w:rPr>
          <w:rFonts w:ascii="SimHei" w:eastAsia="SimHei" w:hAnsi="SimHei" w:cs="SimHei"/>
          <w:b/>
          <w:bCs/>
          <w:spacing w:val="-1"/>
          <w:sz w:val="20"/>
          <w:szCs w:val="20"/>
        </w:rPr>
        <w:t>双边安排</w:t>
      </w:r>
      <w:r>
        <w:rPr>
          <w:rFonts w:ascii="SimHei" w:eastAsia="SimHei" w:hAnsi="SimHei" w:cs="SimHei"/>
          <w:spacing w:val="-1"/>
          <w:sz w:val="20"/>
          <w:szCs w:val="20"/>
        </w:rPr>
        <w:t xml:space="preserve">  </w:t>
      </w:r>
      <w:r>
        <w:rPr>
          <w:rFonts w:ascii="Times New Roman" w:eastAsia="Times New Roman" w:hAnsi="Times New Roman" w:cs="Times New Roman"/>
          <w:b/>
          <w:bCs/>
          <w:spacing w:val="-1"/>
          <w:sz w:val="20"/>
          <w:szCs w:val="20"/>
        </w:rPr>
        <w:t>bilateral  arrang</w:t>
      </w:r>
      <w:r>
        <w:rPr>
          <w:rFonts w:ascii="Times New Roman" w:eastAsia="Times New Roman" w:hAnsi="Times New Roman" w:cs="Times New Roman"/>
          <w:b/>
          <w:bCs/>
          <w:spacing w:val="-2"/>
          <w:sz w:val="20"/>
          <w:szCs w:val="20"/>
        </w:rPr>
        <w:t>ement</w:t>
      </w:r>
    </w:p>
    <w:p>
      <w:pPr>
        <w:pStyle w:val="BodyText"/>
        <w:spacing w:before="103" w:line="219" w:lineRule="auto"/>
        <w:ind w:left="429"/>
        <w:rPr>
          <w:sz w:val="20"/>
          <w:szCs w:val="20"/>
        </w:rPr>
      </w:pPr>
      <w:r>
        <w:rPr>
          <w:spacing w:val="6"/>
          <w:sz w:val="20"/>
          <w:szCs w:val="20"/>
        </w:rPr>
        <w:t>双方承认或接受彼此的合格评定结果的安排。</w:t>
      </w:r>
    </w:p>
    <w:p>
      <w:pPr>
        <w:pStyle w:val="BodyText"/>
        <w:spacing w:before="38" w:line="251" w:lineRule="auto"/>
        <w:ind w:right="1427" w:firstLine="389"/>
        <w:rPr>
          <w:sz w:val="20"/>
          <w:szCs w:val="20"/>
        </w:rPr>
      </w:pPr>
      <w:r>
        <w:rPr>
          <w:spacing w:val="-21"/>
          <w:w w:val="98"/>
          <w:sz w:val="20"/>
          <w:szCs w:val="20"/>
        </w:rPr>
        <w:t>注：“合格评定结果”表示任何合格评定活动的输出(如报告或证书),并可能包含不符合的发现。</w:t>
      </w:r>
      <w:r>
        <w:rPr>
          <w:spacing w:val="3"/>
          <w:sz w:val="20"/>
          <w:szCs w:val="20"/>
        </w:rPr>
        <w:t xml:space="preserve"> </w:t>
      </w:r>
      <w:r>
        <w:rPr>
          <w:spacing w:val="-2"/>
          <w:sz w:val="20"/>
          <w:szCs w:val="20"/>
        </w:rPr>
        <w:t>8.9</w:t>
      </w:r>
    </w:p>
    <w:p>
      <w:pPr>
        <w:pStyle w:val="BodyText"/>
        <w:spacing w:before="91" w:line="217" w:lineRule="auto"/>
        <w:ind w:left="432"/>
        <w:rPr>
          <w:sz w:val="20"/>
          <w:szCs w:val="20"/>
        </w:rPr>
      </w:pPr>
      <w:r>
        <w:rPr>
          <w:rFonts w:ascii="SimHei" w:eastAsia="SimHei" w:hAnsi="SimHei" w:cs="SimHei"/>
          <w:b/>
          <w:bCs/>
          <w:spacing w:val="-10"/>
          <w:sz w:val="20"/>
          <w:szCs w:val="20"/>
        </w:rPr>
        <w:t>多边安排</w:t>
      </w:r>
      <w:r>
        <w:rPr>
          <w:rFonts w:ascii="SimHei" w:eastAsia="SimHei" w:hAnsi="SimHei" w:cs="SimHei"/>
          <w:spacing w:val="14"/>
          <w:sz w:val="20"/>
          <w:szCs w:val="20"/>
        </w:rPr>
        <w:t xml:space="preserve">  </w:t>
      </w:r>
      <w:r>
        <w:rPr>
          <w:b/>
          <w:bCs/>
          <w:spacing w:val="-10"/>
          <w:sz w:val="20"/>
          <w:szCs w:val="20"/>
        </w:rPr>
        <w:t>multilateral</w:t>
      </w:r>
      <w:r>
        <w:rPr>
          <w:spacing w:val="-10"/>
          <w:sz w:val="20"/>
          <w:szCs w:val="20"/>
        </w:rPr>
        <w:t xml:space="preserve"> </w:t>
      </w:r>
      <w:r>
        <w:rPr>
          <w:b/>
          <w:bCs/>
          <w:spacing w:val="-10"/>
          <w:sz w:val="20"/>
          <w:szCs w:val="20"/>
        </w:rPr>
        <w:t>arrangement</w:t>
      </w:r>
    </w:p>
    <w:p>
      <w:pPr>
        <w:pStyle w:val="BodyText"/>
        <w:spacing w:before="64" w:line="219" w:lineRule="auto"/>
        <w:ind w:left="429"/>
        <w:rPr>
          <w:sz w:val="20"/>
          <w:szCs w:val="20"/>
        </w:rPr>
      </w:pPr>
      <w:r>
        <w:rPr>
          <w:spacing w:val="7"/>
          <w:sz w:val="20"/>
          <w:szCs w:val="20"/>
        </w:rPr>
        <w:t>两方以上的各方之间承认或接受彼此的合格评定结果的安排。</w:t>
      </w:r>
    </w:p>
    <w:p>
      <w:pPr>
        <w:pStyle w:val="BodyText"/>
        <w:spacing w:before="60" w:line="216" w:lineRule="auto"/>
        <w:ind w:left="389"/>
        <w:rPr>
          <w:sz w:val="20"/>
          <w:szCs w:val="20"/>
        </w:rPr>
      </w:pPr>
      <w:r>
        <w:rPr>
          <w:spacing w:val="-20"/>
          <w:w w:val="98"/>
          <w:sz w:val="20"/>
          <w:szCs w:val="20"/>
        </w:rPr>
        <w:t>注：“合格评定结果”表示任何合格评定活动的输出(如报告或</w:t>
      </w:r>
      <w:r>
        <w:rPr>
          <w:spacing w:val="-21"/>
          <w:w w:val="98"/>
          <w:sz w:val="20"/>
          <w:szCs w:val="20"/>
        </w:rPr>
        <w:t>证书),并可能包含不符合的发现。</w:t>
      </w:r>
    </w:p>
    <w:p>
      <w:pPr>
        <w:pStyle w:val="BodyText"/>
        <w:spacing w:before="117" w:line="184" w:lineRule="auto"/>
        <w:ind w:left="2"/>
        <w:rPr>
          <w:sz w:val="20"/>
          <w:szCs w:val="20"/>
        </w:rPr>
      </w:pPr>
      <w:r>
        <w:rPr>
          <w:b/>
          <w:bCs/>
          <w:spacing w:val="-4"/>
          <w:sz w:val="20"/>
          <w:szCs w:val="20"/>
        </w:rPr>
        <w:t>8.10</w:t>
      </w:r>
    </w:p>
    <w:p>
      <w:pPr>
        <w:spacing w:before="70" w:line="212" w:lineRule="auto"/>
        <w:ind w:left="429"/>
        <w:rPr>
          <w:rFonts w:ascii="Times New Roman" w:eastAsia="Times New Roman" w:hAnsi="Times New Roman" w:cs="Times New Roman"/>
          <w:sz w:val="20"/>
          <w:szCs w:val="20"/>
        </w:rPr>
      </w:pPr>
      <w:r>
        <w:rPr>
          <w:rFonts w:ascii="SimHei" w:eastAsia="SimHei" w:hAnsi="SimHei" w:cs="SimHei"/>
          <w:spacing w:val="9"/>
          <w:sz w:val="20"/>
          <w:szCs w:val="20"/>
        </w:rPr>
        <w:t>协议集团</w:t>
      </w:r>
      <w:r>
        <w:rPr>
          <w:rFonts w:ascii="SimHei" w:eastAsia="SimHei" w:hAnsi="SimHei" w:cs="SimHei"/>
          <w:spacing w:val="81"/>
          <w:sz w:val="20"/>
          <w:szCs w:val="20"/>
        </w:rPr>
        <w:t xml:space="preserve"> </w:t>
      </w:r>
      <w:r>
        <w:rPr>
          <w:rFonts w:ascii="Times New Roman" w:eastAsia="Times New Roman" w:hAnsi="Times New Roman" w:cs="Times New Roman"/>
          <w:sz w:val="20"/>
          <w:szCs w:val="20"/>
        </w:rPr>
        <w:t>agreement   group</w:t>
      </w:r>
    </w:p>
    <w:p>
      <w:pPr>
        <w:pStyle w:val="BodyText"/>
        <w:spacing w:before="102" w:line="219" w:lineRule="auto"/>
        <w:ind w:left="429"/>
        <w:rPr>
          <w:sz w:val="20"/>
          <w:szCs w:val="20"/>
        </w:rPr>
      </w:pPr>
      <w:r>
        <w:rPr>
          <w:spacing w:val="5"/>
          <w:sz w:val="20"/>
          <w:szCs w:val="20"/>
        </w:rPr>
        <w:t>基于某项协议约定的全部签约机构。</w:t>
      </w:r>
    </w:p>
    <w:p>
      <w:pPr>
        <w:pStyle w:val="BodyText"/>
        <w:spacing w:before="102" w:line="184" w:lineRule="auto"/>
        <w:ind w:left="2"/>
        <w:rPr>
          <w:sz w:val="20"/>
          <w:szCs w:val="20"/>
        </w:rPr>
      </w:pPr>
      <w:r>
        <w:rPr>
          <w:b/>
          <w:bCs/>
          <w:spacing w:val="-4"/>
          <w:sz w:val="20"/>
          <w:szCs w:val="20"/>
        </w:rPr>
        <w:t>8.11</w:t>
      </w:r>
    </w:p>
    <w:p>
      <w:pPr>
        <w:spacing w:before="79" w:line="212" w:lineRule="auto"/>
        <w:ind w:left="429"/>
        <w:rPr>
          <w:rFonts w:ascii="Times New Roman" w:eastAsia="Times New Roman" w:hAnsi="Times New Roman" w:cs="Times New Roman"/>
          <w:sz w:val="20"/>
          <w:szCs w:val="20"/>
        </w:rPr>
      </w:pPr>
      <w:r>
        <w:rPr>
          <w:rFonts w:ascii="SimHei" w:eastAsia="SimHei" w:hAnsi="SimHei" w:cs="SimHei"/>
          <w:spacing w:val="9"/>
          <w:sz w:val="20"/>
          <w:szCs w:val="20"/>
        </w:rPr>
        <w:t>互惠</w:t>
      </w:r>
      <w:r>
        <w:rPr>
          <w:rFonts w:ascii="SimHei" w:eastAsia="SimHei" w:hAnsi="SimHei" w:cs="SimHei"/>
          <w:spacing w:val="9"/>
          <w:sz w:val="20"/>
          <w:szCs w:val="20"/>
        </w:rPr>
        <w:t xml:space="preserve">  </w:t>
      </w:r>
      <w:r>
        <w:rPr>
          <w:rFonts w:ascii="Times New Roman" w:eastAsia="Times New Roman" w:hAnsi="Times New Roman" w:cs="Times New Roman"/>
          <w:sz w:val="20"/>
          <w:szCs w:val="20"/>
        </w:rPr>
        <w:t>reciprocity</w:t>
      </w:r>
    </w:p>
    <w:p>
      <w:pPr>
        <w:pStyle w:val="BodyText"/>
        <w:spacing w:before="94" w:line="219" w:lineRule="auto"/>
        <w:ind w:left="429"/>
        <w:rPr>
          <w:sz w:val="20"/>
          <w:szCs w:val="20"/>
        </w:rPr>
      </w:pPr>
      <w:r>
        <w:rPr>
          <w:spacing w:val="6"/>
          <w:sz w:val="20"/>
          <w:szCs w:val="20"/>
        </w:rPr>
        <w:t>双方彼此拥有相同的权利和义务的关系。</w:t>
      </w:r>
    </w:p>
    <w:p>
      <w:pPr>
        <w:pStyle w:val="BodyText"/>
        <w:spacing w:before="43" w:line="219" w:lineRule="auto"/>
        <w:ind w:left="389"/>
        <w:rPr>
          <w:sz w:val="20"/>
          <w:szCs w:val="20"/>
        </w:rPr>
      </w:pPr>
      <w:r>
        <w:rPr>
          <w:spacing w:val="-16"/>
          <w:sz w:val="20"/>
          <w:szCs w:val="20"/>
        </w:rPr>
        <w:t>注1:互惠可能存在于由双边互惠关系的网络构成的多边安排(8.9)中。</w:t>
      </w:r>
    </w:p>
    <w:p>
      <w:pPr>
        <w:pStyle w:val="BodyText"/>
        <w:spacing w:before="51" w:line="219" w:lineRule="auto"/>
        <w:ind w:left="389"/>
        <w:rPr>
          <w:sz w:val="20"/>
          <w:szCs w:val="20"/>
        </w:rPr>
      </w:pPr>
      <w:r>
        <w:rPr>
          <w:spacing w:val="-19"/>
          <w:sz w:val="20"/>
          <w:szCs w:val="20"/>
        </w:rPr>
        <w:t>注2:尽管双方权利和义务相同，但由此产生的机会可能不同。这可能导致双方关系不</w:t>
      </w:r>
      <w:r>
        <w:rPr>
          <w:spacing w:val="-20"/>
          <w:sz w:val="20"/>
          <w:szCs w:val="20"/>
        </w:rPr>
        <w:t>平等。</w:t>
      </w:r>
    </w:p>
    <w:p>
      <w:pPr>
        <w:pStyle w:val="BodyText"/>
        <w:spacing w:before="112" w:line="184" w:lineRule="auto"/>
        <w:ind w:left="2"/>
        <w:rPr>
          <w:sz w:val="20"/>
          <w:szCs w:val="20"/>
        </w:rPr>
      </w:pPr>
      <w:r>
        <w:rPr>
          <w:b/>
          <w:bCs/>
          <w:spacing w:val="-4"/>
          <w:sz w:val="20"/>
          <w:szCs w:val="20"/>
        </w:rPr>
        <w:t>8.12</w:t>
      </w:r>
    </w:p>
    <w:p>
      <w:pPr>
        <w:spacing w:before="70" w:line="212" w:lineRule="auto"/>
        <w:ind w:left="432"/>
        <w:rPr>
          <w:rFonts w:ascii="Times New Roman" w:eastAsia="Times New Roman" w:hAnsi="Times New Roman" w:cs="Times New Roman"/>
          <w:sz w:val="20"/>
          <w:szCs w:val="20"/>
        </w:rPr>
      </w:pPr>
      <w:r>
        <w:rPr>
          <w:rFonts w:ascii="SimHei" w:eastAsia="SimHei" w:hAnsi="SimHei" w:cs="SimHei"/>
          <w:b/>
          <w:bCs/>
          <w:spacing w:val="-2"/>
          <w:sz w:val="20"/>
          <w:szCs w:val="20"/>
        </w:rPr>
        <w:t>平等待遇</w:t>
      </w:r>
      <w:r>
        <w:rPr>
          <w:rFonts w:ascii="SimHei" w:eastAsia="SimHei" w:hAnsi="SimHei" w:cs="SimHei"/>
          <w:spacing w:val="20"/>
          <w:sz w:val="20"/>
          <w:szCs w:val="20"/>
        </w:rPr>
        <w:t xml:space="preserve">  </w:t>
      </w:r>
      <w:r>
        <w:rPr>
          <w:rFonts w:ascii="Times New Roman" w:eastAsia="Times New Roman" w:hAnsi="Times New Roman" w:cs="Times New Roman"/>
          <w:b/>
          <w:bCs/>
          <w:spacing w:val="-2"/>
          <w:sz w:val="20"/>
          <w:szCs w:val="20"/>
        </w:rPr>
        <w:t>equal</w:t>
      </w:r>
      <w:r>
        <w:rPr>
          <w:rFonts w:ascii="Times New Roman" w:eastAsia="Times New Roman" w:hAnsi="Times New Roman" w:cs="Times New Roman"/>
          <w:b/>
          <w:bCs/>
          <w:spacing w:val="45"/>
          <w:sz w:val="20"/>
          <w:szCs w:val="20"/>
        </w:rPr>
        <w:t xml:space="preserve"> </w:t>
      </w:r>
      <w:r>
        <w:rPr>
          <w:rFonts w:ascii="Times New Roman" w:eastAsia="Times New Roman" w:hAnsi="Times New Roman" w:cs="Times New Roman"/>
          <w:b/>
          <w:bCs/>
          <w:spacing w:val="-2"/>
          <w:sz w:val="20"/>
          <w:szCs w:val="20"/>
        </w:rPr>
        <w:t>treatment</w:t>
      </w:r>
    </w:p>
    <w:p>
      <w:pPr>
        <w:pStyle w:val="BodyText"/>
        <w:spacing w:before="102" w:line="253" w:lineRule="auto"/>
        <w:ind w:right="44" w:firstLine="429"/>
        <w:rPr>
          <w:sz w:val="20"/>
          <w:szCs w:val="20"/>
        </w:rPr>
      </w:pPr>
      <w:r>
        <w:rPr>
          <w:spacing w:val="4"/>
          <w:sz w:val="20"/>
          <w:szCs w:val="20"/>
        </w:rPr>
        <w:t>在可比的情况下，给予来自某一供方的产品、服务</w:t>
      </w:r>
      <w:r>
        <w:rPr>
          <w:spacing w:val="3"/>
          <w:sz w:val="20"/>
          <w:szCs w:val="20"/>
        </w:rPr>
        <w:t>或过程的待遇不低于来自其他任何供方的类似产</w:t>
      </w:r>
      <w:r>
        <w:rPr>
          <w:sz w:val="20"/>
          <w:szCs w:val="20"/>
        </w:rPr>
        <w:t xml:space="preserve"> </w:t>
      </w:r>
      <w:r>
        <w:rPr>
          <w:spacing w:val="-5"/>
          <w:sz w:val="20"/>
          <w:szCs w:val="20"/>
        </w:rPr>
        <w:t>品、服务或过程的待遇。</w:t>
      </w:r>
    </w:p>
    <w:p>
      <w:pPr>
        <w:pStyle w:val="BodyText"/>
        <w:spacing w:before="111" w:line="184" w:lineRule="auto"/>
        <w:ind w:left="2"/>
        <w:rPr>
          <w:sz w:val="20"/>
          <w:szCs w:val="20"/>
        </w:rPr>
      </w:pPr>
      <w:r>
        <w:rPr>
          <w:b/>
          <w:bCs/>
          <w:spacing w:val="-4"/>
          <w:sz w:val="20"/>
          <w:szCs w:val="20"/>
        </w:rPr>
        <w:t>8.13</w:t>
      </w:r>
    </w:p>
    <w:p>
      <w:pPr>
        <w:spacing w:before="80" w:line="222" w:lineRule="auto"/>
        <w:ind w:left="432"/>
        <w:rPr>
          <w:rFonts w:ascii="Times New Roman" w:eastAsia="Times New Roman" w:hAnsi="Times New Roman" w:cs="Times New Roman"/>
          <w:sz w:val="20"/>
          <w:szCs w:val="20"/>
        </w:rPr>
      </w:pPr>
      <w:r>
        <w:rPr>
          <w:rFonts w:ascii="SimHei" w:eastAsia="SimHei" w:hAnsi="SimHei" w:cs="SimHei"/>
          <w:b/>
          <w:bCs/>
          <w:spacing w:val="-2"/>
          <w:sz w:val="20"/>
          <w:szCs w:val="20"/>
        </w:rPr>
        <w:t>国民待遇</w:t>
      </w:r>
      <w:r>
        <w:rPr>
          <w:rFonts w:ascii="SimHei" w:eastAsia="SimHei" w:hAnsi="SimHei" w:cs="SimHei"/>
          <w:spacing w:val="14"/>
          <w:sz w:val="20"/>
          <w:szCs w:val="20"/>
        </w:rPr>
        <w:t xml:space="preserve">  </w:t>
      </w:r>
      <w:r>
        <w:rPr>
          <w:rFonts w:ascii="Times New Roman" w:eastAsia="Times New Roman" w:hAnsi="Times New Roman" w:cs="Times New Roman"/>
          <w:b/>
          <w:bCs/>
          <w:spacing w:val="-2"/>
          <w:sz w:val="20"/>
          <w:szCs w:val="20"/>
        </w:rPr>
        <w:t>national</w:t>
      </w:r>
      <w:r>
        <w:rPr>
          <w:rFonts w:ascii="Times New Roman" w:eastAsia="Times New Roman" w:hAnsi="Times New Roman" w:cs="Times New Roman"/>
          <w:b/>
          <w:bCs/>
          <w:spacing w:val="40"/>
          <w:sz w:val="20"/>
          <w:szCs w:val="20"/>
        </w:rPr>
        <w:t xml:space="preserve"> </w:t>
      </w:r>
      <w:r>
        <w:rPr>
          <w:rFonts w:ascii="Times New Roman" w:eastAsia="Times New Roman" w:hAnsi="Times New Roman" w:cs="Times New Roman"/>
          <w:b/>
          <w:bCs/>
          <w:spacing w:val="-2"/>
          <w:sz w:val="20"/>
          <w:szCs w:val="20"/>
        </w:rPr>
        <w:t>treatment</w:t>
      </w:r>
    </w:p>
    <w:p>
      <w:pPr>
        <w:pStyle w:val="BodyText"/>
        <w:spacing w:before="82" w:line="248" w:lineRule="auto"/>
        <w:ind w:right="48" w:firstLine="429"/>
        <w:rPr>
          <w:sz w:val="20"/>
          <w:szCs w:val="20"/>
        </w:rPr>
      </w:pPr>
      <w:r>
        <w:rPr>
          <w:spacing w:val="4"/>
          <w:sz w:val="20"/>
          <w:szCs w:val="20"/>
        </w:rPr>
        <w:t>在可比的情况下，给予来自其他国家的产品</w:t>
      </w:r>
      <w:r>
        <w:rPr>
          <w:spacing w:val="3"/>
          <w:sz w:val="20"/>
          <w:szCs w:val="20"/>
        </w:rPr>
        <w:t>、服务或过程的待遇不低于来自本国的类似产品、服务</w:t>
      </w:r>
      <w:r>
        <w:rPr>
          <w:sz w:val="20"/>
          <w:szCs w:val="20"/>
        </w:rPr>
        <w:t xml:space="preserve"> </w:t>
      </w:r>
      <w:r>
        <w:rPr>
          <w:spacing w:val="4"/>
          <w:sz w:val="20"/>
          <w:szCs w:val="20"/>
        </w:rPr>
        <w:t>或过程的待遇。</w:t>
      </w:r>
    </w:p>
    <w:p>
      <w:pPr>
        <w:pStyle w:val="BodyText"/>
        <w:spacing w:before="121" w:line="184" w:lineRule="auto"/>
        <w:ind w:left="2"/>
        <w:rPr>
          <w:sz w:val="20"/>
          <w:szCs w:val="20"/>
        </w:rPr>
      </w:pPr>
      <w:r>
        <w:rPr>
          <w:b/>
          <w:bCs/>
          <w:spacing w:val="-4"/>
          <w:sz w:val="20"/>
          <w:szCs w:val="20"/>
        </w:rPr>
        <w:t>8.14</w:t>
      </w:r>
    </w:p>
    <w:p>
      <w:pPr>
        <w:spacing w:before="70" w:line="212" w:lineRule="auto"/>
        <w:ind w:left="432"/>
        <w:rPr>
          <w:rFonts w:ascii="Times New Roman" w:eastAsia="Times New Roman" w:hAnsi="Times New Roman" w:cs="Times New Roman"/>
          <w:sz w:val="20"/>
          <w:szCs w:val="20"/>
        </w:rPr>
      </w:pPr>
      <w:r>
        <w:rPr>
          <w:rFonts w:ascii="SimHei" w:eastAsia="SimHei" w:hAnsi="SimHei" w:cs="SimHei"/>
          <w:b/>
          <w:bCs/>
          <w:spacing w:val="2"/>
          <w:sz w:val="20"/>
          <w:szCs w:val="20"/>
        </w:rPr>
        <w:t>平等和国民待遇</w:t>
      </w:r>
      <w:r>
        <w:rPr>
          <w:rFonts w:ascii="SimHei" w:eastAsia="SimHei" w:hAnsi="SimHei" w:cs="SimHei"/>
          <w:spacing w:val="2"/>
          <w:sz w:val="20"/>
          <w:szCs w:val="20"/>
        </w:rPr>
        <w:t xml:space="preserve">  </w:t>
      </w:r>
      <w:r>
        <w:rPr>
          <w:rFonts w:ascii="Times New Roman" w:eastAsia="Times New Roman" w:hAnsi="Times New Roman" w:cs="Times New Roman"/>
          <w:b/>
          <w:bCs/>
          <w:sz w:val="20"/>
          <w:szCs w:val="20"/>
        </w:rPr>
        <w:t>equal</w:t>
      </w:r>
      <w:r>
        <w:rPr>
          <w:rFonts w:ascii="Times New Roman" w:eastAsia="Times New Roman" w:hAnsi="Times New Roman" w:cs="Times New Roman"/>
          <w:b/>
          <w:bCs/>
          <w:spacing w:val="26"/>
          <w:w w:val="101"/>
          <w:sz w:val="20"/>
          <w:szCs w:val="20"/>
        </w:rPr>
        <w:t xml:space="preserve"> </w:t>
      </w:r>
      <w:r>
        <w:rPr>
          <w:rFonts w:ascii="Times New Roman" w:eastAsia="Times New Roman" w:hAnsi="Times New Roman" w:cs="Times New Roman"/>
          <w:b/>
          <w:bCs/>
          <w:sz w:val="20"/>
          <w:szCs w:val="20"/>
        </w:rPr>
        <w:t>and</w:t>
      </w:r>
      <w:r>
        <w:rPr>
          <w:rFonts w:ascii="Times New Roman" w:eastAsia="Times New Roman" w:hAnsi="Times New Roman" w:cs="Times New Roman"/>
          <w:b/>
          <w:bCs/>
          <w:spacing w:val="19"/>
          <w:w w:val="101"/>
          <w:sz w:val="20"/>
          <w:szCs w:val="20"/>
        </w:rPr>
        <w:t xml:space="preserve"> </w:t>
      </w:r>
      <w:r>
        <w:rPr>
          <w:rFonts w:ascii="Times New Roman" w:eastAsia="Times New Roman" w:hAnsi="Times New Roman" w:cs="Times New Roman"/>
          <w:b/>
          <w:bCs/>
          <w:sz w:val="20"/>
          <w:szCs w:val="20"/>
        </w:rPr>
        <w:t>national</w:t>
      </w:r>
      <w:r>
        <w:rPr>
          <w:rFonts w:ascii="Times New Roman" w:eastAsia="Times New Roman" w:hAnsi="Times New Roman" w:cs="Times New Roman"/>
          <w:b/>
          <w:bCs/>
          <w:spacing w:val="16"/>
          <w:sz w:val="20"/>
          <w:szCs w:val="20"/>
        </w:rPr>
        <w:t xml:space="preserve"> </w:t>
      </w:r>
      <w:r>
        <w:rPr>
          <w:rFonts w:ascii="Times New Roman" w:eastAsia="Times New Roman" w:hAnsi="Times New Roman" w:cs="Times New Roman"/>
          <w:b/>
          <w:bCs/>
          <w:sz w:val="20"/>
          <w:szCs w:val="20"/>
        </w:rPr>
        <w:t>treatment</w:t>
      </w:r>
    </w:p>
    <w:p>
      <w:pPr>
        <w:pStyle w:val="BodyText"/>
        <w:spacing w:before="91" w:line="258" w:lineRule="auto"/>
        <w:ind w:right="12" w:firstLine="429"/>
        <w:rPr>
          <w:sz w:val="20"/>
          <w:szCs w:val="20"/>
        </w:rPr>
      </w:pPr>
      <w:r>
        <w:rPr>
          <w:spacing w:val="4"/>
          <w:sz w:val="20"/>
          <w:szCs w:val="20"/>
        </w:rPr>
        <w:t>在可比的情况下，给予来自其他国家的产品、服务或过程的待遇不低于来自本国或其他任何国家的</w:t>
      </w:r>
      <w:r>
        <w:rPr>
          <w:spacing w:val="12"/>
          <w:sz w:val="20"/>
          <w:szCs w:val="20"/>
        </w:rPr>
        <w:t xml:space="preserve"> </w:t>
      </w:r>
      <w:r>
        <w:rPr>
          <w:spacing w:val="-3"/>
          <w:sz w:val="20"/>
          <w:szCs w:val="20"/>
        </w:rPr>
        <w:t>类似产品、服务或过程的待遇。</w:t>
      </w:r>
    </w:p>
    <w:p>
      <w:pPr>
        <w:spacing w:line="258" w:lineRule="auto"/>
        <w:rPr>
          <w:sz w:val="20"/>
          <w:szCs w:val="20"/>
        </w:rPr>
        <w:sectPr>
          <w:footerReference w:type="default" r:id="rId21"/>
          <w:pgSz w:w="11910" w:h="16840"/>
          <w:pgMar w:top="1370" w:right="1282" w:bottom="1277" w:left="1400" w:header="0" w:footer="1139" w:gutter="0"/>
          <w:pgNumType w:start="21"/>
          <w:cols w:space="708"/>
        </w:sectPr>
      </w:pPr>
    </w:p>
    <w:p>
      <w:pPr>
        <w:pStyle w:val="BodyText"/>
        <w:spacing w:before="42" w:line="224" w:lineRule="auto"/>
        <w:ind w:left="3"/>
        <w:rPr>
          <w:sz w:val="21"/>
          <w:szCs w:val="21"/>
        </w:rPr>
      </w:pPr>
      <w:bookmarkStart w:id="6" w:name="bookmark10"/>
      <w:bookmarkEnd w:id="6"/>
      <w:r>
        <w:rPr>
          <w:b/>
          <w:bCs/>
          <w:spacing w:val="-4"/>
          <w:sz w:val="21"/>
          <w:szCs w:val="21"/>
        </w:rPr>
        <w:t>GB/T</w:t>
      </w:r>
      <w:r>
        <w:rPr>
          <w:spacing w:val="87"/>
          <w:sz w:val="21"/>
          <w:szCs w:val="21"/>
        </w:rPr>
        <w:t xml:space="preserve"> </w:t>
      </w:r>
      <w:r>
        <w:rPr>
          <w:b/>
          <w:bCs/>
          <w:spacing w:val="-4"/>
          <w:sz w:val="21"/>
          <w:szCs w:val="21"/>
        </w:rPr>
        <w:t>27000—2023/ISO/IEC</w:t>
      </w:r>
      <w:r>
        <w:rPr>
          <w:spacing w:val="81"/>
          <w:sz w:val="21"/>
          <w:szCs w:val="21"/>
        </w:rPr>
        <w:t xml:space="preserve"> </w:t>
      </w:r>
      <w:r>
        <w:rPr>
          <w:b/>
          <w:bCs/>
          <w:spacing w:val="-4"/>
          <w:sz w:val="21"/>
          <w:szCs w:val="21"/>
        </w:rPr>
        <w:t>17000:2020</w:t>
      </w:r>
    </w:p>
    <w:p>
      <w:pPr>
        <w:spacing w:line="347" w:lineRule="auto"/>
        <w:rPr>
          <w:rFonts w:ascii="Arial"/>
          <w:sz w:val="21"/>
        </w:rPr>
      </w:pPr>
    </w:p>
    <w:p>
      <w:pPr>
        <w:spacing w:line="348" w:lineRule="auto"/>
        <w:rPr>
          <w:rFonts w:ascii="Arial"/>
          <w:sz w:val="21"/>
        </w:rPr>
      </w:pPr>
    </w:p>
    <w:p>
      <w:pPr>
        <w:pStyle w:val="BodyText"/>
        <w:spacing w:before="69" w:line="329" w:lineRule="exact"/>
        <w:ind w:left="4143"/>
        <w:rPr>
          <w:sz w:val="21"/>
          <w:szCs w:val="21"/>
        </w:rPr>
      </w:pPr>
      <w:r>
        <w:rPr>
          <w:rFonts w:ascii="SimHei" w:eastAsia="SimHei" w:hAnsi="SimHei" w:cs="SimHei"/>
          <w:b/>
          <w:bCs/>
          <w:spacing w:val="-10"/>
          <w:position w:val="8"/>
          <w:sz w:val="21"/>
          <w:szCs w:val="21"/>
        </w:rPr>
        <w:t>附</w:t>
      </w:r>
      <w:r>
        <w:rPr>
          <w:rFonts w:ascii="SimHei" w:eastAsia="SimHei" w:hAnsi="SimHei" w:cs="SimHei"/>
          <w:spacing w:val="107"/>
          <w:position w:val="8"/>
          <w:sz w:val="21"/>
          <w:szCs w:val="21"/>
        </w:rPr>
        <w:t xml:space="preserve"> </w:t>
      </w:r>
      <w:r>
        <w:rPr>
          <w:rFonts w:ascii="SimHei" w:eastAsia="SimHei" w:hAnsi="SimHei" w:cs="SimHei"/>
          <w:b/>
          <w:bCs/>
          <w:spacing w:val="-10"/>
          <w:position w:val="8"/>
          <w:sz w:val="21"/>
          <w:szCs w:val="21"/>
        </w:rPr>
        <w:t>录</w:t>
      </w:r>
      <w:r>
        <w:rPr>
          <w:rFonts w:ascii="SimHei" w:eastAsia="SimHei" w:hAnsi="SimHei" w:cs="SimHei"/>
          <w:spacing w:val="-10"/>
          <w:position w:val="8"/>
          <w:sz w:val="21"/>
          <w:szCs w:val="21"/>
        </w:rPr>
        <w:t xml:space="preserve">  </w:t>
      </w:r>
      <w:r>
        <w:rPr>
          <w:b/>
          <w:bCs/>
          <w:spacing w:val="-10"/>
          <w:position w:val="8"/>
          <w:sz w:val="21"/>
          <w:szCs w:val="21"/>
        </w:rPr>
        <w:t>A</w:t>
      </w:r>
    </w:p>
    <w:p>
      <w:pPr>
        <w:spacing w:line="221" w:lineRule="auto"/>
        <w:ind w:left="4223"/>
        <w:rPr>
          <w:rFonts w:ascii="SimHei" w:eastAsia="SimHei" w:hAnsi="SimHei" w:cs="SimHei"/>
          <w:sz w:val="21"/>
          <w:szCs w:val="21"/>
        </w:rPr>
      </w:pPr>
      <w:r>
        <w:rPr>
          <w:rFonts w:ascii="SimHei" w:eastAsia="SimHei" w:hAnsi="SimHei" w:cs="SimHei"/>
          <w:b/>
          <w:bCs/>
          <w:spacing w:val="-4"/>
          <w:sz w:val="21"/>
          <w:szCs w:val="21"/>
        </w:rPr>
        <w:t>(资料性)</w:t>
      </w:r>
    </w:p>
    <w:p>
      <w:pPr>
        <w:spacing w:before="47" w:line="222" w:lineRule="auto"/>
        <w:ind w:left="3912"/>
        <w:rPr>
          <w:rFonts w:ascii="SimHei" w:eastAsia="SimHei" w:hAnsi="SimHei" w:cs="SimHei"/>
          <w:sz w:val="21"/>
          <w:szCs w:val="21"/>
        </w:rPr>
      </w:pPr>
      <w:r>
        <w:rPr>
          <w:rFonts w:ascii="SimHei" w:eastAsia="SimHei" w:hAnsi="SimHei" w:cs="SimHei"/>
          <w:b/>
          <w:bCs/>
          <w:spacing w:val="-8"/>
          <w:sz w:val="21"/>
          <w:szCs w:val="21"/>
        </w:rPr>
        <w:t>合格评定的原则</w:t>
      </w:r>
    </w:p>
    <w:p>
      <w:pPr>
        <w:spacing w:line="328" w:lineRule="auto"/>
        <w:rPr>
          <w:rFonts w:ascii="Arial"/>
          <w:sz w:val="21"/>
        </w:rPr>
      </w:pPr>
    </w:p>
    <w:p>
      <w:pPr>
        <w:pStyle w:val="BodyText"/>
        <w:spacing w:before="69" w:line="222" w:lineRule="auto"/>
        <w:ind w:left="3"/>
        <w:outlineLvl w:val="0"/>
        <w:rPr>
          <w:rFonts w:ascii="SimHei" w:eastAsia="SimHei" w:hAnsi="SimHei" w:cs="SimHei"/>
          <w:sz w:val="21"/>
          <w:szCs w:val="21"/>
        </w:rPr>
      </w:pPr>
      <w:r>
        <w:rPr>
          <w:b/>
          <w:bCs/>
          <w:spacing w:val="-4"/>
          <w:sz w:val="21"/>
          <w:szCs w:val="21"/>
        </w:rPr>
        <w:t>A.1</w:t>
      </w:r>
      <w:r>
        <w:rPr>
          <w:spacing w:val="93"/>
          <w:sz w:val="21"/>
          <w:szCs w:val="21"/>
        </w:rPr>
        <w:t xml:space="preserve"> </w:t>
      </w:r>
      <w:r>
        <w:rPr>
          <w:rFonts w:ascii="SimHei" w:eastAsia="SimHei" w:hAnsi="SimHei" w:cs="SimHei"/>
          <w:b/>
          <w:bCs/>
          <w:spacing w:val="-4"/>
          <w:sz w:val="21"/>
          <w:szCs w:val="21"/>
        </w:rPr>
        <w:t>功能法</w:t>
      </w:r>
    </w:p>
    <w:p>
      <w:pPr>
        <w:pStyle w:val="BodyText"/>
        <w:spacing w:before="220" w:line="248" w:lineRule="auto"/>
        <w:ind w:left="410" w:hanging="410"/>
        <w:rPr>
          <w:sz w:val="21"/>
          <w:szCs w:val="21"/>
        </w:rPr>
      </w:pPr>
      <w:r>
        <w:rPr>
          <w:rFonts w:ascii="Times New Roman" w:eastAsia="Times New Roman" w:hAnsi="Times New Roman" w:cs="Times New Roman"/>
          <w:b/>
          <w:bCs/>
          <w:spacing w:val="-5"/>
          <w:sz w:val="21"/>
          <w:szCs w:val="21"/>
        </w:rPr>
        <w:t xml:space="preserve">A.1.1    </w:t>
      </w:r>
      <w:r>
        <w:rPr>
          <w:spacing w:val="-5"/>
          <w:sz w:val="21"/>
          <w:szCs w:val="21"/>
        </w:rPr>
        <w:t>合格评定由以下三项功能有序组成，在需要证实满足规定要求时，这些功能可以满足这一需要：</w:t>
      </w:r>
      <w:r>
        <w:rPr>
          <w:spacing w:val="2"/>
          <w:sz w:val="21"/>
          <w:szCs w:val="21"/>
        </w:rPr>
        <w:t xml:space="preserve"> </w:t>
      </w:r>
      <w:r>
        <w:rPr>
          <w:spacing w:val="-4"/>
          <w:sz w:val="21"/>
          <w:szCs w:val="21"/>
        </w:rPr>
        <w:t>——选取；</w:t>
      </w:r>
    </w:p>
    <w:p>
      <w:pPr>
        <w:pStyle w:val="BodyText"/>
        <w:spacing w:before="57" w:line="220" w:lineRule="auto"/>
        <w:ind w:left="410"/>
        <w:rPr>
          <w:sz w:val="21"/>
          <w:szCs w:val="21"/>
        </w:rPr>
      </w:pPr>
      <w:r>
        <w:rPr>
          <w:spacing w:val="-16"/>
          <w:sz w:val="21"/>
          <w:szCs w:val="21"/>
        </w:rPr>
        <w:t>——确定；及</w:t>
      </w:r>
    </w:p>
    <w:p>
      <w:pPr>
        <w:pStyle w:val="BodyText"/>
        <w:spacing w:before="59" w:line="219" w:lineRule="auto"/>
        <w:ind w:left="410"/>
        <w:rPr>
          <w:sz w:val="21"/>
          <w:szCs w:val="21"/>
        </w:rPr>
      </w:pPr>
      <w:r>
        <w:rPr>
          <w:spacing w:val="-13"/>
          <w:sz w:val="21"/>
          <w:szCs w:val="21"/>
        </w:rPr>
        <w:t>——复核、决定与证明。</w:t>
      </w:r>
    </w:p>
    <w:p>
      <w:pPr>
        <w:pStyle w:val="BodyText"/>
        <w:spacing w:before="81" w:line="255" w:lineRule="auto"/>
        <w:ind w:right="62" w:firstLine="410"/>
        <w:rPr>
          <w:sz w:val="21"/>
          <w:szCs w:val="21"/>
        </w:rPr>
      </w:pPr>
      <w:r>
        <w:rPr>
          <w:spacing w:val="-7"/>
          <w:sz w:val="21"/>
          <w:szCs w:val="21"/>
        </w:rPr>
        <w:t>当声称满足规定要求时，这种证实能够使之更为切实可信，增加使用者的信任。标准代表了一种广</w:t>
      </w:r>
      <w:r>
        <w:rPr>
          <w:spacing w:val="12"/>
          <w:sz w:val="21"/>
          <w:szCs w:val="21"/>
        </w:rPr>
        <w:t xml:space="preserve"> </w:t>
      </w:r>
      <w:r>
        <w:rPr>
          <w:spacing w:val="-6"/>
          <w:sz w:val="21"/>
          <w:szCs w:val="21"/>
        </w:rPr>
        <w:t>泛的共识，说明了给定条件下的特定要求，所以通常被用作规定要求。因此，合格评定通常被视为一项</w:t>
      </w:r>
      <w:r>
        <w:rPr>
          <w:spacing w:val="1"/>
          <w:sz w:val="21"/>
          <w:szCs w:val="21"/>
        </w:rPr>
        <w:t xml:space="preserve"> </w:t>
      </w:r>
      <w:r>
        <w:rPr>
          <w:spacing w:val="-5"/>
          <w:sz w:val="21"/>
          <w:szCs w:val="21"/>
        </w:rPr>
        <w:t>与标准相关的活动。</w:t>
      </w:r>
    </w:p>
    <w:p>
      <w:pPr>
        <w:pStyle w:val="BodyText"/>
        <w:spacing w:before="69" w:line="250" w:lineRule="auto"/>
        <w:ind w:right="52"/>
        <w:rPr>
          <w:sz w:val="21"/>
          <w:szCs w:val="21"/>
        </w:rPr>
      </w:pPr>
      <w:r>
        <w:rPr>
          <w:rFonts w:ascii="Times New Roman" w:eastAsia="Times New Roman" w:hAnsi="Times New Roman" w:cs="Times New Roman"/>
          <w:b/>
          <w:bCs/>
          <w:spacing w:val="-21"/>
          <w:sz w:val="21"/>
          <w:szCs w:val="21"/>
        </w:rPr>
        <w:t xml:space="preserve">A.1.2    </w:t>
      </w:r>
      <w:r>
        <w:rPr>
          <w:spacing w:val="-21"/>
          <w:sz w:val="21"/>
          <w:szCs w:val="21"/>
        </w:rPr>
        <w:t>合格评定适用于产品、过程、服务、体系、装置、项目、数据、设计、材料、宣称、人员或组织，也适用</w:t>
      </w:r>
      <w:r>
        <w:rPr>
          <w:spacing w:val="9"/>
          <w:sz w:val="21"/>
          <w:szCs w:val="21"/>
        </w:rPr>
        <w:t xml:space="preserve"> </w:t>
      </w:r>
      <w:r>
        <w:rPr>
          <w:spacing w:val="-9"/>
          <w:sz w:val="21"/>
          <w:szCs w:val="21"/>
        </w:rPr>
        <w:t>于从事合格评定活动的机构。为方便起见，本文件将上述任一或所有客体统称为“合格评定对象”。</w:t>
      </w:r>
    </w:p>
    <w:p>
      <w:pPr>
        <w:pStyle w:val="BodyText"/>
        <w:spacing w:before="62" w:line="250" w:lineRule="auto"/>
        <w:ind w:right="25"/>
        <w:rPr>
          <w:sz w:val="21"/>
          <w:szCs w:val="21"/>
        </w:rPr>
      </w:pPr>
      <w:r>
        <w:rPr>
          <w:rFonts w:ascii="Times New Roman" w:eastAsia="Times New Roman" w:hAnsi="Times New Roman" w:cs="Times New Roman"/>
          <w:b/>
          <w:bCs/>
          <w:spacing w:val="-1"/>
          <w:sz w:val="21"/>
          <w:szCs w:val="21"/>
        </w:rPr>
        <w:t>A.1.3</w:t>
      </w:r>
      <w:r>
        <w:rPr>
          <w:rFonts w:ascii="Times New Roman" w:eastAsia="Times New Roman" w:hAnsi="Times New Roman" w:cs="Times New Roman"/>
          <w:b/>
          <w:bCs/>
          <w:spacing w:val="16"/>
          <w:sz w:val="21"/>
          <w:szCs w:val="21"/>
        </w:rPr>
        <w:t xml:space="preserve">   </w:t>
      </w:r>
      <w:r>
        <w:rPr>
          <w:spacing w:val="-1"/>
          <w:sz w:val="21"/>
          <w:szCs w:val="21"/>
        </w:rPr>
        <w:t>合格评定的各类使用者有其自身特定的需求，因此，</w:t>
      </w:r>
      <w:r>
        <w:rPr>
          <w:spacing w:val="-2"/>
          <w:sz w:val="21"/>
          <w:szCs w:val="21"/>
        </w:rPr>
        <w:t>所实施的不同类型的合格评定活动有很多</w:t>
      </w:r>
      <w:r>
        <w:rPr>
          <w:sz w:val="21"/>
          <w:szCs w:val="21"/>
        </w:rPr>
        <w:t xml:space="preserve"> </w:t>
      </w:r>
      <w:r>
        <w:rPr>
          <w:spacing w:val="-4"/>
          <w:sz w:val="21"/>
          <w:szCs w:val="21"/>
        </w:rPr>
        <w:t>不同。但是所有类型的合格评定都遵循相同的功能法，如图A.1</w:t>
      </w:r>
      <w:r>
        <w:rPr>
          <w:spacing w:val="-27"/>
          <w:sz w:val="21"/>
          <w:szCs w:val="21"/>
        </w:rPr>
        <w:t xml:space="preserve"> </w:t>
      </w:r>
      <w:r>
        <w:rPr>
          <w:spacing w:val="-4"/>
          <w:sz w:val="21"/>
          <w:szCs w:val="21"/>
        </w:rPr>
        <w:t>所示。</w:t>
      </w:r>
    </w:p>
    <w:p>
      <w:pPr>
        <w:pStyle w:val="BodyText"/>
        <w:spacing w:before="60" w:line="255" w:lineRule="auto"/>
        <w:ind w:right="35"/>
        <w:rPr>
          <w:sz w:val="21"/>
          <w:szCs w:val="21"/>
        </w:rPr>
      </w:pPr>
      <w:r>
        <w:rPr>
          <w:rFonts w:ascii="Times New Roman" w:eastAsia="Times New Roman" w:hAnsi="Times New Roman" w:cs="Times New Roman"/>
          <w:b/>
          <w:bCs/>
          <w:spacing w:val="3"/>
          <w:sz w:val="21"/>
          <w:szCs w:val="21"/>
        </w:rPr>
        <w:t>A.1.4</w:t>
      </w:r>
      <w:r>
        <w:rPr>
          <w:rFonts w:ascii="Times New Roman" w:eastAsia="Times New Roman" w:hAnsi="Times New Roman" w:cs="Times New Roman"/>
          <w:b/>
          <w:bCs/>
          <w:spacing w:val="16"/>
          <w:sz w:val="21"/>
          <w:szCs w:val="21"/>
        </w:rPr>
        <w:t xml:space="preserve">   </w:t>
      </w:r>
      <w:r>
        <w:rPr>
          <w:spacing w:val="3"/>
          <w:sz w:val="21"/>
          <w:szCs w:val="21"/>
        </w:rPr>
        <w:t>在图</w:t>
      </w:r>
      <w:r>
        <w:rPr>
          <w:rFonts w:ascii="Times New Roman" w:eastAsia="Times New Roman" w:hAnsi="Times New Roman" w:cs="Times New Roman"/>
          <w:spacing w:val="3"/>
          <w:sz w:val="21"/>
          <w:szCs w:val="21"/>
        </w:rPr>
        <w:t>A.1</w:t>
      </w:r>
      <w:r>
        <w:rPr>
          <w:rFonts w:ascii="Times New Roman" w:eastAsia="Times New Roman" w:hAnsi="Times New Roman" w:cs="Times New Roman"/>
          <w:spacing w:val="30"/>
          <w:sz w:val="21"/>
          <w:szCs w:val="21"/>
        </w:rPr>
        <w:t xml:space="preserve"> </w:t>
      </w:r>
      <w:r>
        <w:rPr>
          <w:spacing w:val="3"/>
          <w:sz w:val="21"/>
          <w:szCs w:val="21"/>
        </w:rPr>
        <w:t>中，图形</w:t>
      </w:r>
      <w:r>
        <w:rPr>
          <w:spacing w:val="-54"/>
          <w:sz w:val="21"/>
          <w:szCs w:val="21"/>
        </w:rPr>
        <w:t xml:space="preserve"> </w:t>
      </w:r>
      <w:r>
        <w:rPr>
          <w:rFonts w:ascii="Times New Roman" w:eastAsia="Times New Roman" w:hAnsi="Times New Roman" w:cs="Times New Roman"/>
          <w:spacing w:val="3"/>
          <w:sz w:val="21"/>
          <w:szCs w:val="21"/>
        </w:rPr>
        <w:t xml:space="preserve">A </w:t>
      </w:r>
      <w:r>
        <w:rPr>
          <w:spacing w:val="3"/>
          <w:sz w:val="21"/>
          <w:szCs w:val="21"/>
        </w:rPr>
        <w:t>代表合格评定的某项</w:t>
      </w:r>
      <w:r>
        <w:rPr>
          <w:spacing w:val="2"/>
          <w:sz w:val="21"/>
          <w:szCs w:val="21"/>
        </w:rPr>
        <w:t>功能。每项功能包含的具体活动可以因合格评定类</w:t>
      </w:r>
      <w:r>
        <w:rPr>
          <w:sz w:val="21"/>
          <w:szCs w:val="21"/>
        </w:rPr>
        <w:t xml:space="preserve"> </w:t>
      </w:r>
      <w:r>
        <w:rPr>
          <w:spacing w:val="-7"/>
          <w:sz w:val="21"/>
          <w:szCs w:val="21"/>
        </w:rPr>
        <w:t>型的不同而不同，取决于使用方的需求、规定要求的性质和所涉及的合格评定对象。</w:t>
      </w:r>
    </w:p>
    <w:p>
      <w:pPr>
        <w:pStyle w:val="BodyText"/>
        <w:spacing w:before="49" w:line="251" w:lineRule="auto"/>
        <w:ind w:right="67"/>
        <w:rPr>
          <w:sz w:val="21"/>
          <w:szCs w:val="21"/>
        </w:rPr>
      </w:pPr>
      <w:r>
        <w:rPr>
          <w:rFonts w:ascii="Times New Roman" w:eastAsia="Times New Roman" w:hAnsi="Times New Roman" w:cs="Times New Roman"/>
          <w:b/>
          <w:bCs/>
          <w:spacing w:val="-2"/>
          <w:sz w:val="21"/>
          <w:szCs w:val="21"/>
        </w:rPr>
        <w:t>A.1.5</w:t>
      </w:r>
      <w:r>
        <w:rPr>
          <w:rFonts w:ascii="Times New Roman" w:eastAsia="Times New Roman" w:hAnsi="Times New Roman" w:cs="Times New Roman"/>
          <w:b/>
          <w:bCs/>
          <w:spacing w:val="15"/>
          <w:w w:val="101"/>
          <w:sz w:val="21"/>
          <w:szCs w:val="21"/>
        </w:rPr>
        <w:t xml:space="preserve">   </w:t>
      </w:r>
      <w:r>
        <w:rPr>
          <w:spacing w:val="-2"/>
          <w:sz w:val="21"/>
          <w:szCs w:val="21"/>
        </w:rPr>
        <w:t>在图</w:t>
      </w:r>
      <w:r>
        <w:rPr>
          <w:rFonts w:ascii="Times New Roman" w:eastAsia="Times New Roman" w:hAnsi="Times New Roman" w:cs="Times New Roman"/>
          <w:spacing w:val="-2"/>
          <w:sz w:val="21"/>
          <w:szCs w:val="21"/>
        </w:rPr>
        <w:t>A.1</w:t>
      </w:r>
      <w:r>
        <w:rPr>
          <w:rFonts w:ascii="Times New Roman" w:eastAsia="Times New Roman" w:hAnsi="Times New Roman" w:cs="Times New Roman"/>
          <w:spacing w:val="31"/>
          <w:sz w:val="21"/>
          <w:szCs w:val="21"/>
        </w:rPr>
        <w:t xml:space="preserve"> </w:t>
      </w:r>
      <w:r>
        <w:rPr>
          <w:spacing w:val="-2"/>
          <w:sz w:val="21"/>
          <w:szCs w:val="21"/>
        </w:rPr>
        <w:t>中，图形</w:t>
      </w:r>
      <w:r>
        <w:rPr>
          <w:spacing w:val="-54"/>
          <w:sz w:val="21"/>
          <w:szCs w:val="21"/>
        </w:rPr>
        <w:t xml:space="preserve"> </w:t>
      </w:r>
      <w:r>
        <w:rPr>
          <w:rFonts w:ascii="Times New Roman" w:eastAsia="Times New Roman" w:hAnsi="Times New Roman" w:cs="Times New Roman"/>
          <w:spacing w:val="-2"/>
          <w:sz w:val="21"/>
          <w:szCs w:val="21"/>
        </w:rPr>
        <w:t xml:space="preserve">B </w:t>
      </w:r>
      <w:r>
        <w:rPr>
          <w:spacing w:val="-2"/>
          <w:sz w:val="21"/>
          <w:szCs w:val="21"/>
        </w:rPr>
        <w:t>代表某项功能的输出，同时也是下一项</w:t>
      </w:r>
      <w:r>
        <w:rPr>
          <w:spacing w:val="-3"/>
          <w:sz w:val="21"/>
          <w:szCs w:val="21"/>
        </w:rPr>
        <w:t>功能的输入。输出的性质会根据所</w:t>
      </w:r>
      <w:r>
        <w:rPr>
          <w:sz w:val="21"/>
          <w:szCs w:val="21"/>
        </w:rPr>
        <w:t xml:space="preserve"> </w:t>
      </w:r>
      <w:r>
        <w:rPr>
          <w:spacing w:val="-4"/>
          <w:sz w:val="21"/>
          <w:szCs w:val="21"/>
        </w:rPr>
        <w:t>执行的具体活动而变化。</w:t>
      </w:r>
    </w:p>
    <w:p>
      <w:pPr>
        <w:pStyle w:val="BodyText"/>
        <w:spacing w:before="61" w:line="219" w:lineRule="auto"/>
        <w:rPr>
          <w:sz w:val="21"/>
          <w:szCs w:val="21"/>
        </w:rPr>
      </w:pPr>
      <w:r>
        <w:rPr>
          <w:rFonts w:ascii="Times New Roman" w:eastAsia="Times New Roman" w:hAnsi="Times New Roman" w:cs="Times New Roman"/>
          <w:b/>
          <w:bCs/>
          <w:spacing w:val="-4"/>
          <w:sz w:val="21"/>
          <w:szCs w:val="21"/>
        </w:rPr>
        <w:t xml:space="preserve">A.1.6    </w:t>
      </w:r>
      <w:r>
        <w:rPr>
          <w:spacing w:val="-4"/>
          <w:sz w:val="21"/>
          <w:szCs w:val="21"/>
        </w:rPr>
        <w:t>在图</w:t>
      </w:r>
      <w:r>
        <w:rPr>
          <w:spacing w:val="-24"/>
          <w:sz w:val="21"/>
          <w:szCs w:val="21"/>
        </w:rPr>
        <w:t xml:space="preserve"> </w:t>
      </w:r>
      <w:r>
        <w:rPr>
          <w:rFonts w:ascii="Times New Roman" w:eastAsia="Times New Roman" w:hAnsi="Times New Roman" w:cs="Times New Roman"/>
          <w:spacing w:val="-4"/>
          <w:sz w:val="21"/>
          <w:szCs w:val="21"/>
        </w:rPr>
        <w:t xml:space="preserve">A.1 </w:t>
      </w:r>
      <w:r>
        <w:rPr>
          <w:spacing w:val="-4"/>
          <w:sz w:val="21"/>
          <w:szCs w:val="21"/>
        </w:rPr>
        <w:t>中，图形</w:t>
      </w:r>
      <w:r>
        <w:rPr>
          <w:rFonts w:ascii="Times New Roman" w:eastAsia="Times New Roman" w:hAnsi="Times New Roman" w:cs="Times New Roman"/>
          <w:spacing w:val="-4"/>
          <w:sz w:val="21"/>
          <w:szCs w:val="21"/>
        </w:rPr>
        <w:t>C</w:t>
      </w:r>
      <w:r>
        <w:rPr>
          <w:rFonts w:ascii="Times New Roman" w:eastAsia="Times New Roman" w:hAnsi="Times New Roman" w:cs="Times New Roman"/>
          <w:spacing w:val="15"/>
          <w:sz w:val="21"/>
          <w:szCs w:val="21"/>
        </w:rPr>
        <w:t xml:space="preserve"> </w:t>
      </w:r>
      <w:r>
        <w:rPr>
          <w:spacing w:val="-4"/>
          <w:sz w:val="21"/>
          <w:szCs w:val="21"/>
        </w:rPr>
        <w:t>代表决定。</w:t>
      </w:r>
    </w:p>
    <w:p>
      <w:pPr>
        <w:pStyle w:val="BodyText"/>
        <w:spacing w:before="71" w:line="250" w:lineRule="auto"/>
        <w:ind w:right="32"/>
        <w:rPr>
          <w:sz w:val="21"/>
          <w:szCs w:val="21"/>
        </w:rPr>
      </w:pPr>
      <w:r>
        <w:rPr>
          <w:rFonts w:ascii="Times New Roman" w:eastAsia="Times New Roman" w:hAnsi="Times New Roman" w:cs="Times New Roman"/>
          <w:b/>
          <w:bCs/>
          <w:spacing w:val="-9"/>
          <w:sz w:val="21"/>
          <w:szCs w:val="21"/>
        </w:rPr>
        <w:t xml:space="preserve">A.1.7    </w:t>
      </w:r>
      <w:r>
        <w:rPr>
          <w:spacing w:val="-9"/>
          <w:sz w:val="21"/>
          <w:szCs w:val="21"/>
        </w:rPr>
        <w:t>合格评定活动可能分为“第一方合格评定活动”(见3.3)、“第二方合格评定活动”(见3.4)或“第</w:t>
      </w:r>
      <w:r>
        <w:rPr>
          <w:spacing w:val="18"/>
          <w:sz w:val="21"/>
          <w:szCs w:val="21"/>
        </w:rPr>
        <w:t xml:space="preserve"> </w:t>
      </w:r>
      <w:r>
        <w:rPr>
          <w:spacing w:val="-9"/>
          <w:sz w:val="21"/>
          <w:szCs w:val="21"/>
        </w:rPr>
        <w:t>三方合格评定活动”(见3.5)。通常，每</w:t>
      </w:r>
      <w:r>
        <w:rPr>
          <w:spacing w:val="-10"/>
          <w:sz w:val="21"/>
          <w:szCs w:val="21"/>
        </w:rPr>
        <w:t>种合格评定活动：</w:t>
      </w:r>
    </w:p>
    <w:p>
      <w:pPr>
        <w:pStyle w:val="BodyText"/>
        <w:spacing w:before="51" w:line="219" w:lineRule="auto"/>
        <w:ind w:left="410"/>
        <w:rPr>
          <w:sz w:val="21"/>
          <w:szCs w:val="21"/>
        </w:rPr>
      </w:pPr>
      <w:r>
        <w:rPr>
          <w:spacing w:val="-6"/>
          <w:sz w:val="21"/>
          <w:szCs w:val="21"/>
        </w:rPr>
        <w:t>——受相关定义中所述的那类人员或组织的控制或指导，且</w:t>
      </w:r>
    </w:p>
    <w:p>
      <w:pPr>
        <w:pStyle w:val="BodyText"/>
        <w:spacing w:before="70" w:line="219" w:lineRule="auto"/>
        <w:ind w:left="410"/>
        <w:rPr>
          <w:sz w:val="21"/>
          <w:szCs w:val="21"/>
        </w:rPr>
      </w:pPr>
      <w:r>
        <w:rPr>
          <w:spacing w:val="-1"/>
          <w:sz w:val="21"/>
          <w:szCs w:val="21"/>
        </w:rPr>
        <w:t>——出具证明时所依据的关键决定由相关定义中所述的那类人员或组</w:t>
      </w:r>
      <w:r>
        <w:rPr>
          <w:spacing w:val="-2"/>
          <w:sz w:val="21"/>
          <w:szCs w:val="21"/>
        </w:rPr>
        <w:t>织做出。</w:t>
      </w:r>
    </w:p>
    <w:p>
      <w:pPr>
        <w:spacing w:line="219" w:lineRule="auto"/>
        <w:rPr>
          <w:sz w:val="21"/>
          <w:szCs w:val="21"/>
        </w:rPr>
      </w:pPr>
      <w:r>
        <w:rPr>
          <w:sz w:val="21"/>
          <w:szCs w:val="21"/>
        </w:rPr>
        <w:br/>
      </w:r>
      <w:r>
        <w:rPr>
          <w:sz w:val="21"/>
          <w:szCs w:val="21"/>
        </w:rPr>
        <w:br/>
      </w:r>
    </w:p>
    <w:p>
      <w:pPr>
        <w:kinsoku/>
        <w:autoSpaceDE/>
        <w:autoSpaceDN/>
        <w:adjustRightInd/>
        <w:snapToGrid/>
        <w:spacing w:after="0" w:line="240" w:lineRule="auto"/>
        <w:jc w:val="left"/>
        <w:textAlignment w:val="auto"/>
        <w:rPr>
          <w:rFonts w:ascii="SimSun" w:eastAsia="SimSun" w:hAnsi="SimSun" w:cs="SimSun"/>
          <w:b/>
          <w:bCs/>
          <w:noProof w:val="0"/>
          <w:snapToGrid/>
          <w:kern w:val="0"/>
          <w:sz w:val="30"/>
          <w:szCs w:val="30"/>
        </w:rPr>
      </w:pPr>
      <w:r>
        <w:rPr>
          <w:rFonts w:ascii="SimSun" w:eastAsia="SimSun" w:hAnsi="SimSun" w:cs="SimSun"/>
          <w:b/>
          <w:bCs/>
          <w:noProof w:val="0"/>
          <w:snapToGrid/>
          <w:kern w:val="0"/>
          <w:sz w:val="30"/>
          <w:szCs w:val="30"/>
        </w:rPr>
        <w:t>以上内容仅为本文档的试下载部分，为可阅读页数的一半内容。如要下载或阅读全文，请访问：</w:t>
      </w:r>
      <w:hyperlink r:id="rId22" w:history="1">
        <w:r>
          <w:rPr>
            <w:rFonts w:ascii="SimSun" w:eastAsia="SimSun" w:hAnsi="SimSun" w:cs="SimSun"/>
            <w:b/>
            <w:bCs/>
            <w:noProof w:val="0"/>
            <w:snapToGrid/>
            <w:color w:val="0000EE"/>
            <w:kern w:val="0"/>
            <w:sz w:val="30"/>
            <w:szCs w:val="30"/>
            <w:u w:val="single" w:color="0000EE"/>
          </w:rPr>
          <w:t>https://d.book118.com/935342130001011102</w:t>
        </w:r>
      </w:hyperlink>
    </w:p>
    <w:p>
      <w:pPr>
        <w:spacing w:line="219" w:lineRule="auto"/>
        <w:rPr>
          <w:sz w:val="21"/>
          <w:szCs w:val="21"/>
        </w:rPr>
      </w:pPr>
    </w:p>
    <w:sectPr>
      <w:footerReference w:type="default" r:id="rId23"/>
      <w:pgSz w:w="11910" w:h="16840"/>
      <w:pgMar w:top="1359" w:right="1404" w:bottom="1281" w:left="1259" w:header="0" w:footer="1152" w:gutter="0"/>
      <w:pgNumType w:start="22"/>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T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4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5" w:lineRule="auto"/>
      <w:ind w:left="8849"/>
      <w:rPr>
        <w:rFonts w:ascii="Times New Roman" w:eastAsia="Times New Roman" w:hAnsi="Times New Roman" w:cs="Times New Roman"/>
        <w:sz w:val="21"/>
        <w:szCs w:val="21"/>
      </w:rPr>
    </w:pPr>
    <w:r>
      <w:rPr>
        <w:rFonts w:ascii="Times New Roman" w:eastAsia="Times New Roman" w:hAnsi="Times New Roman" w:cs="Times New Roman"/>
        <w:sz w:val="21"/>
        <w:szCs w:val="21"/>
      </w:rPr>
      <w:t>I</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68" w:lineRule="auto"/>
      <w:ind w:left="269"/>
      <w:rPr>
        <w:sz w:val="13"/>
        <w:szCs w:val="13"/>
      </w:rPr>
    </w:pPr>
    <w:r>
      <w:rPr>
        <w:sz w:val="13"/>
        <w:szCs w:val="13"/>
      </w:rPr>
      <w:t>4</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68" w:lineRule="auto"/>
      <w:ind w:left="8879"/>
      <w:rPr>
        <w:sz w:val="14"/>
        <w:szCs w:val="14"/>
      </w:rPr>
    </w:pPr>
    <w:r>
      <w:rPr>
        <w:sz w:val="14"/>
        <w:szCs w:val="14"/>
      </w:rPr>
      <w:t>5</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68" w:lineRule="auto"/>
      <w:ind w:left="8879"/>
      <w:rPr>
        <w:sz w:val="14"/>
        <w:szCs w:val="14"/>
      </w:rPr>
    </w:pPr>
    <w:r>
      <w:rPr>
        <w:sz w:val="14"/>
        <w:szCs w:val="14"/>
      </w:rPr>
      <w:t>5</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69" w:lineRule="auto"/>
      <w:ind w:left="269"/>
      <w:rPr>
        <w:sz w:val="14"/>
        <w:szCs w:val="14"/>
      </w:rPr>
    </w:pPr>
    <w:r>
      <w:rPr>
        <w:sz w:val="14"/>
        <w:szCs w:val="14"/>
      </w:rPr>
      <w:t>6</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69" w:lineRule="auto"/>
      <w:ind w:left="269"/>
      <w:rPr>
        <w:sz w:val="14"/>
        <w:szCs w:val="14"/>
      </w:rPr>
    </w:pPr>
    <w:r>
      <w:rPr>
        <w:sz w:val="14"/>
        <w:szCs w:val="14"/>
      </w:rPr>
      <w:t>6</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68" w:lineRule="auto"/>
      <w:ind w:left="8869"/>
      <w:rPr>
        <w:sz w:val="14"/>
        <w:szCs w:val="14"/>
      </w:rPr>
    </w:pPr>
    <w:r>
      <w:rPr>
        <w:sz w:val="14"/>
        <w:szCs w:val="14"/>
      </w:rPr>
      <w:t>7</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68" w:lineRule="auto"/>
      <w:ind w:left="239"/>
      <w:rPr>
        <w:sz w:val="13"/>
        <w:szCs w:val="13"/>
      </w:rPr>
    </w:pPr>
    <w:r>
      <w:rPr>
        <w:sz w:val="13"/>
        <w:szCs w:val="13"/>
      </w:rPr>
      <w:t>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222" w:lineRule="auto"/>
      <w:ind w:left="229"/>
      <w:rPr>
        <w:sz w:val="14"/>
        <w:szCs w:val="14"/>
      </w:rPr>
    </w:pPr>
    <w:r>
      <w:rPr>
        <w:sz w:val="14"/>
        <w:szCs w:val="14"/>
      </w:rPr>
      <w:t>Ⅱ</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0" w:lineRule="auto"/>
      <w:ind w:left="8879"/>
      <w:rPr>
        <w:sz w:val="14"/>
        <w:szCs w:val="14"/>
      </w:rPr>
    </w:pPr>
    <w:r>
      <w:rPr>
        <w:sz w:val="14"/>
        <w:szCs w:val="14"/>
      </w:rP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0" w:lineRule="auto"/>
      <w:ind w:left="8879"/>
      <w:rPr>
        <w:sz w:val="14"/>
        <w:szCs w:val="14"/>
      </w:rPr>
    </w:pPr>
    <w:r>
      <w:rPr>
        <w:sz w:val="14"/>
        <w:szCs w:val="14"/>
      </w:rPr>
      <w:t>1</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69" w:lineRule="auto"/>
      <w:ind w:left="269"/>
      <w:rPr>
        <w:sz w:val="14"/>
        <w:szCs w:val="14"/>
      </w:rPr>
    </w:pPr>
    <w:r>
      <w:rPr>
        <w:sz w:val="14"/>
        <w:szCs w:val="14"/>
      </w:rPr>
      <w:t>2</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69" w:lineRule="auto"/>
      <w:ind w:left="269"/>
      <w:rPr>
        <w:sz w:val="14"/>
        <w:szCs w:val="14"/>
      </w:rPr>
    </w:pPr>
    <w:r>
      <w:rPr>
        <w:sz w:val="14"/>
        <w:szCs w:val="14"/>
      </w:rPr>
      <w:t>2</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69" w:lineRule="auto"/>
      <w:ind w:left="8849"/>
      <w:rPr>
        <w:sz w:val="14"/>
        <w:szCs w:val="14"/>
      </w:rPr>
    </w:pPr>
    <w:r>
      <w:rPr>
        <w:sz w:val="14"/>
        <w:szCs w:val="14"/>
      </w:rPr>
      <w:t>3</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69" w:lineRule="auto"/>
      <w:ind w:left="8849"/>
      <w:rPr>
        <w:sz w:val="14"/>
        <w:szCs w:val="14"/>
      </w:rPr>
    </w:pPr>
    <w:r>
      <w:rPr>
        <w:sz w:val="14"/>
        <w:szCs w:val="14"/>
      </w:rPr>
      <w:t>3</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68" w:lineRule="auto"/>
      <w:ind w:left="269"/>
      <w:rPr>
        <w:sz w:val="13"/>
        <w:szCs w:val="13"/>
      </w:rPr>
    </w:pPr>
    <w:r>
      <w:rPr>
        <w:sz w:val="13"/>
        <w:szCs w:val="13"/>
      </w:rPr>
      <w:t>4</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compat>
    <w:spaceForUL/>
    <w:ulTrailSpace/>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napToGrid w:val="0"/>
        <w:color w:val="000000"/>
        <w:kern w:val="0"/>
        <w:sz w:val="21"/>
        <w:szCs w:val="21"/>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emiHidden/>
    <w:qFormat/>
    <w:pPr>
      <w:kinsoku w:val="0"/>
      <w:autoSpaceDE w:val="0"/>
      <w:autoSpaceDN w:val="0"/>
      <w:adjustRightInd w:val="0"/>
      <w:snapToGrid w:val="0"/>
      <w:spacing w:line="240" w:lineRule="auto"/>
      <w:jc w:val="left"/>
      <w:textAlignment w:val="baseline"/>
    </w:pPr>
    <w:rPr>
      <w:noProof/>
      <w:snapToGrid w:val="0"/>
      <w:color w:val="000000"/>
      <w:kern w:val="0"/>
    </w:rPr>
  </w:style>
  <w:style w:type="character" w:default="1" w:styleId="DefaultParagraphFont">
    <w:name w:val="Default Paragraph Font"/>
    <w:uiPriority w:val="1"/>
    <w:semiHidden/>
    <w:unhideWhenUsed/>
  </w:style>
  <w:style w:type="table" w:customStyle="1" w:styleId="TableNormal">
    <w:name w:val="Table Normal"/>
    <w:semiHidden/>
    <w:unhideWhenUsed/>
    <w:qFormat/>
    <w:tblPr>
      <w:tblCellMar>
        <w:top w:w="0" w:type="dxa"/>
        <w:left w:w="0" w:type="dxa"/>
        <w:bottom w:w="0" w:type="dxa"/>
        <w:right w:w="0" w:type="dxa"/>
      </w:tblCellMar>
    </w:tblPr>
  </w:style>
  <w:style w:type="paragraph" w:styleId="BodyText">
    <w:name w:val="Body Text"/>
    <w:basedOn w:val="Normal"/>
    <w:semiHidden/>
    <w:qFormat/>
    <w:rPr>
      <w:rFonts w:ascii="SimSun" w:eastAsia="SimSun" w:hAnsi="SimSun" w:cs="SimSun"/>
      <w:sz w:val="51"/>
      <w:szCs w:val="51"/>
      <w:lang w:val="en-US" w:eastAsia="en-US" w:bidi="ar-SA"/>
    </w:rPr>
  </w:style>
  <w:style w:type="paragraph" w:customStyle="1" w:styleId="TableText">
    <w:name w:val="Table Text"/>
    <w:basedOn w:val="Normal"/>
    <w:semiHidden/>
    <w:qFormat/>
    <w:rPr>
      <w:rFonts w:ascii="Times New Roman" w:eastAsia="Times New Roman" w:hAnsi="Times New Roman" w:cs="Times New Roman"/>
      <w:sz w:val="20"/>
      <w:szCs w:val="20"/>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4.xml" /><Relationship Id="rId11" Type="http://schemas.openxmlformats.org/officeDocument/2006/relationships/footer" Target="footer5.xml" /><Relationship Id="rId12" Type="http://schemas.openxmlformats.org/officeDocument/2006/relationships/footer" Target="footer6.xml" /><Relationship Id="rId13" Type="http://schemas.openxmlformats.org/officeDocument/2006/relationships/footer" Target="footer7.xml" /><Relationship Id="rId14" Type="http://schemas.openxmlformats.org/officeDocument/2006/relationships/footer" Target="footer8.xml" /><Relationship Id="rId15" Type="http://schemas.openxmlformats.org/officeDocument/2006/relationships/footer" Target="footer9.xml" /><Relationship Id="rId16" Type="http://schemas.openxmlformats.org/officeDocument/2006/relationships/footer" Target="footer10.xml" /><Relationship Id="rId17" Type="http://schemas.openxmlformats.org/officeDocument/2006/relationships/footer" Target="footer11.xml" /><Relationship Id="rId18" Type="http://schemas.openxmlformats.org/officeDocument/2006/relationships/footer" Target="footer12.xml" /><Relationship Id="rId19" Type="http://schemas.openxmlformats.org/officeDocument/2006/relationships/footer" Target="footer13.xml" /><Relationship Id="rId2" Type="http://schemas.openxmlformats.org/officeDocument/2006/relationships/webSettings" Target="webSettings.xml" /><Relationship Id="rId20" Type="http://schemas.openxmlformats.org/officeDocument/2006/relationships/footer" Target="footer14.xml" /><Relationship Id="rId21" Type="http://schemas.openxmlformats.org/officeDocument/2006/relationships/footer" Target="footer15.xml" /><Relationship Id="rId22" Type="http://schemas.openxmlformats.org/officeDocument/2006/relationships/hyperlink" Target="https://d.book118.com/935342130001011102" TargetMode="External" /><Relationship Id="rId23" Type="http://schemas.openxmlformats.org/officeDocument/2006/relationships/footer" Target="footer16.xml" /><Relationship Id="rId24" Type="http://schemas.openxmlformats.org/officeDocument/2006/relationships/theme" Target="theme/theme1.xml" /><Relationship Id="rId25"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jpeg" /><Relationship Id="rId6" Type="http://schemas.openxmlformats.org/officeDocument/2006/relationships/image" Target="media/image3.jpeg"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19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pdfbuilder</dc:subject>
  <dc:creator>Kingsoft-PDF</dc:creator>
  <cp:revision>0</cp:revision>
  <dcterms:created xsi:type="dcterms:W3CDTF">2024-02-01T09:25:05Z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2024-02-01T09:25:09Z</vt:filetime>
  </property>
  <property fmtid="{D5CDD505-2E9C-101B-9397-08002B2CF9AE}" pid="3" name="CRO">
    <vt:lpwstr>wqlLaW5nc29mdCBQREYgdG8gV1BTIDkw</vt:lpwstr>
  </property>
  <property fmtid="{D5CDD505-2E9C-101B-9397-08002B2CF9AE}" pid="4" name="UsrData">
    <vt:lpwstr>65baf2ec1e6a08001f08180cwl</vt:lpwstr>
  </property>
</Properties>
</file>