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8"/>
        </w:rPr>
      </w:pPr>
    </w:p>
    <w:p>
      <w:pPr>
        <w:spacing w:before="33"/>
        <w:ind w:left="617" w:right="617" w:firstLine="0"/>
        <w:jc w:val="center"/>
        <w:rPr>
          <w:b/>
          <w:sz w:val="48"/>
        </w:rPr>
      </w:pPr>
      <w:r>
        <w:rPr>
          <w:b/>
          <w:sz w:val="48"/>
        </w:rPr>
        <w:t>滨海恒固混凝土有限公司</w:t>
      </w:r>
    </w:p>
    <w:p>
      <w:pPr>
        <w:spacing w:before="316"/>
        <w:ind w:left="617" w:right="617" w:firstLine="0"/>
        <w:jc w:val="center"/>
        <w:rPr>
          <w:b/>
          <w:sz w:val="48"/>
        </w:rPr>
      </w:pPr>
      <w:r>
        <w:rPr>
          <w:b/>
          <w:sz w:val="48"/>
        </w:rPr>
        <w:t xml:space="preserve">年产 </w:t>
      </w:r>
      <w:r>
        <w:rPr>
          <w:rFonts w:ascii="Times New Roman" w:eastAsia="Times New Roman"/>
          <w:b/>
          <w:sz w:val="48"/>
        </w:rPr>
        <w:t xml:space="preserve">50 </w:t>
      </w:r>
      <w:r>
        <w:rPr>
          <w:b/>
          <w:sz w:val="48"/>
        </w:rPr>
        <w:t>万立方米商品混凝土搬迁项目</w:t>
      </w:r>
    </w:p>
    <w:p>
      <w:pPr>
        <w:spacing w:before="321" w:line="364" w:lineRule="auto"/>
        <w:ind w:left="617" w:right="617" w:firstLine="0"/>
        <w:jc w:val="center"/>
        <w:rPr>
          <w:b/>
          <w:sz w:val="48"/>
        </w:rPr>
      </w:pPr>
      <w:r>
        <w:rPr>
          <w:b/>
          <w:sz w:val="48"/>
        </w:rPr>
        <w:t>（</w:t>
      </w:r>
      <w:r>
        <w:rPr>
          <w:b/>
          <w:spacing w:val="10"/>
          <w:sz w:val="48"/>
        </w:rPr>
        <w:t>第一阶段年产</w:t>
      </w:r>
      <w:r>
        <w:rPr>
          <w:rFonts w:ascii="Times New Roman" w:eastAsia="Times New Roman"/>
          <w:b/>
          <w:sz w:val="48"/>
        </w:rPr>
        <w:t>40</w:t>
      </w:r>
      <w:r>
        <w:rPr>
          <w:rFonts w:ascii="Times New Roman" w:eastAsia="Times New Roman"/>
          <w:b/>
          <w:spacing w:val="-69"/>
          <w:sz w:val="48"/>
        </w:rPr>
        <w:t xml:space="preserve"> </w:t>
      </w:r>
      <w:r>
        <w:rPr>
          <w:b/>
          <w:spacing w:val="-2"/>
          <w:sz w:val="48"/>
        </w:rPr>
        <w:t>万立方米商品混凝土</w:t>
      </w:r>
      <w:r>
        <w:rPr>
          <w:b/>
          <w:sz w:val="48"/>
        </w:rPr>
        <w:t>项目）</w:t>
      </w:r>
    </w:p>
    <w:p>
      <w:pPr>
        <w:pStyle w:val="BodyText"/>
        <w:spacing w:before="6"/>
        <w:rPr>
          <w:b/>
          <w:sz w:val="71"/>
        </w:rPr>
      </w:pPr>
    </w:p>
    <w:p>
      <w:pPr>
        <w:spacing w:before="0"/>
        <w:ind w:left="615" w:right="617" w:firstLine="0"/>
        <w:jc w:val="center"/>
        <w:rPr>
          <w:b/>
          <w:sz w:val="56"/>
        </w:rPr>
      </w:pPr>
      <w:r>
        <w:rPr>
          <w:b/>
          <w:sz w:val="56"/>
        </w:rPr>
        <w:t>一般变动环境影响分析</w:t>
      </w:r>
    </w:p>
    <w:p>
      <w:pPr>
        <w:pStyle w:val="BodyText"/>
        <w:rPr>
          <w:b/>
          <w:sz w:val="56"/>
        </w:rPr>
      </w:pPr>
    </w:p>
    <w:p>
      <w:pPr>
        <w:pStyle w:val="BodyText"/>
        <w:rPr>
          <w:b/>
          <w:sz w:val="56"/>
        </w:rPr>
      </w:pPr>
    </w:p>
    <w:p>
      <w:pPr>
        <w:pStyle w:val="BodyText"/>
        <w:rPr>
          <w:b/>
          <w:sz w:val="56"/>
        </w:rPr>
      </w:pPr>
    </w:p>
    <w:p>
      <w:pPr>
        <w:pStyle w:val="BodyText"/>
        <w:rPr>
          <w:b/>
          <w:sz w:val="56"/>
        </w:rPr>
      </w:pPr>
    </w:p>
    <w:p>
      <w:pPr>
        <w:pStyle w:val="BodyText"/>
        <w:rPr>
          <w:b/>
          <w:sz w:val="56"/>
        </w:rPr>
      </w:pPr>
    </w:p>
    <w:p>
      <w:pPr>
        <w:pStyle w:val="BodyText"/>
        <w:rPr>
          <w:b/>
          <w:sz w:val="56"/>
        </w:rPr>
      </w:pPr>
    </w:p>
    <w:p>
      <w:pPr>
        <w:spacing w:before="469" w:line="364" w:lineRule="auto"/>
        <w:ind w:left="3012" w:right="3013" w:firstLine="0"/>
        <w:jc w:val="center"/>
        <w:rPr>
          <w:sz w:val="32"/>
        </w:rPr>
      </w:pPr>
      <w:r>
        <w:rPr>
          <w:sz w:val="32"/>
        </w:rPr>
        <w:t>滨海恒固混凝土有限公司二〇二四年〇一月</w:t>
      </w:r>
    </w:p>
    <w:p>
      <w:pPr>
        <w:spacing w:after="0" w:line="364" w:lineRule="auto"/>
        <w:jc w:val="center"/>
        <w:rPr>
          <w:sz w:val="32"/>
        </w:rPr>
        <w:sectPr>
          <w:type w:val="continuous"/>
          <w:pgSz w:w="11910" w:h="16840"/>
          <w:pgMar w:top="1580" w:right="1180" w:bottom="280" w:left="1180" w:header="708" w:footer="708"/>
          <w:cols w:space="708"/>
        </w:sectPr>
      </w:pPr>
    </w:p>
    <w:p>
      <w:pPr>
        <w:spacing w:before="28"/>
        <w:ind w:left="615" w:right="617" w:firstLine="0"/>
        <w:jc w:val="center"/>
        <w:rPr>
          <w:b/>
          <w:sz w:val="32"/>
        </w:rPr>
      </w:pPr>
      <w:r>
        <w:rPr>
          <w:b/>
          <w:sz w:val="32"/>
        </w:rPr>
        <w:t>目 录</w:t>
      </w:r>
    </w:p>
    <w:sdt>
      <w:sdtPr>
        <w:id w:val="482238032"/>
        <w:docPartObj>
          <w:docPartGallery w:val="Table of Contents"/>
          <w:docPartUnique/>
        </w:docPartObj>
      </w:sdtPr>
      <w:sdtContent>
        <w:p>
          <w:pPr>
            <w:pStyle w:val="TOC1"/>
            <w:numPr>
              <w:ilvl w:val="0"/>
              <w:numId w:val="8"/>
            </w:numPr>
            <w:tabs>
              <w:tab w:val="left" w:pos="180"/>
              <w:tab w:val="right" w:leader="dot" w:pos="8311"/>
            </w:tabs>
            <w:spacing w:before="306" w:after="0" w:line="240" w:lineRule="auto"/>
            <w:ind w:left="797" w:right="615" w:hanging="798"/>
            <w:jc w:val="right"/>
          </w:pPr>
          <w:hyperlink w:anchor="_bookmark0" w:history="1">
            <w:r>
              <w:t>变动情况</w:t>
              <w:tab/>
              <w:t>1</w:t>
            </w:r>
          </w:hyperlink>
        </w:p>
        <w:p>
          <w:pPr>
            <w:pStyle w:val="TOC2"/>
            <w:numPr>
              <w:ilvl w:val="1"/>
              <w:numId w:val="8"/>
            </w:numPr>
            <w:tabs>
              <w:tab w:val="left" w:pos="420"/>
              <w:tab w:val="right" w:leader="dot" w:pos="8102"/>
            </w:tabs>
            <w:spacing w:before="281" w:after="0" w:line="240" w:lineRule="auto"/>
            <w:ind w:left="1246" w:right="615" w:hanging="1247"/>
            <w:jc w:val="right"/>
          </w:pPr>
          <w:hyperlink w:anchor="_bookmark1" w:history="1">
            <w:r>
              <w:t>环保手续的办理情况</w:t>
              <w:tab/>
              <w:t>1</w:t>
            </w:r>
          </w:hyperlink>
        </w:p>
        <w:p>
          <w:pPr>
            <w:pStyle w:val="TOC2"/>
            <w:numPr>
              <w:ilvl w:val="1"/>
              <w:numId w:val="8"/>
            </w:numPr>
            <w:tabs>
              <w:tab w:val="left" w:pos="420"/>
              <w:tab w:val="right" w:leader="dot" w:pos="8102"/>
            </w:tabs>
            <w:spacing w:before="160" w:after="0" w:line="240" w:lineRule="auto"/>
            <w:ind w:left="1246" w:right="615" w:hanging="1247"/>
            <w:jc w:val="right"/>
          </w:pPr>
          <w:hyperlink w:anchor="_bookmark2" w:history="1">
            <w:r>
              <w:t>环评批复要求及落实情况</w:t>
              <w:tab/>
              <w:t>1</w:t>
            </w:r>
          </w:hyperlink>
        </w:p>
        <w:p>
          <w:pPr>
            <w:pStyle w:val="TOC2"/>
            <w:numPr>
              <w:ilvl w:val="1"/>
              <w:numId w:val="8"/>
            </w:numPr>
            <w:tabs>
              <w:tab w:val="left" w:pos="420"/>
              <w:tab w:val="right" w:leader="dot" w:pos="8102"/>
            </w:tabs>
            <w:spacing w:before="161" w:after="0" w:line="240" w:lineRule="auto"/>
            <w:ind w:left="1246" w:right="615" w:hanging="1247"/>
            <w:jc w:val="right"/>
          </w:pPr>
          <w:hyperlink w:anchor="_bookmark3" w:history="1">
            <w:r>
              <w:t>实际建设内容变化情况</w:t>
              <w:tab/>
              <w:t>2</w:t>
            </w:r>
          </w:hyperlink>
        </w:p>
        <w:p>
          <w:pPr>
            <w:pStyle w:val="TOC1"/>
            <w:numPr>
              <w:ilvl w:val="0"/>
              <w:numId w:val="8"/>
            </w:numPr>
            <w:tabs>
              <w:tab w:val="left" w:pos="180"/>
              <w:tab w:val="right" w:leader="dot" w:pos="8311"/>
            </w:tabs>
            <w:spacing w:before="280" w:after="0" w:line="240" w:lineRule="auto"/>
            <w:ind w:left="797" w:right="615" w:hanging="798"/>
            <w:jc w:val="right"/>
          </w:pPr>
          <w:hyperlink w:anchor="_bookmark4" w:history="1">
            <w:r>
              <w:t>评价要素</w:t>
              <w:tab/>
              <w:t>13</w:t>
            </w:r>
          </w:hyperlink>
        </w:p>
        <w:p>
          <w:pPr>
            <w:pStyle w:val="TOC2"/>
            <w:numPr>
              <w:ilvl w:val="1"/>
              <w:numId w:val="8"/>
            </w:numPr>
            <w:tabs>
              <w:tab w:val="left" w:pos="420"/>
              <w:tab w:val="right" w:leader="dot" w:pos="8102"/>
            </w:tabs>
            <w:spacing w:before="281" w:after="0" w:line="240" w:lineRule="auto"/>
            <w:ind w:left="1246" w:right="615" w:hanging="1247"/>
            <w:jc w:val="right"/>
          </w:pPr>
          <w:hyperlink w:anchor="_bookmark5" w:history="1">
            <w:r>
              <w:t>评价等级</w:t>
              <w:tab/>
              <w:t>13</w:t>
            </w:r>
          </w:hyperlink>
        </w:p>
        <w:p>
          <w:pPr>
            <w:pStyle w:val="TOC2"/>
            <w:numPr>
              <w:ilvl w:val="1"/>
              <w:numId w:val="8"/>
            </w:numPr>
            <w:tabs>
              <w:tab w:val="left" w:pos="420"/>
              <w:tab w:val="right" w:leader="dot" w:pos="8102"/>
            </w:tabs>
            <w:spacing w:before="160" w:after="0" w:line="240" w:lineRule="auto"/>
            <w:ind w:left="1246" w:right="615" w:hanging="1247"/>
            <w:jc w:val="right"/>
          </w:pPr>
          <w:hyperlink w:anchor="_bookmark6" w:history="1">
            <w:r>
              <w:t>评价范围</w:t>
              <w:tab/>
              <w:t>14</w:t>
            </w:r>
          </w:hyperlink>
        </w:p>
        <w:p>
          <w:pPr>
            <w:pStyle w:val="TOC2"/>
            <w:numPr>
              <w:ilvl w:val="1"/>
              <w:numId w:val="8"/>
            </w:numPr>
            <w:tabs>
              <w:tab w:val="left" w:pos="420"/>
              <w:tab w:val="right" w:leader="dot" w:pos="8102"/>
            </w:tabs>
            <w:spacing w:before="161" w:after="0" w:line="240" w:lineRule="auto"/>
            <w:ind w:left="1246" w:right="615" w:hanging="1247"/>
            <w:jc w:val="right"/>
          </w:pPr>
          <w:hyperlink w:anchor="_bookmark7" w:history="1">
            <w:r>
              <w:t>评价标准</w:t>
              <w:tab/>
              <w:t>14</w:t>
            </w:r>
          </w:hyperlink>
        </w:p>
        <w:p>
          <w:pPr>
            <w:pStyle w:val="TOC1"/>
            <w:numPr>
              <w:ilvl w:val="0"/>
              <w:numId w:val="8"/>
            </w:numPr>
            <w:tabs>
              <w:tab w:val="left" w:pos="180"/>
              <w:tab w:val="right" w:leader="dot" w:pos="8311"/>
            </w:tabs>
            <w:spacing w:before="280" w:after="0" w:line="240" w:lineRule="auto"/>
            <w:ind w:left="797" w:right="615" w:hanging="798"/>
            <w:jc w:val="right"/>
          </w:pPr>
          <w:hyperlink w:anchor="_bookmark8" w:history="1">
            <w:r>
              <w:t>环境影响分析说明</w:t>
              <w:tab/>
              <w:t>15</w:t>
            </w:r>
          </w:hyperlink>
        </w:p>
        <w:p>
          <w:pPr>
            <w:pStyle w:val="TOC2"/>
            <w:numPr>
              <w:ilvl w:val="1"/>
              <w:numId w:val="8"/>
            </w:numPr>
            <w:tabs>
              <w:tab w:val="left" w:pos="420"/>
              <w:tab w:val="right" w:leader="dot" w:pos="8102"/>
            </w:tabs>
            <w:spacing w:before="281" w:after="0" w:line="240" w:lineRule="auto"/>
            <w:ind w:left="1246" w:right="615" w:hanging="1247"/>
            <w:jc w:val="right"/>
          </w:pPr>
          <w:hyperlink w:anchor="_bookmark9" w:history="1">
            <w:r>
              <w:t>变动后污染物达标排放可行性</w:t>
              <w:tab/>
              <w:t>15</w:t>
            </w:r>
          </w:hyperlink>
        </w:p>
        <w:p>
          <w:pPr>
            <w:pStyle w:val="TOC2"/>
            <w:numPr>
              <w:ilvl w:val="1"/>
              <w:numId w:val="8"/>
            </w:numPr>
            <w:tabs>
              <w:tab w:val="left" w:pos="420"/>
              <w:tab w:val="right" w:leader="dot" w:pos="8102"/>
            </w:tabs>
            <w:spacing w:before="160" w:after="0" w:line="240" w:lineRule="auto"/>
            <w:ind w:left="1246" w:right="615" w:hanging="1247"/>
            <w:jc w:val="right"/>
          </w:pPr>
          <w:hyperlink w:anchor="_bookmark10" w:history="1">
            <w:r>
              <w:t>变动后各环境要素的影响分析</w:t>
              <w:tab/>
              <w:t>17</w:t>
            </w:r>
          </w:hyperlink>
        </w:p>
        <w:p>
          <w:pPr>
            <w:pStyle w:val="TOC2"/>
            <w:numPr>
              <w:ilvl w:val="1"/>
              <w:numId w:val="8"/>
            </w:numPr>
            <w:tabs>
              <w:tab w:val="left" w:pos="420"/>
              <w:tab w:val="right" w:leader="dot" w:pos="8102"/>
            </w:tabs>
            <w:spacing w:before="161" w:after="0" w:line="240" w:lineRule="auto"/>
            <w:ind w:left="1246" w:right="615" w:hanging="1247"/>
            <w:jc w:val="right"/>
          </w:pPr>
          <w:hyperlink w:anchor="_bookmark11" w:history="1">
            <w:r>
              <w:t>变动前后危险物质和环境风险源变化情况</w:t>
              <w:tab/>
              <w:t>18</w:t>
            </w:r>
          </w:hyperlink>
        </w:p>
        <w:p>
          <w:pPr>
            <w:pStyle w:val="TOC1"/>
            <w:tabs>
              <w:tab w:val="right" w:leader="dot" w:pos="8311"/>
            </w:tabs>
            <w:ind w:left="0" w:firstLine="0"/>
          </w:pPr>
          <w:hyperlink w:anchor="_bookmark12" w:history="1">
            <w:r>
              <w:t>4</w:t>
            </w:r>
            <w:r>
              <w:rPr>
                <w:spacing w:val="-62"/>
              </w:rPr>
              <w:t xml:space="preserve"> </w:t>
            </w:r>
            <w:r>
              <w:t>结论</w:t>
              <w:tab/>
              <w:t>18</w:t>
            </w:r>
          </w:hyperlink>
        </w:p>
      </w:sdtContent>
    </w:sdt>
    <w:p>
      <w:pPr>
        <w:spacing w:after="0"/>
        <w:sectPr>
          <w:pgSz w:w="11910" w:h="16840"/>
          <w:pgMar w:top="1480" w:right="1180" w:bottom="280" w:left="1180" w:header="708" w:footer="708"/>
          <w:pgNumType w:start="2"/>
          <w:cols w:space="708"/>
        </w:sectPr>
      </w:pPr>
    </w:p>
    <w:p>
      <w:pPr>
        <w:pStyle w:val="Heading1"/>
        <w:numPr>
          <w:ilvl w:val="0"/>
          <w:numId w:val="7"/>
        </w:numPr>
        <w:tabs>
          <w:tab w:val="left" w:pos="448"/>
        </w:tabs>
        <w:spacing w:before="42" w:after="0" w:line="240" w:lineRule="auto"/>
        <w:ind w:left="447" w:right="0" w:hanging="210"/>
        <w:jc w:val="both"/>
      </w:pPr>
      <w:bookmarkStart w:id="0" w:name="1变动情况"/>
      <w:bookmarkEnd w:id="0"/>
      <w:bookmarkStart w:id="1" w:name="_bookmark0"/>
      <w:bookmarkEnd w:id="1"/>
      <w:r>
        <w:t>变动情况</w:t>
      </w:r>
    </w:p>
    <w:p>
      <w:pPr>
        <w:pStyle w:val="Heading2"/>
        <w:numPr>
          <w:ilvl w:val="1"/>
          <w:numId w:val="7"/>
        </w:numPr>
        <w:tabs>
          <w:tab w:val="left" w:pos="599"/>
        </w:tabs>
        <w:spacing w:before="185" w:after="0" w:line="240" w:lineRule="auto"/>
        <w:ind w:left="598" w:right="0" w:hanging="361"/>
        <w:jc w:val="both"/>
      </w:pPr>
      <w:bookmarkStart w:id="2" w:name="1.1环保手续的办理情况"/>
      <w:bookmarkEnd w:id="2"/>
      <w:bookmarkStart w:id="3" w:name="_bookmark1"/>
      <w:bookmarkEnd w:id="3"/>
      <w:r>
        <w:t>环保手续的办理情况</w:t>
      </w:r>
    </w:p>
    <w:p>
      <w:pPr>
        <w:pStyle w:val="BodyText"/>
        <w:spacing w:before="158" w:line="364" w:lineRule="auto"/>
        <w:ind w:left="238" w:right="237" w:firstLine="480"/>
        <w:jc w:val="both"/>
      </w:pPr>
      <w:r>
        <w:rPr>
          <w:spacing w:val="-5"/>
        </w:rPr>
        <w:t xml:space="preserve">滨海恒固混凝土有限公司成立于 </w:t>
      </w:r>
      <w:r>
        <w:t>2018</w:t>
      </w:r>
      <w:r>
        <w:rPr>
          <w:spacing w:val="-40"/>
        </w:rPr>
        <w:t xml:space="preserve"> 年 </w:t>
      </w:r>
      <w:r>
        <w:t>12</w:t>
      </w:r>
      <w:r>
        <w:rPr>
          <w:spacing w:val="-40"/>
        </w:rPr>
        <w:t xml:space="preserve"> 月 </w:t>
      </w:r>
      <w:r>
        <w:t>15</w:t>
      </w:r>
      <w:r>
        <w:rPr>
          <w:spacing w:val="-8"/>
        </w:rPr>
        <w:t xml:space="preserve"> 日，注册地位于江苏省滨海经济</w:t>
      </w:r>
      <w:r>
        <w:rPr>
          <w:spacing w:val="-20"/>
        </w:rPr>
        <w:t>开发区沿海工业园，</w:t>
      </w:r>
      <w:r>
        <w:t>2021</w:t>
      </w:r>
      <w:r>
        <w:rPr>
          <w:spacing w:val="-9"/>
        </w:rPr>
        <w:t xml:space="preserve"> 年因河堤两违三乱整治工作需要整体搬迁至滨淮镇原滨海天宇</w:t>
      </w:r>
      <w:r>
        <w:t>木业有限公司地块（</w:t>
      </w:r>
      <w:r>
        <w:rPr>
          <w:spacing w:val="-21"/>
        </w:rPr>
        <w:t xml:space="preserve">位于 </w:t>
      </w:r>
      <w:r>
        <w:t>S327</w:t>
      </w:r>
      <w:r>
        <w:rPr>
          <w:spacing w:val="-8"/>
        </w:rPr>
        <w:t xml:space="preserve"> 北侧，滨淮镇临港产业园内</w:t>
      </w:r>
      <w:r>
        <w:t>），法定代表人为姜其军， 经营范围包括商品混凝土、水泥管桩生产。2022</w:t>
      </w:r>
      <w:r>
        <w:rPr>
          <w:spacing w:val="-41"/>
        </w:rPr>
        <w:t xml:space="preserve"> 年 </w:t>
      </w:r>
      <w:r>
        <w:t>04</w:t>
      </w:r>
      <w:r>
        <w:rPr>
          <w:spacing w:val="-8"/>
        </w:rPr>
        <w:t xml:space="preserve"> 月，滨海恒固混凝土有限公司拟</w:t>
      </w:r>
      <w:r>
        <w:rPr>
          <w:spacing w:val="-11"/>
        </w:rPr>
        <w:t xml:space="preserve">在江苏省盐城市滨海县滨淮镇临港工业园建设年产 </w:t>
      </w:r>
      <w:r>
        <w:t>50</w:t>
      </w:r>
      <w:r>
        <w:rPr>
          <w:spacing w:val="-8"/>
        </w:rPr>
        <w:t xml:space="preserve"> 万立方米商品混凝土搬迁项目，</w:t>
      </w:r>
    </w:p>
    <w:p>
      <w:pPr>
        <w:pStyle w:val="BodyText"/>
        <w:spacing w:line="306" w:lineRule="exact"/>
        <w:ind w:left="238"/>
        <w:jc w:val="both"/>
      </w:pPr>
      <w:r>
        <w:t>项目总投资 8000 万元。</w:t>
      </w:r>
    </w:p>
    <w:p>
      <w:pPr>
        <w:pStyle w:val="BodyText"/>
        <w:spacing w:before="161"/>
        <w:ind w:right="237"/>
        <w:jc w:val="right"/>
      </w:pPr>
      <w:r>
        <w:t>本项目于 2022 年 5 月委托南京科泓环保技术有限责任公司编制完成了《年产 50 万</w:t>
      </w:r>
    </w:p>
    <w:p>
      <w:pPr>
        <w:pStyle w:val="BodyText"/>
        <w:spacing w:before="158"/>
        <w:ind w:right="305"/>
        <w:jc w:val="right"/>
      </w:pPr>
      <w:r>
        <w:rPr>
          <w:spacing w:val="-3"/>
        </w:rPr>
        <w:t xml:space="preserve">立方米商品混凝土搬迁项目环境影响报告表》，并于 </w:t>
      </w:r>
      <w:r>
        <w:t>2022</w:t>
      </w:r>
      <w:r>
        <w:rPr>
          <w:spacing w:val="-41"/>
        </w:rPr>
        <w:t xml:space="preserve"> 年 </w:t>
      </w:r>
      <w:r>
        <w:t>9</w:t>
      </w:r>
      <w:r>
        <w:rPr>
          <w:spacing w:val="-40"/>
        </w:rPr>
        <w:t xml:space="preserve"> 月 </w:t>
      </w:r>
      <w:r>
        <w:t>9</w:t>
      </w:r>
      <w:r>
        <w:rPr>
          <w:spacing w:val="-8"/>
        </w:rPr>
        <w:t xml:space="preserve"> 日取得了盐城市滨</w:t>
      </w:r>
    </w:p>
    <w:p>
      <w:pPr>
        <w:pStyle w:val="BodyText"/>
        <w:spacing w:before="160"/>
        <w:ind w:left="238"/>
        <w:jc w:val="both"/>
      </w:pPr>
      <w:r>
        <w:rPr>
          <w:spacing w:val="-4"/>
        </w:rPr>
        <w:t>海生态环境局审批意见</w:t>
      </w:r>
      <w:r>
        <w:rPr>
          <w:spacing w:val="-3"/>
        </w:rPr>
        <w:t>（</w:t>
      </w:r>
      <w:r>
        <w:t>盐环表复[2022]22057</w:t>
      </w:r>
      <w:r>
        <w:rPr>
          <w:spacing w:val="-30"/>
        </w:rPr>
        <w:t xml:space="preserve"> 号</w:t>
      </w:r>
      <w:r>
        <w:rPr>
          <w:spacing w:val="-36"/>
        </w:rPr>
        <w:t>）</w:t>
      </w:r>
      <w:r>
        <w:rPr>
          <w:spacing w:val="-17"/>
        </w:rPr>
        <w:t xml:space="preserve">。本项目于 </w:t>
      </w:r>
      <w:r>
        <w:t>2022</w:t>
      </w:r>
      <w:r>
        <w:rPr>
          <w:spacing w:val="-40"/>
        </w:rPr>
        <w:t xml:space="preserve"> 年 </w:t>
      </w:r>
      <w:r>
        <w:t>10</w:t>
      </w:r>
      <w:r>
        <w:rPr>
          <w:spacing w:val="-9"/>
        </w:rPr>
        <w:t xml:space="preserve"> 月开工建设，</w:t>
      </w:r>
    </w:p>
    <w:p>
      <w:pPr>
        <w:pStyle w:val="BodyText"/>
        <w:spacing w:before="158"/>
        <w:ind w:left="238"/>
        <w:jc w:val="both"/>
      </w:pPr>
      <w:r>
        <w:t>2022 年 12 月底建成一阶段项目（年产 40 万立方米商品混凝土项目）。</w:t>
      </w:r>
    </w:p>
    <w:p>
      <w:pPr>
        <w:pStyle w:val="Heading2"/>
        <w:numPr>
          <w:ilvl w:val="1"/>
          <w:numId w:val="7"/>
        </w:numPr>
        <w:tabs>
          <w:tab w:val="left" w:pos="599"/>
        </w:tabs>
        <w:spacing w:before="161" w:after="0" w:line="240" w:lineRule="auto"/>
        <w:ind w:left="598" w:right="0" w:hanging="361"/>
        <w:jc w:val="left"/>
      </w:pPr>
      <w:bookmarkStart w:id="4" w:name="1.2环评批复要求及落实情况"/>
      <w:bookmarkEnd w:id="4"/>
      <w:bookmarkStart w:id="5" w:name="_bookmark2"/>
      <w:bookmarkEnd w:id="5"/>
      <w:r>
        <w:t>环评批复要求及落实情况</w:t>
      </w:r>
    </w:p>
    <w:p>
      <w:pPr>
        <w:pStyle w:val="BodyText"/>
        <w:spacing w:before="158" w:line="364" w:lineRule="auto"/>
        <w:ind w:left="238" w:right="238" w:firstLine="480"/>
      </w:pPr>
      <w:r>
        <w:t xml:space="preserve">对《滨海恒固混凝土有限公司年产 </w:t>
      </w:r>
      <w:r>
        <w:rPr>
          <w:rFonts w:ascii="Times New Roman" w:eastAsia="Times New Roman"/>
        </w:rPr>
        <w:t xml:space="preserve">50 </w:t>
      </w:r>
      <w:r>
        <w:t>万立方米商品混凝土搬迁项目环境影响报告表》环评批复进行分析，具体落实情况见下表。</w:t>
      </w:r>
    </w:p>
    <w:p>
      <w:pPr>
        <w:tabs>
          <w:tab w:val="left" w:pos="3847"/>
        </w:tabs>
        <w:spacing w:before="0" w:after="3" w:line="306" w:lineRule="exact"/>
        <w:ind w:left="2806" w:right="0" w:firstLine="0"/>
        <w:jc w:val="left"/>
        <w:rPr>
          <w:b/>
          <w:sz w:val="24"/>
        </w:rPr>
      </w:pPr>
      <w:r>
        <w:rPr>
          <w:b/>
          <w:sz w:val="24"/>
        </w:rPr>
        <w:t>表</w:t>
      </w:r>
      <w:r>
        <w:rPr>
          <w:b/>
          <w:spacing w:val="-62"/>
          <w:sz w:val="24"/>
        </w:rPr>
        <w:t xml:space="preserve"> </w:t>
      </w:r>
      <w:r>
        <w:rPr>
          <w:rFonts w:ascii="Times New Roman" w:eastAsia="Times New Roman"/>
          <w:b/>
          <w:sz w:val="24"/>
        </w:rPr>
        <w:t>1.2-1</w:t>
        <w:tab/>
      </w:r>
      <w:r>
        <w:rPr>
          <w:b/>
          <w:sz w:val="24"/>
        </w:rPr>
        <w:t>环评批复要求及落实情况表</w:t>
      </w:r>
    </w:p>
    <w:tbl>
      <w:tblPr>
        <w:tblStyle w:val="TableNormal0"/>
        <w:tblW w:w="0" w:type="auto"/>
        <w:jc w:val="left"/>
        <w:tblInd w:w="1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74"/>
        <w:gridCol w:w="406"/>
        <w:gridCol w:w="4028"/>
        <w:gridCol w:w="3839"/>
        <w:gridCol w:w="534"/>
      </w:tblGrid>
      <w:tr>
        <w:tblPrEx>
          <w:tblW w:w="0" w:type="auto"/>
          <w:jc w:val="left"/>
          <w:tblInd w:w="1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624"/>
          <w:jc w:val="left"/>
        </w:trPr>
        <w:tc>
          <w:tcPr>
            <w:tcW w:w="880" w:type="dxa"/>
            <w:gridSpan w:val="2"/>
            <w:tcBorders>
              <w:left w:val="nil"/>
              <w:bottom w:val="single" w:sz="4" w:space="0" w:color="000000"/>
              <w:right w:val="single" w:sz="4" w:space="0" w:color="000000"/>
            </w:tcBorders>
          </w:tcPr>
          <w:p>
            <w:pPr>
              <w:pStyle w:val="TableParagraph"/>
              <w:spacing w:before="177"/>
              <w:ind w:left="243"/>
              <w:jc w:val="left"/>
              <w:rPr>
                <w:b/>
                <w:sz w:val="21"/>
              </w:rPr>
            </w:pPr>
            <w:r>
              <w:rPr>
                <w:b/>
                <w:sz w:val="21"/>
              </w:rPr>
              <w:t>序号</w:t>
            </w:r>
          </w:p>
        </w:tc>
        <w:tc>
          <w:tcPr>
            <w:tcW w:w="4028" w:type="dxa"/>
            <w:tcBorders>
              <w:left w:val="single" w:sz="4" w:space="0" w:color="000000"/>
              <w:bottom w:val="single" w:sz="4" w:space="0" w:color="000000"/>
              <w:right w:val="single" w:sz="4" w:space="0" w:color="000000"/>
            </w:tcBorders>
          </w:tcPr>
          <w:p>
            <w:pPr>
              <w:pStyle w:val="TableParagraph"/>
              <w:spacing w:before="177"/>
              <w:ind w:left="106" w:right="78"/>
              <w:rPr>
                <w:b/>
                <w:sz w:val="21"/>
              </w:rPr>
            </w:pPr>
            <w:r>
              <w:rPr>
                <w:b/>
                <w:sz w:val="21"/>
              </w:rPr>
              <w:t>审批决定</w:t>
            </w:r>
          </w:p>
        </w:tc>
        <w:tc>
          <w:tcPr>
            <w:tcW w:w="3839" w:type="dxa"/>
            <w:tcBorders>
              <w:left w:val="single" w:sz="4" w:space="0" w:color="000000"/>
              <w:bottom w:val="single" w:sz="4" w:space="0" w:color="000000"/>
              <w:right w:val="single" w:sz="4" w:space="0" w:color="000000"/>
            </w:tcBorders>
          </w:tcPr>
          <w:p>
            <w:pPr>
              <w:pStyle w:val="TableParagraph"/>
              <w:spacing w:before="177"/>
              <w:ind w:left="118" w:right="89"/>
              <w:rPr>
                <w:b/>
                <w:sz w:val="21"/>
              </w:rPr>
            </w:pPr>
            <w:r>
              <w:rPr>
                <w:b/>
                <w:sz w:val="21"/>
              </w:rPr>
              <w:t>落实情况</w:t>
            </w:r>
          </w:p>
        </w:tc>
        <w:tc>
          <w:tcPr>
            <w:tcW w:w="534" w:type="dxa"/>
            <w:tcBorders>
              <w:left w:val="single" w:sz="4" w:space="0" w:color="000000"/>
              <w:bottom w:val="single" w:sz="4" w:space="0" w:color="000000"/>
              <w:right w:val="nil"/>
            </w:tcBorders>
          </w:tcPr>
          <w:p>
            <w:pPr>
              <w:pStyle w:val="TableParagraph"/>
              <w:spacing w:before="21"/>
              <w:ind w:left="169"/>
              <w:jc w:val="left"/>
              <w:rPr>
                <w:b/>
                <w:sz w:val="21"/>
              </w:rPr>
            </w:pPr>
            <w:r>
              <w:rPr>
                <w:b/>
                <w:w w:val="99"/>
                <w:sz w:val="21"/>
              </w:rPr>
              <w:t>备</w:t>
            </w:r>
          </w:p>
          <w:p>
            <w:pPr>
              <w:pStyle w:val="TableParagraph"/>
              <w:spacing w:before="43"/>
              <w:ind w:left="169"/>
              <w:jc w:val="left"/>
              <w:rPr>
                <w:b/>
                <w:sz w:val="21"/>
              </w:rPr>
            </w:pPr>
            <w:r>
              <w:rPr>
                <w:b/>
                <w:w w:val="99"/>
                <w:sz w:val="21"/>
              </w:rPr>
              <w:t>注</w:t>
            </w:r>
          </w:p>
        </w:tc>
      </w:tr>
      <w:tr>
        <w:tblPrEx>
          <w:tblW w:w="0" w:type="auto"/>
          <w:jc w:val="left"/>
          <w:tblInd w:w="125" w:type="dxa"/>
          <w:tblLayout w:type="fixed"/>
          <w:tblCellMar>
            <w:top w:w="0" w:type="dxa"/>
            <w:left w:w="0" w:type="dxa"/>
            <w:bottom w:w="0" w:type="dxa"/>
            <w:right w:w="0" w:type="dxa"/>
          </w:tblCellMar>
          <w:tblLook w:val="01E0"/>
        </w:tblPrEx>
        <w:trPr>
          <w:trHeight w:val="1238"/>
          <w:jc w:val="left"/>
        </w:trPr>
        <w:tc>
          <w:tcPr>
            <w:tcW w:w="474" w:type="dxa"/>
            <w:vMerge w:val="restart"/>
            <w:tcBorders>
              <w:top w:val="single" w:sz="4" w:space="0" w:color="000000"/>
              <w:left w:val="nil"/>
              <w:right w:val="single" w:sz="4" w:space="0" w:color="000000"/>
            </w:tcBorders>
          </w:tcPr>
          <w:p>
            <w:pPr>
              <w:pStyle w:val="TableParagraph"/>
              <w:jc w:val="left"/>
              <w:rPr>
                <w:b/>
                <w:sz w:val="22"/>
              </w:rPr>
            </w:pPr>
          </w:p>
          <w:p>
            <w:pPr>
              <w:pStyle w:val="TableParagraph"/>
              <w:jc w:val="left"/>
              <w:rPr>
                <w:b/>
                <w:sz w:val="22"/>
              </w:rPr>
            </w:pPr>
          </w:p>
          <w:p>
            <w:pPr>
              <w:pStyle w:val="TableParagraph"/>
              <w:jc w:val="left"/>
              <w:rPr>
                <w:b/>
                <w:sz w:val="22"/>
              </w:rPr>
            </w:pPr>
          </w:p>
          <w:p>
            <w:pPr>
              <w:pStyle w:val="TableParagraph"/>
              <w:spacing w:before="8"/>
              <w:jc w:val="left"/>
              <w:rPr>
                <w:b/>
                <w:sz w:val="22"/>
              </w:rPr>
            </w:pPr>
          </w:p>
          <w:p>
            <w:pPr>
              <w:pStyle w:val="TableParagraph"/>
              <w:spacing w:before="1" w:line="280" w:lineRule="auto"/>
              <w:ind w:left="147" w:right="110"/>
              <w:jc w:val="both"/>
              <w:rPr>
                <w:rFonts w:ascii="Times New Roman" w:eastAsia="Times New Roman"/>
                <w:sz w:val="21"/>
              </w:rPr>
            </w:pPr>
            <w:r>
              <w:rPr>
                <w:sz w:val="21"/>
              </w:rPr>
              <w:t>盐环表复</w:t>
            </w:r>
            <w:r>
              <w:rPr>
                <w:w w:val="99"/>
                <w:sz w:val="21"/>
              </w:rPr>
              <w:t xml:space="preserve"> </w:t>
            </w:r>
            <w:r>
              <w:rPr>
                <w:rFonts w:ascii="Times New Roman" w:eastAsia="Times New Roman"/>
                <w:sz w:val="21"/>
              </w:rPr>
              <w:t>[2</w:t>
            </w:r>
          </w:p>
          <w:p>
            <w:pPr>
              <w:pStyle w:val="TableParagraph"/>
              <w:spacing w:before="32"/>
              <w:ind w:left="147"/>
              <w:jc w:val="left"/>
              <w:rPr>
                <w:rFonts w:ascii="Times New Roman"/>
                <w:sz w:val="21"/>
              </w:rPr>
            </w:pPr>
            <w:r>
              <w:rPr>
                <w:rFonts w:ascii="Times New Roman"/>
                <w:sz w:val="21"/>
              </w:rPr>
              <w:t>02</w:t>
            </w:r>
          </w:p>
          <w:p>
            <w:pPr>
              <w:pStyle w:val="TableParagraph"/>
              <w:spacing w:before="70"/>
              <w:ind w:left="164"/>
              <w:jc w:val="left"/>
              <w:rPr>
                <w:rFonts w:ascii="Times New Roman"/>
                <w:sz w:val="21"/>
              </w:rPr>
            </w:pPr>
            <w:r>
              <w:rPr>
                <w:rFonts w:ascii="Times New Roman"/>
                <w:sz w:val="21"/>
              </w:rPr>
              <w:t>2]</w:t>
            </w:r>
          </w:p>
          <w:p>
            <w:pPr>
              <w:pStyle w:val="TableParagraph"/>
              <w:spacing w:before="71"/>
              <w:ind w:left="147"/>
              <w:jc w:val="left"/>
              <w:rPr>
                <w:rFonts w:ascii="Times New Roman"/>
                <w:sz w:val="21"/>
              </w:rPr>
            </w:pPr>
            <w:r>
              <w:rPr>
                <w:rFonts w:ascii="Times New Roman"/>
                <w:sz w:val="21"/>
              </w:rPr>
              <w:t>22</w:t>
            </w:r>
          </w:p>
          <w:p>
            <w:pPr>
              <w:pStyle w:val="TableParagraph"/>
              <w:spacing w:before="70"/>
              <w:ind w:left="147"/>
              <w:jc w:val="left"/>
              <w:rPr>
                <w:rFonts w:ascii="Times New Roman"/>
                <w:sz w:val="21"/>
              </w:rPr>
            </w:pPr>
            <w:r>
              <w:rPr>
                <w:rFonts w:ascii="Times New Roman"/>
                <w:sz w:val="21"/>
              </w:rPr>
              <w:t>05</w:t>
            </w:r>
          </w:p>
          <w:p>
            <w:pPr>
              <w:pStyle w:val="TableParagraph"/>
              <w:spacing w:before="71"/>
              <w:ind w:left="224"/>
              <w:jc w:val="left"/>
              <w:rPr>
                <w:rFonts w:ascii="Times New Roman"/>
                <w:sz w:val="21"/>
              </w:rPr>
            </w:pPr>
            <w:r>
              <w:rPr>
                <w:rFonts w:ascii="Times New Roman"/>
                <w:w w:val="99"/>
                <w:sz w:val="21"/>
              </w:rPr>
              <w:t>7</w:t>
            </w:r>
          </w:p>
          <w:p>
            <w:pPr>
              <w:pStyle w:val="TableParagraph"/>
              <w:spacing w:before="56"/>
              <w:ind w:left="147"/>
              <w:jc w:val="left"/>
              <w:rPr>
                <w:sz w:val="21"/>
              </w:rPr>
            </w:pPr>
            <w:r>
              <w:rPr>
                <w:w w:val="99"/>
                <w:sz w:val="21"/>
              </w:rPr>
              <w:t>号</w:t>
            </w:r>
          </w:p>
        </w:tc>
        <w:tc>
          <w:tcPr>
            <w:tcW w:w="406" w:type="dxa"/>
            <w:tcBorders>
              <w:top w:val="single" w:sz="4" w:space="0" w:color="000000"/>
              <w:left w:val="single" w:sz="4" w:space="0" w:color="000000"/>
              <w:bottom w:val="single" w:sz="4" w:space="0" w:color="000000"/>
              <w:right w:val="single" w:sz="4" w:space="0" w:color="000000"/>
            </w:tcBorders>
          </w:tcPr>
          <w:p>
            <w:pPr>
              <w:pStyle w:val="TableParagraph"/>
              <w:jc w:val="left"/>
              <w:rPr>
                <w:b/>
                <w:sz w:val="22"/>
              </w:rPr>
            </w:pPr>
          </w:p>
          <w:p>
            <w:pPr>
              <w:pStyle w:val="TableParagraph"/>
              <w:spacing w:before="2"/>
              <w:jc w:val="left"/>
              <w:rPr>
                <w:b/>
                <w:sz w:val="17"/>
              </w:rPr>
            </w:pPr>
          </w:p>
          <w:p>
            <w:pPr>
              <w:pStyle w:val="TableParagraph"/>
              <w:ind w:right="129"/>
              <w:jc w:val="right"/>
              <w:rPr>
                <w:rFonts w:ascii="Times New Roman"/>
                <w:sz w:val="21"/>
              </w:rPr>
            </w:pPr>
            <w:r>
              <w:rPr>
                <w:rFonts w:ascii="Times New Roman"/>
                <w:w w:val="99"/>
                <w:sz w:val="21"/>
              </w:rPr>
              <w:t>1</w:t>
            </w:r>
          </w:p>
        </w:tc>
        <w:tc>
          <w:tcPr>
            <w:tcW w:w="4028" w:type="dxa"/>
            <w:tcBorders>
              <w:top w:val="single" w:sz="4" w:space="0" w:color="000000"/>
              <w:left w:val="single" w:sz="4" w:space="0" w:color="000000"/>
              <w:bottom w:val="single" w:sz="4" w:space="0" w:color="000000"/>
              <w:right w:val="single" w:sz="4" w:space="0" w:color="000000"/>
            </w:tcBorders>
          </w:tcPr>
          <w:p>
            <w:pPr>
              <w:pStyle w:val="TableParagraph"/>
              <w:spacing w:before="20" w:line="278" w:lineRule="auto"/>
              <w:ind w:left="133" w:right="104" w:firstLine="2"/>
              <w:rPr>
                <w:sz w:val="21"/>
              </w:rPr>
            </w:pPr>
            <w:r>
              <w:rPr>
                <w:sz w:val="21"/>
              </w:rPr>
              <w:t xml:space="preserve">该项目实施必须严格按照环评申报的原 </w:t>
            </w:r>
            <w:r>
              <w:rPr>
                <w:w w:val="95"/>
                <w:sz w:val="21"/>
              </w:rPr>
              <w:t>料、产品、生产工艺以及规模组织建设并严格落实污染治理措施，确保各项污染物</w:t>
            </w:r>
          </w:p>
          <w:p>
            <w:pPr>
              <w:pStyle w:val="TableParagraph"/>
              <w:spacing w:line="261" w:lineRule="exact"/>
              <w:ind w:left="106" w:right="78"/>
              <w:rPr>
                <w:sz w:val="21"/>
              </w:rPr>
            </w:pPr>
            <w:r>
              <w:rPr>
                <w:sz w:val="21"/>
              </w:rPr>
              <w:t>排放符合国家规定的排放标准</w:t>
            </w:r>
          </w:p>
        </w:tc>
        <w:tc>
          <w:tcPr>
            <w:tcW w:w="3839" w:type="dxa"/>
            <w:tcBorders>
              <w:top w:val="single" w:sz="4" w:space="0" w:color="000000"/>
              <w:left w:val="single" w:sz="4" w:space="0" w:color="000000"/>
              <w:bottom w:val="single" w:sz="4" w:space="0" w:color="000000"/>
              <w:right w:val="single" w:sz="4" w:space="0" w:color="000000"/>
            </w:tcBorders>
          </w:tcPr>
          <w:p>
            <w:pPr>
              <w:pStyle w:val="TableParagraph"/>
              <w:spacing w:before="20" w:line="278" w:lineRule="auto"/>
              <w:ind w:left="142" w:right="-15" w:hanging="24"/>
              <w:jc w:val="left"/>
              <w:rPr>
                <w:sz w:val="21"/>
              </w:rPr>
            </w:pPr>
            <w:r>
              <w:rPr>
                <w:spacing w:val="-5"/>
                <w:sz w:val="21"/>
              </w:rPr>
              <w:t>该项目严格按照环评申报的原料、产品、</w:t>
            </w:r>
            <w:r>
              <w:rPr>
                <w:sz w:val="21"/>
              </w:rPr>
              <w:t>生产工艺以及规模组织建设并严格落实污染治理措施，各项污染物排放符合国</w:t>
            </w:r>
          </w:p>
          <w:p>
            <w:pPr>
              <w:pStyle w:val="TableParagraph"/>
              <w:spacing w:line="261" w:lineRule="exact"/>
              <w:ind w:left="1087"/>
              <w:jc w:val="left"/>
              <w:rPr>
                <w:sz w:val="21"/>
              </w:rPr>
            </w:pPr>
            <w:r>
              <w:rPr>
                <w:sz w:val="21"/>
              </w:rPr>
              <w:t>家规定的排放标准</w:t>
            </w:r>
          </w:p>
        </w:tc>
        <w:tc>
          <w:tcPr>
            <w:tcW w:w="534" w:type="dxa"/>
            <w:tcBorders>
              <w:top w:val="single" w:sz="4" w:space="0" w:color="000000"/>
              <w:left w:val="single" w:sz="4" w:space="0" w:color="000000"/>
              <w:bottom w:val="single" w:sz="4" w:space="0" w:color="000000"/>
              <w:right w:val="nil"/>
            </w:tcBorders>
          </w:tcPr>
          <w:p>
            <w:pPr>
              <w:pStyle w:val="TableParagraph"/>
              <w:spacing w:before="176" w:line="278" w:lineRule="auto"/>
              <w:ind w:left="172" w:right="147"/>
              <w:jc w:val="both"/>
              <w:rPr>
                <w:sz w:val="21"/>
              </w:rPr>
            </w:pPr>
            <w:r>
              <w:rPr>
                <w:w w:val="95"/>
                <w:sz w:val="21"/>
              </w:rPr>
              <w:t>已落实</w:t>
            </w:r>
          </w:p>
        </w:tc>
      </w:tr>
      <w:tr>
        <w:tblPrEx>
          <w:tblW w:w="0" w:type="auto"/>
          <w:jc w:val="left"/>
          <w:tblInd w:w="125" w:type="dxa"/>
          <w:tblLayout w:type="fixed"/>
          <w:tblCellMar>
            <w:top w:w="0" w:type="dxa"/>
            <w:left w:w="0" w:type="dxa"/>
            <w:bottom w:w="0" w:type="dxa"/>
            <w:right w:w="0" w:type="dxa"/>
          </w:tblCellMar>
          <w:tblLook w:val="01E0"/>
        </w:tblPrEx>
        <w:trPr>
          <w:trHeight w:val="4035"/>
          <w:jc w:val="left"/>
        </w:trPr>
        <w:tc>
          <w:tcPr>
            <w:tcW w:w="474" w:type="dxa"/>
            <w:vMerge/>
            <w:tcBorders>
              <w:top w:val="nil"/>
              <w:left w:val="nil"/>
              <w:right w:val="single" w:sz="4" w:space="0" w:color="000000"/>
            </w:tcBorders>
          </w:tcPr>
          <w:p>
            <w:pPr>
              <w:rPr>
                <w:sz w:val="2"/>
                <w:szCs w:val="2"/>
              </w:rPr>
            </w:pPr>
          </w:p>
        </w:tc>
        <w:tc>
          <w:tcPr>
            <w:tcW w:w="406" w:type="dxa"/>
            <w:tcBorders>
              <w:top w:val="single" w:sz="4" w:space="0" w:color="000000"/>
              <w:left w:val="single" w:sz="4" w:space="0" w:color="000000"/>
              <w:bottom w:val="single" w:sz="4" w:space="0" w:color="000000"/>
              <w:right w:val="single" w:sz="4" w:space="0" w:color="000000"/>
            </w:tcBorders>
          </w:tcPr>
          <w:p>
            <w:pPr>
              <w:pStyle w:val="TableParagraph"/>
              <w:jc w:val="left"/>
              <w:rPr>
                <w:b/>
                <w:sz w:val="22"/>
              </w:rPr>
            </w:pPr>
          </w:p>
          <w:p>
            <w:pPr>
              <w:pStyle w:val="TableParagraph"/>
              <w:jc w:val="left"/>
              <w:rPr>
                <w:b/>
                <w:sz w:val="22"/>
              </w:rPr>
            </w:pPr>
          </w:p>
          <w:p>
            <w:pPr>
              <w:pStyle w:val="TableParagraph"/>
              <w:jc w:val="left"/>
              <w:rPr>
                <w:b/>
                <w:sz w:val="22"/>
              </w:rPr>
            </w:pPr>
          </w:p>
          <w:p>
            <w:pPr>
              <w:pStyle w:val="TableParagraph"/>
              <w:jc w:val="left"/>
              <w:rPr>
                <w:b/>
                <w:sz w:val="22"/>
              </w:rPr>
            </w:pPr>
          </w:p>
          <w:p>
            <w:pPr>
              <w:pStyle w:val="TableParagraph"/>
              <w:jc w:val="left"/>
              <w:rPr>
                <w:b/>
                <w:sz w:val="22"/>
              </w:rPr>
            </w:pPr>
          </w:p>
          <w:p>
            <w:pPr>
              <w:pStyle w:val="TableParagraph"/>
              <w:jc w:val="left"/>
              <w:rPr>
                <w:b/>
                <w:sz w:val="22"/>
              </w:rPr>
            </w:pPr>
          </w:p>
          <w:p>
            <w:pPr>
              <w:pStyle w:val="TableParagraph"/>
              <w:spacing w:before="12"/>
              <w:jc w:val="left"/>
              <w:rPr>
                <w:b/>
                <w:sz w:val="15"/>
              </w:rPr>
            </w:pPr>
          </w:p>
          <w:p>
            <w:pPr>
              <w:pStyle w:val="TableParagraph"/>
              <w:ind w:right="129"/>
              <w:jc w:val="right"/>
              <w:rPr>
                <w:rFonts w:ascii="Times New Roman"/>
                <w:sz w:val="21"/>
              </w:rPr>
            </w:pPr>
            <w:r>
              <w:rPr>
                <w:rFonts w:ascii="Times New Roman"/>
                <w:w w:val="99"/>
                <w:sz w:val="21"/>
              </w:rPr>
              <w:t>2</w:t>
            </w:r>
          </w:p>
        </w:tc>
        <w:tc>
          <w:tcPr>
            <w:tcW w:w="4028" w:type="dxa"/>
            <w:tcBorders>
              <w:top w:val="single" w:sz="4" w:space="0" w:color="000000"/>
              <w:left w:val="single" w:sz="4" w:space="0" w:color="000000"/>
              <w:bottom w:val="single" w:sz="4" w:space="0" w:color="000000"/>
              <w:right w:val="single" w:sz="4" w:space="0" w:color="000000"/>
            </w:tcBorders>
          </w:tcPr>
          <w:p>
            <w:pPr>
              <w:pStyle w:val="TableParagraph"/>
              <w:spacing w:before="10" w:line="278" w:lineRule="auto"/>
              <w:ind w:left="116" w:right="-29"/>
              <w:jc w:val="left"/>
              <w:rPr>
                <w:sz w:val="21"/>
              </w:rPr>
            </w:pPr>
            <w:r>
              <w:rPr>
                <w:spacing w:val="-9"/>
                <w:sz w:val="21"/>
              </w:rPr>
              <w:t>废水治理方面。项目设备、地面冲洗废水、</w:t>
            </w:r>
            <w:r>
              <w:rPr>
                <w:spacing w:val="-15"/>
                <w:sz w:val="21"/>
              </w:rPr>
              <w:t xml:space="preserve">初期雨水分别经 </w:t>
            </w:r>
            <w:r>
              <w:rPr>
                <w:rFonts w:ascii="Times New Roman" w:eastAsia="Times New Roman"/>
                <w:sz w:val="21"/>
              </w:rPr>
              <w:t>2</w:t>
            </w:r>
            <w:r>
              <w:rPr>
                <w:rFonts w:ascii="Times New Roman" w:eastAsia="Times New Roman"/>
                <w:spacing w:val="-1"/>
                <w:sz w:val="21"/>
              </w:rPr>
              <w:t xml:space="preserve"> </w:t>
            </w:r>
            <w:r>
              <w:rPr>
                <w:sz w:val="21"/>
              </w:rPr>
              <w:t>套隔油池</w:t>
            </w:r>
            <w:r>
              <w:rPr>
                <w:rFonts w:ascii="Times New Roman" w:eastAsia="Times New Roman"/>
                <w:sz w:val="21"/>
              </w:rPr>
              <w:t>+</w:t>
            </w:r>
            <w:r>
              <w:rPr>
                <w:sz w:val="21"/>
              </w:rPr>
              <w:t>砂石分离机</w:t>
            </w:r>
            <w:r>
              <w:rPr>
                <w:rFonts w:ascii="Times New Roman" w:eastAsia="Times New Roman"/>
                <w:sz w:val="21"/>
              </w:rPr>
              <w:t xml:space="preserve">+ </w:t>
            </w:r>
            <w:r>
              <w:rPr>
                <w:sz w:val="21"/>
              </w:rPr>
              <w:t>三级污水循环利用池处理后回用与生产及除尘，回用水标准执行《城市污水再生利</w:t>
            </w:r>
            <w:r>
              <w:rPr>
                <w:spacing w:val="-2"/>
                <w:sz w:val="21"/>
              </w:rPr>
              <w:t>用 工业用水水质》</w:t>
            </w:r>
            <w:r>
              <w:rPr>
                <w:sz w:val="21"/>
              </w:rPr>
              <w:t>（</w:t>
            </w:r>
            <w:r>
              <w:rPr>
                <w:rFonts w:ascii="Times New Roman" w:eastAsia="Times New Roman"/>
                <w:sz w:val="21"/>
              </w:rPr>
              <w:t>GB/T</w:t>
            </w:r>
            <w:r>
              <w:rPr>
                <w:rFonts w:ascii="Times New Roman" w:eastAsia="Times New Roman"/>
                <w:spacing w:val="-5"/>
                <w:sz w:val="21"/>
              </w:rPr>
              <w:t xml:space="preserve"> </w:t>
            </w:r>
            <w:r>
              <w:rPr>
                <w:rFonts w:ascii="Times New Roman" w:eastAsia="Times New Roman"/>
                <w:sz w:val="21"/>
              </w:rPr>
              <w:t>19923-2005</w:t>
            </w:r>
            <w:r>
              <w:rPr>
                <w:sz w:val="21"/>
              </w:rPr>
              <w:t xml:space="preserve">） </w:t>
            </w:r>
            <w:r>
              <w:rPr>
                <w:spacing w:val="-28"/>
                <w:sz w:val="21"/>
              </w:rPr>
              <w:t xml:space="preserve">表 </w:t>
            </w:r>
            <w:r>
              <w:rPr>
                <w:rFonts w:ascii="Times New Roman" w:eastAsia="Times New Roman"/>
                <w:sz w:val="21"/>
              </w:rPr>
              <w:t>1</w:t>
            </w:r>
            <w:r>
              <w:rPr>
                <w:rFonts w:ascii="Times New Roman" w:eastAsia="Times New Roman"/>
                <w:spacing w:val="-1"/>
                <w:sz w:val="21"/>
              </w:rPr>
              <w:t xml:space="preserve"> </w:t>
            </w:r>
            <w:r>
              <w:rPr>
                <w:sz w:val="21"/>
              </w:rPr>
              <w:t>洗涤用水和工艺和产品用水标准；生活污水经地埋式一体化污水处理设施（调节</w:t>
            </w:r>
            <w:r>
              <w:rPr>
                <w:rFonts w:ascii="Times New Roman" w:eastAsia="Times New Roman"/>
                <w:sz w:val="21"/>
              </w:rPr>
              <w:t>+</w:t>
            </w:r>
            <w:r>
              <w:rPr>
                <w:sz w:val="21"/>
              </w:rPr>
              <w:t>接触氧化</w:t>
            </w:r>
            <w:r>
              <w:rPr>
                <w:rFonts w:ascii="Times New Roman" w:eastAsia="Times New Roman"/>
                <w:sz w:val="21"/>
              </w:rPr>
              <w:t>+</w:t>
            </w:r>
            <w:r>
              <w:rPr>
                <w:sz w:val="21"/>
              </w:rPr>
              <w:t>沉淀</w:t>
            </w:r>
            <w:r>
              <w:rPr>
                <w:spacing w:val="-68"/>
                <w:sz w:val="21"/>
              </w:rPr>
              <w:t>）</w:t>
            </w:r>
            <w:r>
              <w:rPr>
                <w:spacing w:val="-15"/>
                <w:sz w:val="21"/>
              </w:rPr>
              <w:t>处理后，近期符合《农田灌溉水质标准》（</w:t>
            </w:r>
            <w:r>
              <w:rPr>
                <w:rFonts w:ascii="Times New Roman" w:eastAsia="Times New Roman"/>
                <w:spacing w:val="-15"/>
                <w:sz w:val="21"/>
              </w:rPr>
              <w:t>GB5084-2005</w:t>
            </w:r>
            <w:r>
              <w:rPr>
                <w:spacing w:val="-15"/>
                <w:sz w:val="21"/>
              </w:rPr>
              <w:t>）旱作 标准后用于农田灌溉，远期处理达标后接入滨淮镇民营园污水管网送滨淮镇污水处理厂深度处理，废水排放执行《滨淮镇污</w:t>
            </w:r>
          </w:p>
          <w:p>
            <w:pPr>
              <w:pStyle w:val="TableParagraph"/>
              <w:spacing w:line="261" w:lineRule="exact"/>
              <w:ind w:left="973"/>
              <w:jc w:val="left"/>
              <w:rPr>
                <w:sz w:val="21"/>
              </w:rPr>
            </w:pPr>
            <w:r>
              <w:rPr>
                <w:sz w:val="21"/>
              </w:rPr>
              <w:t>水处理厂接管标准》。</w:t>
            </w:r>
          </w:p>
        </w:tc>
        <w:tc>
          <w:tcPr>
            <w:tcW w:w="3839" w:type="dxa"/>
            <w:tcBorders>
              <w:top w:val="single" w:sz="4" w:space="0" w:color="000000"/>
              <w:left w:val="single" w:sz="4" w:space="0" w:color="000000"/>
              <w:bottom w:val="single" w:sz="4" w:space="0" w:color="000000"/>
              <w:right w:val="single" w:sz="4" w:space="0" w:color="000000"/>
            </w:tcBorders>
          </w:tcPr>
          <w:p>
            <w:pPr>
              <w:pStyle w:val="TableParagraph"/>
              <w:jc w:val="left"/>
              <w:rPr>
                <w:b/>
                <w:sz w:val="20"/>
              </w:rPr>
            </w:pPr>
          </w:p>
          <w:p>
            <w:pPr>
              <w:pStyle w:val="TableParagraph"/>
              <w:spacing w:before="3"/>
              <w:jc w:val="left"/>
              <w:rPr>
                <w:b/>
                <w:sz w:val="17"/>
              </w:rPr>
            </w:pPr>
          </w:p>
          <w:p>
            <w:pPr>
              <w:pStyle w:val="TableParagraph"/>
              <w:spacing w:before="1" w:line="278" w:lineRule="auto"/>
              <w:ind w:left="118" w:right="-15"/>
              <w:rPr>
                <w:sz w:val="21"/>
              </w:rPr>
            </w:pPr>
            <w:r>
              <w:rPr>
                <w:spacing w:val="-6"/>
                <w:w w:val="95"/>
                <w:sz w:val="21"/>
              </w:rPr>
              <w:t>厂区废水包括生活污水、搅拌机清洗水、</w:t>
            </w:r>
            <w:r>
              <w:rPr>
                <w:sz w:val="21"/>
              </w:rPr>
              <w:t>运输车辆清洗水和场地清洗水。生活污水经化粪池处理后用作农肥不外排，场地清洗水经收集沟收集到场地清洗水收集池，经沉淀后与搅拌机清洗水、实验室清洗水一同收集进污水循环利用池， 沉淀后用于车辆清洗，车辆清洗水经隔油池</w:t>
            </w:r>
            <w:r>
              <w:rPr>
                <w:rFonts w:ascii="Times New Roman" w:eastAsia="Times New Roman"/>
                <w:sz w:val="21"/>
              </w:rPr>
              <w:t>+</w:t>
            </w:r>
            <w:r>
              <w:rPr>
                <w:sz w:val="21"/>
              </w:rPr>
              <w:t>砂石分离机处理后回收进污水循 环利用池，多余的水抽入清水罐用于混凝土生产，所有废水均不排放。</w:t>
            </w:r>
          </w:p>
        </w:tc>
        <w:tc>
          <w:tcPr>
            <w:tcW w:w="534" w:type="dxa"/>
            <w:tcBorders>
              <w:top w:val="single" w:sz="4" w:space="0" w:color="000000"/>
              <w:left w:val="single" w:sz="4" w:space="0" w:color="000000"/>
              <w:bottom w:val="single" w:sz="4" w:space="0" w:color="000000"/>
              <w:right w:val="nil"/>
            </w:tcBorders>
          </w:tcPr>
          <w:p>
            <w:pPr>
              <w:pStyle w:val="TableParagraph"/>
              <w:jc w:val="left"/>
              <w:rPr>
                <w:b/>
                <w:sz w:val="20"/>
              </w:rPr>
            </w:pPr>
          </w:p>
          <w:p>
            <w:pPr>
              <w:pStyle w:val="TableParagraph"/>
              <w:jc w:val="left"/>
              <w:rPr>
                <w:b/>
                <w:sz w:val="20"/>
              </w:rPr>
            </w:pPr>
          </w:p>
          <w:p>
            <w:pPr>
              <w:pStyle w:val="TableParagraph"/>
              <w:jc w:val="left"/>
              <w:rPr>
                <w:b/>
                <w:sz w:val="20"/>
              </w:rPr>
            </w:pPr>
          </w:p>
          <w:p>
            <w:pPr>
              <w:pStyle w:val="TableParagraph"/>
              <w:jc w:val="left"/>
              <w:rPr>
                <w:b/>
                <w:sz w:val="20"/>
              </w:rPr>
            </w:pPr>
          </w:p>
          <w:p>
            <w:pPr>
              <w:pStyle w:val="TableParagraph"/>
              <w:jc w:val="left"/>
              <w:rPr>
                <w:b/>
                <w:sz w:val="20"/>
              </w:rPr>
            </w:pPr>
          </w:p>
          <w:p>
            <w:pPr>
              <w:pStyle w:val="TableParagraph"/>
              <w:spacing w:before="6"/>
              <w:jc w:val="left"/>
              <w:rPr>
                <w:b/>
                <w:sz w:val="22"/>
              </w:rPr>
            </w:pPr>
          </w:p>
          <w:p>
            <w:pPr>
              <w:pStyle w:val="TableParagraph"/>
              <w:spacing w:before="1" w:line="278" w:lineRule="auto"/>
              <w:ind w:left="172" w:right="147"/>
              <w:jc w:val="both"/>
              <w:rPr>
                <w:sz w:val="21"/>
              </w:rPr>
            </w:pPr>
            <w:r>
              <w:rPr>
                <w:w w:val="95"/>
                <w:sz w:val="21"/>
              </w:rPr>
              <w:t>已落实</w:t>
            </w:r>
          </w:p>
        </w:tc>
      </w:tr>
      <w:tr>
        <w:tblPrEx>
          <w:tblW w:w="0" w:type="auto"/>
          <w:jc w:val="left"/>
          <w:tblInd w:w="125" w:type="dxa"/>
          <w:tblLayout w:type="fixed"/>
          <w:tblCellMar>
            <w:top w:w="0" w:type="dxa"/>
            <w:left w:w="0" w:type="dxa"/>
            <w:bottom w:w="0" w:type="dxa"/>
            <w:right w:w="0" w:type="dxa"/>
          </w:tblCellMar>
          <w:tblLook w:val="01E0"/>
        </w:tblPrEx>
        <w:trPr>
          <w:trHeight w:val="327"/>
          <w:jc w:val="left"/>
        </w:trPr>
        <w:tc>
          <w:tcPr>
            <w:tcW w:w="474" w:type="dxa"/>
            <w:vMerge/>
            <w:tcBorders>
              <w:top w:val="nil"/>
              <w:left w:val="nil"/>
              <w:right w:val="single" w:sz="4" w:space="0" w:color="000000"/>
            </w:tcBorders>
          </w:tcPr>
          <w:p>
            <w:pPr>
              <w:rPr>
                <w:sz w:val="2"/>
                <w:szCs w:val="2"/>
              </w:rPr>
            </w:pPr>
          </w:p>
        </w:tc>
        <w:tc>
          <w:tcPr>
            <w:tcW w:w="406" w:type="dxa"/>
            <w:tcBorders>
              <w:top w:val="single" w:sz="4" w:space="0" w:color="000000"/>
              <w:left w:val="single" w:sz="4" w:space="0" w:color="000000"/>
              <w:right w:val="single" w:sz="4" w:space="0" w:color="000000"/>
            </w:tcBorders>
          </w:tcPr>
          <w:p>
            <w:pPr>
              <w:pStyle w:val="TableParagraph"/>
              <w:spacing w:before="38"/>
              <w:ind w:right="129"/>
              <w:jc w:val="right"/>
              <w:rPr>
                <w:rFonts w:ascii="Times New Roman"/>
                <w:sz w:val="21"/>
              </w:rPr>
            </w:pPr>
            <w:r>
              <w:rPr>
                <w:rFonts w:ascii="Times New Roman"/>
                <w:w w:val="99"/>
                <w:sz w:val="21"/>
              </w:rPr>
              <w:t>3</w:t>
            </w:r>
          </w:p>
        </w:tc>
        <w:tc>
          <w:tcPr>
            <w:tcW w:w="4028" w:type="dxa"/>
            <w:tcBorders>
              <w:top w:val="single" w:sz="4" w:space="0" w:color="000000"/>
              <w:left w:val="single" w:sz="4" w:space="0" w:color="000000"/>
              <w:right w:val="single" w:sz="4" w:space="0" w:color="000000"/>
            </w:tcBorders>
          </w:tcPr>
          <w:p>
            <w:pPr>
              <w:pStyle w:val="TableParagraph"/>
              <w:spacing w:before="24"/>
              <w:ind w:left="106" w:right="80"/>
              <w:rPr>
                <w:sz w:val="21"/>
              </w:rPr>
            </w:pPr>
            <w:r>
              <w:rPr>
                <w:sz w:val="21"/>
              </w:rPr>
              <w:t>废气治理方面。搅拌楼（</w:t>
            </w:r>
            <w:r>
              <w:rPr>
                <w:rFonts w:ascii="Times New Roman" w:eastAsia="Times New Roman"/>
                <w:sz w:val="21"/>
              </w:rPr>
              <w:t>A</w:t>
            </w:r>
            <w:r>
              <w:rPr>
                <w:sz w:val="21"/>
              </w:rPr>
              <w:t>、</w:t>
            </w:r>
            <w:r>
              <w:rPr>
                <w:rFonts w:ascii="Times New Roman" w:eastAsia="Times New Roman"/>
                <w:sz w:val="21"/>
              </w:rPr>
              <w:t>B</w:t>
            </w:r>
            <w:r>
              <w:rPr>
                <w:sz w:val="21"/>
              </w:rPr>
              <w:t>、</w:t>
            </w:r>
            <w:r>
              <w:rPr>
                <w:rFonts w:ascii="Times New Roman" w:eastAsia="Times New Roman"/>
                <w:sz w:val="21"/>
              </w:rPr>
              <w:t>C</w:t>
            </w:r>
            <w:r>
              <w:rPr>
                <w:sz w:val="21"/>
              </w:rPr>
              <w:t>）产生</w:t>
            </w:r>
          </w:p>
        </w:tc>
        <w:tc>
          <w:tcPr>
            <w:tcW w:w="3839" w:type="dxa"/>
            <w:tcBorders>
              <w:top w:val="single" w:sz="4" w:space="0" w:color="000000"/>
              <w:left w:val="single" w:sz="4" w:space="0" w:color="000000"/>
              <w:right w:val="single" w:sz="4" w:space="0" w:color="000000"/>
            </w:tcBorders>
          </w:tcPr>
          <w:p>
            <w:pPr>
              <w:pStyle w:val="TableParagraph"/>
              <w:spacing w:before="24"/>
              <w:ind w:left="228" w:right="95"/>
              <w:rPr>
                <w:sz w:val="21"/>
              </w:rPr>
            </w:pPr>
            <w:r>
              <w:rPr>
                <w:spacing w:val="-7"/>
                <w:w w:val="95"/>
                <w:sz w:val="21"/>
              </w:rPr>
              <w:t>废气包括搅拌机粉尘、骨料仓装卸粉尘、</w:t>
            </w:r>
          </w:p>
        </w:tc>
        <w:tc>
          <w:tcPr>
            <w:tcW w:w="534" w:type="dxa"/>
            <w:tcBorders>
              <w:top w:val="single" w:sz="4" w:space="0" w:color="000000"/>
              <w:left w:val="single" w:sz="4" w:space="0" w:color="000000"/>
              <w:right w:val="nil"/>
            </w:tcBorders>
          </w:tcPr>
          <w:p>
            <w:pPr>
              <w:pStyle w:val="TableParagraph"/>
              <w:spacing w:before="24"/>
              <w:ind w:left="172"/>
              <w:jc w:val="left"/>
              <w:rPr>
                <w:sz w:val="21"/>
              </w:rPr>
            </w:pPr>
            <w:r>
              <w:rPr>
                <w:w w:val="99"/>
                <w:sz w:val="21"/>
              </w:rPr>
              <w:t>已</w:t>
            </w:r>
          </w:p>
        </w:tc>
      </w:tr>
    </w:tbl>
    <w:p>
      <w:pPr>
        <w:spacing w:after="0"/>
        <w:jc w:val="left"/>
        <w:rPr>
          <w:sz w:val="21"/>
        </w:rPr>
        <w:sectPr>
          <w:footerReference w:type="default" r:id="rId4"/>
          <w:pgSz w:w="11910" w:h="16840"/>
          <w:pgMar w:top="1360" w:right="1180" w:bottom="1160" w:left="1180" w:header="0" w:footer="974"/>
          <w:pgNumType w:start="1"/>
          <w:cols w:space="708"/>
        </w:sectPr>
      </w:pPr>
    </w:p>
    <w:tbl>
      <w:tblPr>
        <w:tblStyle w:val="TableNormal1"/>
        <w:tblW w:w="0" w:type="auto"/>
        <w:jc w:val="left"/>
        <w:tblInd w:w="1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74"/>
        <w:gridCol w:w="406"/>
        <w:gridCol w:w="4028"/>
        <w:gridCol w:w="3839"/>
        <w:gridCol w:w="534"/>
      </w:tblGrid>
      <w:tr>
        <w:tblPrEx>
          <w:tblW w:w="0" w:type="auto"/>
          <w:jc w:val="left"/>
          <w:tblInd w:w="1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898"/>
          <w:jc w:val="left"/>
        </w:trPr>
        <w:tc>
          <w:tcPr>
            <w:tcW w:w="474" w:type="dxa"/>
            <w:vMerge w:val="restart"/>
            <w:tcBorders>
              <w:left w:val="nil"/>
              <w:right w:val="single" w:sz="4" w:space="0" w:color="000000"/>
            </w:tcBorders>
          </w:tcPr>
          <w:p>
            <w:pPr>
              <w:pStyle w:val="TableParagraph"/>
              <w:jc w:val="left"/>
              <w:rPr>
                <w:rFonts w:ascii="Times New Roman"/>
                <w:sz w:val="20"/>
              </w:rPr>
            </w:pPr>
          </w:p>
        </w:tc>
        <w:tc>
          <w:tcPr>
            <w:tcW w:w="406" w:type="dxa"/>
            <w:tcBorders>
              <w:left w:val="single" w:sz="4" w:space="0" w:color="000000"/>
              <w:bottom w:val="single" w:sz="4" w:space="0" w:color="000000"/>
              <w:right w:val="single" w:sz="4" w:space="0" w:color="000000"/>
            </w:tcBorders>
          </w:tcPr>
          <w:p>
            <w:pPr>
              <w:pStyle w:val="TableParagraph"/>
              <w:jc w:val="left"/>
              <w:rPr>
                <w:rFonts w:ascii="Times New Roman"/>
                <w:sz w:val="20"/>
              </w:rPr>
            </w:pPr>
          </w:p>
        </w:tc>
        <w:tc>
          <w:tcPr>
            <w:tcW w:w="4028" w:type="dxa"/>
            <w:tcBorders>
              <w:left w:val="single" w:sz="4" w:space="0" w:color="000000"/>
              <w:bottom w:val="single" w:sz="4" w:space="0" w:color="000000"/>
              <w:right w:val="single" w:sz="4" w:space="0" w:color="000000"/>
            </w:tcBorders>
          </w:tcPr>
          <w:p>
            <w:pPr>
              <w:pStyle w:val="TableParagraph"/>
              <w:spacing w:before="2"/>
              <w:ind w:left="104" w:right="80"/>
              <w:rPr>
                <w:sz w:val="21"/>
              </w:rPr>
            </w:pPr>
            <w:r>
              <w:rPr>
                <w:sz w:val="21"/>
              </w:rPr>
              <w:t>的颗粒物分别经脉冲反吹布袋除尘器</w:t>
            </w:r>
          </w:p>
          <w:p>
            <w:pPr>
              <w:pStyle w:val="TableParagraph"/>
              <w:spacing w:before="43" w:line="278" w:lineRule="auto"/>
              <w:ind w:left="116" w:right="89"/>
              <w:rPr>
                <w:sz w:val="21"/>
              </w:rPr>
            </w:pPr>
            <w:r>
              <w:rPr>
                <w:sz w:val="21"/>
              </w:rPr>
              <w:t>（</w:t>
            </w:r>
            <w:r>
              <w:rPr>
                <w:rFonts w:ascii="Times New Roman" w:eastAsia="Times New Roman"/>
                <w:sz w:val="21"/>
              </w:rPr>
              <w:t>15#</w:t>
            </w:r>
            <w:r>
              <w:rPr>
                <w:sz w:val="21"/>
              </w:rPr>
              <w:t>、</w:t>
            </w:r>
            <w:r>
              <w:rPr>
                <w:rFonts w:ascii="Times New Roman" w:eastAsia="Times New Roman"/>
                <w:sz w:val="21"/>
              </w:rPr>
              <w:t>16#</w:t>
            </w:r>
            <w:r>
              <w:rPr>
                <w:sz w:val="21"/>
              </w:rPr>
              <w:t>、</w:t>
            </w:r>
            <w:r>
              <w:rPr>
                <w:rFonts w:ascii="Times New Roman" w:eastAsia="Times New Roman"/>
                <w:sz w:val="21"/>
              </w:rPr>
              <w:t>17#</w:t>
            </w:r>
            <w:r>
              <w:rPr>
                <w:sz w:val="21"/>
              </w:rPr>
              <w:t>）</w:t>
            </w:r>
            <w:r>
              <w:rPr>
                <w:spacing w:val="-7"/>
                <w:sz w:val="21"/>
              </w:rPr>
              <w:t xml:space="preserve">处理，尾气通过 </w:t>
            </w:r>
            <w:r>
              <w:rPr>
                <w:rFonts w:ascii="Times New Roman" w:eastAsia="Times New Roman"/>
                <w:sz w:val="21"/>
              </w:rPr>
              <w:t>30</w:t>
            </w:r>
            <w:r>
              <w:rPr>
                <w:rFonts w:ascii="Times New Roman" w:eastAsia="Times New Roman"/>
                <w:spacing w:val="-6"/>
                <w:sz w:val="21"/>
              </w:rPr>
              <w:t xml:space="preserve"> </w:t>
            </w:r>
            <w:r>
              <w:rPr>
                <w:sz w:val="21"/>
              </w:rPr>
              <w:t>米高排气筒（</w:t>
            </w:r>
            <w:r>
              <w:rPr>
                <w:rFonts w:ascii="Times New Roman" w:eastAsia="Times New Roman"/>
                <w:sz w:val="21"/>
              </w:rPr>
              <w:t>DA001</w:t>
            </w:r>
            <w:r>
              <w:rPr>
                <w:sz w:val="21"/>
              </w:rPr>
              <w:t>、</w:t>
            </w:r>
            <w:r>
              <w:rPr>
                <w:rFonts w:ascii="Times New Roman" w:eastAsia="Times New Roman"/>
                <w:sz w:val="21"/>
              </w:rPr>
              <w:t>DA002</w:t>
            </w:r>
            <w:r>
              <w:rPr>
                <w:sz w:val="21"/>
              </w:rPr>
              <w:t>、</w:t>
            </w:r>
            <w:r>
              <w:rPr>
                <w:rFonts w:ascii="Times New Roman" w:eastAsia="Times New Roman"/>
                <w:sz w:val="21"/>
              </w:rPr>
              <w:t>DA003</w:t>
            </w:r>
            <w:r>
              <w:rPr>
                <w:sz w:val="21"/>
              </w:rPr>
              <w:t>）达标排放；水泥、粉煤灰及外加剂筒仓产生的颗粒物经配套的脉冲布袋除尘器（</w:t>
            </w:r>
            <w:r>
              <w:rPr>
                <w:rFonts w:ascii="Times New Roman" w:eastAsia="Times New Roman"/>
                <w:sz w:val="21"/>
              </w:rPr>
              <w:t>1#</w:t>
            </w:r>
            <w:r>
              <w:rPr>
                <w:sz w:val="21"/>
              </w:rPr>
              <w:t xml:space="preserve">～ </w:t>
            </w:r>
            <w:r>
              <w:rPr>
                <w:rFonts w:ascii="Times New Roman" w:eastAsia="Times New Roman"/>
                <w:spacing w:val="-9"/>
                <w:w w:val="95"/>
                <w:sz w:val="21"/>
              </w:rPr>
              <w:t>14#</w:t>
            </w:r>
            <w:r>
              <w:rPr>
                <w:spacing w:val="-9"/>
                <w:w w:val="95"/>
                <w:sz w:val="21"/>
              </w:rPr>
              <w:t>）</w:t>
            </w:r>
            <w:r>
              <w:rPr>
                <w:spacing w:val="-5"/>
                <w:w w:val="95"/>
                <w:sz w:val="21"/>
              </w:rPr>
              <w:t>处理后无组织排放；沙石骨料仓产生</w:t>
            </w:r>
            <w:r>
              <w:rPr>
                <w:spacing w:val="-8"/>
                <w:w w:val="95"/>
                <w:sz w:val="21"/>
              </w:rPr>
              <w:t>的粉尘经喷淋抑尘系统</w:t>
            </w:r>
            <w:r>
              <w:rPr>
                <w:spacing w:val="-5"/>
                <w:w w:val="95"/>
                <w:sz w:val="21"/>
              </w:rPr>
              <w:t>（</w:t>
            </w:r>
            <w:r>
              <w:rPr>
                <w:rFonts w:ascii="Times New Roman" w:eastAsia="Times New Roman"/>
                <w:spacing w:val="-5"/>
                <w:w w:val="95"/>
                <w:sz w:val="21"/>
              </w:rPr>
              <w:t>1#</w:t>
            </w:r>
            <w:r>
              <w:rPr>
                <w:spacing w:val="-5"/>
                <w:w w:val="95"/>
                <w:sz w:val="21"/>
              </w:rPr>
              <w:t>～</w:t>
            </w:r>
            <w:r>
              <w:rPr>
                <w:rFonts w:ascii="Times New Roman" w:eastAsia="Times New Roman"/>
                <w:spacing w:val="-5"/>
                <w:w w:val="95"/>
                <w:sz w:val="21"/>
              </w:rPr>
              <w:t>12#</w:t>
            </w:r>
            <w:r>
              <w:rPr>
                <w:spacing w:val="-5"/>
                <w:w w:val="95"/>
                <w:sz w:val="21"/>
              </w:rPr>
              <w:t>）</w:t>
            </w:r>
            <w:r>
              <w:rPr>
                <w:w w:val="95"/>
                <w:sz w:val="21"/>
              </w:rPr>
              <w:t>处理后</w:t>
            </w:r>
            <w:r>
              <w:rPr>
                <w:sz w:val="21"/>
              </w:rPr>
              <w:t>无组织排放。加强无组织废气的管理，</w:t>
            </w:r>
            <w:r>
              <w:rPr>
                <w:rFonts w:ascii="Times New Roman" w:eastAsia="Times New Roman"/>
                <w:sz w:val="21"/>
              </w:rPr>
              <w:t xml:space="preserve">3 </w:t>
            </w:r>
            <w:r>
              <w:rPr>
                <w:sz w:val="21"/>
              </w:rPr>
              <w:t>座搅拌楼全封闭操作，水泥、粉煤灰及外加剂存于筒仓，沙石骨料储存于密闭式仓库，对场地进行及时清扫并喷洒抑尘，确保厂界无组织监控点达标。颗粒物有组织及无组织排放浓度分别执行《水泥工业大</w:t>
            </w:r>
            <w:r>
              <w:rPr>
                <w:spacing w:val="-5"/>
                <w:w w:val="95"/>
                <w:sz w:val="21"/>
              </w:rPr>
              <w:t>气污染物排放标准》</w:t>
            </w:r>
            <w:r>
              <w:rPr>
                <w:w w:val="95"/>
                <w:sz w:val="21"/>
              </w:rPr>
              <w:t>（</w:t>
            </w:r>
            <w:r>
              <w:rPr>
                <w:rFonts w:ascii="Times New Roman" w:eastAsia="Times New Roman"/>
                <w:w w:val="95"/>
                <w:sz w:val="21"/>
              </w:rPr>
              <w:t>GB4915</w:t>
            </w:r>
            <w:r>
              <w:rPr>
                <w:w w:val="95"/>
                <w:sz w:val="21"/>
              </w:rPr>
              <w:t>～</w:t>
            </w:r>
            <w:r>
              <w:rPr>
                <w:rFonts w:ascii="Times New Roman" w:eastAsia="Times New Roman"/>
                <w:w w:val="95"/>
                <w:sz w:val="21"/>
              </w:rPr>
              <w:t>2013</w:t>
            </w:r>
            <w:r>
              <w:rPr>
                <w:w w:val="95"/>
                <w:sz w:val="21"/>
              </w:rPr>
              <w:t xml:space="preserve">）表 </w:t>
            </w:r>
            <w:r>
              <w:rPr>
                <w:rFonts w:ascii="Times New Roman" w:eastAsia="Times New Roman"/>
                <w:sz w:val="21"/>
              </w:rPr>
              <w:t>2</w:t>
            </w:r>
            <w:r>
              <w:rPr>
                <w:spacing w:val="-32"/>
                <w:sz w:val="21"/>
              </w:rPr>
              <w:t xml:space="preserve">、表 </w:t>
            </w:r>
            <w:r>
              <w:rPr>
                <w:rFonts w:ascii="Times New Roman" w:eastAsia="Times New Roman"/>
                <w:sz w:val="21"/>
              </w:rPr>
              <w:t>3</w:t>
            </w:r>
            <w:r>
              <w:rPr>
                <w:rFonts w:ascii="Times New Roman" w:eastAsia="Times New Roman"/>
                <w:spacing w:val="-7"/>
                <w:sz w:val="21"/>
              </w:rPr>
              <w:t xml:space="preserve"> </w:t>
            </w:r>
            <w:r>
              <w:rPr>
                <w:spacing w:val="-6"/>
                <w:sz w:val="21"/>
              </w:rPr>
              <w:t>特别排放限值。该项目以东厂界外</w:t>
            </w:r>
          </w:p>
          <w:p>
            <w:pPr>
              <w:pStyle w:val="TableParagraph"/>
              <w:spacing w:line="278" w:lineRule="auto"/>
              <w:ind w:left="116" w:right="88" w:firstLine="33"/>
              <w:jc w:val="both"/>
              <w:rPr>
                <w:sz w:val="21"/>
              </w:rPr>
            </w:pPr>
            <w:r>
              <w:rPr>
                <w:rFonts w:ascii="Times New Roman" w:eastAsia="Times New Roman"/>
                <w:sz w:val="21"/>
              </w:rPr>
              <w:t>40m</w:t>
            </w:r>
            <w:r>
              <w:rPr>
                <w:spacing w:val="-10"/>
                <w:sz w:val="21"/>
              </w:rPr>
              <w:t xml:space="preserve">，南厂界外 </w:t>
            </w:r>
            <w:r>
              <w:rPr>
                <w:rFonts w:ascii="Times New Roman" w:eastAsia="Times New Roman"/>
                <w:sz w:val="21"/>
              </w:rPr>
              <w:t>45m</w:t>
            </w:r>
            <w:r>
              <w:rPr>
                <w:spacing w:val="-10"/>
                <w:sz w:val="21"/>
              </w:rPr>
              <w:t xml:space="preserve">，西厂界外 </w:t>
            </w:r>
            <w:r>
              <w:rPr>
                <w:rFonts w:ascii="Times New Roman" w:eastAsia="Times New Roman"/>
                <w:sz w:val="21"/>
              </w:rPr>
              <w:t>45m</w:t>
            </w:r>
            <w:r>
              <w:rPr>
                <w:sz w:val="21"/>
              </w:rPr>
              <w:t>，北</w:t>
            </w:r>
            <w:r>
              <w:rPr>
                <w:spacing w:val="-15"/>
                <w:sz w:val="21"/>
              </w:rPr>
              <w:t xml:space="preserve">厂界外 </w:t>
            </w:r>
            <w:r>
              <w:rPr>
                <w:rFonts w:ascii="Times New Roman" w:eastAsia="Times New Roman"/>
                <w:sz w:val="21"/>
              </w:rPr>
              <w:t>30m</w:t>
            </w:r>
            <w:r>
              <w:rPr>
                <w:rFonts w:ascii="Times New Roman" w:eastAsia="Times New Roman"/>
                <w:spacing w:val="-5"/>
                <w:sz w:val="21"/>
              </w:rPr>
              <w:t xml:space="preserve"> </w:t>
            </w:r>
            <w:r>
              <w:rPr>
                <w:spacing w:val="-3"/>
                <w:sz w:val="21"/>
              </w:rPr>
              <w:t>设置卫生防护距离，该卫生防</w:t>
            </w:r>
            <w:r>
              <w:rPr>
                <w:spacing w:val="-3"/>
                <w:w w:val="95"/>
                <w:sz w:val="21"/>
              </w:rPr>
              <w:t>护距离范围内不得有居民、学校、医院等</w:t>
            </w:r>
          </w:p>
          <w:p>
            <w:pPr>
              <w:pStyle w:val="TableParagraph"/>
              <w:spacing w:line="260" w:lineRule="exact"/>
              <w:ind w:left="106" w:right="80"/>
              <w:rPr>
                <w:sz w:val="21"/>
              </w:rPr>
            </w:pPr>
            <w:r>
              <w:rPr>
                <w:sz w:val="21"/>
              </w:rPr>
              <w:t>敏感保护目标。</w:t>
            </w:r>
          </w:p>
        </w:tc>
        <w:tc>
          <w:tcPr>
            <w:tcW w:w="3839" w:type="dxa"/>
            <w:tcBorders>
              <w:left w:val="single" w:sz="4" w:space="0" w:color="000000"/>
              <w:bottom w:val="single" w:sz="4" w:space="0" w:color="000000"/>
              <w:right w:val="single" w:sz="4" w:space="0" w:color="000000"/>
            </w:tcBorders>
          </w:tcPr>
          <w:p>
            <w:pPr>
              <w:pStyle w:val="TableParagraph"/>
              <w:spacing w:before="2" w:line="278" w:lineRule="auto"/>
              <w:ind w:left="118" w:right="-15" w:firstLine="24"/>
              <w:jc w:val="left"/>
              <w:rPr>
                <w:sz w:val="21"/>
              </w:rPr>
            </w:pPr>
            <w:r>
              <w:rPr>
                <w:sz w:val="21"/>
              </w:rPr>
              <w:t>输送机粉尘、水泥筒仓粉尘和粉煤灰筒仓粉尘。水泥和粉煤灰筒仓粉尘由脉冲布袋除尘器处理后回用于生产，搅拌粉尘经配套的脉冲布袋除尘器处理后采用</w:t>
            </w:r>
            <w:r>
              <w:rPr>
                <w:spacing w:val="-7"/>
                <w:sz w:val="21"/>
              </w:rPr>
              <w:t xml:space="preserve">管道收集，通过 </w:t>
            </w:r>
            <w:r>
              <w:rPr>
                <w:rFonts w:ascii="Times New Roman" w:eastAsia="Times New Roman"/>
                <w:sz w:val="21"/>
              </w:rPr>
              <w:t>30m</w:t>
            </w:r>
            <w:r>
              <w:rPr>
                <w:rFonts w:ascii="Times New Roman" w:eastAsia="Times New Roman"/>
                <w:spacing w:val="-4"/>
                <w:sz w:val="21"/>
              </w:rPr>
              <w:t xml:space="preserve"> </w:t>
            </w:r>
            <w:r>
              <w:rPr>
                <w:sz w:val="21"/>
              </w:rPr>
              <w:t>排气筒达标排放。骨料仓均配备喷淋抑尘装置，皮带密闭输送，减少粉尘逸散。经监测本项目颗粒物有组织排放浓度满足《水泥工业大</w:t>
            </w:r>
            <w:r>
              <w:rPr>
                <w:spacing w:val="-6"/>
                <w:w w:val="95"/>
                <w:sz w:val="21"/>
              </w:rPr>
              <w:t>气污染物排放标准》</w:t>
            </w:r>
            <w:r>
              <w:rPr>
                <w:w w:val="95"/>
                <w:sz w:val="21"/>
              </w:rPr>
              <w:t>（</w:t>
            </w:r>
            <w:r>
              <w:rPr>
                <w:rFonts w:ascii="Times New Roman" w:eastAsia="Times New Roman"/>
                <w:w w:val="95"/>
                <w:sz w:val="21"/>
              </w:rPr>
              <w:t>DB32/4149-2021</w:t>
            </w:r>
            <w:r>
              <w:rPr>
                <w:w w:val="95"/>
                <w:sz w:val="21"/>
              </w:rPr>
              <w:t xml:space="preserve">） </w:t>
            </w:r>
            <w:r>
              <w:rPr>
                <w:spacing w:val="-26"/>
                <w:sz w:val="21"/>
              </w:rPr>
              <w:t xml:space="preserve">表 </w:t>
            </w:r>
            <w:r>
              <w:rPr>
                <w:rFonts w:ascii="Times New Roman" w:eastAsia="Times New Roman"/>
                <w:sz w:val="21"/>
              </w:rPr>
              <w:t>1</w:t>
            </w:r>
            <w:r>
              <w:rPr>
                <w:rFonts w:ascii="Times New Roman" w:eastAsia="Times New Roman"/>
                <w:spacing w:val="-3"/>
                <w:sz w:val="21"/>
              </w:rPr>
              <w:t xml:space="preserve"> </w:t>
            </w:r>
            <w:r>
              <w:rPr>
                <w:sz w:val="21"/>
              </w:rPr>
              <w:t>标准限值，颗粒物无组织排放浓度满足《水泥工业大气污染物排放标准》</w:t>
            </w:r>
          </w:p>
          <w:p>
            <w:pPr>
              <w:pStyle w:val="TableParagraph"/>
              <w:spacing w:line="278" w:lineRule="auto"/>
              <w:ind w:left="118" w:right="-15"/>
              <w:rPr>
                <w:sz w:val="21"/>
              </w:rPr>
            </w:pPr>
            <w:r>
              <w:rPr>
                <w:spacing w:val="-4"/>
                <w:sz w:val="21"/>
              </w:rPr>
              <w:t>（</w:t>
            </w:r>
            <w:r>
              <w:rPr>
                <w:rFonts w:ascii="Times New Roman" w:eastAsia="Times New Roman"/>
                <w:spacing w:val="-4"/>
                <w:sz w:val="21"/>
              </w:rPr>
              <w:t>DB32/4149-2021</w:t>
            </w:r>
            <w:r>
              <w:rPr>
                <w:spacing w:val="-4"/>
                <w:sz w:val="21"/>
              </w:rPr>
              <w:t>）</w:t>
            </w:r>
            <w:r>
              <w:rPr>
                <w:spacing w:val="-25"/>
                <w:sz w:val="21"/>
              </w:rPr>
              <w:t xml:space="preserve">表 </w:t>
            </w:r>
            <w:r>
              <w:rPr>
                <w:rFonts w:ascii="Times New Roman" w:eastAsia="Times New Roman"/>
                <w:sz w:val="21"/>
              </w:rPr>
              <w:t>3</w:t>
            </w:r>
            <w:r>
              <w:rPr>
                <w:rFonts w:ascii="Times New Roman" w:eastAsia="Times New Roman"/>
                <w:spacing w:val="-1"/>
                <w:sz w:val="21"/>
              </w:rPr>
              <w:t xml:space="preserve"> </w:t>
            </w:r>
            <w:r>
              <w:rPr>
                <w:spacing w:val="-2"/>
                <w:sz w:val="21"/>
              </w:rPr>
              <w:t>标准限值要求。</w:t>
            </w:r>
            <w:r>
              <w:rPr>
                <w:sz w:val="21"/>
              </w:rPr>
              <w:t>厂区道路已全部硬化，现场配置一辆清</w:t>
            </w:r>
            <w:r>
              <w:rPr>
                <w:spacing w:val="-8"/>
                <w:w w:val="95"/>
                <w:sz w:val="21"/>
              </w:rPr>
              <w:t xml:space="preserve">扫车定期清扫，运输车辆两天冲洗一次， </w:t>
            </w:r>
            <w:r>
              <w:rPr>
                <w:sz w:val="21"/>
              </w:rPr>
              <w:t>产生扬尘较少，可忽略不计。</w:t>
            </w:r>
          </w:p>
          <w:p>
            <w:pPr>
              <w:pStyle w:val="TableParagraph"/>
              <w:spacing w:line="278" w:lineRule="auto"/>
              <w:ind w:left="118" w:right="88" w:firstLine="21"/>
              <w:jc w:val="both"/>
              <w:rPr>
                <w:sz w:val="21"/>
              </w:rPr>
            </w:pPr>
            <w:r>
              <w:rPr>
                <w:spacing w:val="-5"/>
                <w:sz w:val="21"/>
              </w:rPr>
              <w:t xml:space="preserve">本项目以西厂界为边界外 </w:t>
            </w:r>
            <w:r>
              <w:rPr>
                <w:rFonts w:ascii="Times New Roman" w:eastAsia="Times New Roman"/>
                <w:sz w:val="21"/>
              </w:rPr>
              <w:t>45m</w:t>
            </w:r>
            <w:r>
              <w:rPr>
                <w:sz w:val="21"/>
              </w:rPr>
              <w:t>，南厂界</w:t>
            </w:r>
            <w:r>
              <w:rPr>
                <w:spacing w:val="-11"/>
                <w:sz w:val="21"/>
              </w:rPr>
              <w:t xml:space="preserve">为边界外 </w:t>
            </w:r>
            <w:r>
              <w:rPr>
                <w:rFonts w:ascii="Times New Roman" w:eastAsia="Times New Roman"/>
                <w:sz w:val="21"/>
              </w:rPr>
              <w:t>45m</w:t>
            </w:r>
            <w:r>
              <w:rPr>
                <w:spacing w:val="-7"/>
                <w:sz w:val="21"/>
              </w:rPr>
              <w:t xml:space="preserve">，东厂界为边界外 </w:t>
            </w:r>
            <w:r>
              <w:rPr>
                <w:rFonts w:ascii="Times New Roman" w:eastAsia="Times New Roman"/>
                <w:sz w:val="21"/>
              </w:rPr>
              <w:t>45m</w:t>
            </w:r>
            <w:r>
              <w:rPr>
                <w:sz w:val="21"/>
              </w:rPr>
              <w:t xml:space="preserve">， </w:t>
            </w:r>
            <w:r>
              <w:rPr>
                <w:spacing w:val="-8"/>
                <w:sz w:val="21"/>
              </w:rPr>
              <w:t xml:space="preserve">北厂界为边界外 </w:t>
            </w:r>
            <w:r>
              <w:rPr>
                <w:rFonts w:ascii="Times New Roman" w:eastAsia="Times New Roman"/>
                <w:sz w:val="21"/>
              </w:rPr>
              <w:t>40m</w:t>
            </w:r>
            <w:r>
              <w:rPr>
                <w:rFonts w:ascii="Times New Roman" w:eastAsia="Times New Roman"/>
                <w:spacing w:val="-6"/>
                <w:sz w:val="21"/>
              </w:rPr>
              <w:t xml:space="preserve"> </w:t>
            </w:r>
            <w:r>
              <w:rPr>
                <w:spacing w:val="-2"/>
                <w:sz w:val="21"/>
              </w:rPr>
              <w:t>的卫生防护距离范</w:t>
            </w:r>
          </w:p>
          <w:p>
            <w:pPr>
              <w:pStyle w:val="TableParagraph"/>
              <w:spacing w:line="260" w:lineRule="exact"/>
              <w:ind w:left="142"/>
              <w:jc w:val="left"/>
              <w:rPr>
                <w:sz w:val="21"/>
              </w:rPr>
            </w:pPr>
            <w:r>
              <w:rPr>
                <w:w w:val="95"/>
                <w:sz w:val="21"/>
              </w:rPr>
              <w:t>围内无居民点、学校等环境敏感目标。</w:t>
            </w:r>
          </w:p>
        </w:tc>
        <w:tc>
          <w:tcPr>
            <w:tcW w:w="534" w:type="dxa"/>
            <w:tcBorders>
              <w:left w:val="single" w:sz="4" w:space="0" w:color="000000"/>
              <w:bottom w:val="single" w:sz="4" w:space="0" w:color="000000"/>
              <w:right w:val="nil"/>
            </w:tcBorders>
          </w:tcPr>
          <w:p>
            <w:pPr>
              <w:pStyle w:val="TableParagraph"/>
              <w:spacing w:before="2" w:line="278" w:lineRule="auto"/>
              <w:ind w:left="172" w:right="147"/>
              <w:jc w:val="left"/>
              <w:rPr>
                <w:sz w:val="21"/>
              </w:rPr>
            </w:pPr>
            <w:r>
              <w:rPr>
                <w:w w:val="95"/>
                <w:sz w:val="21"/>
              </w:rPr>
              <w:t>落实</w:t>
            </w:r>
          </w:p>
        </w:tc>
      </w:tr>
      <w:tr>
        <w:tblPrEx>
          <w:tblW w:w="0" w:type="auto"/>
          <w:jc w:val="left"/>
          <w:tblInd w:w="125" w:type="dxa"/>
          <w:tblLayout w:type="fixed"/>
          <w:tblCellMar>
            <w:top w:w="0" w:type="dxa"/>
            <w:left w:w="0" w:type="dxa"/>
            <w:bottom w:w="0" w:type="dxa"/>
            <w:right w:w="0" w:type="dxa"/>
          </w:tblCellMar>
          <w:tblLook w:val="01E0"/>
        </w:tblPrEx>
        <w:trPr>
          <w:trHeight w:val="2164"/>
          <w:jc w:val="left"/>
        </w:trPr>
        <w:tc>
          <w:tcPr>
            <w:tcW w:w="474" w:type="dxa"/>
            <w:vMerge/>
            <w:tcBorders>
              <w:top w:val="nil"/>
              <w:left w:val="nil"/>
              <w:right w:val="single" w:sz="4" w:space="0" w:color="000000"/>
            </w:tcBorders>
          </w:tcPr>
          <w:p>
            <w:pPr>
              <w:rPr>
                <w:sz w:val="2"/>
                <w:szCs w:val="2"/>
              </w:rPr>
            </w:pPr>
          </w:p>
        </w:tc>
        <w:tc>
          <w:tcPr>
            <w:tcW w:w="406" w:type="dxa"/>
            <w:tcBorders>
              <w:top w:val="single" w:sz="4" w:space="0" w:color="000000"/>
              <w:left w:val="single" w:sz="4" w:space="0" w:color="000000"/>
              <w:bottom w:val="single" w:sz="4" w:space="0" w:color="000000"/>
              <w:right w:val="single" w:sz="4" w:space="0" w:color="000000"/>
            </w:tcBorders>
          </w:tcPr>
          <w:p>
            <w:pPr>
              <w:pStyle w:val="TableParagraph"/>
              <w:jc w:val="left"/>
              <w:rPr>
                <w:b/>
                <w:sz w:val="22"/>
              </w:rPr>
            </w:pPr>
          </w:p>
          <w:p>
            <w:pPr>
              <w:pStyle w:val="TableParagraph"/>
              <w:jc w:val="left"/>
              <w:rPr>
                <w:b/>
                <w:sz w:val="22"/>
              </w:rPr>
            </w:pPr>
          </w:p>
          <w:p>
            <w:pPr>
              <w:pStyle w:val="TableParagraph"/>
              <w:jc w:val="left"/>
              <w:rPr>
                <w:b/>
                <w:sz w:val="31"/>
              </w:rPr>
            </w:pPr>
          </w:p>
          <w:p>
            <w:pPr>
              <w:pStyle w:val="TableParagraph"/>
              <w:ind w:right="129"/>
              <w:jc w:val="right"/>
              <w:rPr>
                <w:rFonts w:ascii="Times New Roman"/>
                <w:sz w:val="21"/>
              </w:rPr>
            </w:pPr>
            <w:r>
              <w:rPr>
                <w:rFonts w:ascii="Times New Roman"/>
                <w:w w:val="99"/>
                <w:sz w:val="21"/>
              </w:rPr>
              <w:t>4</w:t>
            </w:r>
          </w:p>
        </w:tc>
        <w:tc>
          <w:tcPr>
            <w:tcW w:w="4028" w:type="dxa"/>
            <w:tcBorders>
              <w:top w:val="single" w:sz="4" w:space="0" w:color="000000"/>
              <w:left w:val="single" w:sz="4" w:space="0" w:color="000000"/>
              <w:bottom w:val="single" w:sz="4" w:space="0" w:color="000000"/>
              <w:right w:val="single" w:sz="4" w:space="0" w:color="000000"/>
            </w:tcBorders>
          </w:tcPr>
          <w:p>
            <w:pPr>
              <w:pStyle w:val="TableParagraph"/>
              <w:spacing w:before="167" w:line="278" w:lineRule="auto"/>
              <w:ind w:left="116" w:right="88" w:hanging="1"/>
              <w:rPr>
                <w:sz w:val="21"/>
              </w:rPr>
            </w:pPr>
            <w:r>
              <w:rPr>
                <w:sz w:val="21"/>
              </w:rPr>
              <w:t>生产厂房的门窗增加隔音装置或采取有效的隔音降噪措施，采用低噪声设备，尽量减小噪声排放；高噪声源远离厂界，确保</w:t>
            </w:r>
            <w:r>
              <w:rPr>
                <w:spacing w:val="-9"/>
                <w:sz w:val="21"/>
              </w:rPr>
              <w:t xml:space="preserve">厂界噪声符合 </w:t>
            </w:r>
            <w:r>
              <w:rPr>
                <w:rFonts w:ascii="Times New Roman" w:eastAsia="Times New Roman"/>
                <w:spacing w:val="-6"/>
                <w:sz w:val="21"/>
              </w:rPr>
              <w:t>GB12348-2008</w:t>
            </w:r>
            <w:r>
              <w:rPr>
                <w:sz w:val="21"/>
              </w:rPr>
              <w:t>《工业企业厂</w:t>
            </w:r>
            <w:r>
              <w:rPr>
                <w:spacing w:val="-5"/>
                <w:sz w:val="21"/>
              </w:rPr>
              <w:t xml:space="preserve">界环境噪声排放标准》表 </w:t>
            </w:r>
            <w:r>
              <w:rPr>
                <w:rFonts w:ascii="Times New Roman" w:eastAsia="Times New Roman"/>
                <w:sz w:val="21"/>
              </w:rPr>
              <w:t xml:space="preserve">1 </w:t>
            </w:r>
            <w:r>
              <w:rPr>
                <w:spacing w:val="-18"/>
                <w:sz w:val="21"/>
              </w:rPr>
              <w:t xml:space="preserve">中的 </w:t>
            </w:r>
            <w:r>
              <w:rPr>
                <w:rFonts w:ascii="Times New Roman" w:eastAsia="Times New Roman"/>
                <w:sz w:val="21"/>
              </w:rPr>
              <w:t xml:space="preserve">2 </w:t>
            </w:r>
            <w:r>
              <w:rPr>
                <w:sz w:val="21"/>
              </w:rPr>
              <w:t>类排放标准，严禁噪声扰民。</w:t>
            </w:r>
          </w:p>
        </w:tc>
        <w:tc>
          <w:tcPr>
            <w:tcW w:w="3839" w:type="dxa"/>
            <w:tcBorders>
              <w:top w:val="single" w:sz="4" w:space="0" w:color="000000"/>
              <w:left w:val="single" w:sz="4" w:space="0" w:color="000000"/>
              <w:bottom w:val="single" w:sz="4" w:space="0" w:color="000000"/>
              <w:right w:val="single" w:sz="4" w:space="0" w:color="000000"/>
            </w:tcBorders>
          </w:tcPr>
          <w:p>
            <w:pPr>
              <w:pStyle w:val="TableParagraph"/>
              <w:spacing w:before="11" w:line="278" w:lineRule="auto"/>
              <w:ind w:left="142" w:right="115"/>
              <w:jc w:val="both"/>
              <w:rPr>
                <w:sz w:val="21"/>
              </w:rPr>
            </w:pPr>
            <w:r>
              <w:rPr>
                <w:w w:val="95"/>
                <w:sz w:val="21"/>
              </w:rPr>
              <w:t>项目噪声源主要为混凝土搅拌主机、输送带、混凝土泵车、风机、空压机、水泵、铲车、砂石分离机等，通过采取车间建筑隔声、设备底座安装减振垫等降噪措施后再经距离衰减，经监测厂界噪声达到《工业企业厂界环境噪声排放标</w:t>
            </w:r>
          </w:p>
          <w:p>
            <w:pPr>
              <w:pStyle w:val="TableParagraph"/>
              <w:spacing w:line="260" w:lineRule="exact"/>
              <w:ind w:left="276"/>
              <w:jc w:val="left"/>
              <w:rPr>
                <w:sz w:val="21"/>
              </w:rPr>
            </w:pPr>
            <w:r>
              <w:rPr>
                <w:sz w:val="21"/>
              </w:rPr>
              <w:t>准》（</w:t>
            </w:r>
            <w:r>
              <w:rPr>
                <w:rFonts w:ascii="Times New Roman" w:eastAsia="Times New Roman"/>
                <w:sz w:val="21"/>
              </w:rPr>
              <w:t>GB12348-2008</w:t>
            </w:r>
            <w:r>
              <w:rPr>
                <w:sz w:val="21"/>
              </w:rPr>
              <w:t xml:space="preserve">）中 </w:t>
            </w:r>
            <w:r>
              <w:rPr>
                <w:rFonts w:ascii="Times New Roman" w:eastAsia="Times New Roman"/>
                <w:sz w:val="21"/>
              </w:rPr>
              <w:t xml:space="preserve">2 </w:t>
            </w:r>
            <w:r>
              <w:rPr>
                <w:sz w:val="21"/>
              </w:rPr>
              <w:t>类标准</w:t>
            </w:r>
          </w:p>
        </w:tc>
        <w:tc>
          <w:tcPr>
            <w:tcW w:w="534" w:type="dxa"/>
            <w:tcBorders>
              <w:top w:val="single" w:sz="4" w:space="0" w:color="000000"/>
              <w:left w:val="single" w:sz="4" w:space="0" w:color="000000"/>
              <w:bottom w:val="single" w:sz="4" w:space="0" w:color="000000"/>
              <w:right w:val="nil"/>
            </w:tcBorders>
          </w:tcPr>
          <w:p>
            <w:pPr>
              <w:pStyle w:val="TableParagraph"/>
              <w:jc w:val="left"/>
              <w:rPr>
                <w:rFonts w:ascii="Times New Roman"/>
                <w:sz w:val="20"/>
              </w:rPr>
            </w:pPr>
          </w:p>
        </w:tc>
      </w:tr>
      <w:tr>
        <w:tblPrEx>
          <w:tblW w:w="0" w:type="auto"/>
          <w:jc w:val="left"/>
          <w:tblInd w:w="125" w:type="dxa"/>
          <w:tblLayout w:type="fixed"/>
          <w:tblCellMar>
            <w:top w:w="0" w:type="dxa"/>
            <w:left w:w="0" w:type="dxa"/>
            <w:bottom w:w="0" w:type="dxa"/>
            <w:right w:w="0" w:type="dxa"/>
          </w:tblCellMar>
          <w:tblLook w:val="01E0"/>
        </w:tblPrEx>
        <w:trPr>
          <w:trHeight w:val="1861"/>
          <w:jc w:val="left"/>
        </w:trPr>
        <w:tc>
          <w:tcPr>
            <w:tcW w:w="474" w:type="dxa"/>
            <w:vMerge/>
            <w:tcBorders>
              <w:top w:val="nil"/>
              <w:left w:val="nil"/>
              <w:right w:val="single" w:sz="4" w:space="0" w:color="000000"/>
            </w:tcBorders>
          </w:tcPr>
          <w:p>
            <w:pPr>
              <w:rPr>
                <w:sz w:val="2"/>
                <w:szCs w:val="2"/>
              </w:rPr>
            </w:pPr>
          </w:p>
        </w:tc>
        <w:tc>
          <w:tcPr>
            <w:tcW w:w="406" w:type="dxa"/>
            <w:tcBorders>
              <w:top w:val="single" w:sz="4" w:space="0" w:color="000000"/>
              <w:left w:val="single" w:sz="4" w:space="0" w:color="000000"/>
              <w:right w:val="single" w:sz="4" w:space="0" w:color="000000"/>
            </w:tcBorders>
          </w:tcPr>
          <w:p>
            <w:pPr>
              <w:pStyle w:val="TableParagraph"/>
              <w:jc w:val="left"/>
              <w:rPr>
                <w:b/>
                <w:sz w:val="22"/>
              </w:rPr>
            </w:pPr>
          </w:p>
          <w:p>
            <w:pPr>
              <w:pStyle w:val="TableParagraph"/>
              <w:jc w:val="left"/>
              <w:rPr>
                <w:b/>
                <w:sz w:val="22"/>
              </w:rPr>
            </w:pPr>
          </w:p>
          <w:p>
            <w:pPr>
              <w:pStyle w:val="TableParagraph"/>
              <w:spacing w:before="10"/>
              <w:jc w:val="left"/>
              <w:rPr>
                <w:b/>
                <w:sz w:val="18"/>
              </w:rPr>
            </w:pPr>
          </w:p>
          <w:p>
            <w:pPr>
              <w:pStyle w:val="TableParagraph"/>
              <w:ind w:right="129"/>
              <w:jc w:val="right"/>
              <w:rPr>
                <w:rFonts w:ascii="Times New Roman"/>
                <w:sz w:val="21"/>
              </w:rPr>
            </w:pPr>
            <w:r>
              <w:rPr>
                <w:rFonts w:ascii="Times New Roman"/>
                <w:w w:val="99"/>
                <w:sz w:val="21"/>
              </w:rPr>
              <w:t>5</w:t>
            </w:r>
          </w:p>
        </w:tc>
        <w:tc>
          <w:tcPr>
            <w:tcW w:w="4028" w:type="dxa"/>
            <w:tcBorders>
              <w:top w:val="single" w:sz="4" w:space="0" w:color="000000"/>
              <w:left w:val="single" w:sz="4" w:space="0" w:color="000000"/>
              <w:right w:val="single" w:sz="4" w:space="0" w:color="000000"/>
            </w:tcBorders>
          </w:tcPr>
          <w:p>
            <w:pPr>
              <w:pStyle w:val="TableParagraph"/>
              <w:spacing w:before="11" w:line="278" w:lineRule="auto"/>
              <w:ind w:left="116" w:right="-29" w:firstLine="28"/>
              <w:jc w:val="both"/>
              <w:rPr>
                <w:sz w:val="21"/>
              </w:rPr>
            </w:pPr>
            <w:r>
              <w:rPr>
                <w:sz w:val="21"/>
              </w:rPr>
              <w:t>固体废物按照</w:t>
            </w:r>
            <w:r>
              <w:rPr>
                <w:rFonts w:ascii="Times New Roman" w:eastAsia="Times New Roman" w:hAnsi="Times New Roman"/>
                <w:sz w:val="21"/>
              </w:rPr>
              <w:t>“</w:t>
            </w:r>
            <w:r>
              <w:rPr>
                <w:sz w:val="21"/>
              </w:rPr>
              <w:t>资源化、减量化、无害化</w:t>
            </w:r>
            <w:r>
              <w:rPr>
                <w:rFonts w:ascii="Times New Roman" w:eastAsia="Times New Roman" w:hAnsi="Times New Roman"/>
                <w:sz w:val="21"/>
              </w:rPr>
              <w:t xml:space="preserve">” </w:t>
            </w:r>
            <w:r>
              <w:rPr>
                <w:sz w:val="21"/>
              </w:rPr>
              <w:t>处理处置原则妥善，确保实行零排放。除尘器收集的粉尘、砂石沉淀物及污泥回用与生产；废布袋、生活垃圾由环卫部门定</w:t>
            </w:r>
            <w:r>
              <w:rPr>
                <w:spacing w:val="-9"/>
                <w:sz w:val="21"/>
              </w:rPr>
              <w:t>期收集处理。所有固体废物严禁乱堆乱放，</w:t>
            </w:r>
          </w:p>
          <w:p>
            <w:pPr>
              <w:pStyle w:val="TableParagraph"/>
              <w:spacing w:line="269" w:lineRule="exact"/>
              <w:ind w:left="106" w:right="78"/>
              <w:rPr>
                <w:sz w:val="21"/>
              </w:rPr>
            </w:pPr>
            <w:r>
              <w:rPr>
                <w:sz w:val="21"/>
              </w:rPr>
              <w:t>私自倾倒。</w:t>
            </w:r>
          </w:p>
        </w:tc>
        <w:tc>
          <w:tcPr>
            <w:tcW w:w="3839" w:type="dxa"/>
            <w:tcBorders>
              <w:top w:val="single" w:sz="4" w:space="0" w:color="000000"/>
              <w:left w:val="single" w:sz="4" w:space="0" w:color="000000"/>
              <w:right w:val="single" w:sz="4" w:space="0" w:color="000000"/>
            </w:tcBorders>
          </w:tcPr>
          <w:p>
            <w:pPr>
              <w:pStyle w:val="TableParagraph"/>
              <w:spacing w:before="2"/>
              <w:jc w:val="left"/>
              <w:rPr>
                <w:b/>
                <w:sz w:val="25"/>
              </w:rPr>
            </w:pPr>
          </w:p>
          <w:p>
            <w:pPr>
              <w:pStyle w:val="TableParagraph"/>
              <w:spacing w:line="278" w:lineRule="auto"/>
              <w:ind w:left="118" w:right="-15" w:hanging="109"/>
              <w:rPr>
                <w:sz w:val="21"/>
              </w:rPr>
            </w:pPr>
            <w:r>
              <w:rPr>
                <w:sz w:val="21"/>
              </w:rPr>
              <w:t xml:space="preserve">生产过程中产生的除尘器粉尘、混凝土 </w:t>
            </w:r>
            <w:r>
              <w:rPr>
                <w:spacing w:val="-9"/>
                <w:w w:val="95"/>
                <w:sz w:val="21"/>
              </w:rPr>
              <w:t xml:space="preserve">废块、砂石沉淀物、污泥均回用于生产，  </w:t>
            </w:r>
            <w:r>
              <w:rPr>
                <w:sz w:val="21"/>
              </w:rPr>
              <w:t>废布袋和生活垃圾收集由环卫部门清</w:t>
            </w:r>
          </w:p>
          <w:p>
            <w:pPr>
              <w:pStyle w:val="TableParagraph"/>
              <w:spacing w:line="269" w:lineRule="exact"/>
              <w:ind w:left="118" w:right="92"/>
              <w:rPr>
                <w:sz w:val="21"/>
              </w:rPr>
            </w:pPr>
            <w:r>
              <w:rPr>
                <w:sz w:val="21"/>
              </w:rPr>
              <w:t>运。不会对环境造成二次污染。</w:t>
            </w:r>
          </w:p>
        </w:tc>
        <w:tc>
          <w:tcPr>
            <w:tcW w:w="534" w:type="dxa"/>
            <w:tcBorders>
              <w:top w:val="single" w:sz="4" w:space="0" w:color="000000"/>
              <w:left w:val="single" w:sz="4" w:space="0" w:color="000000"/>
              <w:right w:val="nil"/>
            </w:tcBorders>
          </w:tcPr>
          <w:p>
            <w:pPr>
              <w:pStyle w:val="TableParagraph"/>
              <w:jc w:val="left"/>
              <w:rPr>
                <w:b/>
                <w:sz w:val="20"/>
              </w:rPr>
            </w:pPr>
          </w:p>
          <w:p>
            <w:pPr>
              <w:pStyle w:val="TableParagraph"/>
              <w:spacing w:before="4"/>
              <w:jc w:val="left"/>
              <w:rPr>
                <w:b/>
                <w:sz w:val="17"/>
              </w:rPr>
            </w:pPr>
          </w:p>
          <w:p>
            <w:pPr>
              <w:pStyle w:val="TableParagraph"/>
              <w:spacing w:line="278" w:lineRule="auto"/>
              <w:ind w:left="172" w:right="147"/>
              <w:jc w:val="both"/>
              <w:rPr>
                <w:sz w:val="21"/>
              </w:rPr>
            </w:pPr>
            <w:r>
              <w:rPr>
                <w:w w:val="95"/>
                <w:sz w:val="21"/>
              </w:rPr>
              <w:t>已落实</w:t>
            </w:r>
          </w:p>
        </w:tc>
      </w:tr>
    </w:tbl>
    <w:p>
      <w:pPr>
        <w:pStyle w:val="BodyText"/>
        <w:spacing w:before="7"/>
        <w:rPr>
          <w:b/>
          <w:sz w:val="6"/>
        </w:rPr>
      </w:pPr>
    </w:p>
    <w:p>
      <w:pPr>
        <w:pStyle w:val="Heading2"/>
        <w:numPr>
          <w:ilvl w:val="1"/>
          <w:numId w:val="7"/>
        </w:numPr>
        <w:tabs>
          <w:tab w:val="left" w:pos="599"/>
        </w:tabs>
        <w:spacing w:before="74" w:after="0" w:line="240" w:lineRule="auto"/>
        <w:ind w:left="598" w:right="0" w:hanging="361"/>
        <w:jc w:val="both"/>
      </w:pPr>
      <w:bookmarkStart w:id="6" w:name="1.3实际建设内容变化情况"/>
      <w:bookmarkEnd w:id="6"/>
      <w:bookmarkStart w:id="7" w:name="_bookmark3"/>
      <w:bookmarkEnd w:id="7"/>
      <w:r>
        <w:t>实际建设内容变化情况</w:t>
      </w:r>
    </w:p>
    <w:p>
      <w:pPr>
        <w:pStyle w:val="BodyText"/>
        <w:spacing w:before="159" w:line="364" w:lineRule="auto"/>
        <w:ind w:left="238" w:right="185" w:firstLine="480"/>
        <w:jc w:val="both"/>
      </w:pPr>
      <w:r>
        <w:rPr>
          <w:spacing w:val="-3"/>
        </w:rPr>
        <w:t xml:space="preserve">本项目属分阶段建设，一阶段建设规模为年产 </w:t>
      </w:r>
      <w:r>
        <w:rPr>
          <w:rFonts w:ascii="Times New Roman" w:eastAsia="Times New Roman"/>
        </w:rPr>
        <w:t xml:space="preserve">40 </w:t>
      </w:r>
      <w:r>
        <w:t>万立方米商品混凝土，项目未重</w:t>
      </w:r>
      <w:r>
        <w:rPr>
          <w:spacing w:val="-7"/>
        </w:rPr>
        <w:t>新选址，工艺不变，原辅料种类和配比不变，因分阶段建设，生产设备数量减少，原辅</w:t>
      </w:r>
      <w:r>
        <w:rPr>
          <w:spacing w:val="-8"/>
        </w:rPr>
        <w:t>用量减少，废气治理措施改变，废水治理措施改变，厂区布局有调整。具体分析如下：</w:t>
      </w:r>
    </w:p>
    <w:p>
      <w:pPr>
        <w:pStyle w:val="ListParagraph"/>
        <w:numPr>
          <w:ilvl w:val="2"/>
          <w:numId w:val="7"/>
        </w:numPr>
        <w:tabs>
          <w:tab w:val="left" w:pos="779"/>
        </w:tabs>
        <w:spacing w:before="0" w:after="0" w:line="307" w:lineRule="exact"/>
        <w:ind w:left="778" w:right="0" w:hanging="541"/>
        <w:jc w:val="both"/>
        <w:rPr>
          <w:b/>
          <w:sz w:val="24"/>
        </w:rPr>
      </w:pPr>
      <w:bookmarkStart w:id="8" w:name="1.3.1生产设备变动情况"/>
      <w:bookmarkEnd w:id="8"/>
      <w:r>
        <w:rPr>
          <w:b/>
          <w:sz w:val="24"/>
        </w:rPr>
        <w:t>生产设备变动情况</w:t>
      </w:r>
    </w:p>
    <w:p>
      <w:pPr>
        <w:pStyle w:val="BodyText"/>
        <w:spacing w:before="160"/>
        <w:ind w:left="718"/>
      </w:pPr>
      <w:r>
        <w:t xml:space="preserve">项目分阶段建设，一阶段项目实际只建成 </w:t>
      </w:r>
      <w:r>
        <w:rPr>
          <w:rFonts w:ascii="Times New Roman" w:eastAsia="Times New Roman"/>
        </w:rPr>
        <w:t xml:space="preserve">2 </w:t>
      </w:r>
      <w:r>
        <w:t>条混凝土生产线及配套设施。</w:t>
      </w:r>
    </w:p>
    <w:p>
      <w:pPr>
        <w:spacing w:before="158" w:after="4"/>
        <w:ind w:left="617" w:right="617" w:firstLine="0"/>
        <w:jc w:val="center"/>
        <w:rPr>
          <w:b/>
          <w:sz w:val="24"/>
        </w:rPr>
      </w:pPr>
      <w:r>
        <w:rPr>
          <w:b/>
          <w:sz w:val="24"/>
        </w:rPr>
        <w:t xml:space="preserve">表 </w:t>
      </w:r>
      <w:r>
        <w:rPr>
          <w:rFonts w:ascii="Times New Roman" w:eastAsia="Times New Roman"/>
          <w:b/>
          <w:sz w:val="24"/>
        </w:rPr>
        <w:t xml:space="preserve">1.3-1  </w:t>
      </w:r>
      <w:r>
        <w:rPr>
          <w:b/>
          <w:sz w:val="24"/>
        </w:rPr>
        <w:t>一阶段实际设备和环评对照表</w:t>
      </w:r>
    </w:p>
    <w:tbl>
      <w:tblPr>
        <w:tblStyle w:val="TableNormal1"/>
        <w:tblW w:w="0" w:type="auto"/>
        <w:jc w:val="left"/>
        <w:tblInd w:w="12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596"/>
        <w:gridCol w:w="2282"/>
        <w:gridCol w:w="2203"/>
        <w:gridCol w:w="724"/>
        <w:gridCol w:w="1600"/>
        <w:gridCol w:w="874"/>
      </w:tblGrid>
      <w:tr>
        <w:tblPrEx>
          <w:tblW w:w="0" w:type="auto"/>
          <w:jc w:val="left"/>
          <w:tblInd w:w="12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10"/>
          <w:jc w:val="left"/>
        </w:trPr>
        <w:tc>
          <w:tcPr>
            <w:tcW w:w="1596" w:type="dxa"/>
            <w:tcBorders>
              <w:left w:val="nil"/>
              <w:right w:val="single" w:sz="4" w:space="0" w:color="000000"/>
            </w:tcBorders>
          </w:tcPr>
          <w:p>
            <w:pPr>
              <w:pStyle w:val="TableParagraph"/>
              <w:spacing w:before="21"/>
              <w:ind w:left="390"/>
              <w:jc w:val="left"/>
              <w:rPr>
                <w:b/>
                <w:sz w:val="21"/>
              </w:rPr>
            </w:pPr>
            <w:r>
              <w:rPr>
                <w:b/>
                <w:sz w:val="21"/>
              </w:rPr>
              <w:t>主要工艺</w:t>
            </w:r>
          </w:p>
        </w:tc>
        <w:tc>
          <w:tcPr>
            <w:tcW w:w="2282" w:type="dxa"/>
            <w:tcBorders>
              <w:left w:val="single" w:sz="4" w:space="0" w:color="000000"/>
              <w:right w:val="single" w:sz="4" w:space="0" w:color="000000"/>
            </w:tcBorders>
          </w:tcPr>
          <w:p>
            <w:pPr>
              <w:pStyle w:val="TableParagraph"/>
              <w:spacing w:before="21"/>
              <w:ind w:left="729"/>
              <w:jc w:val="left"/>
              <w:rPr>
                <w:b/>
                <w:sz w:val="21"/>
              </w:rPr>
            </w:pPr>
            <w:r>
              <w:rPr>
                <w:b/>
                <w:sz w:val="21"/>
              </w:rPr>
              <w:t>设备名称</w:t>
            </w:r>
          </w:p>
        </w:tc>
        <w:tc>
          <w:tcPr>
            <w:tcW w:w="2203" w:type="dxa"/>
            <w:tcBorders>
              <w:left w:val="single" w:sz="4" w:space="0" w:color="000000"/>
              <w:right w:val="single" w:sz="4" w:space="0" w:color="000000"/>
            </w:tcBorders>
          </w:tcPr>
          <w:p>
            <w:pPr>
              <w:pStyle w:val="TableParagraph"/>
              <w:spacing w:before="21"/>
              <w:ind w:left="583"/>
              <w:jc w:val="left"/>
              <w:rPr>
                <w:b/>
                <w:sz w:val="21"/>
              </w:rPr>
            </w:pPr>
            <w:r>
              <w:rPr>
                <w:b/>
                <w:sz w:val="21"/>
              </w:rPr>
              <w:t>型号及规格</w:t>
            </w:r>
          </w:p>
        </w:tc>
        <w:tc>
          <w:tcPr>
            <w:tcW w:w="724" w:type="dxa"/>
            <w:tcBorders>
              <w:left w:val="single" w:sz="4" w:space="0" w:color="000000"/>
              <w:right w:val="single" w:sz="4" w:space="0" w:color="000000"/>
            </w:tcBorders>
          </w:tcPr>
          <w:p>
            <w:pPr>
              <w:pStyle w:val="TableParagraph"/>
              <w:spacing w:before="21"/>
              <w:ind w:left="160"/>
              <w:jc w:val="left"/>
              <w:rPr>
                <w:b/>
                <w:sz w:val="21"/>
              </w:rPr>
            </w:pPr>
            <w:r>
              <w:rPr>
                <w:b/>
                <w:sz w:val="21"/>
              </w:rPr>
              <w:t>单位</w:t>
            </w:r>
          </w:p>
        </w:tc>
        <w:tc>
          <w:tcPr>
            <w:tcW w:w="1600" w:type="dxa"/>
            <w:tcBorders>
              <w:left w:val="single" w:sz="4" w:space="0" w:color="000000"/>
              <w:right w:val="single" w:sz="4" w:space="0" w:color="000000"/>
            </w:tcBorders>
          </w:tcPr>
          <w:p>
            <w:pPr>
              <w:pStyle w:val="TableParagraph"/>
              <w:spacing w:before="21"/>
              <w:ind w:left="577" w:right="550"/>
              <w:rPr>
                <w:b/>
                <w:sz w:val="21"/>
              </w:rPr>
            </w:pPr>
            <w:r>
              <w:rPr>
                <w:b/>
                <w:sz w:val="21"/>
              </w:rPr>
              <w:t>数量</w:t>
            </w:r>
          </w:p>
        </w:tc>
        <w:tc>
          <w:tcPr>
            <w:tcW w:w="874" w:type="dxa"/>
            <w:tcBorders>
              <w:left w:val="single" w:sz="4" w:space="0" w:color="000000"/>
              <w:right w:val="nil"/>
            </w:tcBorders>
          </w:tcPr>
          <w:p>
            <w:pPr>
              <w:pStyle w:val="TableParagraph"/>
              <w:spacing w:before="21"/>
              <w:ind w:left="131"/>
              <w:jc w:val="left"/>
              <w:rPr>
                <w:b/>
                <w:sz w:val="21"/>
              </w:rPr>
            </w:pPr>
            <w:r>
              <w:rPr>
                <w:b/>
                <w:sz w:val="21"/>
              </w:rPr>
              <w:t>运行方</w:t>
            </w:r>
          </w:p>
        </w:tc>
      </w:tr>
    </w:tbl>
    <w:p>
      <w:pPr>
        <w:spacing w:after="0"/>
        <w:jc w:val="left"/>
        <w:rPr>
          <w:sz w:val="21"/>
        </w:rPr>
        <w:sectPr>
          <w:footerReference w:type="default" r:id="rId5"/>
          <w:pgSz w:w="11910" w:h="16840"/>
          <w:pgMar w:top="1400" w:right="1180" w:bottom="1160" w:left="1180" w:header="0" w:footer="974"/>
          <w:pgNumType w:start="2"/>
          <w:cols w:space="708"/>
        </w:sectPr>
      </w:pPr>
    </w:p>
    <w:tbl>
      <w:tblPr>
        <w:tblStyle w:val="TableNormal2"/>
        <w:tblW w:w="0" w:type="auto"/>
        <w:jc w:val="left"/>
        <w:tblInd w:w="12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596"/>
        <w:gridCol w:w="770"/>
        <w:gridCol w:w="1512"/>
        <w:gridCol w:w="2203"/>
        <w:gridCol w:w="724"/>
        <w:gridCol w:w="850"/>
        <w:gridCol w:w="750"/>
        <w:gridCol w:w="874"/>
      </w:tblGrid>
      <w:tr>
        <w:tblPrEx>
          <w:tblW w:w="0" w:type="auto"/>
          <w:jc w:val="left"/>
          <w:tblInd w:w="12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12"/>
          <w:jc w:val="left"/>
        </w:trPr>
        <w:tc>
          <w:tcPr>
            <w:tcW w:w="1596" w:type="dxa"/>
            <w:tcBorders>
              <w:left w:val="nil"/>
              <w:bottom w:val="single" w:sz="4" w:space="0" w:color="000000"/>
              <w:right w:val="single" w:sz="4" w:space="0" w:color="000000"/>
            </w:tcBorders>
          </w:tcPr>
          <w:p>
            <w:pPr>
              <w:pStyle w:val="TableParagraph"/>
              <w:jc w:val="left"/>
              <w:rPr>
                <w:rFonts w:ascii="Times New Roman"/>
                <w:sz w:val="22"/>
              </w:rPr>
            </w:pPr>
          </w:p>
        </w:tc>
        <w:tc>
          <w:tcPr>
            <w:tcW w:w="2282" w:type="dxa"/>
            <w:gridSpan w:val="2"/>
            <w:tcBorders>
              <w:left w:val="single" w:sz="4" w:space="0" w:color="000000"/>
              <w:bottom w:val="single" w:sz="4" w:space="0" w:color="000000"/>
              <w:right w:val="single" w:sz="4" w:space="0" w:color="000000"/>
            </w:tcBorders>
          </w:tcPr>
          <w:p>
            <w:pPr>
              <w:pStyle w:val="TableParagraph"/>
              <w:jc w:val="left"/>
              <w:rPr>
                <w:rFonts w:ascii="Times New Roman"/>
                <w:sz w:val="22"/>
              </w:rPr>
            </w:pPr>
          </w:p>
        </w:tc>
        <w:tc>
          <w:tcPr>
            <w:tcW w:w="2203" w:type="dxa"/>
            <w:tcBorders>
              <w:left w:val="single" w:sz="4" w:space="0" w:color="000000"/>
              <w:bottom w:val="single" w:sz="4" w:space="0" w:color="000000"/>
              <w:right w:val="single" w:sz="4" w:space="0" w:color="000000"/>
            </w:tcBorders>
          </w:tcPr>
          <w:p>
            <w:pPr>
              <w:pStyle w:val="TableParagraph"/>
              <w:jc w:val="left"/>
              <w:rPr>
                <w:rFonts w:ascii="Times New Roman"/>
                <w:sz w:val="22"/>
              </w:rPr>
            </w:pPr>
          </w:p>
        </w:tc>
        <w:tc>
          <w:tcPr>
            <w:tcW w:w="724" w:type="dxa"/>
            <w:tcBorders>
              <w:left w:val="single" w:sz="4" w:space="0" w:color="000000"/>
              <w:bottom w:val="single" w:sz="4" w:space="0" w:color="000000"/>
              <w:right w:val="single" w:sz="4" w:space="0" w:color="000000"/>
            </w:tcBorders>
          </w:tcPr>
          <w:p>
            <w:pPr>
              <w:pStyle w:val="TableParagraph"/>
              <w:jc w:val="left"/>
              <w:rPr>
                <w:rFonts w:ascii="Times New Roman"/>
                <w:sz w:val="22"/>
              </w:rPr>
            </w:pPr>
          </w:p>
        </w:tc>
        <w:tc>
          <w:tcPr>
            <w:tcW w:w="850" w:type="dxa"/>
            <w:tcBorders>
              <w:left w:val="single" w:sz="4" w:space="0" w:color="000000"/>
              <w:bottom w:val="single" w:sz="4" w:space="0" w:color="000000"/>
              <w:right w:val="single" w:sz="4" w:space="0" w:color="000000"/>
            </w:tcBorders>
          </w:tcPr>
          <w:p>
            <w:pPr>
              <w:pStyle w:val="TableParagraph"/>
              <w:spacing w:before="11"/>
              <w:ind w:left="203" w:right="175"/>
              <w:rPr>
                <w:b/>
                <w:sz w:val="21"/>
              </w:rPr>
            </w:pPr>
            <w:r>
              <w:rPr>
                <w:b/>
                <w:sz w:val="21"/>
              </w:rPr>
              <w:t>环评</w:t>
            </w:r>
          </w:p>
        </w:tc>
        <w:tc>
          <w:tcPr>
            <w:tcW w:w="750" w:type="dxa"/>
            <w:tcBorders>
              <w:left w:val="single" w:sz="4" w:space="0" w:color="000000"/>
              <w:bottom w:val="single" w:sz="4" w:space="0" w:color="000000"/>
              <w:right w:val="single" w:sz="4" w:space="0" w:color="000000"/>
            </w:tcBorders>
          </w:tcPr>
          <w:p>
            <w:pPr>
              <w:pStyle w:val="TableParagraph"/>
              <w:spacing w:before="11"/>
              <w:ind w:left="152" w:right="126"/>
              <w:rPr>
                <w:b/>
                <w:sz w:val="21"/>
              </w:rPr>
            </w:pPr>
            <w:r>
              <w:rPr>
                <w:b/>
                <w:sz w:val="21"/>
              </w:rPr>
              <w:t>实际</w:t>
            </w:r>
          </w:p>
        </w:tc>
        <w:tc>
          <w:tcPr>
            <w:tcW w:w="874" w:type="dxa"/>
            <w:tcBorders>
              <w:left w:val="single" w:sz="4" w:space="0" w:color="000000"/>
              <w:bottom w:val="single" w:sz="4" w:space="0" w:color="000000"/>
              <w:right w:val="nil"/>
            </w:tcBorders>
          </w:tcPr>
          <w:p>
            <w:pPr>
              <w:pStyle w:val="TableParagraph"/>
              <w:spacing w:before="21"/>
              <w:ind w:left="20"/>
              <w:rPr>
                <w:b/>
                <w:sz w:val="21"/>
              </w:rPr>
            </w:pPr>
            <w:r>
              <w:rPr>
                <w:b/>
                <w:w w:val="99"/>
                <w:sz w:val="21"/>
              </w:rPr>
              <w:t>式</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tcBorders>
              <w:top w:val="single" w:sz="4" w:space="0" w:color="000000"/>
              <w:left w:val="nil"/>
              <w:bottom w:val="single" w:sz="4" w:space="0" w:color="000000"/>
              <w:right w:val="single" w:sz="4" w:space="0" w:color="000000"/>
            </w:tcBorders>
          </w:tcPr>
          <w:p>
            <w:pPr>
              <w:pStyle w:val="TableParagraph"/>
              <w:spacing w:before="20"/>
              <w:ind w:left="55" w:right="24"/>
              <w:rPr>
                <w:sz w:val="21"/>
              </w:rPr>
            </w:pPr>
            <w:r>
              <w:rPr>
                <w:sz w:val="21"/>
              </w:rPr>
              <w:t>搅拌</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0"/>
              <w:ind w:left="729"/>
              <w:jc w:val="left"/>
              <w:rPr>
                <w:sz w:val="21"/>
              </w:rPr>
            </w:pPr>
            <w:r>
              <w:rPr>
                <w:sz w:val="21"/>
              </w:rPr>
              <w:t>搅拌主机</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0"/>
              <w:ind w:left="198" w:right="170"/>
              <w:rPr>
                <w:sz w:val="21"/>
              </w:rPr>
            </w:pPr>
            <w:r>
              <w:rPr>
                <w:spacing w:val="1"/>
                <w:w w:val="99"/>
                <w:sz w:val="21"/>
              </w:rPr>
              <w:t>24</w:t>
            </w:r>
            <w:r>
              <w:rPr>
                <w:spacing w:val="-2"/>
                <w:w w:val="99"/>
                <w:sz w:val="21"/>
              </w:rPr>
              <w:t>0</w:t>
            </w:r>
            <w:r>
              <w:rPr>
                <w:spacing w:val="1"/>
                <w:w w:val="99"/>
                <w:sz w:val="21"/>
              </w:rPr>
              <w:t>m</w:t>
            </w:r>
            <w:r>
              <w:rPr>
                <w:spacing w:val="-3"/>
                <w:w w:val="106"/>
                <w:position w:val="10"/>
                <w:sz w:val="10"/>
              </w:rPr>
              <w:t>3</w:t>
            </w:r>
            <w:r>
              <w:rPr>
                <w:spacing w:val="1"/>
                <w:w w:val="99"/>
                <w:sz w:val="21"/>
              </w:rPr>
              <w:t>/</w:t>
            </w:r>
            <w:r>
              <w:rPr>
                <w:w w:val="99"/>
                <w:sz w:val="21"/>
              </w:rPr>
              <w:t>h</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0"/>
              <w:ind w:right="236"/>
              <w:jc w:val="right"/>
              <w:rPr>
                <w:sz w:val="21"/>
              </w:rPr>
            </w:pPr>
            <w:r>
              <w:rPr>
                <w:w w:val="99"/>
                <w:sz w:val="21"/>
              </w:rPr>
              <w:t>套</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0"/>
              <w:ind w:left="24"/>
              <w:rPr>
                <w:sz w:val="21"/>
              </w:rPr>
            </w:pPr>
            <w:r>
              <w:rPr>
                <w:w w:val="99"/>
                <w:sz w:val="21"/>
              </w:rPr>
              <w:t>3</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2</w:t>
            </w:r>
          </w:p>
        </w:tc>
        <w:tc>
          <w:tcPr>
            <w:tcW w:w="874" w:type="dxa"/>
            <w:tcBorders>
              <w:top w:val="single" w:sz="4" w:space="0" w:color="000000"/>
              <w:left w:val="single" w:sz="4" w:space="0" w:color="000000"/>
              <w:bottom w:val="single" w:sz="4" w:space="0" w:color="000000"/>
              <w:right w:val="nil"/>
            </w:tcBorders>
          </w:tcPr>
          <w:p>
            <w:pPr>
              <w:pStyle w:val="TableParagraph"/>
              <w:spacing w:before="20"/>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1"/>
          <w:jc w:val="left"/>
        </w:trPr>
        <w:tc>
          <w:tcPr>
            <w:tcW w:w="1596" w:type="dxa"/>
            <w:vMerge w:val="restart"/>
            <w:tcBorders>
              <w:top w:val="single" w:sz="4" w:space="0" w:color="000000"/>
              <w:left w:val="nil"/>
              <w:bottom w:val="single" w:sz="4" w:space="0" w:color="000000"/>
              <w:right w:val="single" w:sz="4" w:space="0" w:color="000000"/>
            </w:tcBorders>
          </w:tcPr>
          <w:p>
            <w:pPr>
              <w:pStyle w:val="TableParagraph"/>
              <w:spacing w:before="10"/>
              <w:jc w:val="left"/>
              <w:rPr>
                <w:b/>
                <w:sz w:val="26"/>
              </w:rPr>
            </w:pPr>
          </w:p>
          <w:p>
            <w:pPr>
              <w:pStyle w:val="TableParagraph"/>
              <w:spacing w:before="1"/>
              <w:ind w:left="393"/>
              <w:jc w:val="left"/>
              <w:rPr>
                <w:sz w:val="21"/>
              </w:rPr>
            </w:pPr>
            <w:r>
              <w:rPr>
                <w:sz w:val="21"/>
              </w:rPr>
              <w:t>储存原料</w:t>
            </w:r>
          </w:p>
        </w:tc>
        <w:tc>
          <w:tcPr>
            <w:tcW w:w="77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8"/>
              <w:jc w:val="left"/>
              <w:rPr>
                <w:b/>
                <w:sz w:val="14"/>
              </w:rPr>
            </w:pPr>
          </w:p>
          <w:p>
            <w:pPr>
              <w:pStyle w:val="TableParagraph"/>
              <w:spacing w:line="278" w:lineRule="auto"/>
              <w:ind w:left="184" w:right="155"/>
              <w:jc w:val="left"/>
              <w:rPr>
                <w:sz w:val="21"/>
              </w:rPr>
            </w:pPr>
            <w:r>
              <w:rPr>
                <w:sz w:val="21"/>
              </w:rPr>
              <w:t>粉料筒仓</w:t>
            </w:r>
          </w:p>
        </w:tc>
        <w:tc>
          <w:tcPr>
            <w:tcW w:w="151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3"/>
              <w:jc w:val="left"/>
              <w:rPr>
                <w:b/>
                <w:sz w:val="14"/>
              </w:rPr>
            </w:pPr>
          </w:p>
          <w:p>
            <w:pPr>
              <w:pStyle w:val="TableParagraph"/>
              <w:spacing w:before="1"/>
              <w:ind w:left="345"/>
              <w:jc w:val="left"/>
              <w:rPr>
                <w:sz w:val="21"/>
              </w:rPr>
            </w:pPr>
            <w:r>
              <w:rPr>
                <w:sz w:val="21"/>
              </w:rPr>
              <w:t>水泥筒仓</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0"/>
              <w:ind w:left="198" w:right="170"/>
              <w:rPr>
                <w:sz w:val="21"/>
              </w:rPr>
            </w:pPr>
            <w:r>
              <w:rPr>
                <w:sz w:val="21"/>
              </w:rPr>
              <w:t>Φ5.2×24.8，300t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0"/>
              <w:ind w:right="236"/>
              <w:jc w:val="right"/>
              <w:rPr>
                <w:sz w:val="21"/>
              </w:rPr>
            </w:pPr>
            <w:r>
              <w:rPr>
                <w:w w:val="99"/>
                <w:sz w:val="21"/>
              </w:rPr>
              <w:t>个</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0"/>
              <w:ind w:left="24"/>
              <w:rPr>
                <w:sz w:val="21"/>
              </w:rPr>
            </w:pPr>
            <w:r>
              <w:rPr>
                <w:w w:val="99"/>
                <w:sz w:val="21"/>
              </w:rPr>
              <w:t>8</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4</w:t>
            </w:r>
          </w:p>
        </w:tc>
        <w:tc>
          <w:tcPr>
            <w:tcW w:w="874" w:type="dxa"/>
            <w:tcBorders>
              <w:top w:val="single" w:sz="4" w:space="0" w:color="000000"/>
              <w:left w:val="single" w:sz="4" w:space="0" w:color="000000"/>
              <w:bottom w:val="single" w:sz="4" w:space="0" w:color="000000"/>
              <w:right w:val="nil"/>
            </w:tcBorders>
          </w:tcPr>
          <w:p>
            <w:pPr>
              <w:pStyle w:val="TableParagraph"/>
              <w:spacing w:before="20"/>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vMerge/>
            <w:tcBorders>
              <w:top w:val="nil"/>
              <w:left w:val="nil"/>
              <w:bottom w:val="single" w:sz="4" w:space="0" w:color="000000"/>
              <w:right w:val="single" w:sz="4" w:space="0" w:color="000000"/>
            </w:tcBorders>
          </w:tcPr>
          <w:p>
            <w:pPr>
              <w:rPr>
                <w:sz w:val="2"/>
                <w:szCs w:val="2"/>
              </w:rPr>
            </w:pPr>
          </w:p>
        </w:tc>
        <w:tc>
          <w:tcPr>
            <w:tcW w:w="770" w:type="dxa"/>
            <w:vMerge/>
            <w:tcBorders>
              <w:top w:val="nil"/>
              <w:left w:val="single" w:sz="4" w:space="0" w:color="000000"/>
              <w:bottom w:val="single" w:sz="4" w:space="0" w:color="000000"/>
              <w:right w:val="single" w:sz="4" w:space="0" w:color="000000"/>
            </w:tcBorders>
          </w:tcPr>
          <w:p>
            <w:pPr>
              <w:rPr>
                <w:sz w:val="2"/>
                <w:szCs w:val="2"/>
              </w:rPr>
            </w:pPr>
          </w:p>
        </w:tc>
        <w:tc>
          <w:tcPr>
            <w:tcW w:w="1512" w:type="dxa"/>
            <w:vMerge/>
            <w:tcBorders>
              <w:top w:val="nil"/>
              <w:left w:val="single" w:sz="4" w:space="0" w:color="000000"/>
              <w:bottom w:val="single" w:sz="4" w:space="0" w:color="000000"/>
              <w:right w:val="single" w:sz="4" w:space="0" w:color="000000"/>
            </w:tcBorders>
          </w:tcPr>
          <w:p>
            <w:pPr>
              <w:rPr>
                <w:sz w:val="2"/>
                <w:szCs w:val="2"/>
              </w:rPr>
            </w:pP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2"/>
              <w:ind w:left="198" w:right="170"/>
              <w:rPr>
                <w:sz w:val="21"/>
              </w:rPr>
            </w:pPr>
            <w:r>
              <w:rPr>
                <w:sz w:val="21"/>
              </w:rPr>
              <w:t>Φ3.6×24.8，150t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2"/>
              <w:ind w:right="236"/>
              <w:jc w:val="right"/>
              <w:rPr>
                <w:sz w:val="21"/>
              </w:rPr>
            </w:pPr>
            <w:r>
              <w:rPr>
                <w:w w:val="99"/>
                <w:sz w:val="21"/>
              </w:rPr>
              <w:t>个</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2"/>
              <w:ind w:left="24"/>
              <w:rPr>
                <w:sz w:val="21"/>
              </w:rPr>
            </w:pPr>
            <w:r>
              <w:rPr>
                <w:w w:val="99"/>
                <w:sz w:val="21"/>
              </w:rPr>
              <w:t>4</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2"/>
              <w:ind w:left="28"/>
              <w:rPr>
                <w:sz w:val="21"/>
              </w:rPr>
            </w:pPr>
            <w:r>
              <w:rPr>
                <w:w w:val="99"/>
                <w:sz w:val="21"/>
              </w:rPr>
              <w:t>0</w:t>
            </w:r>
          </w:p>
        </w:tc>
        <w:tc>
          <w:tcPr>
            <w:tcW w:w="874" w:type="dxa"/>
            <w:tcBorders>
              <w:top w:val="single" w:sz="4" w:space="0" w:color="000000"/>
              <w:left w:val="single" w:sz="4" w:space="0" w:color="000000"/>
              <w:bottom w:val="single" w:sz="4" w:space="0" w:color="000000"/>
              <w:right w:val="nil"/>
            </w:tcBorders>
          </w:tcPr>
          <w:p>
            <w:pPr>
              <w:pStyle w:val="TableParagraph"/>
              <w:spacing w:before="22"/>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vMerge/>
            <w:tcBorders>
              <w:top w:val="nil"/>
              <w:left w:val="nil"/>
              <w:bottom w:val="single" w:sz="4" w:space="0" w:color="000000"/>
              <w:right w:val="single" w:sz="4" w:space="0" w:color="000000"/>
            </w:tcBorders>
          </w:tcPr>
          <w:p>
            <w:pPr>
              <w:rPr>
                <w:sz w:val="2"/>
                <w:szCs w:val="2"/>
              </w:rPr>
            </w:pPr>
          </w:p>
        </w:tc>
        <w:tc>
          <w:tcPr>
            <w:tcW w:w="770" w:type="dxa"/>
            <w:vMerge/>
            <w:tcBorders>
              <w:top w:val="nil"/>
              <w:left w:val="single" w:sz="4" w:space="0" w:color="000000"/>
              <w:bottom w:val="single" w:sz="4" w:space="0" w:color="000000"/>
              <w:right w:val="single" w:sz="4" w:space="0" w:color="000000"/>
            </w:tcBorders>
          </w:tcPr>
          <w:p>
            <w:pPr>
              <w:rPr>
                <w:sz w:val="2"/>
                <w:szCs w:val="2"/>
              </w:rPr>
            </w:pPr>
          </w:p>
        </w:tc>
        <w:tc>
          <w:tcPr>
            <w:tcW w:w="1512" w:type="dxa"/>
            <w:tcBorders>
              <w:top w:val="single" w:sz="4" w:space="0" w:color="000000"/>
              <w:left w:val="single" w:sz="4" w:space="0" w:color="000000"/>
              <w:bottom w:val="single" w:sz="4" w:space="0" w:color="000000"/>
              <w:right w:val="single" w:sz="4" w:space="0" w:color="000000"/>
            </w:tcBorders>
          </w:tcPr>
          <w:p>
            <w:pPr>
              <w:pStyle w:val="TableParagraph"/>
              <w:spacing w:before="21"/>
              <w:ind w:left="240"/>
              <w:jc w:val="left"/>
              <w:rPr>
                <w:sz w:val="21"/>
              </w:rPr>
            </w:pPr>
            <w:r>
              <w:rPr>
                <w:sz w:val="21"/>
              </w:rPr>
              <w:t>粉煤灰筒仓</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1"/>
              <w:ind w:left="198" w:right="170"/>
              <w:rPr>
                <w:sz w:val="21"/>
              </w:rPr>
            </w:pPr>
            <w:r>
              <w:rPr>
                <w:sz w:val="21"/>
              </w:rPr>
              <w:t>Φ5.2×24.8，300t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1"/>
              <w:ind w:right="236"/>
              <w:jc w:val="right"/>
              <w:rPr>
                <w:sz w:val="21"/>
              </w:rPr>
            </w:pPr>
            <w:r>
              <w:rPr>
                <w:w w:val="99"/>
                <w:sz w:val="21"/>
              </w:rPr>
              <w:t>个</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1"/>
              <w:ind w:left="24"/>
              <w:rPr>
                <w:sz w:val="21"/>
              </w:rPr>
            </w:pPr>
            <w:r>
              <w:rPr>
                <w:w w:val="99"/>
                <w:sz w:val="21"/>
              </w:rPr>
              <w:t>2</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1"/>
              <w:ind w:left="28"/>
              <w:rPr>
                <w:sz w:val="21"/>
              </w:rPr>
            </w:pPr>
            <w:r>
              <w:rPr>
                <w:w w:val="99"/>
                <w:sz w:val="21"/>
              </w:rPr>
              <w:t>2</w:t>
            </w:r>
          </w:p>
        </w:tc>
        <w:tc>
          <w:tcPr>
            <w:tcW w:w="874" w:type="dxa"/>
            <w:tcBorders>
              <w:top w:val="single" w:sz="4" w:space="0" w:color="000000"/>
              <w:left w:val="single" w:sz="4" w:space="0" w:color="000000"/>
              <w:bottom w:val="single" w:sz="4" w:space="0" w:color="000000"/>
              <w:right w:val="nil"/>
            </w:tcBorders>
          </w:tcPr>
          <w:p>
            <w:pPr>
              <w:pStyle w:val="TableParagraph"/>
              <w:spacing w:before="21"/>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tcBorders>
              <w:top w:val="single" w:sz="4" w:space="0" w:color="000000"/>
              <w:left w:val="nil"/>
              <w:bottom w:val="single" w:sz="4" w:space="0" w:color="000000"/>
              <w:right w:val="single" w:sz="4" w:space="0" w:color="000000"/>
            </w:tcBorders>
          </w:tcPr>
          <w:p>
            <w:pPr>
              <w:pStyle w:val="TableParagraph"/>
              <w:spacing w:before="21"/>
              <w:ind w:left="57" w:right="24"/>
              <w:rPr>
                <w:sz w:val="21"/>
              </w:rPr>
            </w:pPr>
            <w:r>
              <w:rPr>
                <w:sz w:val="21"/>
              </w:rPr>
              <w:t>储存沙、石原料</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814" w:right="788"/>
              <w:rPr>
                <w:sz w:val="21"/>
              </w:rPr>
            </w:pPr>
            <w:r>
              <w:rPr>
                <w:sz w:val="21"/>
              </w:rPr>
              <w:t>骨料仓</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1"/>
              <w:ind w:left="198" w:right="170"/>
              <w:rPr>
                <w:sz w:val="21"/>
              </w:rPr>
            </w:pPr>
            <w:r>
              <w:rPr>
                <w:sz w:val="21"/>
              </w:rPr>
              <w:t>65m×16m×12m</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1"/>
              <w:ind w:right="236"/>
              <w:jc w:val="right"/>
              <w:rPr>
                <w:sz w:val="21"/>
              </w:rPr>
            </w:pPr>
            <w:r>
              <w:rPr>
                <w:w w:val="99"/>
                <w:sz w:val="21"/>
              </w:rPr>
              <w:t>个</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1"/>
              <w:ind w:left="203" w:right="174"/>
              <w:rPr>
                <w:sz w:val="21"/>
              </w:rPr>
            </w:pPr>
            <w:r>
              <w:rPr>
                <w:sz w:val="21"/>
              </w:rPr>
              <w:t>12</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1"/>
              <w:ind w:left="28"/>
              <w:rPr>
                <w:sz w:val="21"/>
              </w:rPr>
            </w:pPr>
            <w:r>
              <w:rPr>
                <w:w w:val="99"/>
                <w:sz w:val="21"/>
              </w:rPr>
              <w:t>8</w:t>
            </w:r>
          </w:p>
        </w:tc>
        <w:tc>
          <w:tcPr>
            <w:tcW w:w="874" w:type="dxa"/>
            <w:tcBorders>
              <w:top w:val="single" w:sz="4" w:space="0" w:color="000000"/>
              <w:left w:val="single" w:sz="4" w:space="0" w:color="000000"/>
              <w:bottom w:val="single" w:sz="4" w:space="0" w:color="000000"/>
              <w:right w:val="nil"/>
            </w:tcBorders>
          </w:tcPr>
          <w:p>
            <w:pPr>
              <w:pStyle w:val="TableParagraph"/>
              <w:spacing w:before="21"/>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tcBorders>
              <w:top w:val="single" w:sz="4" w:space="0" w:color="000000"/>
              <w:left w:val="nil"/>
              <w:bottom w:val="single" w:sz="4" w:space="0" w:color="000000"/>
              <w:right w:val="single" w:sz="4" w:space="0" w:color="000000"/>
            </w:tcBorders>
          </w:tcPr>
          <w:p>
            <w:pPr>
              <w:pStyle w:val="TableParagraph"/>
              <w:spacing w:before="21"/>
              <w:ind w:left="55" w:right="24"/>
              <w:rPr>
                <w:sz w:val="21"/>
              </w:rPr>
            </w:pPr>
            <w:r>
              <w:rPr>
                <w:sz w:val="21"/>
              </w:rPr>
              <w:t>分离</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626"/>
              <w:jc w:val="left"/>
              <w:rPr>
                <w:sz w:val="21"/>
              </w:rPr>
            </w:pPr>
            <w:r>
              <w:rPr>
                <w:sz w:val="21"/>
              </w:rPr>
              <w:t>砂石分离机</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1"/>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1"/>
              <w:ind w:right="236"/>
              <w:jc w:val="right"/>
              <w:rPr>
                <w:sz w:val="21"/>
              </w:rPr>
            </w:pPr>
            <w:r>
              <w:rPr>
                <w:w w:val="99"/>
                <w:sz w:val="21"/>
              </w:rPr>
              <w:t>台</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1"/>
              <w:ind w:left="24"/>
              <w:rPr>
                <w:sz w:val="21"/>
              </w:rPr>
            </w:pPr>
            <w:r>
              <w:rPr>
                <w:w w:val="99"/>
                <w:sz w:val="21"/>
              </w:rPr>
              <w:t>2</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1"/>
              <w:ind w:left="28"/>
              <w:rPr>
                <w:sz w:val="21"/>
              </w:rPr>
            </w:pPr>
            <w:r>
              <w:rPr>
                <w:w w:val="99"/>
                <w:sz w:val="21"/>
              </w:rPr>
              <w:t>1</w:t>
            </w:r>
          </w:p>
        </w:tc>
        <w:tc>
          <w:tcPr>
            <w:tcW w:w="874" w:type="dxa"/>
            <w:tcBorders>
              <w:top w:val="single" w:sz="4" w:space="0" w:color="000000"/>
              <w:left w:val="single" w:sz="4" w:space="0" w:color="000000"/>
              <w:bottom w:val="single" w:sz="4" w:space="0" w:color="000000"/>
              <w:right w:val="nil"/>
            </w:tcBorders>
          </w:tcPr>
          <w:p>
            <w:pPr>
              <w:pStyle w:val="TableParagraph"/>
              <w:spacing w:before="21"/>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1"/>
          <w:jc w:val="left"/>
        </w:trPr>
        <w:tc>
          <w:tcPr>
            <w:tcW w:w="1596" w:type="dxa"/>
            <w:tcBorders>
              <w:top w:val="single" w:sz="4" w:space="0" w:color="000000"/>
              <w:left w:val="nil"/>
              <w:bottom w:val="single" w:sz="4" w:space="0" w:color="000000"/>
              <w:right w:val="single" w:sz="4" w:space="0" w:color="000000"/>
            </w:tcBorders>
          </w:tcPr>
          <w:p>
            <w:pPr>
              <w:pStyle w:val="TableParagraph"/>
              <w:spacing w:before="20"/>
              <w:ind w:left="55" w:right="24"/>
              <w:rPr>
                <w:sz w:val="21"/>
              </w:rPr>
            </w:pPr>
            <w:r>
              <w:rPr>
                <w:sz w:val="21"/>
              </w:rPr>
              <w:t>输送</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0"/>
              <w:ind w:left="814" w:right="788"/>
              <w:rPr>
                <w:sz w:val="21"/>
              </w:rPr>
            </w:pPr>
            <w:r>
              <w:rPr>
                <w:sz w:val="21"/>
              </w:rPr>
              <w:t>输送带</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0"/>
              <w:ind w:right="236"/>
              <w:jc w:val="right"/>
              <w:rPr>
                <w:sz w:val="21"/>
              </w:rPr>
            </w:pPr>
            <w:r>
              <w:rPr>
                <w:w w:val="99"/>
                <w:sz w:val="21"/>
              </w:rPr>
              <w:t>个</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0"/>
              <w:ind w:left="24"/>
              <w:rPr>
                <w:sz w:val="21"/>
              </w:rPr>
            </w:pPr>
            <w:r>
              <w:rPr>
                <w:w w:val="99"/>
                <w:sz w:val="21"/>
              </w:rPr>
              <w:t>3</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2</w:t>
            </w:r>
          </w:p>
        </w:tc>
        <w:tc>
          <w:tcPr>
            <w:tcW w:w="874" w:type="dxa"/>
            <w:tcBorders>
              <w:top w:val="single" w:sz="4" w:space="0" w:color="000000"/>
              <w:left w:val="single" w:sz="4" w:space="0" w:color="000000"/>
              <w:bottom w:val="single" w:sz="4" w:space="0" w:color="000000"/>
              <w:right w:val="nil"/>
            </w:tcBorders>
          </w:tcPr>
          <w:p>
            <w:pPr>
              <w:pStyle w:val="TableParagraph"/>
              <w:spacing w:before="20"/>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tcBorders>
              <w:top w:val="single" w:sz="4" w:space="0" w:color="000000"/>
              <w:left w:val="nil"/>
              <w:bottom w:val="single" w:sz="4" w:space="0" w:color="000000"/>
              <w:right w:val="single" w:sz="4" w:space="0" w:color="000000"/>
            </w:tcBorders>
          </w:tcPr>
          <w:p>
            <w:pPr>
              <w:pStyle w:val="TableParagraph"/>
              <w:spacing w:before="20"/>
              <w:ind w:left="55" w:right="24"/>
              <w:rPr>
                <w:sz w:val="21"/>
              </w:rPr>
            </w:pPr>
            <w:r>
              <w:rPr>
                <w:sz w:val="21"/>
              </w:rPr>
              <w:t>装载</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0"/>
              <w:ind w:left="814" w:right="788"/>
              <w:rPr>
                <w:sz w:val="21"/>
              </w:rPr>
            </w:pPr>
            <w:r>
              <w:rPr>
                <w:sz w:val="21"/>
              </w:rPr>
              <w:t>装载机</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0"/>
              <w:ind w:right="236"/>
              <w:jc w:val="right"/>
              <w:rPr>
                <w:sz w:val="21"/>
              </w:rPr>
            </w:pPr>
            <w:r>
              <w:rPr>
                <w:w w:val="99"/>
                <w:sz w:val="21"/>
              </w:rPr>
              <w:t>台</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0"/>
              <w:ind w:left="24"/>
              <w:rPr>
                <w:sz w:val="21"/>
              </w:rPr>
            </w:pPr>
            <w:r>
              <w:rPr>
                <w:w w:val="99"/>
                <w:sz w:val="21"/>
              </w:rPr>
              <w:t>3</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3</w:t>
            </w:r>
          </w:p>
        </w:tc>
        <w:tc>
          <w:tcPr>
            <w:tcW w:w="874" w:type="dxa"/>
            <w:tcBorders>
              <w:top w:val="single" w:sz="4" w:space="0" w:color="000000"/>
              <w:left w:val="single" w:sz="4" w:space="0" w:color="000000"/>
              <w:bottom w:val="single" w:sz="4" w:space="0" w:color="000000"/>
              <w:right w:val="nil"/>
            </w:tcBorders>
          </w:tcPr>
          <w:p>
            <w:pPr>
              <w:pStyle w:val="TableParagraph"/>
              <w:spacing w:before="20"/>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tcBorders>
              <w:top w:val="single" w:sz="4" w:space="0" w:color="000000"/>
              <w:left w:val="nil"/>
              <w:bottom w:val="single" w:sz="4" w:space="0" w:color="000000"/>
              <w:right w:val="single" w:sz="4" w:space="0" w:color="000000"/>
            </w:tcBorders>
          </w:tcPr>
          <w:p>
            <w:pPr>
              <w:pStyle w:val="TableParagraph"/>
              <w:spacing w:before="22"/>
              <w:ind w:left="55" w:right="24"/>
              <w:rPr>
                <w:sz w:val="21"/>
              </w:rPr>
            </w:pPr>
            <w:r>
              <w:rPr>
                <w:sz w:val="21"/>
              </w:rPr>
              <w:t>配料</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2"/>
              <w:ind w:left="814" w:right="788"/>
              <w:rPr>
                <w:sz w:val="21"/>
              </w:rPr>
            </w:pPr>
            <w:r>
              <w:rPr>
                <w:sz w:val="21"/>
              </w:rPr>
              <w:t>配料仓</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2"/>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2"/>
              <w:ind w:right="236"/>
              <w:jc w:val="right"/>
              <w:rPr>
                <w:sz w:val="21"/>
              </w:rPr>
            </w:pPr>
            <w:r>
              <w:rPr>
                <w:w w:val="99"/>
                <w:sz w:val="21"/>
              </w:rPr>
              <w:t>个</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2"/>
              <w:ind w:left="24"/>
              <w:rPr>
                <w:sz w:val="21"/>
              </w:rPr>
            </w:pPr>
            <w:r>
              <w:rPr>
                <w:w w:val="99"/>
                <w:sz w:val="21"/>
              </w:rPr>
              <w:t>3</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2"/>
              <w:ind w:left="28"/>
              <w:rPr>
                <w:sz w:val="21"/>
              </w:rPr>
            </w:pPr>
            <w:r>
              <w:rPr>
                <w:w w:val="99"/>
                <w:sz w:val="21"/>
              </w:rPr>
              <w:t>3</w:t>
            </w:r>
          </w:p>
        </w:tc>
        <w:tc>
          <w:tcPr>
            <w:tcW w:w="874" w:type="dxa"/>
            <w:tcBorders>
              <w:top w:val="single" w:sz="4" w:space="0" w:color="000000"/>
              <w:left w:val="single" w:sz="4" w:space="0" w:color="000000"/>
              <w:bottom w:val="single" w:sz="4" w:space="0" w:color="000000"/>
              <w:right w:val="nil"/>
            </w:tcBorders>
          </w:tcPr>
          <w:p>
            <w:pPr>
              <w:pStyle w:val="TableParagraph"/>
              <w:spacing w:before="22"/>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tcBorders>
              <w:top w:val="single" w:sz="4" w:space="0" w:color="000000"/>
              <w:left w:val="nil"/>
              <w:bottom w:val="single" w:sz="4" w:space="0" w:color="000000"/>
              <w:right w:val="single" w:sz="4" w:space="0" w:color="000000"/>
            </w:tcBorders>
          </w:tcPr>
          <w:p>
            <w:pPr>
              <w:pStyle w:val="TableParagraph"/>
              <w:spacing w:before="21"/>
              <w:ind w:left="57" w:right="24"/>
              <w:rPr>
                <w:sz w:val="21"/>
              </w:rPr>
            </w:pPr>
            <w:r>
              <w:rPr>
                <w:sz w:val="21"/>
              </w:rPr>
              <w:t>进、出料</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626"/>
              <w:jc w:val="left"/>
              <w:rPr>
                <w:sz w:val="21"/>
              </w:rPr>
            </w:pPr>
            <w:r>
              <w:rPr>
                <w:sz w:val="21"/>
              </w:rPr>
              <w:t>混凝土泵车</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1"/>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1"/>
              <w:ind w:right="236"/>
              <w:jc w:val="right"/>
              <w:rPr>
                <w:sz w:val="21"/>
              </w:rPr>
            </w:pPr>
            <w:r>
              <w:rPr>
                <w:w w:val="99"/>
                <w:sz w:val="21"/>
              </w:rPr>
              <w:t>辆</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1"/>
              <w:ind w:left="24"/>
              <w:rPr>
                <w:sz w:val="21"/>
              </w:rPr>
            </w:pPr>
            <w:r>
              <w:rPr>
                <w:w w:val="99"/>
                <w:sz w:val="21"/>
              </w:rPr>
              <w:t>3</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1"/>
              <w:ind w:left="28"/>
              <w:rPr>
                <w:sz w:val="21"/>
              </w:rPr>
            </w:pPr>
            <w:r>
              <w:rPr>
                <w:w w:val="99"/>
                <w:sz w:val="21"/>
              </w:rPr>
              <w:t>3</w:t>
            </w:r>
          </w:p>
        </w:tc>
        <w:tc>
          <w:tcPr>
            <w:tcW w:w="874" w:type="dxa"/>
            <w:tcBorders>
              <w:top w:val="single" w:sz="4" w:space="0" w:color="000000"/>
              <w:left w:val="single" w:sz="4" w:space="0" w:color="000000"/>
              <w:bottom w:val="single" w:sz="4" w:space="0" w:color="000000"/>
              <w:right w:val="nil"/>
            </w:tcBorders>
          </w:tcPr>
          <w:p>
            <w:pPr>
              <w:pStyle w:val="TableParagraph"/>
              <w:spacing w:before="21"/>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vMerge w:val="restart"/>
            <w:tcBorders>
              <w:top w:val="single" w:sz="4" w:space="0" w:color="000000"/>
              <w:left w:val="nil"/>
              <w:bottom w:val="single" w:sz="4" w:space="0" w:color="000000"/>
              <w:right w:val="single" w:sz="4" w:space="0" w:color="000000"/>
            </w:tcBorders>
          </w:tcPr>
          <w:p>
            <w:pPr>
              <w:pStyle w:val="TableParagraph"/>
              <w:spacing w:before="2"/>
              <w:jc w:val="left"/>
              <w:rPr>
                <w:b/>
                <w:sz w:val="14"/>
              </w:rPr>
            </w:pPr>
          </w:p>
          <w:p>
            <w:pPr>
              <w:pStyle w:val="TableParagraph"/>
              <w:ind w:left="55" w:right="24"/>
              <w:rPr>
                <w:sz w:val="21"/>
              </w:rPr>
            </w:pPr>
            <w:r>
              <w:rPr>
                <w:sz w:val="21"/>
              </w:rPr>
              <w:t>搅拌</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814" w:right="788"/>
              <w:rPr>
                <w:sz w:val="21"/>
              </w:rPr>
            </w:pPr>
            <w:r>
              <w:rPr>
                <w:sz w:val="21"/>
              </w:rPr>
              <w:t>空压机</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1"/>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1"/>
              <w:ind w:right="236"/>
              <w:jc w:val="right"/>
              <w:rPr>
                <w:sz w:val="21"/>
              </w:rPr>
            </w:pPr>
            <w:r>
              <w:rPr>
                <w:w w:val="99"/>
                <w:sz w:val="21"/>
              </w:rPr>
              <w:t>台</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1"/>
              <w:ind w:left="24"/>
              <w:rPr>
                <w:sz w:val="21"/>
              </w:rPr>
            </w:pPr>
            <w:r>
              <w:rPr>
                <w:w w:val="99"/>
                <w:sz w:val="21"/>
              </w:rPr>
              <w:t>3</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1"/>
              <w:ind w:left="28"/>
              <w:rPr>
                <w:sz w:val="21"/>
              </w:rPr>
            </w:pPr>
            <w:r>
              <w:rPr>
                <w:w w:val="99"/>
                <w:sz w:val="21"/>
              </w:rPr>
              <w:t>2</w:t>
            </w:r>
          </w:p>
        </w:tc>
        <w:tc>
          <w:tcPr>
            <w:tcW w:w="874" w:type="dxa"/>
            <w:tcBorders>
              <w:top w:val="single" w:sz="4" w:space="0" w:color="000000"/>
              <w:left w:val="single" w:sz="4" w:space="0" w:color="000000"/>
              <w:bottom w:val="single" w:sz="4" w:space="0" w:color="000000"/>
              <w:right w:val="nil"/>
            </w:tcBorders>
          </w:tcPr>
          <w:p>
            <w:pPr>
              <w:pStyle w:val="TableParagraph"/>
              <w:spacing w:before="21"/>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1"/>
          <w:jc w:val="left"/>
        </w:trPr>
        <w:tc>
          <w:tcPr>
            <w:tcW w:w="1596" w:type="dxa"/>
            <w:vMerge/>
            <w:tcBorders>
              <w:top w:val="nil"/>
              <w:left w:val="nil"/>
              <w:bottom w:val="single" w:sz="4" w:space="0" w:color="000000"/>
              <w:right w:val="single" w:sz="4" w:space="0" w:color="000000"/>
            </w:tcBorders>
          </w:tcPr>
          <w:p>
            <w:pPr>
              <w:rPr>
                <w:sz w:val="2"/>
                <w:szCs w:val="2"/>
              </w:rPr>
            </w:pP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0"/>
              <w:ind w:left="814" w:right="788"/>
              <w:rPr>
                <w:sz w:val="21"/>
              </w:rPr>
            </w:pPr>
            <w:r>
              <w:rPr>
                <w:sz w:val="21"/>
              </w:rPr>
              <w:t>水泵</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0"/>
              <w:ind w:right="236"/>
              <w:jc w:val="right"/>
              <w:rPr>
                <w:sz w:val="21"/>
              </w:rPr>
            </w:pPr>
            <w:r>
              <w:rPr>
                <w:w w:val="99"/>
                <w:sz w:val="21"/>
              </w:rPr>
              <w:t>台</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0"/>
              <w:ind w:left="24"/>
              <w:rPr>
                <w:sz w:val="21"/>
              </w:rPr>
            </w:pPr>
            <w:r>
              <w:rPr>
                <w:w w:val="99"/>
                <w:sz w:val="21"/>
              </w:rPr>
              <w:t>1</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1</w:t>
            </w:r>
          </w:p>
        </w:tc>
        <w:tc>
          <w:tcPr>
            <w:tcW w:w="874" w:type="dxa"/>
            <w:tcBorders>
              <w:top w:val="single" w:sz="4" w:space="0" w:color="000000"/>
              <w:left w:val="single" w:sz="4" w:space="0" w:color="000000"/>
              <w:bottom w:val="single" w:sz="4" w:space="0" w:color="000000"/>
              <w:right w:val="nil"/>
            </w:tcBorders>
          </w:tcPr>
          <w:p>
            <w:pPr>
              <w:pStyle w:val="TableParagraph"/>
              <w:spacing w:before="20"/>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2"/>
          <w:jc w:val="left"/>
        </w:trPr>
        <w:tc>
          <w:tcPr>
            <w:tcW w:w="1596" w:type="dxa"/>
            <w:vMerge w:val="restart"/>
            <w:tcBorders>
              <w:top w:val="single" w:sz="4" w:space="0" w:color="000000"/>
              <w:left w:val="nil"/>
              <w:bottom w:val="single" w:sz="4" w:space="0" w:color="000000"/>
              <w:right w:val="single" w:sz="4" w:space="0" w:color="000000"/>
            </w:tcBorders>
          </w:tcPr>
          <w:p>
            <w:pPr>
              <w:pStyle w:val="TableParagraph"/>
              <w:spacing w:before="1"/>
              <w:jc w:val="left"/>
              <w:rPr>
                <w:b/>
                <w:sz w:val="14"/>
              </w:rPr>
            </w:pPr>
          </w:p>
          <w:p>
            <w:pPr>
              <w:pStyle w:val="TableParagraph"/>
              <w:spacing w:before="1"/>
              <w:ind w:left="55" w:right="24"/>
              <w:rPr>
                <w:sz w:val="21"/>
              </w:rPr>
            </w:pPr>
            <w:r>
              <w:rPr>
                <w:sz w:val="21"/>
              </w:rPr>
              <w:t>检验</w:t>
            </w: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0"/>
              <w:ind w:left="814" w:right="788"/>
              <w:rPr>
                <w:sz w:val="21"/>
              </w:rPr>
            </w:pPr>
            <w:r>
              <w:rPr>
                <w:sz w:val="21"/>
              </w:rPr>
              <w:t>压力机</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0"/>
              <w:ind w:right="236"/>
              <w:jc w:val="right"/>
              <w:rPr>
                <w:sz w:val="21"/>
              </w:rPr>
            </w:pPr>
            <w:r>
              <w:rPr>
                <w:w w:val="99"/>
                <w:sz w:val="21"/>
              </w:rPr>
              <w:t>台</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0"/>
              <w:ind w:left="24"/>
              <w:rPr>
                <w:sz w:val="21"/>
              </w:rPr>
            </w:pPr>
            <w:r>
              <w:rPr>
                <w:w w:val="99"/>
                <w:sz w:val="21"/>
              </w:rPr>
              <w:t>1</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1</w:t>
            </w:r>
          </w:p>
        </w:tc>
        <w:tc>
          <w:tcPr>
            <w:tcW w:w="874" w:type="dxa"/>
            <w:tcBorders>
              <w:top w:val="single" w:sz="4" w:space="0" w:color="000000"/>
              <w:left w:val="single" w:sz="4" w:space="0" w:color="000000"/>
              <w:bottom w:val="single" w:sz="4" w:space="0" w:color="000000"/>
              <w:right w:val="nil"/>
            </w:tcBorders>
          </w:tcPr>
          <w:p>
            <w:pPr>
              <w:pStyle w:val="TableParagraph"/>
              <w:spacing w:before="20"/>
              <w:ind w:left="215" w:right="193"/>
              <w:rPr>
                <w:sz w:val="21"/>
              </w:rPr>
            </w:pPr>
            <w:r>
              <w:rPr>
                <w:sz w:val="21"/>
              </w:rPr>
              <w:t>间歇</w:t>
            </w:r>
          </w:p>
        </w:tc>
      </w:tr>
      <w:tr>
        <w:tblPrEx>
          <w:tblW w:w="0" w:type="auto"/>
          <w:jc w:val="left"/>
          <w:tblInd w:w="126" w:type="dxa"/>
          <w:tblLayout w:type="fixed"/>
          <w:tblCellMar>
            <w:top w:w="0" w:type="dxa"/>
            <w:left w:w="0" w:type="dxa"/>
            <w:bottom w:w="0" w:type="dxa"/>
            <w:right w:w="0" w:type="dxa"/>
          </w:tblCellMar>
          <w:tblLook w:val="01E0"/>
        </w:tblPrEx>
        <w:trPr>
          <w:trHeight w:val="311"/>
          <w:jc w:val="left"/>
        </w:trPr>
        <w:tc>
          <w:tcPr>
            <w:tcW w:w="1596" w:type="dxa"/>
            <w:vMerge/>
            <w:tcBorders>
              <w:top w:val="nil"/>
              <w:left w:val="nil"/>
              <w:bottom w:val="single" w:sz="4" w:space="0" w:color="000000"/>
              <w:right w:val="single" w:sz="4" w:space="0" w:color="000000"/>
            </w:tcBorders>
          </w:tcPr>
          <w:p>
            <w:pPr>
              <w:rPr>
                <w:sz w:val="2"/>
                <w:szCs w:val="2"/>
              </w:rPr>
            </w:pPr>
          </w:p>
        </w:tc>
        <w:tc>
          <w:tcPr>
            <w:tcW w:w="228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0"/>
              <w:ind w:left="814" w:right="788"/>
              <w:rPr>
                <w:sz w:val="21"/>
              </w:rPr>
            </w:pPr>
            <w:r>
              <w:rPr>
                <w:sz w:val="21"/>
              </w:rPr>
              <w:t>测量仪</w:t>
            </w:r>
          </w:p>
        </w:tc>
        <w:tc>
          <w:tcPr>
            <w:tcW w:w="2203"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w:t>
            </w:r>
          </w:p>
        </w:tc>
        <w:tc>
          <w:tcPr>
            <w:tcW w:w="724" w:type="dxa"/>
            <w:tcBorders>
              <w:top w:val="single" w:sz="4" w:space="0" w:color="000000"/>
              <w:left w:val="single" w:sz="4" w:space="0" w:color="000000"/>
              <w:bottom w:val="single" w:sz="4" w:space="0" w:color="000000"/>
              <w:right w:val="single" w:sz="4" w:space="0" w:color="000000"/>
            </w:tcBorders>
          </w:tcPr>
          <w:p>
            <w:pPr>
              <w:pStyle w:val="TableParagraph"/>
              <w:spacing w:before="20"/>
              <w:ind w:right="236"/>
              <w:jc w:val="right"/>
              <w:rPr>
                <w:sz w:val="21"/>
              </w:rPr>
            </w:pPr>
            <w:r>
              <w:rPr>
                <w:w w:val="99"/>
                <w:sz w:val="21"/>
              </w:rPr>
              <w:t>台</w:t>
            </w:r>
          </w:p>
        </w:tc>
        <w:tc>
          <w:tcPr>
            <w:tcW w:w="850" w:type="dxa"/>
            <w:tcBorders>
              <w:top w:val="single" w:sz="4" w:space="0" w:color="000000"/>
              <w:left w:val="single" w:sz="4" w:space="0" w:color="000000"/>
              <w:bottom w:val="single" w:sz="4" w:space="0" w:color="000000"/>
              <w:right w:val="single" w:sz="4" w:space="0" w:color="000000"/>
            </w:tcBorders>
          </w:tcPr>
          <w:p>
            <w:pPr>
              <w:pStyle w:val="TableParagraph"/>
              <w:spacing w:before="20"/>
              <w:ind w:left="24"/>
              <w:rPr>
                <w:sz w:val="21"/>
              </w:rPr>
            </w:pPr>
            <w:r>
              <w:rPr>
                <w:w w:val="99"/>
                <w:sz w:val="21"/>
              </w:rPr>
              <w:t>1</w:t>
            </w:r>
          </w:p>
        </w:tc>
        <w:tc>
          <w:tcPr>
            <w:tcW w:w="750" w:type="dxa"/>
            <w:tcBorders>
              <w:top w:val="single" w:sz="4" w:space="0" w:color="000000"/>
              <w:left w:val="single" w:sz="4" w:space="0" w:color="000000"/>
              <w:bottom w:val="single" w:sz="4" w:space="0" w:color="000000"/>
              <w:right w:val="single" w:sz="4" w:space="0" w:color="000000"/>
            </w:tcBorders>
          </w:tcPr>
          <w:p>
            <w:pPr>
              <w:pStyle w:val="TableParagraph"/>
              <w:spacing w:before="20"/>
              <w:ind w:left="28"/>
              <w:rPr>
                <w:sz w:val="21"/>
              </w:rPr>
            </w:pPr>
            <w:r>
              <w:rPr>
                <w:w w:val="99"/>
                <w:sz w:val="21"/>
              </w:rPr>
              <w:t>1</w:t>
            </w:r>
          </w:p>
        </w:tc>
        <w:tc>
          <w:tcPr>
            <w:tcW w:w="874" w:type="dxa"/>
            <w:tcBorders>
              <w:top w:val="single" w:sz="4" w:space="0" w:color="000000"/>
              <w:left w:val="single" w:sz="4" w:space="0" w:color="000000"/>
              <w:bottom w:val="single" w:sz="4" w:space="0" w:color="000000"/>
              <w:right w:val="nil"/>
            </w:tcBorders>
          </w:tcPr>
          <w:p>
            <w:pPr>
              <w:pStyle w:val="TableParagraph"/>
              <w:spacing w:before="20"/>
              <w:ind w:left="215" w:right="193"/>
              <w:rPr>
                <w:sz w:val="21"/>
              </w:rPr>
            </w:pPr>
            <w:r>
              <w:rPr>
                <w:sz w:val="21"/>
              </w:rPr>
              <w:t>间歇</w:t>
            </w:r>
          </w:p>
        </w:tc>
      </w:tr>
    </w:tbl>
    <w:p>
      <w:pPr>
        <w:spacing w:before="22" w:after="19"/>
        <w:ind w:left="240" w:right="0" w:firstLine="0"/>
        <w:jc w:val="left"/>
        <w:rPr>
          <w:sz w:val="21"/>
        </w:rPr>
      </w:pPr>
      <w:r>
        <w:rPr>
          <w:sz w:val="21"/>
        </w:rPr>
        <w:t>企业在日常生产中将做好生产台账，以供备查。</w:t>
      </w:r>
    </w:p>
    <w:p>
      <w:pPr>
        <w:pStyle w:val="BodyText"/>
        <w:spacing w:line="30" w:lineRule="exact"/>
        <w:ind w:left="118"/>
        <w:rPr>
          <w:sz w:val="3"/>
        </w:rPr>
      </w:pPr>
      <w:r>
        <w:rPr>
          <w:position w:val="0"/>
          <w:sz w:val="3"/>
        </w:rPr>
        <w:pict>
          <v:group id="_x0000_i1025" style="width:463.95pt;height:1.45pt;mso-position-horizontal-relative:char;mso-position-vertical-relative:line" coordorigin="0,0" coordsize="9279,29">
            <v:line id="_x0000_s1026" style="position:absolute" from="0,14" to="9279,14" stroked="t" strokecolor="black" strokeweight="1.44pt">
              <v:stroke dashstyle="solid"/>
            </v:line>
            <w10:wrap type="none"/>
          </v:group>
        </w:pict>
      </w:r>
    </w:p>
    <w:p>
      <w:pPr>
        <w:pStyle w:val="ListParagraph"/>
        <w:numPr>
          <w:ilvl w:val="2"/>
          <w:numId w:val="9"/>
        </w:numPr>
        <w:tabs>
          <w:tab w:val="left" w:pos="779"/>
        </w:tabs>
        <w:spacing w:before="140" w:after="0" w:line="240" w:lineRule="auto"/>
        <w:ind w:left="778" w:right="0" w:hanging="541"/>
        <w:jc w:val="both"/>
        <w:rPr>
          <w:b/>
          <w:sz w:val="24"/>
        </w:rPr>
      </w:pPr>
      <w:bookmarkStart w:id="9" w:name="1.3.2原辅料变动情况"/>
      <w:bookmarkEnd w:id="9"/>
      <w:r>
        <w:rPr>
          <w:b/>
          <w:sz w:val="24"/>
        </w:rPr>
        <w:t>原辅料变动情况</w:t>
      </w:r>
    </w:p>
    <w:p>
      <w:pPr>
        <w:pStyle w:val="BodyText"/>
        <w:spacing w:before="158"/>
        <w:ind w:left="718"/>
      </w:pPr>
      <w:r>
        <w:t>项目分阶段建设，一阶段项目原辅料种类和配比不变，原辅料用量减少。</w:t>
      </w:r>
    </w:p>
    <w:p>
      <w:pPr>
        <w:spacing w:before="160" w:after="3"/>
        <w:ind w:left="617" w:right="617" w:firstLine="0"/>
        <w:jc w:val="center"/>
        <w:rPr>
          <w:b/>
          <w:sz w:val="24"/>
        </w:rPr>
      </w:pPr>
      <w:r>
        <w:rPr>
          <w:b/>
          <w:sz w:val="24"/>
        </w:rPr>
        <w:t xml:space="preserve">表 </w:t>
      </w:r>
      <w:r>
        <w:rPr>
          <w:rFonts w:ascii="Times New Roman" w:eastAsia="Times New Roman"/>
          <w:b/>
          <w:sz w:val="24"/>
        </w:rPr>
        <w:t xml:space="preserve">1.3-2  </w:t>
      </w:r>
      <w:r>
        <w:rPr>
          <w:b/>
          <w:sz w:val="24"/>
        </w:rPr>
        <w:t>企业主要原辅料消耗表</w:t>
      </w:r>
    </w:p>
    <w:tbl>
      <w:tblPr>
        <w:tblStyle w:val="TableNormal2"/>
        <w:tblW w:w="0" w:type="auto"/>
        <w:jc w:val="left"/>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35"/>
        <w:gridCol w:w="1003"/>
        <w:gridCol w:w="1770"/>
        <w:gridCol w:w="2195"/>
        <w:gridCol w:w="1889"/>
        <w:gridCol w:w="1892"/>
      </w:tblGrid>
      <w:tr>
        <w:tblPrEx>
          <w:tblW w:w="0" w:type="auto"/>
          <w:jc w:val="left"/>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40"/>
          <w:jc w:val="left"/>
        </w:trPr>
        <w:tc>
          <w:tcPr>
            <w:tcW w:w="535" w:type="dxa"/>
            <w:vMerge w:val="restart"/>
            <w:tcBorders>
              <w:left w:val="nil"/>
              <w:bottom w:val="single" w:sz="4" w:space="0" w:color="000000"/>
              <w:right w:val="single" w:sz="4" w:space="0" w:color="000000"/>
            </w:tcBorders>
          </w:tcPr>
          <w:p>
            <w:pPr>
              <w:pStyle w:val="TableParagraph"/>
              <w:spacing w:before="2"/>
              <w:jc w:val="left"/>
              <w:rPr>
                <w:b/>
                <w:sz w:val="15"/>
              </w:rPr>
            </w:pPr>
          </w:p>
          <w:p>
            <w:pPr>
              <w:pStyle w:val="TableParagraph"/>
              <w:spacing w:line="278" w:lineRule="auto"/>
              <w:ind w:left="177" w:right="143"/>
              <w:jc w:val="left"/>
              <w:rPr>
                <w:b/>
                <w:sz w:val="21"/>
              </w:rPr>
            </w:pPr>
            <w:r>
              <w:rPr>
                <w:b/>
                <w:w w:val="95"/>
                <w:sz w:val="21"/>
              </w:rPr>
              <w:t>序号</w:t>
            </w:r>
          </w:p>
        </w:tc>
        <w:tc>
          <w:tcPr>
            <w:tcW w:w="1003" w:type="dxa"/>
            <w:vMerge w:val="restart"/>
            <w:tcBorders>
              <w:left w:val="single" w:sz="4" w:space="0" w:color="000000"/>
              <w:bottom w:val="single" w:sz="4" w:space="0" w:color="000000"/>
              <w:right w:val="single" w:sz="4" w:space="0" w:color="000000"/>
            </w:tcBorders>
          </w:tcPr>
          <w:p>
            <w:pPr>
              <w:pStyle w:val="TableParagraph"/>
              <w:spacing w:before="4"/>
              <w:jc w:val="left"/>
              <w:rPr>
                <w:b/>
                <w:sz w:val="27"/>
              </w:rPr>
            </w:pPr>
          </w:p>
          <w:p>
            <w:pPr>
              <w:pStyle w:val="TableParagraph"/>
              <w:ind w:left="299"/>
              <w:jc w:val="left"/>
              <w:rPr>
                <w:b/>
                <w:sz w:val="21"/>
              </w:rPr>
            </w:pPr>
            <w:r>
              <w:rPr>
                <w:b/>
                <w:sz w:val="21"/>
              </w:rPr>
              <w:t>名称</w:t>
            </w:r>
          </w:p>
        </w:tc>
        <w:tc>
          <w:tcPr>
            <w:tcW w:w="7746" w:type="dxa"/>
            <w:gridSpan w:val="4"/>
            <w:tcBorders>
              <w:left w:val="single" w:sz="4" w:space="0" w:color="000000"/>
              <w:bottom w:val="single" w:sz="4" w:space="0" w:color="000000"/>
              <w:right w:val="nil"/>
            </w:tcBorders>
          </w:tcPr>
          <w:p>
            <w:pPr>
              <w:pStyle w:val="TableParagraph"/>
              <w:spacing w:before="33"/>
              <w:ind w:left="3545" w:right="3523"/>
              <w:rPr>
                <w:b/>
                <w:sz w:val="21"/>
              </w:rPr>
            </w:pPr>
            <w:r>
              <w:rPr>
                <w:b/>
                <w:sz w:val="21"/>
              </w:rPr>
              <w:t>消耗量</w:t>
            </w:r>
          </w:p>
        </w:tc>
      </w:tr>
      <w:tr>
        <w:tblPrEx>
          <w:tblW w:w="0" w:type="auto"/>
          <w:jc w:val="left"/>
          <w:tblInd w:w="124" w:type="dxa"/>
          <w:tblLayout w:type="fixed"/>
          <w:tblCellMar>
            <w:top w:w="0" w:type="dxa"/>
            <w:left w:w="0" w:type="dxa"/>
            <w:bottom w:w="0" w:type="dxa"/>
            <w:right w:w="0" w:type="dxa"/>
          </w:tblCellMar>
          <w:tblLook w:val="01E0"/>
        </w:tblPrEx>
        <w:trPr>
          <w:trHeight w:val="623"/>
          <w:jc w:val="left"/>
        </w:trPr>
        <w:tc>
          <w:tcPr>
            <w:tcW w:w="535" w:type="dxa"/>
            <w:vMerge/>
            <w:tcBorders>
              <w:top w:val="nil"/>
              <w:left w:val="nil"/>
              <w:bottom w:val="single" w:sz="4" w:space="0" w:color="000000"/>
              <w:right w:val="single" w:sz="4" w:space="0" w:color="000000"/>
            </w:tcBorders>
          </w:tcPr>
          <w:p>
            <w:pPr>
              <w:rPr>
                <w:sz w:val="2"/>
                <w:szCs w:val="2"/>
              </w:rPr>
            </w:pPr>
          </w:p>
        </w:tc>
        <w:tc>
          <w:tcPr>
            <w:tcW w:w="1003" w:type="dxa"/>
            <w:vMerge/>
            <w:tcBorders>
              <w:top w:val="nil"/>
              <w:left w:val="single" w:sz="4" w:space="0" w:color="000000"/>
              <w:bottom w:val="single" w:sz="4" w:space="0" w:color="000000"/>
              <w:right w:val="single" w:sz="4" w:space="0" w:color="000000"/>
            </w:tcBorders>
          </w:tcPr>
          <w:p>
            <w:pPr>
              <w:rPr>
                <w:sz w:val="2"/>
                <w:szCs w:val="2"/>
              </w:rPr>
            </w:pPr>
          </w:p>
        </w:tc>
        <w:tc>
          <w:tcPr>
            <w:tcW w:w="1770" w:type="dxa"/>
            <w:tcBorders>
              <w:top w:val="single" w:sz="4" w:space="0" w:color="000000"/>
              <w:left w:val="single" w:sz="4" w:space="0" w:color="000000"/>
              <w:bottom w:val="single" w:sz="4" w:space="0" w:color="000000"/>
              <w:right w:val="single" w:sz="4" w:space="0" w:color="000000"/>
            </w:tcBorders>
          </w:tcPr>
          <w:p>
            <w:pPr>
              <w:pStyle w:val="TableParagraph"/>
              <w:spacing w:before="19"/>
              <w:ind w:left="134" w:right="110"/>
              <w:rPr>
                <w:b/>
                <w:sz w:val="21"/>
              </w:rPr>
            </w:pPr>
            <w:r>
              <w:rPr>
                <w:b/>
                <w:sz w:val="21"/>
              </w:rPr>
              <w:t>环评设计消耗量</w:t>
            </w:r>
          </w:p>
          <w:p>
            <w:pPr>
              <w:pStyle w:val="TableParagraph"/>
              <w:spacing w:before="43"/>
              <w:ind w:left="134" w:right="110"/>
              <w:rPr>
                <w:b/>
                <w:sz w:val="21"/>
              </w:rPr>
            </w:pPr>
            <w:r>
              <w:rPr>
                <w:b/>
                <w:sz w:val="21"/>
              </w:rPr>
              <w:t>（吨/年）</w:t>
            </w:r>
          </w:p>
        </w:tc>
        <w:tc>
          <w:tcPr>
            <w:tcW w:w="2195" w:type="dxa"/>
            <w:tcBorders>
              <w:top w:val="single" w:sz="4" w:space="0" w:color="000000"/>
              <w:left w:val="single" w:sz="4" w:space="0" w:color="000000"/>
              <w:bottom w:val="single" w:sz="4" w:space="0" w:color="000000"/>
              <w:right w:val="single" w:sz="4" w:space="0" w:color="000000"/>
            </w:tcBorders>
          </w:tcPr>
          <w:p>
            <w:pPr>
              <w:pStyle w:val="TableParagraph"/>
              <w:spacing w:before="19"/>
              <w:ind w:left="242" w:right="215"/>
              <w:rPr>
                <w:b/>
                <w:sz w:val="21"/>
              </w:rPr>
            </w:pPr>
            <w:r>
              <w:rPr>
                <w:b/>
                <w:sz w:val="21"/>
              </w:rPr>
              <w:t>一阶段设计消耗量</w:t>
            </w:r>
          </w:p>
          <w:p>
            <w:pPr>
              <w:pStyle w:val="TableParagraph"/>
              <w:spacing w:before="43"/>
              <w:ind w:left="242" w:right="215"/>
              <w:rPr>
                <w:b/>
                <w:sz w:val="21"/>
              </w:rPr>
            </w:pPr>
            <w:r>
              <w:rPr>
                <w:b/>
                <w:sz w:val="21"/>
              </w:rPr>
              <w:t>（吨/年）</w:t>
            </w:r>
          </w:p>
        </w:tc>
        <w:tc>
          <w:tcPr>
            <w:tcW w:w="1889" w:type="dxa"/>
            <w:tcBorders>
              <w:top w:val="single" w:sz="4" w:space="0" w:color="000000"/>
              <w:left w:val="single" w:sz="4" w:space="0" w:color="000000"/>
              <w:bottom w:val="single" w:sz="4" w:space="0" w:color="000000"/>
              <w:right w:val="single" w:sz="4" w:space="0" w:color="000000"/>
            </w:tcBorders>
          </w:tcPr>
          <w:p>
            <w:pPr>
              <w:pStyle w:val="TableParagraph"/>
              <w:spacing w:before="19"/>
              <w:ind w:left="215"/>
              <w:jc w:val="left"/>
              <w:rPr>
                <w:b/>
                <w:sz w:val="21"/>
              </w:rPr>
            </w:pPr>
            <w:r>
              <w:rPr>
                <w:b/>
                <w:sz w:val="21"/>
              </w:rPr>
              <w:t>验收期间实际消</w:t>
            </w:r>
          </w:p>
          <w:p>
            <w:pPr>
              <w:pStyle w:val="TableParagraph"/>
              <w:spacing w:before="43"/>
              <w:ind w:left="268"/>
              <w:jc w:val="left"/>
              <w:rPr>
                <w:b/>
                <w:sz w:val="21"/>
              </w:rPr>
            </w:pPr>
            <w:r>
              <w:rPr>
                <w:b/>
                <w:sz w:val="21"/>
              </w:rPr>
              <w:t>耗量（吨/天）</w:t>
            </w:r>
          </w:p>
        </w:tc>
        <w:tc>
          <w:tcPr>
            <w:tcW w:w="1892" w:type="dxa"/>
            <w:tcBorders>
              <w:top w:val="single" w:sz="4" w:space="0" w:color="000000"/>
              <w:left w:val="single" w:sz="4" w:space="0" w:color="000000"/>
              <w:bottom w:val="single" w:sz="4" w:space="0" w:color="000000"/>
              <w:right w:val="nil"/>
            </w:tcBorders>
          </w:tcPr>
          <w:p>
            <w:pPr>
              <w:pStyle w:val="TableParagraph"/>
              <w:spacing w:before="19"/>
              <w:ind w:left="91" w:right="69"/>
              <w:rPr>
                <w:b/>
                <w:sz w:val="21"/>
              </w:rPr>
            </w:pPr>
            <w:r>
              <w:rPr>
                <w:b/>
                <w:sz w:val="21"/>
              </w:rPr>
              <w:t>折算年消耗量（吨</w:t>
            </w:r>
          </w:p>
          <w:p>
            <w:pPr>
              <w:pStyle w:val="TableParagraph"/>
              <w:spacing w:before="43"/>
              <w:ind w:left="88" w:right="69"/>
              <w:rPr>
                <w:b/>
                <w:sz w:val="21"/>
              </w:rPr>
            </w:pPr>
            <w:r>
              <w:rPr>
                <w:b/>
                <w:sz w:val="21"/>
              </w:rPr>
              <w:t>/年）</w:t>
            </w:r>
          </w:p>
        </w:tc>
      </w:tr>
      <w:tr>
        <w:tblPrEx>
          <w:tblW w:w="0" w:type="auto"/>
          <w:jc w:val="left"/>
          <w:tblInd w:w="124" w:type="dxa"/>
          <w:tblLayout w:type="fixed"/>
          <w:tblCellMar>
            <w:top w:w="0" w:type="dxa"/>
            <w:left w:w="0" w:type="dxa"/>
            <w:bottom w:w="0" w:type="dxa"/>
            <w:right w:w="0" w:type="dxa"/>
          </w:tblCellMar>
          <w:tblLook w:val="01E0"/>
        </w:tblPrEx>
        <w:trPr>
          <w:trHeight w:val="340"/>
          <w:jc w:val="left"/>
        </w:trPr>
        <w:tc>
          <w:tcPr>
            <w:tcW w:w="535" w:type="dxa"/>
            <w:tcBorders>
              <w:top w:val="single" w:sz="4" w:space="0" w:color="000000"/>
              <w:left w:val="nil"/>
              <w:bottom w:val="single" w:sz="4" w:space="0" w:color="000000"/>
              <w:right w:val="single" w:sz="4" w:space="0" w:color="000000"/>
            </w:tcBorders>
          </w:tcPr>
          <w:p>
            <w:pPr>
              <w:pStyle w:val="TableParagraph"/>
              <w:spacing w:before="33"/>
              <w:ind w:left="34"/>
              <w:rPr>
                <w:sz w:val="21"/>
              </w:rPr>
            </w:pPr>
            <w:r>
              <w:rPr>
                <w:w w:val="99"/>
                <w:sz w:val="21"/>
              </w:rPr>
              <w:t>1</w:t>
            </w:r>
          </w:p>
        </w:tc>
        <w:tc>
          <w:tcPr>
            <w:tcW w:w="1003" w:type="dxa"/>
            <w:tcBorders>
              <w:top w:val="single" w:sz="4" w:space="0" w:color="000000"/>
              <w:left w:val="single" w:sz="4" w:space="0" w:color="000000"/>
              <w:bottom w:val="single" w:sz="4" w:space="0" w:color="000000"/>
              <w:right w:val="single" w:sz="4" w:space="0" w:color="000000"/>
            </w:tcBorders>
          </w:tcPr>
          <w:p>
            <w:pPr>
              <w:pStyle w:val="TableParagraph"/>
              <w:spacing w:before="33"/>
              <w:ind w:left="170" w:right="147"/>
              <w:rPr>
                <w:sz w:val="21"/>
              </w:rPr>
            </w:pPr>
            <w:r>
              <w:rPr>
                <w:sz w:val="21"/>
              </w:rPr>
              <w:t>水泥</w:t>
            </w:r>
          </w:p>
        </w:tc>
        <w:tc>
          <w:tcPr>
            <w:tcW w:w="1770" w:type="dxa"/>
            <w:tcBorders>
              <w:top w:val="single" w:sz="4" w:space="0" w:color="000000"/>
              <w:left w:val="single" w:sz="4" w:space="0" w:color="000000"/>
              <w:bottom w:val="single" w:sz="4" w:space="0" w:color="000000"/>
              <w:right w:val="single" w:sz="4" w:space="0" w:color="000000"/>
            </w:tcBorders>
          </w:tcPr>
          <w:p>
            <w:pPr>
              <w:pStyle w:val="TableParagraph"/>
              <w:spacing w:before="33"/>
              <w:ind w:right="547"/>
              <w:jc w:val="right"/>
              <w:rPr>
                <w:sz w:val="21"/>
              </w:rPr>
            </w:pPr>
            <w:r>
              <w:rPr>
                <w:w w:val="95"/>
                <w:sz w:val="21"/>
              </w:rPr>
              <w:t>145000</w:t>
            </w:r>
          </w:p>
        </w:tc>
        <w:tc>
          <w:tcPr>
            <w:tcW w:w="2195" w:type="dxa"/>
            <w:tcBorders>
              <w:top w:val="single" w:sz="4" w:space="0" w:color="000000"/>
              <w:left w:val="single" w:sz="4" w:space="0" w:color="000000"/>
              <w:bottom w:val="single" w:sz="4" w:space="0" w:color="000000"/>
              <w:right w:val="single" w:sz="4" w:space="0" w:color="000000"/>
            </w:tcBorders>
          </w:tcPr>
          <w:p>
            <w:pPr>
              <w:pStyle w:val="TableParagraph"/>
              <w:spacing w:before="33"/>
              <w:ind w:left="240" w:right="215"/>
              <w:rPr>
                <w:sz w:val="21"/>
              </w:rPr>
            </w:pPr>
            <w:r>
              <w:rPr>
                <w:sz w:val="21"/>
              </w:rPr>
              <w:t>116000</w:t>
            </w:r>
          </w:p>
        </w:tc>
        <w:tc>
          <w:tcPr>
            <w:tcW w:w="1889" w:type="dxa"/>
            <w:tcBorders>
              <w:top w:val="single" w:sz="4" w:space="0" w:color="000000"/>
              <w:left w:val="single" w:sz="4" w:space="0" w:color="000000"/>
              <w:bottom w:val="single" w:sz="4" w:space="0" w:color="000000"/>
              <w:right w:val="single" w:sz="4" w:space="0" w:color="000000"/>
            </w:tcBorders>
          </w:tcPr>
          <w:p>
            <w:pPr>
              <w:pStyle w:val="TableParagraph"/>
              <w:spacing w:before="33"/>
              <w:ind w:left="670" w:right="644"/>
              <w:rPr>
                <w:sz w:val="21"/>
              </w:rPr>
            </w:pPr>
            <w:r>
              <w:rPr>
                <w:sz w:val="21"/>
              </w:rPr>
              <w:t>362.5</w:t>
            </w:r>
          </w:p>
        </w:tc>
        <w:tc>
          <w:tcPr>
            <w:tcW w:w="1892" w:type="dxa"/>
            <w:tcBorders>
              <w:top w:val="single" w:sz="4" w:space="0" w:color="000000"/>
              <w:left w:val="single" w:sz="4" w:space="0" w:color="000000"/>
              <w:bottom w:val="single" w:sz="4" w:space="0" w:color="000000"/>
              <w:right w:val="nil"/>
            </w:tcBorders>
          </w:tcPr>
          <w:p>
            <w:pPr>
              <w:pStyle w:val="TableParagraph"/>
              <w:spacing w:before="33"/>
              <w:ind w:left="640"/>
              <w:jc w:val="left"/>
              <w:rPr>
                <w:sz w:val="21"/>
              </w:rPr>
            </w:pPr>
            <w:r>
              <w:rPr>
                <w:sz w:val="21"/>
              </w:rPr>
              <w:t>108750</w:t>
            </w:r>
          </w:p>
        </w:tc>
      </w:tr>
      <w:tr>
        <w:tblPrEx>
          <w:tblW w:w="0" w:type="auto"/>
          <w:jc w:val="left"/>
          <w:tblInd w:w="124" w:type="dxa"/>
          <w:tblLayout w:type="fixed"/>
          <w:tblCellMar>
            <w:top w:w="0" w:type="dxa"/>
            <w:left w:w="0" w:type="dxa"/>
            <w:bottom w:w="0" w:type="dxa"/>
            <w:right w:w="0" w:type="dxa"/>
          </w:tblCellMar>
          <w:tblLook w:val="01E0"/>
        </w:tblPrEx>
        <w:trPr>
          <w:trHeight w:val="340"/>
          <w:jc w:val="left"/>
        </w:trPr>
        <w:tc>
          <w:tcPr>
            <w:tcW w:w="535" w:type="dxa"/>
            <w:tcBorders>
              <w:top w:val="single" w:sz="4" w:space="0" w:color="000000"/>
              <w:left w:val="nil"/>
              <w:bottom w:val="single" w:sz="4" w:space="0" w:color="000000"/>
              <w:right w:val="single" w:sz="4" w:space="0" w:color="000000"/>
            </w:tcBorders>
          </w:tcPr>
          <w:p>
            <w:pPr>
              <w:pStyle w:val="TableParagraph"/>
              <w:spacing w:before="34"/>
              <w:ind w:left="34"/>
              <w:rPr>
                <w:sz w:val="21"/>
              </w:rPr>
            </w:pPr>
            <w:r>
              <w:rPr>
                <w:w w:val="99"/>
                <w:sz w:val="21"/>
              </w:rPr>
              <w:t>2</w:t>
            </w:r>
          </w:p>
        </w:tc>
        <w:tc>
          <w:tcPr>
            <w:tcW w:w="1003" w:type="dxa"/>
            <w:tcBorders>
              <w:top w:val="single" w:sz="4" w:space="0" w:color="000000"/>
              <w:left w:val="single" w:sz="4" w:space="0" w:color="000000"/>
              <w:bottom w:val="single" w:sz="4" w:space="0" w:color="000000"/>
              <w:right w:val="single" w:sz="4" w:space="0" w:color="000000"/>
            </w:tcBorders>
          </w:tcPr>
          <w:p>
            <w:pPr>
              <w:pStyle w:val="TableParagraph"/>
              <w:spacing w:before="34"/>
              <w:ind w:left="172" w:right="144"/>
              <w:rPr>
                <w:sz w:val="21"/>
              </w:rPr>
            </w:pPr>
            <w:r>
              <w:rPr>
                <w:sz w:val="21"/>
              </w:rPr>
              <w:t>粉煤灰</w:t>
            </w:r>
          </w:p>
        </w:tc>
        <w:tc>
          <w:tcPr>
            <w:tcW w:w="1770" w:type="dxa"/>
            <w:tcBorders>
              <w:top w:val="single" w:sz="4" w:space="0" w:color="000000"/>
              <w:left w:val="single" w:sz="4" w:space="0" w:color="000000"/>
              <w:bottom w:val="single" w:sz="4" w:space="0" w:color="000000"/>
              <w:right w:val="single" w:sz="4" w:space="0" w:color="000000"/>
            </w:tcBorders>
          </w:tcPr>
          <w:p>
            <w:pPr>
              <w:pStyle w:val="TableParagraph"/>
              <w:spacing w:before="34"/>
              <w:ind w:left="134" w:right="108"/>
              <w:rPr>
                <w:sz w:val="21"/>
              </w:rPr>
            </w:pPr>
            <w:r>
              <w:rPr>
                <w:sz w:val="21"/>
              </w:rPr>
              <w:t>50000</w:t>
            </w:r>
          </w:p>
        </w:tc>
        <w:tc>
          <w:tcPr>
            <w:tcW w:w="2195" w:type="dxa"/>
            <w:tcBorders>
              <w:top w:val="single" w:sz="4" w:space="0" w:color="000000"/>
              <w:left w:val="single" w:sz="4" w:space="0" w:color="000000"/>
              <w:bottom w:val="single" w:sz="4" w:space="0" w:color="000000"/>
              <w:right w:val="single" w:sz="4" w:space="0" w:color="000000"/>
            </w:tcBorders>
          </w:tcPr>
          <w:p>
            <w:pPr>
              <w:pStyle w:val="TableParagraph"/>
              <w:spacing w:before="34"/>
              <w:ind w:left="240" w:right="215"/>
              <w:rPr>
                <w:sz w:val="21"/>
              </w:rPr>
            </w:pPr>
            <w:r>
              <w:rPr>
                <w:sz w:val="21"/>
              </w:rPr>
              <w:t>40000</w:t>
            </w:r>
          </w:p>
        </w:tc>
        <w:tc>
          <w:tcPr>
            <w:tcW w:w="1889" w:type="dxa"/>
            <w:tcBorders>
              <w:top w:val="single" w:sz="4" w:space="0" w:color="000000"/>
              <w:left w:val="single" w:sz="4" w:space="0" w:color="000000"/>
              <w:bottom w:val="single" w:sz="4" w:space="0" w:color="000000"/>
              <w:right w:val="single" w:sz="4" w:space="0" w:color="000000"/>
            </w:tcBorders>
          </w:tcPr>
          <w:p>
            <w:pPr>
              <w:pStyle w:val="TableParagraph"/>
              <w:spacing w:before="34"/>
              <w:ind w:left="670" w:right="641"/>
              <w:rPr>
                <w:sz w:val="21"/>
              </w:rPr>
            </w:pPr>
            <w:r>
              <w:rPr>
                <w:sz w:val="21"/>
              </w:rPr>
              <w:t>125</w:t>
            </w:r>
          </w:p>
        </w:tc>
        <w:tc>
          <w:tcPr>
            <w:tcW w:w="1892" w:type="dxa"/>
            <w:tcBorders>
              <w:top w:val="single" w:sz="4" w:space="0" w:color="000000"/>
              <w:left w:val="single" w:sz="4" w:space="0" w:color="000000"/>
              <w:bottom w:val="single" w:sz="4" w:space="0" w:color="000000"/>
              <w:right w:val="nil"/>
            </w:tcBorders>
          </w:tcPr>
          <w:p>
            <w:pPr>
              <w:pStyle w:val="TableParagraph"/>
              <w:spacing w:before="34"/>
              <w:ind w:left="692"/>
              <w:jc w:val="left"/>
              <w:rPr>
                <w:sz w:val="21"/>
              </w:rPr>
            </w:pPr>
            <w:r>
              <w:rPr>
                <w:sz w:val="21"/>
              </w:rPr>
              <w:t>37500</w:t>
            </w:r>
          </w:p>
        </w:tc>
      </w:tr>
      <w:tr>
        <w:tblPrEx>
          <w:tblW w:w="0" w:type="auto"/>
          <w:jc w:val="left"/>
          <w:tblInd w:w="124" w:type="dxa"/>
          <w:tblLayout w:type="fixed"/>
          <w:tblCellMar>
            <w:top w:w="0" w:type="dxa"/>
            <w:left w:w="0" w:type="dxa"/>
            <w:bottom w:w="0" w:type="dxa"/>
            <w:right w:w="0" w:type="dxa"/>
          </w:tblCellMar>
          <w:tblLook w:val="01E0"/>
        </w:tblPrEx>
        <w:trPr>
          <w:trHeight w:val="340"/>
          <w:jc w:val="left"/>
        </w:trPr>
        <w:tc>
          <w:tcPr>
            <w:tcW w:w="535" w:type="dxa"/>
            <w:tcBorders>
              <w:top w:val="single" w:sz="4" w:space="0" w:color="000000"/>
              <w:left w:val="nil"/>
              <w:bottom w:val="single" w:sz="4" w:space="0" w:color="000000"/>
              <w:right w:val="single" w:sz="4" w:space="0" w:color="000000"/>
            </w:tcBorders>
          </w:tcPr>
          <w:p>
            <w:pPr>
              <w:pStyle w:val="TableParagraph"/>
              <w:spacing w:before="34"/>
              <w:ind w:left="34"/>
              <w:rPr>
                <w:sz w:val="21"/>
              </w:rPr>
            </w:pPr>
            <w:r>
              <w:rPr>
                <w:w w:val="99"/>
                <w:sz w:val="21"/>
              </w:rPr>
              <w:t>3</w:t>
            </w:r>
          </w:p>
        </w:tc>
        <w:tc>
          <w:tcPr>
            <w:tcW w:w="1003" w:type="dxa"/>
            <w:tcBorders>
              <w:top w:val="single" w:sz="4" w:space="0" w:color="000000"/>
              <w:left w:val="single" w:sz="4" w:space="0" w:color="000000"/>
              <w:bottom w:val="single" w:sz="4" w:space="0" w:color="000000"/>
              <w:right w:val="single" w:sz="4" w:space="0" w:color="000000"/>
            </w:tcBorders>
          </w:tcPr>
          <w:p>
            <w:pPr>
              <w:pStyle w:val="TableParagraph"/>
              <w:spacing w:before="34"/>
              <w:ind w:left="172" w:right="144"/>
              <w:rPr>
                <w:sz w:val="21"/>
              </w:rPr>
            </w:pPr>
            <w:r>
              <w:rPr>
                <w:sz w:val="21"/>
              </w:rPr>
              <w:t>外加剂</w:t>
            </w:r>
          </w:p>
        </w:tc>
        <w:tc>
          <w:tcPr>
            <w:tcW w:w="1770" w:type="dxa"/>
            <w:tcBorders>
              <w:top w:val="single" w:sz="4" w:space="0" w:color="000000"/>
              <w:left w:val="single" w:sz="4" w:space="0" w:color="000000"/>
              <w:bottom w:val="single" w:sz="4" w:space="0" w:color="000000"/>
              <w:right w:val="single" w:sz="4" w:space="0" w:color="000000"/>
            </w:tcBorders>
          </w:tcPr>
          <w:p>
            <w:pPr>
              <w:pStyle w:val="TableParagraph"/>
              <w:spacing w:before="34"/>
              <w:ind w:left="134" w:right="106"/>
              <w:rPr>
                <w:sz w:val="21"/>
              </w:rPr>
            </w:pPr>
            <w:r>
              <w:rPr>
                <w:sz w:val="21"/>
              </w:rPr>
              <w:t>5000</w:t>
            </w:r>
          </w:p>
        </w:tc>
        <w:tc>
          <w:tcPr>
            <w:tcW w:w="2195" w:type="dxa"/>
            <w:tcBorders>
              <w:top w:val="single" w:sz="4" w:space="0" w:color="000000"/>
              <w:left w:val="single" w:sz="4" w:space="0" w:color="000000"/>
              <w:bottom w:val="single" w:sz="4" w:space="0" w:color="000000"/>
              <w:right w:val="single" w:sz="4" w:space="0" w:color="000000"/>
            </w:tcBorders>
          </w:tcPr>
          <w:p>
            <w:pPr>
              <w:pStyle w:val="TableParagraph"/>
              <w:spacing w:before="34"/>
              <w:ind w:left="242" w:right="214"/>
              <w:rPr>
                <w:sz w:val="21"/>
              </w:rPr>
            </w:pPr>
            <w:r>
              <w:rPr>
                <w:sz w:val="21"/>
              </w:rPr>
              <w:t>4000</w:t>
            </w:r>
          </w:p>
        </w:tc>
        <w:tc>
          <w:tcPr>
            <w:tcW w:w="1889" w:type="dxa"/>
            <w:tcBorders>
              <w:top w:val="single" w:sz="4" w:space="0" w:color="000000"/>
              <w:left w:val="single" w:sz="4" w:space="0" w:color="000000"/>
              <w:bottom w:val="single" w:sz="4" w:space="0" w:color="000000"/>
              <w:right w:val="single" w:sz="4" w:space="0" w:color="000000"/>
            </w:tcBorders>
          </w:tcPr>
          <w:p>
            <w:pPr>
              <w:pStyle w:val="TableParagraph"/>
              <w:spacing w:before="34"/>
              <w:ind w:left="670" w:right="641"/>
              <w:rPr>
                <w:sz w:val="21"/>
              </w:rPr>
            </w:pPr>
            <w:r>
              <w:rPr>
                <w:sz w:val="21"/>
              </w:rPr>
              <w:t>12.5</w:t>
            </w:r>
          </w:p>
        </w:tc>
        <w:tc>
          <w:tcPr>
            <w:tcW w:w="1892" w:type="dxa"/>
            <w:tcBorders>
              <w:top w:val="single" w:sz="4" w:space="0" w:color="000000"/>
              <w:left w:val="single" w:sz="4" w:space="0" w:color="000000"/>
              <w:bottom w:val="single" w:sz="4" w:space="0" w:color="000000"/>
              <w:right w:val="nil"/>
            </w:tcBorders>
          </w:tcPr>
          <w:p>
            <w:pPr>
              <w:pStyle w:val="TableParagraph"/>
              <w:spacing w:before="34"/>
              <w:ind w:left="745"/>
              <w:jc w:val="left"/>
              <w:rPr>
                <w:sz w:val="21"/>
              </w:rPr>
            </w:pPr>
            <w:r>
              <w:rPr>
                <w:sz w:val="21"/>
              </w:rPr>
              <w:t>3750</w:t>
            </w:r>
          </w:p>
        </w:tc>
      </w:tr>
      <w:tr>
        <w:tblPrEx>
          <w:tblW w:w="0" w:type="auto"/>
          <w:jc w:val="left"/>
          <w:tblInd w:w="124" w:type="dxa"/>
          <w:tblLayout w:type="fixed"/>
          <w:tblCellMar>
            <w:top w:w="0" w:type="dxa"/>
            <w:left w:w="0" w:type="dxa"/>
            <w:bottom w:w="0" w:type="dxa"/>
            <w:right w:w="0" w:type="dxa"/>
          </w:tblCellMar>
          <w:tblLook w:val="01E0"/>
        </w:tblPrEx>
        <w:trPr>
          <w:trHeight w:val="340"/>
          <w:jc w:val="left"/>
        </w:trPr>
        <w:tc>
          <w:tcPr>
            <w:tcW w:w="535" w:type="dxa"/>
            <w:tcBorders>
              <w:top w:val="single" w:sz="4" w:space="0" w:color="000000"/>
              <w:left w:val="nil"/>
              <w:bottom w:val="single" w:sz="4" w:space="0" w:color="000000"/>
              <w:right w:val="single" w:sz="4" w:space="0" w:color="000000"/>
            </w:tcBorders>
          </w:tcPr>
          <w:p>
            <w:pPr>
              <w:pStyle w:val="TableParagraph"/>
              <w:spacing w:before="34"/>
              <w:ind w:left="34"/>
              <w:rPr>
                <w:sz w:val="21"/>
              </w:rPr>
            </w:pPr>
            <w:r>
              <w:rPr>
                <w:w w:val="99"/>
                <w:sz w:val="21"/>
              </w:rPr>
              <w:t>4</w:t>
            </w:r>
          </w:p>
        </w:tc>
        <w:tc>
          <w:tcPr>
            <w:tcW w:w="1003" w:type="dxa"/>
            <w:tcBorders>
              <w:top w:val="single" w:sz="4" w:space="0" w:color="000000"/>
              <w:left w:val="single" w:sz="4" w:space="0" w:color="000000"/>
              <w:bottom w:val="single" w:sz="4" w:space="0" w:color="000000"/>
              <w:right w:val="single" w:sz="4" w:space="0" w:color="000000"/>
            </w:tcBorders>
          </w:tcPr>
          <w:p>
            <w:pPr>
              <w:pStyle w:val="TableParagraph"/>
              <w:spacing w:before="34"/>
              <w:ind w:left="170" w:right="147"/>
              <w:rPr>
                <w:sz w:val="21"/>
              </w:rPr>
            </w:pPr>
            <w:r>
              <w:rPr>
                <w:sz w:val="21"/>
              </w:rPr>
              <w:t>黄沙</w:t>
            </w:r>
          </w:p>
        </w:tc>
        <w:tc>
          <w:tcPr>
            <w:tcW w:w="1770" w:type="dxa"/>
            <w:tcBorders>
              <w:top w:val="single" w:sz="4" w:space="0" w:color="000000"/>
              <w:left w:val="single" w:sz="4" w:space="0" w:color="000000"/>
              <w:bottom w:val="single" w:sz="4" w:space="0" w:color="000000"/>
              <w:right w:val="single" w:sz="4" w:space="0" w:color="000000"/>
            </w:tcBorders>
          </w:tcPr>
          <w:p>
            <w:pPr>
              <w:pStyle w:val="TableParagraph"/>
              <w:spacing w:before="34"/>
              <w:ind w:right="547"/>
              <w:jc w:val="right"/>
              <w:rPr>
                <w:sz w:val="21"/>
              </w:rPr>
            </w:pPr>
            <w:r>
              <w:rPr>
                <w:w w:val="95"/>
                <w:sz w:val="21"/>
              </w:rPr>
              <w:t>400000</w:t>
            </w:r>
          </w:p>
        </w:tc>
        <w:tc>
          <w:tcPr>
            <w:tcW w:w="2195" w:type="dxa"/>
            <w:tcBorders>
              <w:top w:val="single" w:sz="4" w:space="0" w:color="000000"/>
              <w:left w:val="single" w:sz="4" w:space="0" w:color="000000"/>
              <w:bottom w:val="single" w:sz="4" w:space="0" w:color="000000"/>
              <w:right w:val="single" w:sz="4" w:space="0" w:color="000000"/>
            </w:tcBorders>
          </w:tcPr>
          <w:p>
            <w:pPr>
              <w:pStyle w:val="TableParagraph"/>
              <w:spacing w:before="34"/>
              <w:ind w:left="240" w:right="215"/>
              <w:rPr>
                <w:sz w:val="21"/>
              </w:rPr>
            </w:pPr>
            <w:r>
              <w:rPr>
                <w:sz w:val="21"/>
              </w:rPr>
              <w:t>320000</w:t>
            </w:r>
          </w:p>
        </w:tc>
        <w:tc>
          <w:tcPr>
            <w:tcW w:w="1889" w:type="dxa"/>
            <w:tcBorders>
              <w:top w:val="single" w:sz="4" w:space="0" w:color="000000"/>
              <w:left w:val="single" w:sz="4" w:space="0" w:color="000000"/>
              <w:bottom w:val="single" w:sz="4" w:space="0" w:color="000000"/>
              <w:right w:val="single" w:sz="4" w:space="0" w:color="000000"/>
            </w:tcBorders>
          </w:tcPr>
          <w:p>
            <w:pPr>
              <w:pStyle w:val="TableParagraph"/>
              <w:spacing w:before="34"/>
              <w:ind w:left="670" w:right="641"/>
              <w:rPr>
                <w:sz w:val="21"/>
              </w:rPr>
            </w:pPr>
            <w:r>
              <w:rPr>
                <w:sz w:val="21"/>
              </w:rPr>
              <w:t>1000</w:t>
            </w:r>
          </w:p>
        </w:tc>
        <w:tc>
          <w:tcPr>
            <w:tcW w:w="1892" w:type="dxa"/>
            <w:tcBorders>
              <w:top w:val="single" w:sz="4" w:space="0" w:color="000000"/>
              <w:left w:val="single" w:sz="4" w:space="0" w:color="000000"/>
              <w:bottom w:val="single" w:sz="4" w:space="0" w:color="000000"/>
              <w:right w:val="nil"/>
            </w:tcBorders>
          </w:tcPr>
          <w:p>
            <w:pPr>
              <w:pStyle w:val="TableParagraph"/>
              <w:spacing w:before="34"/>
              <w:ind w:left="640"/>
              <w:jc w:val="left"/>
              <w:rPr>
                <w:sz w:val="21"/>
              </w:rPr>
            </w:pPr>
            <w:r>
              <w:rPr>
                <w:sz w:val="21"/>
              </w:rPr>
              <w:t>300000</w:t>
            </w:r>
          </w:p>
        </w:tc>
      </w:tr>
      <w:tr>
        <w:tblPrEx>
          <w:tblW w:w="0" w:type="auto"/>
          <w:jc w:val="left"/>
          <w:tblInd w:w="124" w:type="dxa"/>
          <w:tblLayout w:type="fixed"/>
          <w:tblCellMar>
            <w:top w:w="0" w:type="dxa"/>
            <w:left w:w="0" w:type="dxa"/>
            <w:bottom w:w="0" w:type="dxa"/>
            <w:right w:w="0" w:type="dxa"/>
          </w:tblCellMar>
          <w:tblLook w:val="01E0"/>
        </w:tblPrEx>
        <w:trPr>
          <w:trHeight w:val="340"/>
          <w:jc w:val="left"/>
        </w:trPr>
        <w:tc>
          <w:tcPr>
            <w:tcW w:w="535" w:type="dxa"/>
            <w:tcBorders>
              <w:top w:val="single" w:sz="4" w:space="0" w:color="000000"/>
              <w:left w:val="nil"/>
              <w:bottom w:val="single" w:sz="4" w:space="0" w:color="000000"/>
              <w:right w:val="single" w:sz="4" w:space="0" w:color="000000"/>
            </w:tcBorders>
          </w:tcPr>
          <w:p>
            <w:pPr>
              <w:pStyle w:val="TableParagraph"/>
              <w:spacing w:before="35"/>
              <w:ind w:left="34"/>
              <w:rPr>
                <w:sz w:val="21"/>
              </w:rPr>
            </w:pPr>
            <w:r>
              <w:rPr>
                <w:w w:val="99"/>
                <w:sz w:val="21"/>
              </w:rPr>
              <w:t>5</w:t>
            </w:r>
          </w:p>
        </w:tc>
        <w:tc>
          <w:tcPr>
            <w:tcW w:w="1003" w:type="dxa"/>
            <w:tcBorders>
              <w:top w:val="single" w:sz="4" w:space="0" w:color="000000"/>
              <w:left w:val="single" w:sz="4" w:space="0" w:color="000000"/>
              <w:bottom w:val="single" w:sz="4" w:space="0" w:color="000000"/>
              <w:right w:val="single" w:sz="4" w:space="0" w:color="000000"/>
            </w:tcBorders>
          </w:tcPr>
          <w:p>
            <w:pPr>
              <w:pStyle w:val="TableParagraph"/>
              <w:spacing w:before="35"/>
              <w:ind w:left="170" w:right="147"/>
              <w:rPr>
                <w:sz w:val="21"/>
              </w:rPr>
            </w:pPr>
            <w:r>
              <w:rPr>
                <w:sz w:val="21"/>
              </w:rPr>
              <w:t>碎石</w:t>
            </w:r>
          </w:p>
        </w:tc>
        <w:tc>
          <w:tcPr>
            <w:tcW w:w="1770" w:type="dxa"/>
            <w:tcBorders>
              <w:top w:val="single" w:sz="4" w:space="0" w:color="000000"/>
              <w:left w:val="single" w:sz="4" w:space="0" w:color="000000"/>
              <w:bottom w:val="single" w:sz="4" w:space="0" w:color="000000"/>
              <w:right w:val="single" w:sz="4" w:space="0" w:color="000000"/>
            </w:tcBorders>
          </w:tcPr>
          <w:p>
            <w:pPr>
              <w:pStyle w:val="TableParagraph"/>
              <w:spacing w:before="35"/>
              <w:ind w:right="547"/>
              <w:jc w:val="right"/>
              <w:rPr>
                <w:sz w:val="21"/>
              </w:rPr>
            </w:pPr>
            <w:r>
              <w:rPr>
                <w:w w:val="95"/>
                <w:sz w:val="21"/>
              </w:rPr>
              <w:t>600000</w:t>
            </w:r>
          </w:p>
        </w:tc>
        <w:tc>
          <w:tcPr>
            <w:tcW w:w="2195" w:type="dxa"/>
            <w:tcBorders>
              <w:top w:val="single" w:sz="4" w:space="0" w:color="000000"/>
              <w:left w:val="single" w:sz="4" w:space="0" w:color="000000"/>
              <w:bottom w:val="single" w:sz="4" w:space="0" w:color="000000"/>
              <w:right w:val="single" w:sz="4" w:space="0" w:color="000000"/>
            </w:tcBorders>
          </w:tcPr>
          <w:p>
            <w:pPr>
              <w:pStyle w:val="TableParagraph"/>
              <w:spacing w:before="35"/>
              <w:ind w:left="240" w:right="215"/>
              <w:rPr>
                <w:sz w:val="21"/>
              </w:rPr>
            </w:pPr>
            <w:r>
              <w:rPr>
                <w:sz w:val="21"/>
              </w:rPr>
              <w:t>480000</w:t>
            </w:r>
          </w:p>
        </w:tc>
        <w:tc>
          <w:tcPr>
            <w:tcW w:w="1889" w:type="dxa"/>
            <w:tcBorders>
              <w:top w:val="single" w:sz="4" w:space="0" w:color="000000"/>
              <w:left w:val="single" w:sz="4" w:space="0" w:color="000000"/>
              <w:bottom w:val="single" w:sz="4" w:space="0" w:color="000000"/>
              <w:right w:val="single" w:sz="4" w:space="0" w:color="000000"/>
            </w:tcBorders>
          </w:tcPr>
          <w:p>
            <w:pPr>
              <w:pStyle w:val="TableParagraph"/>
              <w:spacing w:before="35"/>
              <w:ind w:left="670" w:right="641"/>
              <w:rPr>
                <w:sz w:val="21"/>
              </w:rPr>
            </w:pPr>
            <w:r>
              <w:rPr>
                <w:sz w:val="21"/>
              </w:rPr>
              <w:t>1500</w:t>
            </w:r>
          </w:p>
        </w:tc>
        <w:tc>
          <w:tcPr>
            <w:tcW w:w="1892" w:type="dxa"/>
            <w:tcBorders>
              <w:top w:val="single" w:sz="4" w:space="0" w:color="000000"/>
              <w:left w:val="single" w:sz="4" w:space="0" w:color="000000"/>
              <w:bottom w:val="single" w:sz="4" w:space="0" w:color="000000"/>
              <w:right w:val="nil"/>
            </w:tcBorders>
          </w:tcPr>
          <w:p>
            <w:pPr>
              <w:pStyle w:val="TableParagraph"/>
              <w:spacing w:before="35"/>
              <w:ind w:left="640"/>
              <w:jc w:val="left"/>
              <w:rPr>
                <w:sz w:val="21"/>
              </w:rPr>
            </w:pPr>
            <w:r>
              <w:rPr>
                <w:sz w:val="21"/>
              </w:rPr>
              <w:t>450000</w:t>
            </w:r>
          </w:p>
        </w:tc>
      </w:tr>
      <w:tr>
        <w:tblPrEx>
          <w:tblW w:w="0" w:type="auto"/>
          <w:jc w:val="left"/>
          <w:tblInd w:w="124" w:type="dxa"/>
          <w:tblLayout w:type="fixed"/>
          <w:tblCellMar>
            <w:top w:w="0" w:type="dxa"/>
            <w:left w:w="0" w:type="dxa"/>
            <w:bottom w:w="0" w:type="dxa"/>
            <w:right w:w="0" w:type="dxa"/>
          </w:tblCellMar>
          <w:tblLook w:val="01E0"/>
        </w:tblPrEx>
        <w:trPr>
          <w:trHeight w:val="339"/>
          <w:jc w:val="left"/>
        </w:trPr>
        <w:tc>
          <w:tcPr>
            <w:tcW w:w="1538" w:type="dxa"/>
            <w:gridSpan w:val="2"/>
            <w:tcBorders>
              <w:top w:val="single" w:sz="4" w:space="0" w:color="000000"/>
              <w:left w:val="nil"/>
              <w:right w:val="single" w:sz="4" w:space="0" w:color="000000"/>
            </w:tcBorders>
          </w:tcPr>
          <w:p>
            <w:pPr>
              <w:pStyle w:val="TableParagraph"/>
              <w:spacing w:before="33"/>
              <w:ind w:left="551" w:right="521"/>
              <w:rPr>
                <w:sz w:val="21"/>
              </w:rPr>
            </w:pPr>
            <w:r>
              <w:rPr>
                <w:sz w:val="21"/>
              </w:rPr>
              <w:t>合计</w:t>
            </w:r>
          </w:p>
        </w:tc>
        <w:tc>
          <w:tcPr>
            <w:tcW w:w="1770" w:type="dxa"/>
            <w:tcBorders>
              <w:top w:val="single" w:sz="4" w:space="0" w:color="000000"/>
              <w:left w:val="single" w:sz="4" w:space="0" w:color="000000"/>
              <w:right w:val="single" w:sz="4" w:space="0" w:color="000000"/>
            </w:tcBorders>
          </w:tcPr>
          <w:p>
            <w:pPr>
              <w:pStyle w:val="TableParagraph"/>
              <w:spacing w:before="33"/>
              <w:ind w:right="497"/>
              <w:jc w:val="right"/>
              <w:rPr>
                <w:sz w:val="21"/>
              </w:rPr>
            </w:pPr>
            <w:r>
              <w:rPr>
                <w:w w:val="95"/>
                <w:sz w:val="21"/>
              </w:rPr>
              <w:t>1200000</w:t>
            </w:r>
          </w:p>
        </w:tc>
        <w:tc>
          <w:tcPr>
            <w:tcW w:w="2195" w:type="dxa"/>
            <w:tcBorders>
              <w:top w:val="single" w:sz="4" w:space="0" w:color="000000"/>
              <w:left w:val="single" w:sz="4" w:space="0" w:color="000000"/>
              <w:right w:val="single" w:sz="4" w:space="0" w:color="000000"/>
            </w:tcBorders>
          </w:tcPr>
          <w:p>
            <w:pPr>
              <w:pStyle w:val="TableParagraph"/>
              <w:spacing w:before="33"/>
              <w:ind w:left="240" w:right="215"/>
              <w:rPr>
                <w:sz w:val="21"/>
              </w:rPr>
            </w:pPr>
            <w:r>
              <w:rPr>
                <w:sz w:val="21"/>
              </w:rPr>
              <w:t>960000</w:t>
            </w:r>
          </w:p>
        </w:tc>
        <w:tc>
          <w:tcPr>
            <w:tcW w:w="1889" w:type="dxa"/>
            <w:tcBorders>
              <w:top w:val="single" w:sz="4" w:space="0" w:color="000000"/>
              <w:left w:val="single" w:sz="4" w:space="0" w:color="000000"/>
              <w:right w:val="single" w:sz="4" w:space="0" w:color="000000"/>
            </w:tcBorders>
          </w:tcPr>
          <w:p>
            <w:pPr>
              <w:pStyle w:val="TableParagraph"/>
              <w:spacing w:before="33"/>
              <w:ind w:left="670" w:right="641"/>
              <w:rPr>
                <w:sz w:val="21"/>
              </w:rPr>
            </w:pPr>
            <w:r>
              <w:rPr>
                <w:sz w:val="21"/>
              </w:rPr>
              <w:t>3000</w:t>
            </w:r>
          </w:p>
        </w:tc>
        <w:tc>
          <w:tcPr>
            <w:tcW w:w="1892" w:type="dxa"/>
            <w:tcBorders>
              <w:top w:val="single" w:sz="4" w:space="0" w:color="000000"/>
              <w:left w:val="single" w:sz="4" w:space="0" w:color="000000"/>
              <w:right w:val="nil"/>
            </w:tcBorders>
          </w:tcPr>
          <w:p>
            <w:pPr>
              <w:pStyle w:val="TableParagraph"/>
              <w:spacing w:before="33"/>
              <w:ind w:left="640"/>
              <w:jc w:val="left"/>
              <w:rPr>
                <w:sz w:val="21"/>
              </w:rPr>
            </w:pPr>
            <w:r>
              <w:rPr>
                <w:sz w:val="21"/>
              </w:rPr>
              <w:t>900000</w:t>
            </w:r>
          </w:p>
        </w:tc>
      </w:tr>
    </w:tbl>
    <w:p>
      <w:pPr>
        <w:pStyle w:val="ListParagraph"/>
        <w:numPr>
          <w:ilvl w:val="2"/>
          <w:numId w:val="9"/>
        </w:numPr>
        <w:tabs>
          <w:tab w:val="left" w:pos="779"/>
        </w:tabs>
        <w:spacing w:before="140" w:after="0" w:line="240" w:lineRule="auto"/>
        <w:ind w:left="778" w:right="0" w:hanging="541"/>
        <w:jc w:val="both"/>
        <w:rPr>
          <w:b/>
          <w:sz w:val="24"/>
        </w:rPr>
      </w:pPr>
      <w:bookmarkStart w:id="10" w:name="1.3.3环保措施变动情况"/>
      <w:bookmarkEnd w:id="10"/>
      <w:r>
        <w:rPr>
          <w:b/>
          <w:sz w:val="24"/>
        </w:rPr>
        <w:t>环保措施变动情况</w:t>
      </w:r>
    </w:p>
    <w:p>
      <w:pPr>
        <w:pStyle w:val="ListParagraph"/>
        <w:numPr>
          <w:ilvl w:val="3"/>
          <w:numId w:val="9"/>
        </w:numPr>
        <w:tabs>
          <w:tab w:val="left" w:pos="959"/>
        </w:tabs>
        <w:spacing w:before="158" w:after="0" w:line="364" w:lineRule="auto"/>
        <w:ind w:left="718" w:right="5696" w:hanging="480"/>
        <w:jc w:val="both"/>
        <w:rPr>
          <w:b/>
          <w:sz w:val="24"/>
        </w:rPr>
      </w:pPr>
      <w:bookmarkStart w:id="11" w:name="1.3.3.1废气污染防治措施变动情况"/>
      <w:bookmarkEnd w:id="11"/>
      <w:r>
        <w:rPr>
          <w:b/>
          <w:spacing w:val="-2"/>
          <w:sz w:val="24"/>
        </w:rPr>
        <w:t>废气污染防治措施变动情况</w:t>
      </w:r>
      <w:r>
        <w:rPr>
          <w:b/>
          <w:sz w:val="24"/>
        </w:rPr>
        <w:t>一、废气污染防治措施</w:t>
      </w:r>
    </w:p>
    <w:p>
      <w:pPr>
        <w:pStyle w:val="BodyText"/>
        <w:spacing w:before="81" w:line="364" w:lineRule="auto"/>
        <w:ind w:left="238" w:right="237" w:firstLine="480"/>
        <w:jc w:val="both"/>
      </w:pPr>
      <w:r>
        <w:rPr>
          <w:spacing w:val="-3"/>
        </w:rPr>
        <w:t>原环评废气治理方面：搅拌楼</w:t>
      </w:r>
      <w:r>
        <w:t>（</w:t>
      </w:r>
      <w:r>
        <w:rPr>
          <w:rFonts w:ascii="Times New Roman" w:eastAsia="Times New Roman"/>
        </w:rPr>
        <w:t>A</w:t>
      </w:r>
      <w:r>
        <w:rPr>
          <w:spacing w:val="-12"/>
        </w:rPr>
        <w:t>、</w:t>
      </w:r>
      <w:r>
        <w:rPr>
          <w:rFonts w:ascii="Times New Roman" w:eastAsia="Times New Roman"/>
        </w:rPr>
        <w:t>B</w:t>
      </w:r>
      <w:r>
        <w:rPr>
          <w:spacing w:val="-15"/>
        </w:rPr>
        <w:t>、</w:t>
      </w:r>
      <w:r>
        <w:rPr>
          <w:rFonts w:ascii="Times New Roman" w:eastAsia="Times New Roman"/>
          <w:spacing w:val="-6"/>
        </w:rPr>
        <w:t>C</w:t>
      </w:r>
      <w:r>
        <w:rPr>
          <w:spacing w:val="-6"/>
        </w:rPr>
        <w:t>）</w:t>
      </w:r>
      <w:r>
        <w:rPr>
          <w:spacing w:val="-1"/>
        </w:rPr>
        <w:t>产生的颗粒物分别经脉冲反吹布袋除尘</w:t>
      </w:r>
      <w:r>
        <w:rPr>
          <w:spacing w:val="-3"/>
        </w:rPr>
        <w:t>器</w:t>
      </w:r>
      <w:r>
        <w:t>（</w:t>
      </w:r>
      <w:r>
        <w:rPr>
          <w:rFonts w:ascii="Times New Roman" w:eastAsia="Times New Roman"/>
        </w:rPr>
        <w:t>15#</w:t>
      </w:r>
      <w:r>
        <w:t>、</w:t>
      </w:r>
      <w:r>
        <w:rPr>
          <w:rFonts w:ascii="Times New Roman" w:eastAsia="Times New Roman"/>
        </w:rPr>
        <w:t>16#</w:t>
      </w:r>
      <w:r>
        <w:rPr>
          <w:spacing w:val="-3"/>
        </w:rPr>
        <w:t>、</w:t>
      </w:r>
      <w:r>
        <w:rPr>
          <w:rFonts w:ascii="Times New Roman" w:eastAsia="Times New Roman"/>
        </w:rPr>
        <w:t>17#</w:t>
      </w:r>
      <w:r>
        <w:t>）</w:t>
      </w:r>
      <w:r>
        <w:rPr>
          <w:spacing w:val="-9"/>
        </w:rPr>
        <w:t xml:space="preserve">处理，尾气通过 </w:t>
      </w:r>
      <w:r>
        <w:rPr>
          <w:rFonts w:ascii="Times New Roman" w:eastAsia="Times New Roman"/>
        </w:rPr>
        <w:t xml:space="preserve">30 </w:t>
      </w:r>
      <w:r>
        <w:t>米高排气筒（</w:t>
      </w:r>
      <w:r>
        <w:rPr>
          <w:rFonts w:ascii="Times New Roman" w:eastAsia="Times New Roman"/>
        </w:rPr>
        <w:t>DA001</w:t>
      </w:r>
      <w:r>
        <w:t>、</w:t>
      </w:r>
      <w:r>
        <w:rPr>
          <w:rFonts w:ascii="Times New Roman" w:eastAsia="Times New Roman"/>
        </w:rPr>
        <w:t>DA002</w:t>
      </w:r>
      <w:r>
        <w:t>、</w:t>
      </w:r>
      <w:r>
        <w:rPr>
          <w:rFonts w:ascii="Times New Roman" w:eastAsia="Times New Roman"/>
        </w:rPr>
        <w:t>DA003</w:t>
      </w:r>
      <w:r>
        <w:t>）</w:t>
      </w:r>
      <w:r>
        <w:rPr>
          <w:spacing w:val="-7"/>
        </w:rPr>
        <w:t>达标</w:t>
      </w:r>
      <w:r>
        <w:t>排放；水泥、粉煤灰及外加剂筒仓产生的颗粒物经配套的脉冲布袋除尘器（</w:t>
      </w:r>
      <w:r>
        <w:rPr>
          <w:rFonts w:ascii="Times New Roman" w:eastAsia="Times New Roman"/>
        </w:rPr>
        <w:t>1#</w:t>
      </w:r>
      <w:r>
        <w:t>～</w:t>
      </w:r>
      <w:r>
        <w:rPr>
          <w:rFonts w:ascii="Times New Roman" w:eastAsia="Times New Roman"/>
        </w:rPr>
        <w:t>14#</w:t>
      </w:r>
      <w:r>
        <w:t>） 处理后无组织排放；沙石骨料仓产生的粉尘经喷淋抑尘系统（</w:t>
      </w:r>
      <w:r>
        <w:rPr>
          <w:rFonts w:ascii="Times New Roman" w:eastAsia="Times New Roman"/>
        </w:rPr>
        <w:t>1#</w:t>
      </w:r>
      <w:r>
        <w:t>～</w:t>
      </w:r>
      <w:r>
        <w:rPr>
          <w:rFonts w:ascii="Times New Roman" w:eastAsia="Times New Roman"/>
        </w:rPr>
        <w:t>12#</w:t>
      </w:r>
      <w:r>
        <w:t>）处理后无组织排放。加强无组织废气的管理，</w:t>
      </w:r>
      <w:r>
        <w:rPr>
          <w:rFonts w:ascii="Times New Roman" w:eastAsia="Times New Roman"/>
        </w:rPr>
        <w:t xml:space="preserve">3 </w:t>
      </w:r>
      <w:r>
        <w:rPr>
          <w:spacing w:val="-1"/>
        </w:rPr>
        <w:t>座搅拌楼全封闭操作，水泥、粉煤灰及外加剂存于筒</w:t>
      </w:r>
      <w:r>
        <w:t>仓，沙石骨料储存于密闭式仓库，对场地进行及时清扫并喷洒抑尘。</w:t>
      </w:r>
    </w:p>
    <w:p>
      <w:pPr>
        <w:spacing w:after="0" w:line="364" w:lineRule="auto"/>
        <w:jc w:val="both"/>
        <w:sectPr>
          <w:footerReference w:type="default" r:id="rId6"/>
          <w:pgSz w:w="11910" w:h="16840"/>
          <w:pgMar w:top="1400" w:right="1180" w:bottom="1160" w:left="1180" w:header="0" w:footer="974"/>
          <w:pgNumType w:start="3"/>
          <w:cols w:space="708"/>
        </w:sectPr>
      </w:pPr>
    </w:p>
    <w:p>
      <w:pPr>
        <w:pStyle w:val="BodyText"/>
        <w:spacing w:before="60" w:line="364" w:lineRule="auto"/>
        <w:ind w:left="238" w:right="117" w:firstLine="480"/>
      </w:pPr>
      <w:r>
        <w:rPr>
          <w:spacing w:val="-4"/>
        </w:rPr>
        <w:t xml:space="preserve">项目分阶段建设，实际一阶段建成 </w:t>
      </w:r>
      <w:r>
        <w:rPr>
          <w:rFonts w:ascii="Times New Roman" w:eastAsia="Times New Roman"/>
        </w:rPr>
        <w:t xml:space="preserve">2 </w:t>
      </w:r>
      <w:r>
        <w:t>条生产线（</w:t>
      </w:r>
      <w:r>
        <w:rPr>
          <w:spacing w:val="-16"/>
        </w:rPr>
        <w:t xml:space="preserve">搅拌机 </w:t>
      </w:r>
      <w:r>
        <w:rPr>
          <w:rFonts w:ascii="Times New Roman" w:eastAsia="Times New Roman"/>
        </w:rPr>
        <w:t>A</w:t>
      </w:r>
      <w:r>
        <w:rPr>
          <w:spacing w:val="-12"/>
        </w:rPr>
        <w:t xml:space="preserve">、搅拌机 </w:t>
      </w:r>
      <w:r>
        <w:rPr>
          <w:rFonts w:ascii="Times New Roman" w:eastAsia="Times New Roman"/>
        </w:rPr>
        <w:t>B</w:t>
      </w:r>
      <w:r>
        <w:t>）</w:t>
      </w:r>
      <w:r>
        <w:rPr>
          <w:spacing w:val="-12"/>
        </w:rPr>
        <w:t xml:space="preserve">及配套的 </w:t>
      </w:r>
      <w:r>
        <w:rPr>
          <w:rFonts w:ascii="Times New Roman" w:eastAsia="Times New Roman"/>
        </w:rPr>
        <w:t xml:space="preserve">6 </w:t>
      </w:r>
      <w:r>
        <w:rPr>
          <w:spacing w:val="-1"/>
        </w:rPr>
        <w:t>个粉料筒仓、</w:t>
      </w:r>
      <w:r>
        <w:rPr>
          <w:rFonts w:ascii="Times New Roman" w:eastAsia="Times New Roman"/>
        </w:rPr>
        <w:t xml:space="preserve">8 </w:t>
      </w:r>
      <w:r>
        <w:t>个骨料仓和两条输送带，实际一阶段项目废气包括入库输送贮存粉尘、原料装卸粉尘、搅拌机粉尘和车辆运输过程扬尘。</w:t>
      </w:r>
      <w:r>
        <w:rPr>
          <w:rFonts w:ascii="Times New Roman" w:eastAsia="Times New Roman"/>
        </w:rPr>
        <w:t xml:space="preserve">8 </w:t>
      </w:r>
      <w:r>
        <w:t>个骨料仓所在车间配备喷淋抑尘装</w:t>
      </w:r>
      <w:r>
        <w:rPr>
          <w:spacing w:val="-8"/>
        </w:rPr>
        <w:t>置，骨料通过皮带输送进搅拌机；</w:t>
      </w:r>
      <w:r>
        <w:rPr>
          <w:rFonts w:ascii="Times New Roman" w:eastAsia="Times New Roman"/>
          <w:spacing w:val="-18"/>
        </w:rPr>
        <w:t xml:space="preserve">6 </w:t>
      </w:r>
      <w:r>
        <w:rPr>
          <w:spacing w:val="-7"/>
        </w:rPr>
        <w:t xml:space="preserve">个粉料筒仓均设置 </w:t>
      </w:r>
      <w:r>
        <w:rPr>
          <w:rFonts w:ascii="Times New Roman" w:eastAsia="Times New Roman"/>
        </w:rPr>
        <w:t xml:space="preserve">1 </w:t>
      </w:r>
      <w:r>
        <w:rPr>
          <w:spacing w:val="-5"/>
        </w:rPr>
        <w:t xml:space="preserve">套脉冲布袋除尘器，筒仓密闭； </w:t>
      </w:r>
      <w:r>
        <w:rPr>
          <w:rFonts w:ascii="Times New Roman" w:eastAsia="Times New Roman"/>
        </w:rPr>
        <w:t xml:space="preserve">2 </w:t>
      </w:r>
      <w:r>
        <w:t>台搅拌机，每台搅拌机配备一套脉冲布袋除尘器，搅拌粉尘经配套的脉冲布袋除尘器</w:t>
      </w:r>
      <w:r>
        <w:rPr>
          <w:spacing w:val="-9"/>
        </w:rPr>
        <w:t xml:space="preserve">处理后采用管道收集，通过 </w:t>
      </w:r>
      <w:r>
        <w:rPr>
          <w:rFonts w:ascii="Times New Roman" w:eastAsia="Times New Roman"/>
        </w:rPr>
        <w:t xml:space="preserve">30m </w:t>
      </w:r>
      <w:r>
        <w:rPr>
          <w:spacing w:val="-7"/>
        </w:rPr>
        <w:t>排气筒达标排放；厂区地面全部硬化，配置一辆清扫车定期清扫和洒水抑尘。项目采取的废气治理措施示意图如下。</w:t>
      </w:r>
    </w:p>
    <w:p>
      <w:pPr>
        <w:pStyle w:val="BodyText"/>
        <w:ind w:left="1977"/>
        <w:rPr>
          <w:sz w:val="20"/>
        </w:rPr>
      </w:pPr>
      <w:r>
        <w:rPr>
          <w:sz w:val="20"/>
        </w:rPr>
        <w:drawing>
          <wp:inline distT="0" distB="0" distL="0" distR="0">
            <wp:extent cx="3295969" cy="150876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7" cstate="print"/>
                    <a:stretch>
                      <a:fillRect/>
                    </a:stretch>
                  </pic:blipFill>
                  <pic:spPr>
                    <a:xfrm>
                      <a:off x="0" y="0"/>
                      <a:ext cx="3295969" cy="1508760"/>
                    </a:xfrm>
                    <a:prstGeom prst="rect">
                      <a:avLst/>
                    </a:prstGeom>
                  </pic:spPr>
                </pic:pic>
              </a:graphicData>
            </a:graphic>
          </wp:inline>
        </w:drawing>
      </w:r>
    </w:p>
    <w:p>
      <w:pPr>
        <w:tabs>
          <w:tab w:val="left" w:pos="1041"/>
        </w:tabs>
        <w:spacing w:before="0"/>
        <w:ind w:left="0" w:right="0" w:firstLine="0"/>
        <w:jc w:val="center"/>
        <w:rPr>
          <w:b/>
          <w:sz w:val="24"/>
        </w:rPr>
      </w:pPr>
      <w:r>
        <w:rPr>
          <w:b/>
          <w:sz w:val="24"/>
        </w:rPr>
        <w:t>图</w:t>
      </w:r>
      <w:r>
        <w:rPr>
          <w:b/>
          <w:spacing w:val="-62"/>
          <w:sz w:val="24"/>
        </w:rPr>
        <w:t xml:space="preserve"> </w:t>
      </w:r>
      <w:r>
        <w:rPr>
          <w:rFonts w:ascii="Times New Roman" w:eastAsia="Times New Roman"/>
          <w:b/>
          <w:sz w:val="24"/>
        </w:rPr>
        <w:t>1.3-1</w:t>
        <w:tab/>
      </w:r>
      <w:r>
        <w:rPr>
          <w:b/>
          <w:sz w:val="24"/>
        </w:rPr>
        <w:t>废气治理措施</w:t>
      </w:r>
    </w:p>
    <w:tbl>
      <w:tblPr>
        <w:tblStyle w:val="TableNormal3"/>
        <w:tblW w:w="0" w:type="auto"/>
        <w:jc w:val="left"/>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06"/>
        <w:gridCol w:w="4676"/>
      </w:tblGrid>
      <w:tr>
        <w:tblPrEx>
          <w:tblW w:w="0" w:type="auto"/>
          <w:jc w:val="left"/>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07"/>
          <w:jc w:val="left"/>
        </w:trPr>
        <w:tc>
          <w:tcPr>
            <w:tcW w:w="4606" w:type="dxa"/>
          </w:tcPr>
          <w:p>
            <w:pPr>
              <w:pStyle w:val="TableParagraph"/>
              <w:spacing w:before="3"/>
              <w:jc w:val="left"/>
              <w:rPr>
                <w:b/>
                <w:sz w:val="4"/>
              </w:rPr>
            </w:pPr>
          </w:p>
          <w:p>
            <w:pPr>
              <w:pStyle w:val="TableParagraph"/>
              <w:ind w:left="502"/>
              <w:jc w:val="left"/>
              <w:rPr>
                <w:sz w:val="20"/>
              </w:rPr>
            </w:pPr>
            <w:r>
              <w:rPr>
                <w:sz w:val="20"/>
              </w:rPr>
              <w:drawing>
                <wp:inline distT="0" distB="0" distL="0" distR="0">
                  <wp:extent cx="2296155" cy="1722501"/>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8" cstate="print"/>
                          <a:stretch>
                            <a:fillRect/>
                          </a:stretch>
                        </pic:blipFill>
                        <pic:spPr>
                          <a:xfrm>
                            <a:off x="0" y="0"/>
                            <a:ext cx="2296155" cy="1722501"/>
                          </a:xfrm>
                          <a:prstGeom prst="rect">
                            <a:avLst/>
                          </a:prstGeom>
                        </pic:spPr>
                      </pic:pic>
                    </a:graphicData>
                  </a:graphic>
                </wp:inline>
              </w:drawing>
            </w:r>
          </w:p>
        </w:tc>
        <w:tc>
          <w:tcPr>
            <w:tcW w:w="4676" w:type="dxa"/>
          </w:tcPr>
          <w:p>
            <w:pPr>
              <w:pStyle w:val="TableParagraph"/>
              <w:spacing w:before="3"/>
              <w:jc w:val="left"/>
              <w:rPr>
                <w:b/>
                <w:sz w:val="4"/>
              </w:rPr>
            </w:pPr>
          </w:p>
          <w:p>
            <w:pPr>
              <w:pStyle w:val="TableParagraph"/>
              <w:ind w:left="809"/>
              <w:jc w:val="left"/>
              <w:rPr>
                <w:sz w:val="20"/>
              </w:rPr>
            </w:pPr>
            <w:r>
              <w:rPr>
                <w:sz w:val="20"/>
              </w:rPr>
              <w:drawing>
                <wp:inline distT="0" distB="0" distL="0" distR="0">
                  <wp:extent cx="1945778" cy="171831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9" cstate="print"/>
                          <a:stretch>
                            <a:fillRect/>
                          </a:stretch>
                        </pic:blipFill>
                        <pic:spPr>
                          <a:xfrm>
                            <a:off x="0" y="0"/>
                            <a:ext cx="1945778" cy="1718310"/>
                          </a:xfrm>
                          <a:prstGeom prst="rect">
                            <a:avLst/>
                          </a:prstGeom>
                        </pic:spPr>
                      </pic:pic>
                    </a:graphicData>
                  </a:graphic>
                </wp:inline>
              </w:drawing>
            </w:r>
          </w:p>
        </w:tc>
      </w:tr>
      <w:tr>
        <w:tblPrEx>
          <w:tblW w:w="0" w:type="auto"/>
          <w:jc w:val="left"/>
          <w:tblInd w:w="137" w:type="dxa"/>
          <w:tblLayout w:type="fixed"/>
          <w:tblCellMar>
            <w:top w:w="0" w:type="dxa"/>
            <w:left w:w="0" w:type="dxa"/>
            <w:bottom w:w="0" w:type="dxa"/>
            <w:right w:w="0" w:type="dxa"/>
          </w:tblCellMar>
          <w:tblLook w:val="01E0"/>
        </w:tblPrEx>
        <w:trPr>
          <w:trHeight w:val="312"/>
          <w:jc w:val="left"/>
        </w:trPr>
        <w:tc>
          <w:tcPr>
            <w:tcW w:w="4606" w:type="dxa"/>
          </w:tcPr>
          <w:p>
            <w:pPr>
              <w:pStyle w:val="TableParagraph"/>
              <w:spacing w:before="2" w:line="290" w:lineRule="exact"/>
              <w:ind w:left="836" w:right="828"/>
              <w:rPr>
                <w:b/>
                <w:sz w:val="24"/>
              </w:rPr>
            </w:pPr>
            <w:r>
              <w:rPr>
                <w:b/>
                <w:sz w:val="24"/>
              </w:rPr>
              <w:t>搅拌机脉冲布袋除尘器</w:t>
            </w:r>
          </w:p>
        </w:tc>
        <w:tc>
          <w:tcPr>
            <w:tcW w:w="4676" w:type="dxa"/>
          </w:tcPr>
          <w:p>
            <w:pPr>
              <w:pStyle w:val="TableParagraph"/>
              <w:spacing w:before="2" w:line="290" w:lineRule="exact"/>
              <w:ind w:left="1292" w:right="1285"/>
              <w:rPr>
                <w:b/>
                <w:sz w:val="24"/>
              </w:rPr>
            </w:pPr>
            <w:r>
              <w:rPr>
                <w:b/>
                <w:sz w:val="24"/>
              </w:rPr>
              <w:t xml:space="preserve">搅拌楼 </w:t>
            </w:r>
            <w:r>
              <w:rPr>
                <w:rFonts w:ascii="Times New Roman" w:eastAsia="Times New Roman"/>
                <w:b/>
                <w:sz w:val="24"/>
              </w:rPr>
              <w:t xml:space="preserve">A </w:t>
            </w:r>
            <w:r>
              <w:rPr>
                <w:b/>
                <w:sz w:val="24"/>
              </w:rPr>
              <w:t>输送管道</w:t>
            </w:r>
          </w:p>
        </w:tc>
      </w:tr>
      <w:tr>
        <w:tblPrEx>
          <w:tblW w:w="0" w:type="auto"/>
          <w:jc w:val="left"/>
          <w:tblInd w:w="137" w:type="dxa"/>
          <w:tblLayout w:type="fixed"/>
          <w:tblCellMar>
            <w:top w:w="0" w:type="dxa"/>
            <w:left w:w="0" w:type="dxa"/>
            <w:bottom w:w="0" w:type="dxa"/>
            <w:right w:w="0" w:type="dxa"/>
          </w:tblCellMar>
          <w:tblLook w:val="01E0"/>
        </w:tblPrEx>
        <w:trPr>
          <w:trHeight w:val="2807"/>
          <w:jc w:val="left"/>
        </w:trPr>
        <w:tc>
          <w:tcPr>
            <w:tcW w:w="4606" w:type="dxa"/>
          </w:tcPr>
          <w:p>
            <w:pPr>
              <w:pStyle w:val="TableParagraph"/>
              <w:spacing w:before="11"/>
              <w:jc w:val="left"/>
              <w:rPr>
                <w:b/>
                <w:sz w:val="8"/>
              </w:rPr>
            </w:pPr>
          </w:p>
          <w:p>
            <w:pPr>
              <w:pStyle w:val="TableParagraph"/>
              <w:ind w:left="353"/>
              <w:jc w:val="left"/>
              <w:rPr>
                <w:sz w:val="20"/>
              </w:rPr>
            </w:pPr>
            <w:r>
              <w:rPr>
                <w:sz w:val="20"/>
              </w:rPr>
              <w:drawing>
                <wp:inline distT="0" distB="0" distL="0" distR="0">
                  <wp:extent cx="2490139" cy="1634489"/>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0" cstate="print"/>
                          <a:stretch>
                            <a:fillRect/>
                          </a:stretch>
                        </pic:blipFill>
                        <pic:spPr>
                          <a:xfrm>
                            <a:off x="0" y="0"/>
                            <a:ext cx="2490139" cy="1634489"/>
                          </a:xfrm>
                          <a:prstGeom prst="rect">
                            <a:avLst/>
                          </a:prstGeom>
                        </pic:spPr>
                      </pic:pic>
                    </a:graphicData>
                  </a:graphic>
                </wp:inline>
              </w:drawing>
            </w:r>
          </w:p>
        </w:tc>
        <w:tc>
          <w:tcPr>
            <w:tcW w:w="4676" w:type="dxa"/>
          </w:tcPr>
          <w:p>
            <w:pPr>
              <w:pStyle w:val="TableParagraph"/>
              <w:spacing w:before="7"/>
              <w:jc w:val="left"/>
              <w:rPr>
                <w:b/>
                <w:sz w:val="13"/>
              </w:rPr>
            </w:pPr>
          </w:p>
          <w:p>
            <w:pPr>
              <w:pStyle w:val="TableParagraph"/>
              <w:ind w:left="357"/>
              <w:jc w:val="left"/>
              <w:rPr>
                <w:sz w:val="20"/>
              </w:rPr>
            </w:pPr>
            <w:r>
              <w:rPr>
                <w:sz w:val="20"/>
              </w:rPr>
              <w:drawing>
                <wp:inline distT="0" distB="0" distL="0" distR="0">
                  <wp:extent cx="2527110" cy="1559052"/>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1" cstate="print"/>
                          <a:stretch>
                            <a:fillRect/>
                          </a:stretch>
                        </pic:blipFill>
                        <pic:spPr>
                          <a:xfrm>
                            <a:off x="0" y="0"/>
                            <a:ext cx="2527110" cy="1559052"/>
                          </a:xfrm>
                          <a:prstGeom prst="rect">
                            <a:avLst/>
                          </a:prstGeom>
                        </pic:spPr>
                      </pic:pic>
                    </a:graphicData>
                  </a:graphic>
                </wp:inline>
              </w:drawing>
            </w:r>
          </w:p>
        </w:tc>
      </w:tr>
      <w:tr>
        <w:tblPrEx>
          <w:tblW w:w="0" w:type="auto"/>
          <w:jc w:val="left"/>
          <w:tblInd w:w="137" w:type="dxa"/>
          <w:tblLayout w:type="fixed"/>
          <w:tblCellMar>
            <w:top w:w="0" w:type="dxa"/>
            <w:left w:w="0" w:type="dxa"/>
            <w:bottom w:w="0" w:type="dxa"/>
            <w:right w:w="0" w:type="dxa"/>
          </w:tblCellMar>
          <w:tblLook w:val="01E0"/>
        </w:tblPrEx>
        <w:trPr>
          <w:trHeight w:val="310"/>
          <w:jc w:val="left"/>
        </w:trPr>
        <w:tc>
          <w:tcPr>
            <w:tcW w:w="4606" w:type="dxa"/>
          </w:tcPr>
          <w:p>
            <w:pPr>
              <w:pStyle w:val="TableParagraph"/>
              <w:spacing w:before="4" w:line="286" w:lineRule="exact"/>
              <w:ind w:left="833" w:right="828"/>
              <w:rPr>
                <w:b/>
                <w:sz w:val="24"/>
              </w:rPr>
            </w:pPr>
            <w:r>
              <w:rPr>
                <w:b/>
                <w:sz w:val="24"/>
              </w:rPr>
              <w:t xml:space="preserve">搅拌楼 </w:t>
            </w:r>
            <w:r>
              <w:rPr>
                <w:rFonts w:ascii="Times New Roman" w:eastAsia="Times New Roman"/>
                <w:b/>
                <w:sz w:val="24"/>
              </w:rPr>
              <w:t xml:space="preserve">B </w:t>
            </w:r>
            <w:r>
              <w:rPr>
                <w:b/>
                <w:sz w:val="24"/>
              </w:rPr>
              <w:t>输送管道</w:t>
            </w:r>
          </w:p>
        </w:tc>
        <w:tc>
          <w:tcPr>
            <w:tcW w:w="4676" w:type="dxa"/>
          </w:tcPr>
          <w:p>
            <w:pPr>
              <w:pStyle w:val="TableParagraph"/>
              <w:spacing w:before="4" w:line="286" w:lineRule="exact"/>
              <w:ind w:left="1294" w:right="1285"/>
              <w:rPr>
                <w:b/>
                <w:sz w:val="24"/>
              </w:rPr>
            </w:pPr>
            <w:r>
              <w:rPr>
                <w:b/>
                <w:sz w:val="24"/>
              </w:rPr>
              <w:t>合并输送管道</w:t>
            </w:r>
          </w:p>
        </w:tc>
      </w:tr>
    </w:tbl>
    <w:p>
      <w:pPr>
        <w:spacing w:after="0" w:line="286" w:lineRule="exact"/>
        <w:rPr>
          <w:sz w:val="24"/>
        </w:rPr>
        <w:sectPr>
          <w:footerReference w:type="default" r:id="rId12"/>
          <w:pgSz w:w="11910" w:h="16840"/>
          <w:pgMar w:top="1420" w:right="1180" w:bottom="1160" w:left="1180" w:header="0" w:footer="974"/>
          <w:pgNumType w:start="4"/>
          <w:cols w:space="708"/>
        </w:sectPr>
      </w:pPr>
    </w:p>
    <w:tbl>
      <w:tblPr>
        <w:tblStyle w:val="TableNormal4"/>
        <w:tblW w:w="0" w:type="auto"/>
        <w:jc w:val="left"/>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06"/>
        <w:gridCol w:w="4676"/>
      </w:tblGrid>
      <w:tr>
        <w:tblPrEx>
          <w:tblW w:w="0" w:type="auto"/>
          <w:jc w:val="left"/>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07"/>
          <w:jc w:val="left"/>
        </w:trPr>
        <w:tc>
          <w:tcPr>
            <w:tcW w:w="4606" w:type="dxa"/>
          </w:tcPr>
          <w:p>
            <w:pPr>
              <w:pStyle w:val="TableParagraph"/>
              <w:spacing w:before="5"/>
              <w:jc w:val="left"/>
              <w:rPr>
                <w:b/>
                <w:sz w:val="5"/>
              </w:rPr>
            </w:pPr>
          </w:p>
          <w:p>
            <w:pPr>
              <w:pStyle w:val="TableParagraph"/>
              <w:ind w:left="442"/>
              <w:jc w:val="left"/>
              <w:rPr>
                <w:sz w:val="20"/>
              </w:rPr>
            </w:pPr>
            <w:r>
              <w:rPr>
                <w:sz w:val="20"/>
              </w:rPr>
              <w:drawing>
                <wp:inline distT="0" distB="0" distL="0" distR="0">
                  <wp:extent cx="2327432" cy="1669351"/>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13" cstate="print"/>
                          <a:stretch>
                            <a:fillRect/>
                          </a:stretch>
                        </pic:blipFill>
                        <pic:spPr>
                          <a:xfrm>
                            <a:off x="0" y="0"/>
                            <a:ext cx="2327432" cy="1669351"/>
                          </a:xfrm>
                          <a:prstGeom prst="rect">
                            <a:avLst/>
                          </a:prstGeom>
                        </pic:spPr>
                      </pic:pic>
                    </a:graphicData>
                  </a:graphic>
                </wp:inline>
              </w:drawing>
            </w:r>
          </w:p>
        </w:tc>
        <w:tc>
          <w:tcPr>
            <w:tcW w:w="4676" w:type="dxa"/>
          </w:tcPr>
          <w:p>
            <w:pPr>
              <w:pStyle w:val="TableParagraph"/>
              <w:spacing w:before="10"/>
              <w:jc w:val="left"/>
              <w:rPr>
                <w:b/>
                <w:sz w:val="14"/>
              </w:rPr>
            </w:pPr>
          </w:p>
          <w:p>
            <w:pPr>
              <w:pStyle w:val="TableParagraph"/>
              <w:ind w:left="389"/>
              <w:jc w:val="left"/>
              <w:rPr>
                <w:sz w:val="20"/>
              </w:rPr>
            </w:pPr>
            <w:r>
              <w:rPr>
                <w:sz w:val="20"/>
              </w:rPr>
              <w:drawing>
                <wp:inline distT="0" distB="0" distL="0" distR="0">
                  <wp:extent cx="2465050" cy="1537049"/>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4" cstate="print"/>
                          <a:stretch>
                            <a:fillRect/>
                          </a:stretch>
                        </pic:blipFill>
                        <pic:spPr>
                          <a:xfrm>
                            <a:off x="0" y="0"/>
                            <a:ext cx="2465050" cy="1537049"/>
                          </a:xfrm>
                          <a:prstGeom prst="rect">
                            <a:avLst/>
                          </a:prstGeom>
                        </pic:spPr>
                      </pic:pic>
                    </a:graphicData>
                  </a:graphic>
                </wp:inline>
              </w:drawing>
            </w:r>
          </w:p>
        </w:tc>
      </w:tr>
      <w:tr>
        <w:tblPrEx>
          <w:tblW w:w="0" w:type="auto"/>
          <w:jc w:val="left"/>
          <w:tblInd w:w="137" w:type="dxa"/>
          <w:tblLayout w:type="fixed"/>
          <w:tblCellMar>
            <w:top w:w="0" w:type="dxa"/>
            <w:left w:w="0" w:type="dxa"/>
            <w:bottom w:w="0" w:type="dxa"/>
            <w:right w:w="0" w:type="dxa"/>
          </w:tblCellMar>
          <w:tblLook w:val="01E0"/>
        </w:tblPrEx>
        <w:trPr>
          <w:trHeight w:val="312"/>
          <w:jc w:val="left"/>
        </w:trPr>
        <w:tc>
          <w:tcPr>
            <w:tcW w:w="4606" w:type="dxa"/>
          </w:tcPr>
          <w:p>
            <w:pPr>
              <w:pStyle w:val="TableParagraph"/>
              <w:spacing w:before="3" w:line="289" w:lineRule="exact"/>
              <w:ind w:left="836" w:right="828"/>
              <w:rPr>
                <w:b/>
                <w:sz w:val="24"/>
              </w:rPr>
            </w:pPr>
            <w:r>
              <w:rPr>
                <w:b/>
                <w:sz w:val="24"/>
              </w:rPr>
              <w:t>搅拌机粉尘废气排放口</w:t>
            </w:r>
          </w:p>
        </w:tc>
        <w:tc>
          <w:tcPr>
            <w:tcW w:w="4676" w:type="dxa"/>
          </w:tcPr>
          <w:p>
            <w:pPr>
              <w:pStyle w:val="TableParagraph"/>
              <w:spacing w:before="3" w:line="289" w:lineRule="exact"/>
              <w:ind w:left="1292" w:right="1285"/>
              <w:rPr>
                <w:b/>
                <w:sz w:val="24"/>
              </w:rPr>
            </w:pPr>
            <w:r>
              <w:rPr>
                <w:b/>
                <w:sz w:val="24"/>
              </w:rPr>
              <w:t>废气排放口标识牌</w:t>
            </w:r>
          </w:p>
        </w:tc>
      </w:tr>
      <w:tr>
        <w:tblPrEx>
          <w:tblW w:w="0" w:type="auto"/>
          <w:jc w:val="left"/>
          <w:tblInd w:w="137" w:type="dxa"/>
          <w:tblLayout w:type="fixed"/>
          <w:tblCellMar>
            <w:top w:w="0" w:type="dxa"/>
            <w:left w:w="0" w:type="dxa"/>
            <w:bottom w:w="0" w:type="dxa"/>
            <w:right w:w="0" w:type="dxa"/>
          </w:tblCellMar>
          <w:tblLook w:val="01E0"/>
        </w:tblPrEx>
        <w:trPr>
          <w:trHeight w:val="2808"/>
          <w:jc w:val="left"/>
        </w:trPr>
        <w:tc>
          <w:tcPr>
            <w:tcW w:w="4606" w:type="dxa"/>
          </w:tcPr>
          <w:p>
            <w:pPr>
              <w:pStyle w:val="TableParagraph"/>
              <w:spacing w:before="3"/>
              <w:jc w:val="left"/>
              <w:rPr>
                <w:b/>
                <w:sz w:val="4"/>
              </w:rPr>
            </w:pPr>
          </w:p>
          <w:p>
            <w:pPr>
              <w:pStyle w:val="TableParagraph"/>
              <w:ind w:left="502"/>
              <w:jc w:val="left"/>
              <w:rPr>
                <w:sz w:val="20"/>
              </w:rPr>
            </w:pPr>
            <w:r>
              <w:rPr>
                <w:sz w:val="20"/>
              </w:rPr>
              <w:drawing>
                <wp:inline distT="0" distB="0" distL="0" distR="0">
                  <wp:extent cx="2296155" cy="1722501"/>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5" cstate="print"/>
                          <a:stretch>
                            <a:fillRect/>
                          </a:stretch>
                        </pic:blipFill>
                        <pic:spPr>
                          <a:xfrm>
                            <a:off x="0" y="0"/>
                            <a:ext cx="2296155" cy="1722501"/>
                          </a:xfrm>
                          <a:prstGeom prst="rect">
                            <a:avLst/>
                          </a:prstGeom>
                        </pic:spPr>
                      </pic:pic>
                    </a:graphicData>
                  </a:graphic>
                </wp:inline>
              </w:drawing>
            </w:r>
          </w:p>
        </w:tc>
        <w:tc>
          <w:tcPr>
            <w:tcW w:w="4676" w:type="dxa"/>
          </w:tcPr>
          <w:p>
            <w:pPr>
              <w:pStyle w:val="TableParagraph"/>
              <w:spacing w:before="12"/>
              <w:jc w:val="left"/>
              <w:rPr>
                <w:b/>
                <w:sz w:val="8"/>
              </w:rPr>
            </w:pPr>
          </w:p>
          <w:p>
            <w:pPr>
              <w:pStyle w:val="TableParagraph"/>
              <w:ind w:left="492"/>
              <w:jc w:val="left"/>
              <w:rPr>
                <w:sz w:val="20"/>
              </w:rPr>
            </w:pPr>
            <w:r>
              <w:rPr>
                <w:sz w:val="20"/>
              </w:rPr>
              <w:drawing>
                <wp:inline distT="0" distB="0" distL="0" distR="0">
                  <wp:extent cx="2324074" cy="1623060"/>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16" cstate="print"/>
                          <a:stretch>
                            <a:fillRect/>
                          </a:stretch>
                        </pic:blipFill>
                        <pic:spPr>
                          <a:xfrm>
                            <a:off x="0" y="0"/>
                            <a:ext cx="2324074" cy="1623060"/>
                          </a:xfrm>
                          <a:prstGeom prst="rect">
                            <a:avLst/>
                          </a:prstGeom>
                        </pic:spPr>
                      </pic:pic>
                    </a:graphicData>
                  </a:graphic>
                </wp:inline>
              </w:drawing>
            </w:r>
          </w:p>
        </w:tc>
      </w:tr>
      <w:tr>
        <w:tblPrEx>
          <w:tblW w:w="0" w:type="auto"/>
          <w:jc w:val="left"/>
          <w:tblInd w:w="137" w:type="dxa"/>
          <w:tblLayout w:type="fixed"/>
          <w:tblCellMar>
            <w:top w:w="0" w:type="dxa"/>
            <w:left w:w="0" w:type="dxa"/>
            <w:bottom w:w="0" w:type="dxa"/>
            <w:right w:w="0" w:type="dxa"/>
          </w:tblCellMar>
          <w:tblLook w:val="01E0"/>
        </w:tblPrEx>
        <w:trPr>
          <w:trHeight w:val="311"/>
          <w:jc w:val="left"/>
        </w:trPr>
        <w:tc>
          <w:tcPr>
            <w:tcW w:w="4606" w:type="dxa"/>
          </w:tcPr>
          <w:p>
            <w:pPr>
              <w:pStyle w:val="TableParagraph"/>
              <w:spacing w:before="2" w:line="290" w:lineRule="exact"/>
              <w:ind w:left="836" w:right="826"/>
              <w:rPr>
                <w:b/>
                <w:sz w:val="24"/>
              </w:rPr>
            </w:pPr>
            <w:r>
              <w:rPr>
                <w:b/>
                <w:sz w:val="24"/>
              </w:rPr>
              <w:t>筒仓脉冲布袋除尘器</w:t>
            </w:r>
          </w:p>
        </w:tc>
        <w:tc>
          <w:tcPr>
            <w:tcW w:w="4676" w:type="dxa"/>
          </w:tcPr>
          <w:p>
            <w:pPr>
              <w:pStyle w:val="TableParagraph"/>
              <w:spacing w:before="2" w:line="290" w:lineRule="exact"/>
              <w:ind w:left="1292" w:right="1285"/>
              <w:rPr>
                <w:b/>
                <w:sz w:val="24"/>
              </w:rPr>
            </w:pPr>
            <w:r>
              <w:rPr>
                <w:b/>
                <w:sz w:val="24"/>
              </w:rPr>
              <w:t>输送带</w:t>
            </w:r>
          </w:p>
        </w:tc>
      </w:tr>
      <w:tr>
        <w:tblPrEx>
          <w:tblW w:w="0" w:type="auto"/>
          <w:jc w:val="left"/>
          <w:tblInd w:w="137" w:type="dxa"/>
          <w:tblLayout w:type="fixed"/>
          <w:tblCellMar>
            <w:top w:w="0" w:type="dxa"/>
            <w:left w:w="0" w:type="dxa"/>
            <w:bottom w:w="0" w:type="dxa"/>
            <w:right w:w="0" w:type="dxa"/>
          </w:tblCellMar>
          <w:tblLook w:val="01E0"/>
        </w:tblPrEx>
        <w:trPr>
          <w:trHeight w:val="2496"/>
          <w:jc w:val="left"/>
        </w:trPr>
        <w:tc>
          <w:tcPr>
            <w:tcW w:w="4606" w:type="dxa"/>
          </w:tcPr>
          <w:p>
            <w:pPr>
              <w:pStyle w:val="TableParagraph"/>
              <w:spacing w:before="8"/>
              <w:jc w:val="left"/>
              <w:rPr>
                <w:b/>
                <w:sz w:val="9"/>
              </w:rPr>
            </w:pPr>
          </w:p>
          <w:p>
            <w:pPr>
              <w:pStyle w:val="TableParagraph"/>
              <w:ind w:left="622"/>
              <w:jc w:val="left"/>
              <w:rPr>
                <w:sz w:val="20"/>
              </w:rPr>
            </w:pPr>
            <w:r>
              <w:rPr>
                <w:sz w:val="20"/>
              </w:rPr>
              <w:drawing>
                <wp:inline distT="0" distB="0" distL="0" distR="0">
                  <wp:extent cx="2135253" cy="1429130"/>
                  <wp:effectExtent l="0" t="0" r="0" b="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pic:nvPicPr>
                        <pic:blipFill>
                          <a:blip xmlns:r="http://schemas.openxmlformats.org/officeDocument/2006/relationships" r:embed="rId17" cstate="print"/>
                          <a:stretch>
                            <a:fillRect/>
                          </a:stretch>
                        </pic:blipFill>
                        <pic:spPr>
                          <a:xfrm>
                            <a:off x="0" y="0"/>
                            <a:ext cx="2135253" cy="1429130"/>
                          </a:xfrm>
                          <a:prstGeom prst="rect">
                            <a:avLst/>
                          </a:prstGeom>
                        </pic:spPr>
                      </pic:pic>
                    </a:graphicData>
                  </a:graphic>
                </wp:inline>
              </w:drawing>
            </w:r>
          </w:p>
        </w:tc>
        <w:tc>
          <w:tcPr>
            <w:tcW w:w="4676" w:type="dxa"/>
          </w:tcPr>
          <w:p>
            <w:pPr>
              <w:pStyle w:val="TableParagraph"/>
              <w:spacing w:before="2"/>
              <w:jc w:val="left"/>
              <w:rPr>
                <w:b/>
                <w:sz w:val="7"/>
              </w:rPr>
            </w:pPr>
          </w:p>
          <w:p>
            <w:pPr>
              <w:pStyle w:val="TableParagraph"/>
              <w:ind w:left="357"/>
              <w:jc w:val="left"/>
              <w:rPr>
                <w:sz w:val="20"/>
              </w:rPr>
            </w:pPr>
            <w:r>
              <w:rPr>
                <w:sz w:val="20"/>
              </w:rPr>
              <w:drawing>
                <wp:inline distT="0" distB="0" distL="0" distR="0">
                  <wp:extent cx="2526620" cy="1471040"/>
                  <wp:effectExtent l="0" t="0" r="0" b="0"/>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pic:nvPicPr>
                        <pic:blipFill>
                          <a:blip xmlns:r="http://schemas.openxmlformats.org/officeDocument/2006/relationships" r:embed="rId18" cstate="print"/>
                          <a:stretch>
                            <a:fillRect/>
                          </a:stretch>
                        </pic:blipFill>
                        <pic:spPr>
                          <a:xfrm>
                            <a:off x="0" y="0"/>
                            <a:ext cx="2526620" cy="1471040"/>
                          </a:xfrm>
                          <a:prstGeom prst="rect">
                            <a:avLst/>
                          </a:prstGeom>
                        </pic:spPr>
                      </pic:pic>
                    </a:graphicData>
                  </a:graphic>
                </wp:inline>
              </w:drawing>
            </w:r>
          </w:p>
        </w:tc>
      </w:tr>
      <w:tr>
        <w:tblPrEx>
          <w:tblW w:w="0" w:type="auto"/>
          <w:jc w:val="left"/>
          <w:tblInd w:w="137" w:type="dxa"/>
          <w:tblLayout w:type="fixed"/>
          <w:tblCellMar>
            <w:top w:w="0" w:type="dxa"/>
            <w:left w:w="0" w:type="dxa"/>
            <w:bottom w:w="0" w:type="dxa"/>
            <w:right w:w="0" w:type="dxa"/>
          </w:tblCellMar>
          <w:tblLook w:val="01E0"/>
        </w:tblPrEx>
        <w:trPr>
          <w:trHeight w:val="311"/>
          <w:jc w:val="left"/>
        </w:trPr>
        <w:tc>
          <w:tcPr>
            <w:tcW w:w="4606" w:type="dxa"/>
          </w:tcPr>
          <w:p>
            <w:pPr>
              <w:pStyle w:val="TableParagraph"/>
              <w:spacing w:before="4" w:line="288" w:lineRule="exact"/>
              <w:ind w:left="833" w:right="828"/>
              <w:rPr>
                <w:b/>
                <w:sz w:val="24"/>
              </w:rPr>
            </w:pPr>
            <w:r>
              <w:rPr>
                <w:b/>
                <w:sz w:val="24"/>
              </w:rPr>
              <w:t>清扫车</w:t>
            </w:r>
          </w:p>
        </w:tc>
        <w:tc>
          <w:tcPr>
            <w:tcW w:w="4676" w:type="dxa"/>
          </w:tcPr>
          <w:p>
            <w:pPr>
              <w:pStyle w:val="TableParagraph"/>
              <w:spacing w:before="4" w:line="288" w:lineRule="exact"/>
              <w:ind w:left="1292" w:right="1285"/>
              <w:rPr>
                <w:b/>
                <w:sz w:val="24"/>
              </w:rPr>
            </w:pPr>
            <w:r>
              <w:rPr>
                <w:b/>
                <w:sz w:val="24"/>
              </w:rPr>
              <w:t>雾炮机</w:t>
            </w:r>
          </w:p>
        </w:tc>
      </w:tr>
      <w:tr>
        <w:tblPrEx>
          <w:tblW w:w="0" w:type="auto"/>
          <w:jc w:val="left"/>
          <w:tblInd w:w="137" w:type="dxa"/>
          <w:tblLayout w:type="fixed"/>
          <w:tblCellMar>
            <w:top w:w="0" w:type="dxa"/>
            <w:left w:w="0" w:type="dxa"/>
            <w:bottom w:w="0" w:type="dxa"/>
            <w:right w:w="0" w:type="dxa"/>
          </w:tblCellMar>
          <w:tblLook w:val="01E0"/>
        </w:tblPrEx>
        <w:trPr>
          <w:trHeight w:val="3432"/>
          <w:jc w:val="left"/>
        </w:trPr>
        <w:tc>
          <w:tcPr>
            <w:tcW w:w="4606" w:type="dxa"/>
          </w:tcPr>
          <w:p>
            <w:pPr>
              <w:pStyle w:val="TableParagraph"/>
              <w:spacing w:after="1"/>
              <w:jc w:val="left"/>
              <w:rPr>
                <w:b/>
                <w:sz w:val="11"/>
              </w:rPr>
            </w:pPr>
          </w:p>
          <w:p>
            <w:pPr>
              <w:pStyle w:val="TableParagraph"/>
              <w:ind w:left="353"/>
              <w:jc w:val="left"/>
              <w:rPr>
                <w:sz w:val="20"/>
              </w:rPr>
            </w:pPr>
            <w:r>
              <w:rPr>
                <w:sz w:val="20"/>
              </w:rPr>
              <w:drawing>
                <wp:inline distT="0" distB="0" distL="0" distR="0">
                  <wp:extent cx="2486553" cy="2011680"/>
                  <wp:effectExtent l="0" t="0" r="0" b="0"/>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jpeg"/>
                          <pic:cNvPicPr/>
                        </pic:nvPicPr>
                        <pic:blipFill>
                          <a:blip xmlns:r="http://schemas.openxmlformats.org/officeDocument/2006/relationships" r:embed="rId19" cstate="print"/>
                          <a:stretch>
                            <a:fillRect/>
                          </a:stretch>
                        </pic:blipFill>
                        <pic:spPr>
                          <a:xfrm>
                            <a:off x="0" y="0"/>
                            <a:ext cx="2486553" cy="2011680"/>
                          </a:xfrm>
                          <a:prstGeom prst="rect">
                            <a:avLst/>
                          </a:prstGeom>
                        </pic:spPr>
                      </pic:pic>
                    </a:graphicData>
                  </a:graphic>
                </wp:inline>
              </w:drawing>
            </w:r>
          </w:p>
        </w:tc>
        <w:tc>
          <w:tcPr>
            <w:tcW w:w="4676" w:type="dxa"/>
          </w:tcPr>
          <w:p>
            <w:pPr>
              <w:pStyle w:val="TableParagraph"/>
              <w:spacing w:before="8"/>
              <w:jc w:val="left"/>
              <w:rPr>
                <w:b/>
                <w:sz w:val="8"/>
              </w:rPr>
            </w:pPr>
          </w:p>
          <w:p>
            <w:pPr>
              <w:pStyle w:val="TableParagraph"/>
              <w:ind w:left="357"/>
              <w:jc w:val="left"/>
              <w:rPr>
                <w:sz w:val="20"/>
              </w:rPr>
            </w:pPr>
            <w:r>
              <w:rPr>
                <w:sz w:val="20"/>
              </w:rPr>
              <w:drawing>
                <wp:inline distT="0" distB="0" distL="0" distR="0">
                  <wp:extent cx="2515073" cy="2024252"/>
                  <wp:effectExtent l="0" t="0" r="0" b="0"/>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pic:nvPicPr>
                        <pic:blipFill>
                          <a:blip xmlns:r="http://schemas.openxmlformats.org/officeDocument/2006/relationships" r:embed="rId20" cstate="print"/>
                          <a:stretch>
                            <a:fillRect/>
                          </a:stretch>
                        </pic:blipFill>
                        <pic:spPr>
                          <a:xfrm>
                            <a:off x="0" y="0"/>
                            <a:ext cx="2515073" cy="2024252"/>
                          </a:xfrm>
                          <a:prstGeom prst="rect">
                            <a:avLst/>
                          </a:prstGeom>
                        </pic:spPr>
                      </pic:pic>
                    </a:graphicData>
                  </a:graphic>
                </wp:inline>
              </w:drawing>
            </w:r>
          </w:p>
        </w:tc>
      </w:tr>
      <w:tr>
        <w:tblPrEx>
          <w:tblW w:w="0" w:type="auto"/>
          <w:jc w:val="left"/>
          <w:tblInd w:w="137" w:type="dxa"/>
          <w:tblLayout w:type="fixed"/>
          <w:tblCellMar>
            <w:top w:w="0" w:type="dxa"/>
            <w:left w:w="0" w:type="dxa"/>
            <w:bottom w:w="0" w:type="dxa"/>
            <w:right w:w="0" w:type="dxa"/>
          </w:tblCellMar>
          <w:tblLook w:val="01E0"/>
        </w:tblPrEx>
        <w:trPr>
          <w:trHeight w:val="312"/>
          <w:jc w:val="left"/>
        </w:trPr>
        <w:tc>
          <w:tcPr>
            <w:tcW w:w="4606" w:type="dxa"/>
          </w:tcPr>
          <w:p>
            <w:pPr>
              <w:pStyle w:val="TableParagraph"/>
              <w:spacing w:before="3" w:line="289" w:lineRule="exact"/>
              <w:ind w:left="836" w:right="828"/>
              <w:rPr>
                <w:b/>
                <w:sz w:val="24"/>
              </w:rPr>
            </w:pPr>
            <w:r>
              <w:rPr>
                <w:b/>
                <w:sz w:val="24"/>
              </w:rPr>
              <w:t>厂区高压旋转雾桩喷淋装置</w:t>
            </w:r>
          </w:p>
        </w:tc>
        <w:tc>
          <w:tcPr>
            <w:tcW w:w="4676" w:type="dxa"/>
          </w:tcPr>
          <w:p>
            <w:pPr>
              <w:pStyle w:val="TableParagraph"/>
              <w:spacing w:before="3" w:line="289" w:lineRule="exact"/>
              <w:ind w:left="1296" w:right="1169"/>
              <w:rPr>
                <w:b/>
                <w:sz w:val="24"/>
              </w:rPr>
            </w:pPr>
            <w:r>
              <w:rPr>
                <w:b/>
                <w:sz w:val="24"/>
              </w:rPr>
              <w:t>车间喷雾降尘装置</w:t>
            </w:r>
          </w:p>
        </w:tc>
      </w:tr>
      <w:tr>
        <w:tblPrEx>
          <w:tblW w:w="0" w:type="auto"/>
          <w:jc w:val="left"/>
          <w:tblInd w:w="137" w:type="dxa"/>
          <w:tblLayout w:type="fixed"/>
          <w:tblCellMar>
            <w:top w:w="0" w:type="dxa"/>
            <w:left w:w="0" w:type="dxa"/>
            <w:bottom w:w="0" w:type="dxa"/>
            <w:right w:w="0" w:type="dxa"/>
          </w:tblCellMar>
          <w:tblLook w:val="01E0"/>
        </w:tblPrEx>
        <w:trPr>
          <w:trHeight w:val="312"/>
          <w:jc w:val="left"/>
        </w:trPr>
        <w:tc>
          <w:tcPr>
            <w:tcW w:w="9282" w:type="dxa"/>
            <w:gridSpan w:val="2"/>
          </w:tcPr>
          <w:p>
            <w:pPr>
              <w:pStyle w:val="TableParagraph"/>
              <w:tabs>
                <w:tab w:val="left" w:pos="1049"/>
              </w:tabs>
              <w:spacing w:before="3" w:line="289" w:lineRule="exact"/>
              <w:ind w:left="9"/>
              <w:rPr>
                <w:b/>
                <w:sz w:val="24"/>
              </w:rPr>
            </w:pPr>
            <w:r>
              <w:rPr>
                <w:b/>
                <w:sz w:val="24"/>
              </w:rPr>
              <w:t>图</w:t>
            </w:r>
            <w:r>
              <w:rPr>
                <w:b/>
                <w:spacing w:val="-62"/>
                <w:sz w:val="24"/>
              </w:rPr>
              <w:t xml:space="preserve"> </w:t>
            </w:r>
            <w:r>
              <w:rPr>
                <w:rFonts w:ascii="Times New Roman" w:eastAsia="Times New Roman"/>
                <w:b/>
                <w:sz w:val="24"/>
              </w:rPr>
              <w:t>1.3-2</w:t>
              <w:tab/>
            </w:r>
            <w:r>
              <w:rPr>
                <w:b/>
                <w:sz w:val="24"/>
              </w:rPr>
              <w:t>废气治理措施现场照片</w:t>
            </w:r>
          </w:p>
        </w:tc>
      </w:tr>
    </w:tbl>
    <w:p>
      <w:pPr>
        <w:spacing w:before="139"/>
        <w:ind w:left="718" w:right="0" w:firstLine="0"/>
        <w:jc w:val="left"/>
        <w:rPr>
          <w:rFonts w:ascii="Times New Roman" w:eastAsia="Times New Roman"/>
          <w:b/>
          <w:sz w:val="24"/>
        </w:rPr>
      </w:pPr>
      <w:r>
        <w:rPr>
          <w:b/>
          <w:sz w:val="24"/>
        </w:rPr>
        <w:t>二、与</w:t>
      </w:r>
      <w:r>
        <w:rPr>
          <w:rFonts w:ascii="Times New Roman" w:eastAsia="Times New Roman"/>
          <w:b/>
          <w:sz w:val="24"/>
        </w:rPr>
        <w:t>&lt;</w:t>
      </w:r>
      <w:r>
        <w:rPr>
          <w:b/>
          <w:sz w:val="24"/>
        </w:rPr>
        <w:t>关于印发《盐城市堆场扬尘防治指南（试行）》的通知（盐大气办</w:t>
      </w:r>
      <w:r>
        <w:rPr>
          <w:rFonts w:ascii="Times New Roman" w:eastAsia="Times New Roman"/>
          <w:b/>
          <w:sz w:val="24"/>
        </w:rPr>
        <w:t>[2021]2</w:t>
      </w:r>
    </w:p>
    <w:p>
      <w:pPr>
        <w:spacing w:after="0"/>
        <w:jc w:val="left"/>
        <w:rPr>
          <w:rFonts w:ascii="Times New Roman" w:eastAsia="Times New Roman"/>
          <w:sz w:val="24"/>
        </w:rPr>
        <w:sectPr>
          <w:footerReference w:type="default" r:id="rId21"/>
          <w:pgSz w:w="11910" w:h="16840"/>
          <w:pgMar w:top="1400" w:right="1180" w:bottom="1160" w:left="1180" w:header="0" w:footer="974"/>
          <w:pgNumType w:start="5"/>
          <w:cols w:space="708"/>
        </w:sectPr>
      </w:pPr>
    </w:p>
    <w:p>
      <w:pPr>
        <w:spacing w:before="61"/>
        <w:ind w:left="238" w:right="0" w:firstLine="0"/>
        <w:jc w:val="left"/>
        <w:rPr>
          <w:b/>
          <w:sz w:val="24"/>
        </w:rPr>
      </w:pPr>
      <w:r>
        <w:rPr>
          <w:b/>
          <w:sz w:val="24"/>
        </w:rPr>
        <w:t>号）</w:t>
      </w:r>
      <w:r>
        <w:rPr>
          <w:rFonts w:ascii="Times New Roman" w:eastAsia="Times New Roman"/>
          <w:b/>
          <w:sz w:val="24"/>
        </w:rPr>
        <w:t>&gt;</w:t>
      </w:r>
      <w:r>
        <w:rPr>
          <w:b/>
          <w:sz w:val="24"/>
        </w:rPr>
        <w:t>相符性分析</w:t>
      </w:r>
    </w:p>
    <w:p>
      <w:pPr>
        <w:spacing w:before="158" w:line="242" w:lineRule="auto"/>
        <w:ind w:left="3860" w:right="212" w:hanging="3581"/>
        <w:jc w:val="left"/>
        <w:rPr>
          <w:b/>
          <w:sz w:val="24"/>
        </w:rPr>
      </w:pPr>
      <w:r>
        <w:rPr>
          <w:b/>
          <w:sz w:val="24"/>
        </w:rPr>
        <w:t xml:space="preserve">表 </w:t>
      </w:r>
      <w:r>
        <w:rPr>
          <w:rFonts w:ascii="Times New Roman" w:eastAsia="Times New Roman"/>
          <w:b/>
          <w:sz w:val="24"/>
        </w:rPr>
        <w:t xml:space="preserve">1.3-3 </w:t>
      </w:r>
      <w:r>
        <w:rPr>
          <w:b/>
          <w:sz w:val="24"/>
        </w:rPr>
        <w:t>与</w:t>
      </w:r>
      <w:r>
        <w:rPr>
          <w:rFonts w:ascii="Times New Roman" w:eastAsia="Times New Roman"/>
          <w:b/>
          <w:sz w:val="24"/>
        </w:rPr>
        <w:t>&lt;</w:t>
      </w:r>
      <w:r>
        <w:rPr>
          <w:b/>
          <w:sz w:val="24"/>
        </w:rPr>
        <w:t>关于印发《盐城市堆场扬尘防治指南（试行）》的通知（盐大气办</w:t>
      </w:r>
      <w:r>
        <w:rPr>
          <w:rFonts w:ascii="Times New Roman" w:eastAsia="Times New Roman"/>
          <w:b/>
          <w:sz w:val="24"/>
        </w:rPr>
        <w:t xml:space="preserve">[2021]2 </w:t>
      </w:r>
      <w:r>
        <w:rPr>
          <w:b/>
          <w:sz w:val="24"/>
        </w:rPr>
        <w:t>号）</w:t>
      </w:r>
      <w:r>
        <w:rPr>
          <w:rFonts w:ascii="Times New Roman" w:eastAsia="Times New Roman"/>
          <w:b/>
          <w:sz w:val="24"/>
        </w:rPr>
        <w:t>&gt;</w:t>
      </w:r>
      <w:r>
        <w:rPr>
          <w:b/>
          <w:sz w:val="24"/>
        </w:rPr>
        <w:t>相符性分析</w:t>
      </w:r>
    </w:p>
    <w:tbl>
      <w:tblPr>
        <w:tblStyle w:val="TableNormal5"/>
        <w:tblW w:w="0" w:type="auto"/>
        <w:jc w:val="left"/>
        <w:tblInd w:w="12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18"/>
        <w:gridCol w:w="5113"/>
        <w:gridCol w:w="3655"/>
      </w:tblGrid>
      <w:tr>
        <w:tblPrEx>
          <w:tblW w:w="0" w:type="auto"/>
          <w:jc w:val="left"/>
          <w:tblInd w:w="12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5"/>
          <w:jc w:val="left"/>
        </w:trPr>
        <w:tc>
          <w:tcPr>
            <w:tcW w:w="518" w:type="dxa"/>
            <w:tcBorders>
              <w:left w:val="nil"/>
              <w:bottom w:val="single" w:sz="4" w:space="0" w:color="000000"/>
              <w:right w:val="single" w:sz="4" w:space="0" w:color="000000"/>
            </w:tcBorders>
          </w:tcPr>
          <w:p>
            <w:pPr>
              <w:pStyle w:val="TableParagraph"/>
              <w:spacing w:before="1" w:line="270" w:lineRule="atLeast"/>
              <w:ind w:left="168" w:right="133"/>
              <w:jc w:val="left"/>
              <w:rPr>
                <w:b/>
                <w:sz w:val="21"/>
              </w:rPr>
            </w:pPr>
            <w:r>
              <w:rPr>
                <w:b/>
                <w:sz w:val="21"/>
              </w:rPr>
              <w:t>序号</w:t>
            </w:r>
          </w:p>
        </w:tc>
        <w:tc>
          <w:tcPr>
            <w:tcW w:w="5113" w:type="dxa"/>
            <w:tcBorders>
              <w:left w:val="single" w:sz="4" w:space="0" w:color="000000"/>
              <w:bottom w:val="single" w:sz="4" w:space="0" w:color="000000"/>
              <w:right w:val="single" w:sz="4" w:space="0" w:color="000000"/>
            </w:tcBorders>
          </w:tcPr>
          <w:p>
            <w:pPr>
              <w:pStyle w:val="TableParagraph"/>
              <w:spacing w:before="1" w:line="270" w:lineRule="atLeast"/>
              <w:ind w:left="2249" w:right="110" w:hanging="2108"/>
              <w:jc w:val="left"/>
              <w:rPr>
                <w:b/>
                <w:sz w:val="21"/>
              </w:rPr>
            </w:pPr>
            <w:r>
              <w:rPr>
                <w:b/>
                <w:sz w:val="21"/>
              </w:rPr>
              <w:t>《盐城市堆场扬尘防治指南（试行）》中现有堆场改造要求</w:t>
            </w:r>
          </w:p>
        </w:tc>
        <w:tc>
          <w:tcPr>
            <w:tcW w:w="3655" w:type="dxa"/>
            <w:tcBorders>
              <w:left w:val="single" w:sz="4" w:space="0" w:color="000000"/>
              <w:bottom w:val="single" w:sz="4" w:space="0" w:color="000000"/>
              <w:right w:val="nil"/>
            </w:tcBorders>
          </w:tcPr>
          <w:p>
            <w:pPr>
              <w:pStyle w:val="TableParagraph"/>
              <w:spacing w:before="137"/>
              <w:ind w:left="134" w:right="113"/>
              <w:rPr>
                <w:b/>
                <w:sz w:val="21"/>
              </w:rPr>
            </w:pPr>
            <w:r>
              <w:rPr>
                <w:b/>
                <w:sz w:val="21"/>
              </w:rPr>
              <w:t>项目实际采取措施</w:t>
            </w:r>
          </w:p>
        </w:tc>
      </w:tr>
      <w:tr>
        <w:tblPrEx>
          <w:tblW w:w="0" w:type="auto"/>
          <w:jc w:val="left"/>
          <w:tblInd w:w="123" w:type="dxa"/>
          <w:tblLayout w:type="fixed"/>
          <w:tblCellMar>
            <w:top w:w="0" w:type="dxa"/>
            <w:left w:w="0" w:type="dxa"/>
            <w:bottom w:w="0" w:type="dxa"/>
            <w:right w:w="0" w:type="dxa"/>
          </w:tblCellMar>
          <w:tblLook w:val="01E0"/>
        </w:tblPrEx>
        <w:trPr>
          <w:trHeight w:val="1361"/>
          <w:jc w:val="left"/>
        </w:trPr>
        <w:tc>
          <w:tcPr>
            <w:tcW w:w="518" w:type="dxa"/>
            <w:tcBorders>
              <w:top w:val="single" w:sz="4" w:space="0" w:color="000000"/>
              <w:left w:val="nil"/>
              <w:bottom w:val="single" w:sz="4" w:space="0" w:color="000000"/>
              <w:right w:val="single" w:sz="4" w:space="0" w:color="000000"/>
            </w:tcBorders>
          </w:tcPr>
          <w:p>
            <w:pPr>
              <w:pStyle w:val="TableParagraph"/>
              <w:jc w:val="left"/>
              <w:rPr>
                <w:b/>
                <w:sz w:val="22"/>
              </w:rPr>
            </w:pPr>
          </w:p>
          <w:p>
            <w:pPr>
              <w:pStyle w:val="TableParagraph"/>
              <w:spacing w:before="7"/>
              <w:jc w:val="left"/>
              <w:rPr>
                <w:b/>
                <w:sz w:val="21"/>
              </w:rPr>
            </w:pPr>
          </w:p>
          <w:p>
            <w:pPr>
              <w:pStyle w:val="TableParagraph"/>
              <w:ind w:left="33"/>
              <w:rPr>
                <w:rFonts w:ascii="Times New Roman"/>
                <w:sz w:val="21"/>
              </w:rPr>
            </w:pPr>
            <w:r>
              <w:rPr>
                <w:rFonts w:ascii="Times New Roman"/>
                <w:w w:val="99"/>
                <w:sz w:val="21"/>
              </w:rPr>
              <w:t>1</w:t>
            </w:r>
          </w:p>
        </w:tc>
        <w:tc>
          <w:tcPr>
            <w:tcW w:w="5113" w:type="dxa"/>
            <w:tcBorders>
              <w:top w:val="single" w:sz="4" w:space="0" w:color="000000"/>
              <w:left w:val="single" w:sz="4" w:space="0" w:color="000000"/>
              <w:bottom w:val="single" w:sz="4" w:space="0" w:color="000000"/>
              <w:right w:val="single" w:sz="4" w:space="0" w:color="000000"/>
            </w:tcBorders>
          </w:tcPr>
          <w:p>
            <w:pPr>
              <w:pStyle w:val="TableParagraph"/>
              <w:spacing w:before="1" w:line="242" w:lineRule="auto"/>
              <w:ind w:left="149" w:right="87" w:hanging="32"/>
              <w:jc w:val="both"/>
              <w:rPr>
                <w:sz w:val="21"/>
              </w:rPr>
            </w:pPr>
            <w:r>
              <w:rPr>
                <w:spacing w:val="-10"/>
                <w:sz w:val="21"/>
              </w:rPr>
              <w:t xml:space="preserve">位于重点区域的各类现有堆场，限期在 </w:t>
            </w:r>
            <w:r>
              <w:rPr>
                <w:rFonts w:ascii="Times New Roman" w:eastAsia="Times New Roman"/>
                <w:sz w:val="21"/>
              </w:rPr>
              <w:t xml:space="preserve">2021 </w:t>
            </w:r>
            <w:r>
              <w:rPr>
                <w:spacing w:val="-27"/>
                <w:sz w:val="21"/>
              </w:rPr>
              <w:t xml:space="preserve">年 </w:t>
            </w:r>
            <w:r>
              <w:rPr>
                <w:rFonts w:ascii="Times New Roman" w:eastAsia="Times New Roman"/>
                <w:sz w:val="21"/>
              </w:rPr>
              <w:t xml:space="preserve">6 </w:t>
            </w:r>
            <w:r>
              <w:rPr>
                <w:spacing w:val="-27"/>
                <w:sz w:val="21"/>
              </w:rPr>
              <w:t xml:space="preserve">月 </w:t>
            </w:r>
            <w:r>
              <w:rPr>
                <w:rFonts w:ascii="Times New Roman" w:eastAsia="Times New Roman"/>
                <w:sz w:val="21"/>
              </w:rPr>
              <w:t xml:space="preserve">30 </w:t>
            </w:r>
            <w:r>
              <w:rPr>
                <w:sz w:val="21"/>
              </w:rPr>
              <w:t>日前完成改造。所有粉体物料应全部采用筒仓、料仓或其它全封闭性仓库进行堆放；颗粒物料、块体物料应采用半封闭仓库、防风抑尘网（墙）进行堆放，同</w:t>
            </w:r>
          </w:p>
          <w:p>
            <w:pPr>
              <w:pStyle w:val="TableParagraph"/>
              <w:spacing w:before="3" w:line="251" w:lineRule="exact"/>
              <w:ind w:left="360"/>
              <w:jc w:val="left"/>
              <w:rPr>
                <w:sz w:val="21"/>
              </w:rPr>
            </w:pPr>
            <w:r>
              <w:rPr>
                <w:sz w:val="21"/>
              </w:rPr>
              <w:t>时采用喷洒水、喷洒抑尘剂、干雾抑尘等措施。</w:t>
            </w:r>
          </w:p>
        </w:tc>
        <w:tc>
          <w:tcPr>
            <w:tcW w:w="3655" w:type="dxa"/>
            <w:tcBorders>
              <w:top w:val="single" w:sz="4" w:space="0" w:color="000000"/>
              <w:left w:val="single" w:sz="4" w:space="0" w:color="000000"/>
              <w:bottom w:val="single" w:sz="4" w:space="0" w:color="000000"/>
              <w:right w:val="nil"/>
            </w:tcBorders>
          </w:tcPr>
          <w:p>
            <w:pPr>
              <w:pStyle w:val="TableParagraph"/>
              <w:jc w:val="left"/>
              <w:rPr>
                <w:b/>
                <w:sz w:val="20"/>
              </w:rPr>
            </w:pPr>
          </w:p>
          <w:p>
            <w:pPr>
              <w:pStyle w:val="TableParagraph"/>
              <w:spacing w:before="5"/>
              <w:jc w:val="left"/>
              <w:rPr>
                <w:b/>
                <w:sz w:val="22"/>
              </w:rPr>
            </w:pPr>
          </w:p>
          <w:p>
            <w:pPr>
              <w:pStyle w:val="TableParagraph"/>
              <w:spacing w:before="1"/>
              <w:ind w:left="134" w:right="111"/>
              <w:rPr>
                <w:sz w:val="21"/>
              </w:rPr>
            </w:pPr>
            <w:r>
              <w:rPr>
                <w:sz w:val="21"/>
              </w:rPr>
              <w:t>项目位于一般区域。</w:t>
            </w:r>
          </w:p>
        </w:tc>
      </w:tr>
      <w:tr>
        <w:tblPrEx>
          <w:tblW w:w="0" w:type="auto"/>
          <w:jc w:val="left"/>
          <w:tblInd w:w="123" w:type="dxa"/>
          <w:tblLayout w:type="fixed"/>
          <w:tblCellMar>
            <w:top w:w="0" w:type="dxa"/>
            <w:left w:w="0" w:type="dxa"/>
            <w:bottom w:w="0" w:type="dxa"/>
            <w:right w:w="0" w:type="dxa"/>
          </w:tblCellMar>
          <w:tblLook w:val="01E0"/>
        </w:tblPrEx>
        <w:trPr>
          <w:trHeight w:val="1634"/>
          <w:jc w:val="left"/>
        </w:trPr>
        <w:tc>
          <w:tcPr>
            <w:tcW w:w="518" w:type="dxa"/>
            <w:tcBorders>
              <w:top w:val="single" w:sz="4" w:space="0" w:color="000000"/>
              <w:left w:val="nil"/>
              <w:bottom w:val="single" w:sz="4" w:space="0" w:color="000000"/>
              <w:right w:val="single" w:sz="4" w:space="0" w:color="000000"/>
            </w:tcBorders>
          </w:tcPr>
          <w:p>
            <w:pPr>
              <w:pStyle w:val="TableParagraph"/>
              <w:jc w:val="left"/>
              <w:rPr>
                <w:b/>
                <w:sz w:val="22"/>
              </w:rPr>
            </w:pPr>
          </w:p>
          <w:p>
            <w:pPr>
              <w:pStyle w:val="TableParagraph"/>
              <w:spacing w:before="3"/>
              <w:jc w:val="left"/>
              <w:rPr>
                <w:b/>
                <w:sz w:val="32"/>
              </w:rPr>
            </w:pPr>
          </w:p>
          <w:p>
            <w:pPr>
              <w:pStyle w:val="TableParagraph"/>
              <w:ind w:left="33"/>
              <w:rPr>
                <w:rFonts w:ascii="Times New Roman"/>
                <w:sz w:val="21"/>
              </w:rPr>
            </w:pPr>
            <w:r>
              <w:rPr>
                <w:rFonts w:ascii="Times New Roman"/>
                <w:w w:val="99"/>
                <w:sz w:val="21"/>
              </w:rPr>
              <w:t>2</w:t>
            </w:r>
          </w:p>
        </w:tc>
        <w:tc>
          <w:tcPr>
            <w:tcW w:w="5113" w:type="dxa"/>
            <w:tcBorders>
              <w:top w:val="single" w:sz="4" w:space="0" w:color="000000"/>
              <w:left w:val="single" w:sz="4" w:space="0" w:color="000000"/>
              <w:bottom w:val="single" w:sz="4" w:space="0" w:color="000000"/>
              <w:right w:val="single" w:sz="4" w:space="0" w:color="000000"/>
            </w:tcBorders>
          </w:tcPr>
          <w:p>
            <w:pPr>
              <w:pStyle w:val="TableParagraph"/>
              <w:spacing w:before="137"/>
              <w:ind w:left="76" w:right="52"/>
              <w:rPr>
                <w:sz w:val="21"/>
              </w:rPr>
            </w:pPr>
            <w:r>
              <w:rPr>
                <w:sz w:val="21"/>
              </w:rPr>
              <w:t xml:space="preserve">位于一般区域的各类现有堆场，限期在 </w:t>
            </w:r>
            <w:r>
              <w:rPr>
                <w:rFonts w:ascii="Times New Roman" w:eastAsia="Times New Roman"/>
                <w:sz w:val="21"/>
              </w:rPr>
              <w:t xml:space="preserve">2021 </w:t>
            </w:r>
            <w:r>
              <w:rPr>
                <w:sz w:val="21"/>
              </w:rPr>
              <w:t xml:space="preserve">年 </w:t>
            </w:r>
            <w:r>
              <w:rPr>
                <w:rFonts w:ascii="Times New Roman" w:eastAsia="Times New Roman"/>
                <w:sz w:val="21"/>
              </w:rPr>
              <w:t xml:space="preserve">12 </w:t>
            </w:r>
            <w:r>
              <w:rPr>
                <w:sz w:val="21"/>
              </w:rPr>
              <w:t>月</w:t>
            </w:r>
          </w:p>
          <w:p>
            <w:pPr>
              <w:pStyle w:val="TableParagraph"/>
              <w:spacing w:before="2" w:line="242" w:lineRule="auto"/>
              <w:ind w:left="104" w:right="75"/>
              <w:rPr>
                <w:sz w:val="21"/>
              </w:rPr>
            </w:pPr>
            <w:r>
              <w:rPr>
                <w:rFonts w:ascii="Times New Roman" w:eastAsia="Times New Roman"/>
                <w:sz w:val="21"/>
              </w:rPr>
              <w:t xml:space="preserve">31 </w:t>
            </w:r>
            <w:r>
              <w:rPr>
                <w:sz w:val="21"/>
              </w:rPr>
              <w:t>日前完成改造。所有粉体物料至少应采用半封闭仓库、防风抑尘网（墙）进行堆放，同时采用喷洒水、喷洒抑尘剂、干雾抑尘等措施；颗粒物料、块体物料要采用防尘网、防尘布覆盖。</w:t>
            </w:r>
          </w:p>
        </w:tc>
        <w:tc>
          <w:tcPr>
            <w:tcW w:w="3655" w:type="dxa"/>
            <w:tcBorders>
              <w:top w:val="single" w:sz="4" w:space="0" w:color="000000"/>
              <w:left w:val="single" w:sz="4" w:space="0" w:color="000000"/>
              <w:bottom w:val="single" w:sz="4" w:space="0" w:color="000000"/>
              <w:right w:val="nil"/>
            </w:tcBorders>
          </w:tcPr>
          <w:p>
            <w:pPr>
              <w:pStyle w:val="TableParagraph"/>
              <w:spacing w:line="242" w:lineRule="auto"/>
              <w:ind w:left="261" w:right="134" w:hanging="106"/>
              <w:jc w:val="left"/>
              <w:rPr>
                <w:sz w:val="21"/>
              </w:rPr>
            </w:pPr>
            <w:r>
              <w:rPr>
                <w:w w:val="95"/>
                <w:sz w:val="21"/>
              </w:rPr>
              <w:t>本项目周边没有国、县空气环境监测</w:t>
            </w:r>
            <w:r>
              <w:rPr>
                <w:sz w:val="21"/>
              </w:rPr>
              <w:t>站点，因此本项目位于一般区域。</w:t>
            </w:r>
          </w:p>
          <w:p>
            <w:pPr>
              <w:pStyle w:val="TableParagraph"/>
              <w:spacing w:before="1" w:line="242" w:lineRule="auto"/>
              <w:ind w:left="155" w:right="-15" w:hanging="39"/>
              <w:jc w:val="left"/>
              <w:rPr>
                <w:sz w:val="21"/>
              </w:rPr>
            </w:pPr>
            <w:r>
              <w:rPr>
                <w:spacing w:val="-5"/>
                <w:sz w:val="21"/>
              </w:rPr>
              <w:t>本项目水泥、粉煤灰均采用筒仓存放， 筒仓密闭，颗粒物料石子和沙子存放在骨料仓，骨料仓所在车间配备喷雾</w:t>
            </w:r>
          </w:p>
          <w:p>
            <w:pPr>
              <w:pStyle w:val="TableParagraph"/>
              <w:spacing w:before="1" w:line="253" w:lineRule="exact"/>
              <w:ind w:left="261"/>
              <w:jc w:val="left"/>
              <w:rPr>
                <w:sz w:val="21"/>
              </w:rPr>
            </w:pPr>
            <w:r>
              <w:rPr>
                <w:sz w:val="21"/>
              </w:rPr>
              <w:t>降尘装置，喷淋范围覆盖全车间。</w:t>
            </w:r>
          </w:p>
        </w:tc>
      </w:tr>
      <w:tr>
        <w:tblPrEx>
          <w:tblW w:w="0" w:type="auto"/>
          <w:jc w:val="left"/>
          <w:tblInd w:w="123" w:type="dxa"/>
          <w:tblLayout w:type="fixed"/>
          <w:tblCellMar>
            <w:top w:w="0" w:type="dxa"/>
            <w:left w:w="0" w:type="dxa"/>
            <w:bottom w:w="0" w:type="dxa"/>
            <w:right w:w="0" w:type="dxa"/>
          </w:tblCellMar>
          <w:tblLook w:val="01E0"/>
        </w:tblPrEx>
        <w:trPr>
          <w:trHeight w:val="544"/>
          <w:jc w:val="left"/>
        </w:trPr>
        <w:tc>
          <w:tcPr>
            <w:tcW w:w="518" w:type="dxa"/>
            <w:tcBorders>
              <w:top w:val="single" w:sz="4" w:space="0" w:color="000000"/>
              <w:left w:val="nil"/>
              <w:right w:val="single" w:sz="4" w:space="0" w:color="000000"/>
            </w:tcBorders>
          </w:tcPr>
          <w:p>
            <w:pPr>
              <w:pStyle w:val="TableParagraph"/>
              <w:spacing w:before="150"/>
              <w:ind w:left="33"/>
              <w:rPr>
                <w:rFonts w:ascii="Times New Roman"/>
                <w:sz w:val="21"/>
              </w:rPr>
            </w:pPr>
            <w:r>
              <w:rPr>
                <w:rFonts w:ascii="Times New Roman"/>
                <w:w w:val="99"/>
                <w:sz w:val="21"/>
              </w:rPr>
              <w:t>3</w:t>
            </w:r>
          </w:p>
        </w:tc>
        <w:tc>
          <w:tcPr>
            <w:tcW w:w="5113" w:type="dxa"/>
            <w:tcBorders>
              <w:top w:val="single" w:sz="4" w:space="0" w:color="000000"/>
              <w:left w:val="single" w:sz="4" w:space="0" w:color="000000"/>
              <w:right w:val="single" w:sz="4" w:space="0" w:color="000000"/>
            </w:tcBorders>
          </w:tcPr>
          <w:p>
            <w:pPr>
              <w:pStyle w:val="TableParagraph"/>
              <w:ind w:left="76" w:right="52"/>
              <w:rPr>
                <w:sz w:val="21"/>
              </w:rPr>
            </w:pPr>
            <w:r>
              <w:rPr>
                <w:sz w:val="21"/>
              </w:rPr>
              <w:t>所有堆场采用覆盖措施时，在非作业情况下覆盖率应</w:t>
            </w:r>
          </w:p>
          <w:p>
            <w:pPr>
              <w:pStyle w:val="TableParagraph"/>
              <w:spacing w:before="2" w:line="253" w:lineRule="exact"/>
              <w:ind w:left="76" w:right="49"/>
              <w:rPr>
                <w:sz w:val="21"/>
              </w:rPr>
            </w:pPr>
            <w:r>
              <w:rPr>
                <w:sz w:val="21"/>
              </w:rPr>
              <w:t xml:space="preserve">达到 </w:t>
            </w:r>
            <w:r>
              <w:rPr>
                <w:rFonts w:ascii="Times New Roman" w:eastAsia="Times New Roman"/>
                <w:sz w:val="21"/>
              </w:rPr>
              <w:t>100%</w:t>
            </w:r>
            <w:r>
              <w:rPr>
                <w:sz w:val="21"/>
              </w:rPr>
              <w:t>。</w:t>
            </w:r>
          </w:p>
        </w:tc>
        <w:tc>
          <w:tcPr>
            <w:tcW w:w="3655" w:type="dxa"/>
            <w:tcBorders>
              <w:top w:val="single" w:sz="4" w:space="0" w:color="000000"/>
              <w:left w:val="single" w:sz="4" w:space="0" w:color="000000"/>
              <w:right w:val="nil"/>
            </w:tcBorders>
          </w:tcPr>
          <w:p>
            <w:pPr>
              <w:pStyle w:val="TableParagraph"/>
              <w:ind w:left="134" w:right="116"/>
              <w:rPr>
                <w:sz w:val="21"/>
              </w:rPr>
            </w:pPr>
            <w:r>
              <w:rPr>
                <w:sz w:val="21"/>
              </w:rPr>
              <w:t>骨料仓所在车间配备喷雾降尘装置，</w:t>
            </w:r>
          </w:p>
          <w:p>
            <w:pPr>
              <w:pStyle w:val="TableParagraph"/>
              <w:spacing w:before="2" w:line="253" w:lineRule="exact"/>
              <w:ind w:left="134" w:right="113"/>
              <w:rPr>
                <w:sz w:val="21"/>
              </w:rPr>
            </w:pPr>
            <w:r>
              <w:rPr>
                <w:sz w:val="21"/>
              </w:rPr>
              <w:t xml:space="preserve">喷淋范围 </w:t>
            </w:r>
            <w:r>
              <w:rPr>
                <w:rFonts w:ascii="Times New Roman" w:eastAsia="Times New Roman"/>
                <w:sz w:val="21"/>
              </w:rPr>
              <w:t>100%</w:t>
            </w:r>
            <w:r>
              <w:rPr>
                <w:sz w:val="21"/>
              </w:rPr>
              <w:t>覆盖全车间。</w:t>
            </w:r>
          </w:p>
        </w:tc>
      </w:tr>
    </w:tbl>
    <w:p>
      <w:pPr>
        <w:pStyle w:val="BodyText"/>
        <w:spacing w:before="10"/>
        <w:rPr>
          <w:b/>
          <w:sz w:val="21"/>
        </w:rPr>
      </w:pPr>
    </w:p>
    <w:p>
      <w:pPr>
        <w:pStyle w:val="ListParagraph"/>
        <w:numPr>
          <w:ilvl w:val="3"/>
          <w:numId w:val="7"/>
        </w:numPr>
        <w:tabs>
          <w:tab w:val="left" w:pos="959"/>
        </w:tabs>
        <w:spacing w:before="0" w:after="0" w:line="240" w:lineRule="auto"/>
        <w:ind w:left="958" w:right="0" w:hanging="721"/>
        <w:jc w:val="left"/>
        <w:rPr>
          <w:b/>
          <w:sz w:val="24"/>
        </w:rPr>
      </w:pPr>
      <w:bookmarkStart w:id="12" w:name="1.3.3.2废水污染防治措施变动情况"/>
      <w:bookmarkEnd w:id="12"/>
      <w:r>
        <w:rPr>
          <w:b/>
          <w:sz w:val="24"/>
        </w:rPr>
        <w:t>废水污染防治措施变动情况</w:t>
      </w:r>
    </w:p>
    <w:p>
      <w:pPr>
        <w:pStyle w:val="BodyText"/>
        <w:spacing w:before="158" w:line="364" w:lineRule="auto"/>
        <w:ind w:left="238" w:right="180" w:firstLine="480"/>
      </w:pPr>
      <w:r>
        <w:t>全厂用水包括生活用水、混凝土生产用水、搅拌机清洗水、实验室清洗水、场地清洗水、车辆清洗水和喷淋抑尘用水、降尘洒水。</w:t>
      </w:r>
    </w:p>
    <w:p>
      <w:pPr>
        <w:pStyle w:val="BodyText"/>
        <w:spacing w:line="364" w:lineRule="auto"/>
        <w:ind w:left="238" w:right="180" w:firstLine="480"/>
      </w:pPr>
      <w:r>
        <w:t>原环评中搅拌机清洗水、实验室清洗水、车辆清洗水经砂石分离机及三级沉淀池处理后回用于清洗用水。</w:t>
      </w:r>
    </w:p>
    <w:p>
      <w:pPr>
        <w:pStyle w:val="BodyText"/>
        <w:spacing w:line="364" w:lineRule="auto"/>
        <w:ind w:left="238" w:right="237" w:firstLine="480"/>
        <w:jc w:val="both"/>
      </w:pPr>
      <w:r>
        <w:rPr>
          <w:spacing w:val="-4"/>
        </w:rPr>
        <w:t>实际场地清洗水经收集沟收集到场地清洗水收集池，经沉淀后与搅拌机清洗水、实</w:t>
      </w:r>
      <w:r>
        <w:t>验室清洗水一同收集进污水循环利用池，沉淀后用于车辆清洗，车辆清洗水经隔油池</w:t>
      </w:r>
      <w:r>
        <w:rPr>
          <w:rFonts w:ascii="Times New Roman" w:eastAsia="Times New Roman"/>
        </w:rPr>
        <w:t xml:space="preserve">+ </w:t>
      </w:r>
      <w:r>
        <w:t>砂石分离机处理后回收进污水循环利用池，多余的水抽入清水罐用于混凝土生产。</w:t>
      </w:r>
    </w:p>
    <w:p>
      <w:pPr>
        <w:pStyle w:val="BodyText"/>
        <w:spacing w:line="307" w:lineRule="exact"/>
        <w:ind w:left="718"/>
      </w:pPr>
      <w:r>
        <w:t>全厂水平衡图详见下图：</w:t>
      </w:r>
    </w:p>
    <w:p>
      <w:pPr>
        <w:spacing w:after="0" w:line="307" w:lineRule="exact"/>
        <w:sectPr>
          <w:footerReference w:type="default" r:id="rId22"/>
          <w:pgSz w:w="11910" w:h="16840"/>
          <w:pgMar w:top="1340" w:right="1180" w:bottom="1160" w:left="1180" w:header="0" w:footer="974"/>
          <w:pgNumType w:start="6"/>
          <w:cols w:space="708"/>
        </w:sectPr>
      </w:pPr>
    </w:p>
    <w:p>
      <w:pPr>
        <w:pStyle w:val="BodyText"/>
        <w:ind w:left="828"/>
        <w:rPr>
          <w:sz w:val="20"/>
        </w:rPr>
      </w:pPr>
      <w:r>
        <w:rPr>
          <w:sz w:val="20"/>
        </w:rPr>
        <w:drawing>
          <wp:inline distT="0" distB="0" distL="0" distR="0">
            <wp:extent cx="4994982" cy="3112960"/>
            <wp:effectExtent l="0" t="0" r="0" b="0"/>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23" cstate="print"/>
                    <a:stretch>
                      <a:fillRect/>
                    </a:stretch>
                  </pic:blipFill>
                  <pic:spPr>
                    <a:xfrm>
                      <a:off x="0" y="0"/>
                      <a:ext cx="4994982" cy="3112960"/>
                    </a:xfrm>
                    <a:prstGeom prst="rect">
                      <a:avLst/>
                    </a:prstGeom>
                  </pic:spPr>
                </pic:pic>
              </a:graphicData>
            </a:graphic>
          </wp:inline>
        </w:drawing>
      </w:r>
    </w:p>
    <w:p>
      <w:pPr>
        <w:spacing w:before="43"/>
        <w:ind w:left="617" w:right="617" w:firstLine="0"/>
        <w:jc w:val="center"/>
        <w:rPr>
          <w:b/>
          <w:sz w:val="24"/>
        </w:rPr>
      </w:pPr>
      <w:r>
        <w:rPr>
          <w:b/>
          <w:sz w:val="24"/>
        </w:rPr>
        <w:t xml:space="preserve">图 </w:t>
      </w:r>
      <w:r>
        <w:rPr>
          <w:rFonts w:ascii="Times New Roman" w:eastAsia="Times New Roman"/>
          <w:b/>
          <w:sz w:val="24"/>
        </w:rPr>
        <w:t xml:space="preserve">1.3-3  </w:t>
      </w:r>
      <w:r>
        <w:rPr>
          <w:b/>
          <w:sz w:val="24"/>
        </w:rPr>
        <w:t xml:space="preserve">验收期间水平衡图（单位 </w:t>
      </w:r>
      <w:r>
        <w:rPr>
          <w:rFonts w:ascii="Times New Roman" w:eastAsia="Times New Roman"/>
          <w:b/>
          <w:sz w:val="24"/>
        </w:rPr>
        <w:t>m</w:t>
      </w:r>
      <w:r>
        <w:rPr>
          <w:rFonts w:ascii="Times New Roman" w:eastAsia="Times New Roman"/>
          <w:b/>
          <w:position w:val="8"/>
          <w:sz w:val="15"/>
        </w:rPr>
        <w:t>3</w:t>
      </w:r>
      <w:r>
        <w:rPr>
          <w:rFonts w:ascii="Times New Roman" w:eastAsia="Times New Roman"/>
          <w:b/>
          <w:sz w:val="24"/>
        </w:rPr>
        <w:t>/a</w:t>
      </w:r>
      <w:r>
        <w:rPr>
          <w:b/>
          <w:sz w:val="24"/>
        </w:rPr>
        <w:t>）</w:t>
      </w:r>
    </w:p>
    <w:p>
      <w:pPr>
        <w:pStyle w:val="BodyText"/>
        <w:rPr>
          <w:b/>
          <w:sz w:val="20"/>
        </w:rPr>
      </w:pPr>
    </w:p>
    <w:p>
      <w:pPr>
        <w:pStyle w:val="BodyText"/>
        <w:spacing w:before="3"/>
        <w:rPr>
          <w:b/>
          <w:sz w:val="11"/>
        </w:rPr>
      </w:pPr>
      <w:r>
        <w:drawing>
          <wp:anchor distT="0" distB="0" distL="0" distR="0" simplePos="0" relativeHeight="251658240" behindDoc="0" locked="0" layoutInCell="1" allowOverlap="1">
            <wp:simplePos x="0" y="0"/>
            <wp:positionH relativeFrom="page">
              <wp:posOffset>1348955</wp:posOffset>
            </wp:positionH>
            <wp:positionV relativeFrom="paragraph">
              <wp:posOffset>116740</wp:posOffset>
            </wp:positionV>
            <wp:extent cx="4894494" cy="1706308"/>
            <wp:effectExtent l="0" t="0" r="0" b="0"/>
            <wp:wrapTopAndBottom/>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24" cstate="print"/>
                    <a:stretch>
                      <a:fillRect/>
                    </a:stretch>
                  </pic:blipFill>
                  <pic:spPr>
                    <a:xfrm>
                      <a:off x="0" y="0"/>
                      <a:ext cx="4894494" cy="1706308"/>
                    </a:xfrm>
                    <a:prstGeom prst="rect">
                      <a:avLst/>
                    </a:prstGeom>
                  </pic:spPr>
                </pic:pic>
              </a:graphicData>
            </a:graphic>
          </wp:anchor>
        </w:drawing>
      </w:r>
    </w:p>
    <w:p>
      <w:pPr>
        <w:spacing w:before="122"/>
        <w:ind w:left="2746" w:right="0" w:firstLine="0"/>
        <w:jc w:val="left"/>
        <w:rPr>
          <w:b/>
          <w:sz w:val="24"/>
        </w:rPr>
      </w:pPr>
      <w:r>
        <w:rPr>
          <w:b/>
          <w:sz w:val="24"/>
        </w:rPr>
        <w:t xml:space="preserve">图 </w:t>
      </w:r>
      <w:r>
        <w:rPr>
          <w:rFonts w:ascii="Times New Roman" w:eastAsia="Times New Roman"/>
          <w:b/>
          <w:sz w:val="24"/>
        </w:rPr>
        <w:t xml:space="preserve">1.3-4  </w:t>
      </w:r>
      <w:r>
        <w:rPr>
          <w:b/>
          <w:sz w:val="24"/>
        </w:rPr>
        <w:t>全厂生产废水治理措施示意图</w:t>
      </w:r>
    </w:p>
    <w:p>
      <w:pPr>
        <w:pStyle w:val="ListParagraph"/>
        <w:numPr>
          <w:ilvl w:val="2"/>
          <w:numId w:val="7"/>
        </w:numPr>
        <w:tabs>
          <w:tab w:val="left" w:pos="779"/>
        </w:tabs>
        <w:spacing w:before="142" w:after="0" w:line="240" w:lineRule="auto"/>
        <w:ind w:left="778" w:right="0" w:hanging="541"/>
        <w:jc w:val="left"/>
        <w:rPr>
          <w:b/>
          <w:sz w:val="24"/>
        </w:rPr>
      </w:pPr>
      <w:bookmarkStart w:id="13" w:name="1.3.4平面布局变动情况"/>
      <w:bookmarkEnd w:id="13"/>
      <w:r>
        <w:rPr>
          <w:b/>
          <w:sz w:val="24"/>
        </w:rPr>
        <w:t>平面布局变动情况</w:t>
      </w:r>
    </w:p>
    <w:p>
      <w:pPr>
        <w:pStyle w:val="BodyText"/>
        <w:spacing w:before="160" w:line="362" w:lineRule="auto"/>
        <w:ind w:left="718" w:right="1865"/>
      </w:pPr>
      <w:r>
        <w:t>项目实际建设与原环评有调整，污水处理设备实际位于输送带旁。原环评平面布局和实际平面布局见下图：</w:t>
      </w:r>
    </w:p>
    <w:p>
      <w:pPr>
        <w:spacing w:after="0" w:line="362" w:lineRule="auto"/>
        <w:sectPr>
          <w:footerReference w:type="default" r:id="rId25"/>
          <w:pgSz w:w="11910" w:h="16840"/>
          <w:pgMar w:top="1540" w:right="1180" w:bottom="1160" w:left="1180" w:header="0" w:footer="974"/>
          <w:pgNumType w:start="7"/>
          <w:cols w:space="708"/>
        </w:sectPr>
      </w:pPr>
    </w:p>
    <w:p>
      <w:pPr>
        <w:pStyle w:val="BodyText"/>
        <w:ind w:left="238"/>
        <w:rPr>
          <w:sz w:val="20"/>
        </w:rPr>
      </w:pPr>
      <w:r>
        <w:rPr>
          <w:sz w:val="20"/>
        </w:rPr>
        <w:drawing>
          <wp:inline distT="0" distB="0" distL="0" distR="0">
            <wp:extent cx="5722317" cy="3171825"/>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26" cstate="print"/>
                    <a:stretch>
                      <a:fillRect/>
                    </a:stretch>
                  </pic:blipFill>
                  <pic:spPr>
                    <a:xfrm>
                      <a:off x="0" y="0"/>
                      <a:ext cx="5722317" cy="3171825"/>
                    </a:xfrm>
                    <a:prstGeom prst="rect">
                      <a:avLst/>
                    </a:prstGeom>
                  </pic:spPr>
                </pic:pic>
              </a:graphicData>
            </a:graphic>
          </wp:inline>
        </w:drawing>
      </w:r>
    </w:p>
    <w:p>
      <w:pPr>
        <w:pStyle w:val="BodyText"/>
        <w:spacing w:before="2"/>
        <w:rPr>
          <w:sz w:val="7"/>
        </w:rPr>
      </w:pPr>
    </w:p>
    <w:p>
      <w:pPr>
        <w:spacing w:before="74"/>
        <w:ind w:left="3348" w:right="0" w:firstLine="0"/>
        <w:jc w:val="left"/>
        <w:rPr>
          <w:b/>
          <w:sz w:val="24"/>
        </w:rPr>
      </w:pPr>
      <w:r>
        <w:rPr>
          <w:b/>
          <w:sz w:val="24"/>
        </w:rPr>
        <w:t xml:space="preserve">图 </w:t>
      </w:r>
      <w:r>
        <w:rPr>
          <w:rFonts w:ascii="Times New Roman" w:eastAsia="Times New Roman"/>
          <w:b/>
          <w:sz w:val="24"/>
        </w:rPr>
        <w:t xml:space="preserve">1.3-5  </w:t>
      </w:r>
      <w:r>
        <w:rPr>
          <w:b/>
          <w:sz w:val="24"/>
        </w:rPr>
        <w:t>原环评平面布置图</w:t>
      </w:r>
    </w:p>
    <w:p>
      <w:pPr>
        <w:pStyle w:val="BodyText"/>
        <w:ind w:left="238"/>
        <w:rPr>
          <w:sz w:val="20"/>
        </w:rPr>
      </w:pPr>
      <w:r>
        <w:rPr>
          <w:sz w:val="20"/>
        </w:rPr>
        <w:drawing>
          <wp:inline distT="0" distB="0" distL="0" distR="0">
            <wp:extent cx="5756147" cy="3086100"/>
            <wp:effectExtent l="0" t="0" r="0" b="0"/>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jpeg"/>
                    <pic:cNvPicPr/>
                  </pic:nvPicPr>
                  <pic:blipFill>
                    <a:blip xmlns:r="http://schemas.openxmlformats.org/officeDocument/2006/relationships" r:embed="rId27" cstate="print"/>
                    <a:stretch>
                      <a:fillRect/>
                    </a:stretch>
                  </pic:blipFill>
                  <pic:spPr>
                    <a:xfrm>
                      <a:off x="0" y="0"/>
                      <a:ext cx="5756147" cy="3086100"/>
                    </a:xfrm>
                    <a:prstGeom prst="rect">
                      <a:avLst/>
                    </a:prstGeom>
                  </pic:spPr>
                </pic:pic>
              </a:graphicData>
            </a:graphic>
          </wp:inline>
        </w:drawing>
      </w:r>
    </w:p>
    <w:p>
      <w:pPr>
        <w:spacing w:before="3"/>
        <w:ind w:left="3468" w:right="0" w:firstLine="0"/>
        <w:jc w:val="left"/>
        <w:rPr>
          <w:b/>
          <w:sz w:val="24"/>
        </w:rPr>
      </w:pPr>
      <w:r>
        <w:rPr>
          <w:b/>
          <w:sz w:val="24"/>
        </w:rPr>
        <w:t xml:space="preserve">图 </w:t>
      </w:r>
      <w:r>
        <w:rPr>
          <w:rFonts w:ascii="Times New Roman" w:eastAsia="Times New Roman"/>
          <w:b/>
          <w:sz w:val="24"/>
        </w:rPr>
        <w:t xml:space="preserve">1.3-6  </w:t>
      </w:r>
      <w:r>
        <w:rPr>
          <w:b/>
          <w:sz w:val="24"/>
        </w:rPr>
        <w:t>实际平面布置图</w:t>
      </w:r>
    </w:p>
    <w:p>
      <w:pPr>
        <w:pStyle w:val="BodyText"/>
        <w:spacing w:before="5" w:line="362" w:lineRule="auto"/>
        <w:ind w:left="238" w:right="183" w:firstLine="480"/>
      </w:pPr>
      <w:r>
        <w:t xml:space="preserve">本项目实际建设内容、原环评内容和要求、主要变动内容、变动原因、不利环境影响变化情况分析见下表 </w:t>
      </w:r>
      <w:r>
        <w:rPr>
          <w:rFonts w:ascii="Times New Roman" w:eastAsia="Times New Roman"/>
        </w:rPr>
        <w:t>1.3-4</w:t>
      </w:r>
      <w:r>
        <w:t>。经分析项目变动属于一般变动。</w:t>
      </w:r>
    </w:p>
    <w:p>
      <w:pPr>
        <w:spacing w:after="0" w:line="36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https://d.book118.com/936003131034010103</w:t>
        </w:r>
      </w:hyperlink>
    </w:p>
    <w:p>
      <w:pPr>
        <w:spacing w:after="0" w:line="362" w:lineRule="auto"/>
      </w:pPr>
    </w:p>
    <w:sectPr>
      <w:footerReference w:type="default" r:id="rId29"/>
      <w:pgSz w:w="11910" w:h="16840"/>
      <w:pgMar w:top="1400" w:right="1180" w:bottom="1160" w:left="1180" w:header="0" w:footer="974"/>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70.9pt,779.55pt" to="506.4pt,779.55pt" stroked="t" strokecolor="black" strokeweight="0.72pt">
          <v:stroke dashstyle="solid"/>
        </v:line>
      </w:pict>
    </w:r>
    <w:r>
      <w:pict>
        <v:shapetype id="_x0000_t202" coordsize="21600,21600" o:spt="202" path="m,l,21600r21600,l21600,xe">
          <v:stroke joinstyle="miter"/>
          <v:path gradientshapeok="t" o:connecttype="rect"/>
        </v:shapetype>
        <v:shape id="_x0000_s2050" type="#_x0000_t202" style="width:9.25pt;height:13.6pt;margin-top:778.62pt;margin-left:292.96pt;mso-position-horizontal-relative:page;mso-position-vertical-relative:page;position:absolute;z-index:-251657216" filled="f" stroked="f">
          <v:textbox inset="0,0,0,0">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rPr>
                    <w:rFonts w:ascii="Times New Roman"/>
                    <w:w w:val="99"/>
                    <w:sz w:val="21"/>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1" style="mso-position-horizontal-relative:page;mso-position-vertical-relative:page;position:absolute;z-index:-251656192" from="70.9pt,779.55pt" to="506.4pt,779.55pt" stroked="t" strokecolor="black" strokeweight="0.72pt">
          <v:stroke dashstyle="solid"/>
        </v:line>
      </w:pict>
    </w:r>
    <w:r>
      <w:pict>
        <v:shapetype id="_x0000_t202" coordsize="21600,21600" o:spt="202" path="m,l,21600r21600,l21600,xe">
          <v:stroke joinstyle="miter"/>
          <v:path gradientshapeok="t" o:connecttype="rect"/>
        </v:shapetype>
        <v:shape id="_x0000_s2052" type="#_x0000_t202" style="width:9.25pt;height:13.6pt;margin-top:778.62pt;margin-left:292.96pt;mso-position-horizontal-relative:page;mso-position-vertical-relative:page;position:absolute;z-index:-251655168" filled="f" stroked="f">
          <v:textbox inset="0,0,0,0">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rPr>
                    <w:rFonts w:ascii="Times New Roman"/>
                    <w:w w:val="99"/>
                    <w:sz w:val="21"/>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3" style="mso-position-horizontal-relative:page;mso-position-vertical-relative:page;position:absolute;z-index:-251654144" from="70.9pt,779.55pt" to="506.4pt,779.55pt" stroked="t" strokecolor="black" strokeweight="0.72pt">
          <v:stroke dashstyle="solid"/>
        </v:line>
      </w:pict>
    </w:r>
    <w:r>
      <w:pict>
        <v:shapetype id="_x0000_t202" coordsize="21600,21600" o:spt="202" path="m,l,21600r21600,l21600,xe">
          <v:stroke joinstyle="miter"/>
          <v:path gradientshapeok="t" o:connecttype="rect"/>
        </v:shapetype>
        <v:shape id="_x0000_s2054" type="#_x0000_t202" style="width:9.25pt;height:13.6pt;margin-top:778.62pt;margin-left:292.96pt;mso-position-horizontal-relative:page;mso-position-vertical-relative:page;position:absolute;z-index:-251653120" filled="f" stroked="f">
          <v:textbox inset="0,0,0,0">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rPr>
                    <w:rFonts w:ascii="Times New Roman"/>
                    <w:w w:val="99"/>
                    <w:sz w:val="21"/>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5" style="mso-position-horizontal-relative:page;mso-position-vertical-relative:page;position:absolute;z-index:-251652096" from="70.9pt,779.55pt" to="506.4pt,779.55pt" stroked="t" strokecolor="black" strokeweight="0.72pt">
          <v:stroke dashstyle="solid"/>
        </v:line>
      </w:pict>
    </w:r>
    <w:r>
      <w:pict>
        <v:shapetype id="_x0000_t202" coordsize="21600,21600" o:spt="202" path="m,l,21600r21600,l21600,xe">
          <v:stroke joinstyle="miter"/>
          <v:path gradientshapeok="t" o:connecttype="rect"/>
        </v:shapetype>
        <v:shape id="_x0000_s2056" type="#_x0000_t202" style="width:9.25pt;height:13.6pt;margin-top:778.62pt;margin-left:292.96pt;mso-position-horizontal-relative:page;mso-position-vertical-relative:page;position:absolute;z-index:-251651072" filled="f" stroked="f">
          <v:textbox inset="0,0,0,0">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rPr>
                    <w:rFonts w:ascii="Times New Roman"/>
                    <w:w w:val="99"/>
                    <w:sz w:val="21"/>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7" style="mso-position-horizontal-relative:page;mso-position-vertical-relative:page;position:absolute;z-index:-251650048" from="70.9pt,779.55pt" to="506.4pt,779.55pt" stroked="t" strokecolor="black" strokeweight="0.72pt">
          <v:stroke dashstyle="solid"/>
        </v:line>
      </w:pict>
    </w:r>
    <w:r>
      <w:pict>
        <v:shapetype id="_x0000_t202" coordsize="21600,21600" o:spt="202" path="m,l,21600r21600,l21600,xe">
          <v:stroke joinstyle="miter"/>
          <v:path gradientshapeok="t" o:connecttype="rect"/>
        </v:shapetype>
        <v:shape id="_x0000_s2058" type="#_x0000_t202" style="width:9.25pt;height:13.6pt;margin-top:778.62pt;margin-left:292.96pt;mso-position-horizontal-relative:page;mso-position-vertical-relative:page;position:absolute;z-index:-251649024" filled="f" stroked="f">
          <v:textbox inset="0,0,0,0">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rPr>
                    <w:rFonts w:ascii="Times New Roman"/>
                    <w:w w:val="99"/>
                    <w:sz w:val="21"/>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9" style="mso-position-horizontal-relative:page;mso-position-vertical-relative:page;position:absolute;z-index:-251648000" from="70.9pt,779.55pt" to="506.4pt,779.55pt" stroked="t" strokecolor="black" strokeweight="0.72pt">
          <v:stroke dashstyle="solid"/>
        </v:line>
      </w:pict>
    </w:r>
    <w:r>
      <w:pict>
        <v:shapetype id="_x0000_t202" coordsize="21600,21600" o:spt="202" path="m,l,21600r21600,l21600,xe">
          <v:stroke joinstyle="miter"/>
          <v:path gradientshapeok="t" o:connecttype="rect"/>
        </v:shapetype>
        <v:shape id="_x0000_s2060" type="#_x0000_t202" style="width:9.25pt;height:13.6pt;margin-top:778.62pt;margin-left:292.96pt;mso-position-horizontal-relative:page;mso-position-vertical-relative:page;position:absolute;z-index:-251646976" filled="f" stroked="f">
          <v:textbox inset="0,0,0,0">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rPr>
                    <w:rFonts w:ascii="Times New Roman"/>
                    <w:w w:val="99"/>
                    <w:sz w:val="21"/>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1" style="mso-position-horizontal-relative:page;mso-position-vertical-relative:page;position:absolute;z-index:-251645952" from="70.9pt,779.55pt" to="506.4pt,779.55pt" stroked="t" strokecolor="black" strokeweight="0.72pt">
          <v:stroke dashstyle="solid"/>
        </v:line>
      </w:pict>
    </w:r>
    <w:r>
      <w:pict>
        <v:shapetype id="_x0000_t202" coordsize="21600,21600" o:spt="202" path="m,l,21600r21600,l21600,xe">
          <v:stroke joinstyle="miter"/>
          <v:path gradientshapeok="t" o:connecttype="rect"/>
        </v:shapetype>
        <v:shape id="_x0000_s2062" type="#_x0000_t202" style="width:9.25pt;height:13.6pt;margin-top:778.62pt;margin-left:292.96pt;mso-position-horizontal-relative:page;mso-position-vertical-relative:page;position:absolute;z-index:-251644928" filled="f" stroked="f">
          <v:textbox inset="0,0,0,0">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rPr>
                    <w:rFonts w:ascii="Times New Roman"/>
                    <w:w w:val="99"/>
                    <w:sz w:val="21"/>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3" style="mso-position-horizontal-relative:page;mso-position-vertical-relative:page;position:absolute;z-index:-251643904" from="70.9pt,779.55pt" to="506.4pt,779.55pt" stroked="t" strokecolor="black" strokeweight="0.72pt">
          <v:stroke dashstyle="solid"/>
        </v:line>
      </w:pict>
    </w:r>
    <w:r>
      <w:pict>
        <v:shapetype id="_x0000_t202" coordsize="21600,21600" o:spt="202" path="m,l,21600r21600,l21600,xe">
          <v:stroke joinstyle="miter"/>
          <v:path gradientshapeok="t" o:connecttype="rect"/>
        </v:shapetype>
        <v:shape id="_x0000_s2064" type="#_x0000_t202" style="width:9.25pt;height:13.6pt;margin-top:778.62pt;margin-left:292.96pt;mso-position-horizontal-relative:page;mso-position-vertical-relative:page;position:absolute;z-index:-251642880" filled="f" stroked="f">
          <v:textbox inset="0,0,0,0">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rPr>
                    <w:rFonts w:ascii="Times New Roman"/>
                    <w:w w:val="99"/>
                    <w:sz w:val="21"/>
                  </w:rPr>
                  <w:t>8</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ED487"/>
    <w:multiLevelType w:val="hybridMultilevel"/>
    <w:tmpl w:val="00000000"/>
    <w:lvl w:ilvl="0">
      <w:start w:val="2"/>
      <w:numFmt w:val="decimal"/>
      <w:lvlText w:val="%1."/>
      <w:lvlJc w:val="left"/>
      <w:pPr>
        <w:ind w:left="143" w:hanging="212"/>
        <w:jc w:val="left"/>
      </w:pPr>
      <w:rPr>
        <w:rFonts w:ascii="宋体" w:eastAsia="宋体" w:hAnsi="宋体" w:cs="宋体" w:hint="default"/>
        <w:spacing w:val="-2"/>
        <w:w w:val="99"/>
        <w:sz w:val="19"/>
        <w:szCs w:val="19"/>
        <w:lang w:val="zh-CN" w:eastAsia="zh-CN" w:bidi="zh-CN"/>
      </w:rPr>
    </w:lvl>
    <w:lvl w:ilvl="1">
      <w:start w:val="0"/>
      <w:numFmt w:val="bullet"/>
      <w:lvlText w:val="•"/>
      <w:lvlJc w:val="left"/>
      <w:pPr>
        <w:ind w:left="426" w:hanging="212"/>
      </w:pPr>
      <w:rPr>
        <w:rFonts w:hint="default"/>
        <w:lang w:val="zh-CN" w:eastAsia="zh-CN" w:bidi="zh-CN"/>
      </w:rPr>
    </w:lvl>
    <w:lvl w:ilvl="2">
      <w:start w:val="0"/>
      <w:numFmt w:val="bullet"/>
      <w:lvlText w:val="•"/>
      <w:lvlJc w:val="left"/>
      <w:pPr>
        <w:ind w:left="713" w:hanging="212"/>
      </w:pPr>
      <w:rPr>
        <w:rFonts w:hint="default"/>
        <w:lang w:val="zh-CN" w:eastAsia="zh-CN" w:bidi="zh-CN"/>
      </w:rPr>
    </w:lvl>
    <w:lvl w:ilvl="3">
      <w:start w:val="0"/>
      <w:numFmt w:val="bullet"/>
      <w:lvlText w:val="•"/>
      <w:lvlJc w:val="left"/>
      <w:pPr>
        <w:ind w:left="1000" w:hanging="212"/>
      </w:pPr>
      <w:rPr>
        <w:rFonts w:hint="default"/>
        <w:lang w:val="zh-CN" w:eastAsia="zh-CN" w:bidi="zh-CN"/>
      </w:rPr>
    </w:lvl>
    <w:lvl w:ilvl="4">
      <w:start w:val="0"/>
      <w:numFmt w:val="bullet"/>
      <w:lvlText w:val="•"/>
      <w:lvlJc w:val="left"/>
      <w:pPr>
        <w:ind w:left="1287" w:hanging="212"/>
      </w:pPr>
      <w:rPr>
        <w:rFonts w:hint="default"/>
        <w:lang w:val="zh-CN" w:eastAsia="zh-CN" w:bidi="zh-CN"/>
      </w:rPr>
    </w:lvl>
    <w:lvl w:ilvl="5">
      <w:start w:val="0"/>
      <w:numFmt w:val="bullet"/>
      <w:lvlText w:val="•"/>
      <w:lvlJc w:val="left"/>
      <w:pPr>
        <w:ind w:left="1574" w:hanging="212"/>
      </w:pPr>
      <w:rPr>
        <w:rFonts w:hint="default"/>
        <w:lang w:val="zh-CN" w:eastAsia="zh-CN" w:bidi="zh-CN"/>
      </w:rPr>
    </w:lvl>
    <w:lvl w:ilvl="6">
      <w:start w:val="0"/>
      <w:numFmt w:val="bullet"/>
      <w:lvlText w:val="•"/>
      <w:lvlJc w:val="left"/>
      <w:pPr>
        <w:ind w:left="1861" w:hanging="212"/>
      </w:pPr>
      <w:rPr>
        <w:rFonts w:hint="default"/>
        <w:lang w:val="zh-CN" w:eastAsia="zh-CN" w:bidi="zh-CN"/>
      </w:rPr>
    </w:lvl>
    <w:lvl w:ilvl="7">
      <w:start w:val="0"/>
      <w:numFmt w:val="bullet"/>
      <w:lvlText w:val="•"/>
      <w:lvlJc w:val="left"/>
      <w:pPr>
        <w:ind w:left="2148" w:hanging="212"/>
      </w:pPr>
      <w:rPr>
        <w:rFonts w:hint="default"/>
        <w:lang w:val="zh-CN" w:eastAsia="zh-CN" w:bidi="zh-CN"/>
      </w:rPr>
    </w:lvl>
    <w:lvl w:ilvl="8">
      <w:start w:val="0"/>
      <w:numFmt w:val="bullet"/>
      <w:lvlText w:val="•"/>
      <w:lvlJc w:val="left"/>
      <w:pPr>
        <w:ind w:left="2435" w:hanging="212"/>
      </w:pPr>
      <w:rPr>
        <w:rFonts w:hint="default"/>
        <w:lang w:val="zh-CN" w:eastAsia="zh-CN" w:bidi="zh-CN"/>
      </w:rPr>
    </w:lvl>
  </w:abstractNum>
  <w:abstractNum w:abstractNumId="1">
    <w:nsid w:val="0693EC24"/>
    <w:multiLevelType w:val="hybridMultilevel"/>
    <w:tmpl w:val="00000000"/>
    <w:lvl w:ilvl="0">
      <w:start w:val="1"/>
      <w:numFmt w:val="decimal"/>
      <w:lvlText w:val="%1"/>
      <w:lvlJc w:val="left"/>
      <w:pPr>
        <w:ind w:left="797" w:hanging="180"/>
        <w:jc w:val="left"/>
      </w:pPr>
      <w:rPr>
        <w:rFonts w:ascii="宋体" w:eastAsia="宋体" w:hAnsi="宋体" w:cs="宋体" w:hint="default"/>
        <w:b/>
        <w:bCs/>
        <w:w w:val="99"/>
        <w:sz w:val="24"/>
        <w:szCs w:val="24"/>
        <w:lang w:val="zh-CN" w:eastAsia="zh-CN" w:bidi="zh-CN"/>
      </w:rPr>
    </w:lvl>
    <w:lvl w:ilvl="1">
      <w:start w:val="1"/>
      <w:numFmt w:val="decimal"/>
      <w:lvlText w:val="%1.%2"/>
      <w:lvlJc w:val="left"/>
      <w:pPr>
        <w:ind w:left="1246" w:hanging="420"/>
        <w:jc w:val="left"/>
      </w:pPr>
      <w:rPr>
        <w:rFonts w:ascii="宋体" w:eastAsia="宋体" w:hAnsi="宋体" w:cs="宋体" w:hint="default"/>
        <w:w w:val="100"/>
        <w:sz w:val="24"/>
        <w:szCs w:val="24"/>
        <w:lang w:val="zh-CN" w:eastAsia="zh-CN" w:bidi="zh-CN"/>
      </w:rPr>
    </w:lvl>
    <w:lvl w:ilvl="2">
      <w:start w:val="0"/>
      <w:numFmt w:val="bullet"/>
      <w:lvlText w:val="•"/>
      <w:lvlJc w:val="left"/>
      <w:pPr>
        <w:ind w:left="2162" w:hanging="420"/>
      </w:pPr>
      <w:rPr>
        <w:rFonts w:hint="default"/>
        <w:lang w:val="zh-CN" w:eastAsia="zh-CN" w:bidi="zh-CN"/>
      </w:rPr>
    </w:lvl>
    <w:lvl w:ilvl="3">
      <w:start w:val="0"/>
      <w:numFmt w:val="bullet"/>
      <w:lvlText w:val="•"/>
      <w:lvlJc w:val="left"/>
      <w:pPr>
        <w:ind w:left="3085" w:hanging="420"/>
      </w:pPr>
      <w:rPr>
        <w:rFonts w:hint="default"/>
        <w:lang w:val="zh-CN" w:eastAsia="zh-CN" w:bidi="zh-CN"/>
      </w:rPr>
    </w:lvl>
    <w:lvl w:ilvl="4">
      <w:start w:val="0"/>
      <w:numFmt w:val="bullet"/>
      <w:lvlText w:val="•"/>
      <w:lvlJc w:val="left"/>
      <w:pPr>
        <w:ind w:left="4008" w:hanging="420"/>
      </w:pPr>
      <w:rPr>
        <w:rFonts w:hint="default"/>
        <w:lang w:val="zh-CN" w:eastAsia="zh-CN" w:bidi="zh-CN"/>
      </w:rPr>
    </w:lvl>
    <w:lvl w:ilvl="5">
      <w:start w:val="0"/>
      <w:numFmt w:val="bullet"/>
      <w:lvlText w:val="•"/>
      <w:lvlJc w:val="left"/>
      <w:pPr>
        <w:ind w:left="4931" w:hanging="420"/>
      </w:pPr>
      <w:rPr>
        <w:rFonts w:hint="default"/>
        <w:lang w:val="zh-CN" w:eastAsia="zh-CN" w:bidi="zh-CN"/>
      </w:rPr>
    </w:lvl>
    <w:lvl w:ilvl="6">
      <w:start w:val="0"/>
      <w:numFmt w:val="bullet"/>
      <w:lvlText w:val="•"/>
      <w:lvlJc w:val="left"/>
      <w:pPr>
        <w:ind w:left="5854" w:hanging="420"/>
      </w:pPr>
      <w:rPr>
        <w:rFonts w:hint="default"/>
        <w:lang w:val="zh-CN" w:eastAsia="zh-CN" w:bidi="zh-CN"/>
      </w:rPr>
    </w:lvl>
    <w:lvl w:ilvl="7">
      <w:start w:val="0"/>
      <w:numFmt w:val="bullet"/>
      <w:lvlText w:val="•"/>
      <w:lvlJc w:val="left"/>
      <w:pPr>
        <w:ind w:left="6777" w:hanging="420"/>
      </w:pPr>
      <w:rPr>
        <w:rFonts w:hint="default"/>
        <w:lang w:val="zh-CN" w:eastAsia="zh-CN" w:bidi="zh-CN"/>
      </w:rPr>
    </w:lvl>
    <w:lvl w:ilvl="8">
      <w:start w:val="0"/>
      <w:numFmt w:val="bullet"/>
      <w:lvlText w:val="•"/>
      <w:lvlJc w:val="left"/>
      <w:pPr>
        <w:ind w:left="7700" w:hanging="420"/>
      </w:pPr>
      <w:rPr>
        <w:rFonts w:hint="default"/>
        <w:lang w:val="zh-CN" w:eastAsia="zh-CN" w:bidi="zh-CN"/>
      </w:rPr>
    </w:lvl>
  </w:abstractNum>
  <w:abstractNum w:abstractNumId="2">
    <w:nsid w:val="0B4DC33B"/>
    <w:multiLevelType w:val="hybridMultilevel"/>
    <w:tmpl w:val="00000000"/>
    <w:lvl w:ilvl="0">
      <w:start w:val="2"/>
      <w:numFmt w:val="decimal"/>
      <w:lvlText w:val="%1."/>
      <w:lvlJc w:val="left"/>
      <w:pPr>
        <w:ind w:left="107" w:hanging="212"/>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427" w:hanging="212"/>
      </w:pPr>
      <w:rPr>
        <w:rFonts w:hint="default"/>
        <w:lang w:val="zh-CN" w:eastAsia="zh-CN" w:bidi="zh-CN"/>
      </w:rPr>
    </w:lvl>
    <w:lvl w:ilvl="2">
      <w:start w:val="0"/>
      <w:numFmt w:val="bullet"/>
      <w:lvlText w:val="•"/>
      <w:lvlJc w:val="left"/>
      <w:pPr>
        <w:ind w:left="755" w:hanging="212"/>
      </w:pPr>
      <w:rPr>
        <w:rFonts w:hint="default"/>
        <w:lang w:val="zh-CN" w:eastAsia="zh-CN" w:bidi="zh-CN"/>
      </w:rPr>
    </w:lvl>
    <w:lvl w:ilvl="3">
      <w:start w:val="0"/>
      <w:numFmt w:val="bullet"/>
      <w:lvlText w:val="•"/>
      <w:lvlJc w:val="left"/>
      <w:pPr>
        <w:ind w:left="1082" w:hanging="212"/>
      </w:pPr>
      <w:rPr>
        <w:rFonts w:hint="default"/>
        <w:lang w:val="zh-CN" w:eastAsia="zh-CN" w:bidi="zh-CN"/>
      </w:rPr>
    </w:lvl>
    <w:lvl w:ilvl="4">
      <w:start w:val="0"/>
      <w:numFmt w:val="bullet"/>
      <w:lvlText w:val="•"/>
      <w:lvlJc w:val="left"/>
      <w:pPr>
        <w:ind w:left="1410" w:hanging="212"/>
      </w:pPr>
      <w:rPr>
        <w:rFonts w:hint="default"/>
        <w:lang w:val="zh-CN" w:eastAsia="zh-CN" w:bidi="zh-CN"/>
      </w:rPr>
    </w:lvl>
    <w:lvl w:ilvl="5">
      <w:start w:val="0"/>
      <w:numFmt w:val="bullet"/>
      <w:lvlText w:val="•"/>
      <w:lvlJc w:val="left"/>
      <w:pPr>
        <w:ind w:left="1738" w:hanging="212"/>
      </w:pPr>
      <w:rPr>
        <w:rFonts w:hint="default"/>
        <w:lang w:val="zh-CN" w:eastAsia="zh-CN" w:bidi="zh-CN"/>
      </w:rPr>
    </w:lvl>
    <w:lvl w:ilvl="6">
      <w:start w:val="0"/>
      <w:numFmt w:val="bullet"/>
      <w:lvlText w:val="•"/>
      <w:lvlJc w:val="left"/>
      <w:pPr>
        <w:ind w:left="2065" w:hanging="212"/>
      </w:pPr>
      <w:rPr>
        <w:rFonts w:hint="default"/>
        <w:lang w:val="zh-CN" w:eastAsia="zh-CN" w:bidi="zh-CN"/>
      </w:rPr>
    </w:lvl>
    <w:lvl w:ilvl="7">
      <w:start w:val="0"/>
      <w:numFmt w:val="bullet"/>
      <w:lvlText w:val="•"/>
      <w:lvlJc w:val="left"/>
      <w:pPr>
        <w:ind w:left="2393" w:hanging="212"/>
      </w:pPr>
      <w:rPr>
        <w:rFonts w:hint="default"/>
        <w:lang w:val="zh-CN" w:eastAsia="zh-CN" w:bidi="zh-CN"/>
      </w:rPr>
    </w:lvl>
    <w:lvl w:ilvl="8">
      <w:start w:val="0"/>
      <w:numFmt w:val="bullet"/>
      <w:lvlText w:val="•"/>
      <w:lvlJc w:val="left"/>
      <w:pPr>
        <w:ind w:left="2720" w:hanging="212"/>
      </w:pPr>
      <w:rPr>
        <w:rFonts w:hint="default"/>
        <w:lang w:val="zh-CN" w:eastAsia="zh-CN" w:bidi="zh-CN"/>
      </w:rPr>
    </w:lvl>
  </w:abstractNum>
  <w:abstractNum w:abstractNumId="3">
    <w:nsid w:val="1A9ADADF"/>
    <w:multiLevelType w:val="hybridMultilevel"/>
    <w:tmpl w:val="00000000"/>
    <w:lvl w:ilvl="0">
      <w:start w:val="3"/>
      <w:numFmt w:val="decimal"/>
      <w:lvlText w:val="%1."/>
      <w:lvlJc w:val="left"/>
      <w:pPr>
        <w:ind w:left="107" w:hanging="212"/>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427" w:hanging="212"/>
      </w:pPr>
      <w:rPr>
        <w:rFonts w:hint="default"/>
        <w:lang w:val="zh-CN" w:eastAsia="zh-CN" w:bidi="zh-CN"/>
      </w:rPr>
    </w:lvl>
    <w:lvl w:ilvl="2">
      <w:start w:val="0"/>
      <w:numFmt w:val="bullet"/>
      <w:lvlText w:val="•"/>
      <w:lvlJc w:val="left"/>
      <w:pPr>
        <w:ind w:left="755" w:hanging="212"/>
      </w:pPr>
      <w:rPr>
        <w:rFonts w:hint="default"/>
        <w:lang w:val="zh-CN" w:eastAsia="zh-CN" w:bidi="zh-CN"/>
      </w:rPr>
    </w:lvl>
    <w:lvl w:ilvl="3">
      <w:start w:val="0"/>
      <w:numFmt w:val="bullet"/>
      <w:lvlText w:val="•"/>
      <w:lvlJc w:val="left"/>
      <w:pPr>
        <w:ind w:left="1082" w:hanging="212"/>
      </w:pPr>
      <w:rPr>
        <w:rFonts w:hint="default"/>
        <w:lang w:val="zh-CN" w:eastAsia="zh-CN" w:bidi="zh-CN"/>
      </w:rPr>
    </w:lvl>
    <w:lvl w:ilvl="4">
      <w:start w:val="0"/>
      <w:numFmt w:val="bullet"/>
      <w:lvlText w:val="•"/>
      <w:lvlJc w:val="left"/>
      <w:pPr>
        <w:ind w:left="1410" w:hanging="212"/>
      </w:pPr>
      <w:rPr>
        <w:rFonts w:hint="default"/>
        <w:lang w:val="zh-CN" w:eastAsia="zh-CN" w:bidi="zh-CN"/>
      </w:rPr>
    </w:lvl>
    <w:lvl w:ilvl="5">
      <w:start w:val="0"/>
      <w:numFmt w:val="bullet"/>
      <w:lvlText w:val="•"/>
      <w:lvlJc w:val="left"/>
      <w:pPr>
        <w:ind w:left="1738" w:hanging="212"/>
      </w:pPr>
      <w:rPr>
        <w:rFonts w:hint="default"/>
        <w:lang w:val="zh-CN" w:eastAsia="zh-CN" w:bidi="zh-CN"/>
      </w:rPr>
    </w:lvl>
    <w:lvl w:ilvl="6">
      <w:start w:val="0"/>
      <w:numFmt w:val="bullet"/>
      <w:lvlText w:val="•"/>
      <w:lvlJc w:val="left"/>
      <w:pPr>
        <w:ind w:left="2065" w:hanging="212"/>
      </w:pPr>
      <w:rPr>
        <w:rFonts w:hint="default"/>
        <w:lang w:val="zh-CN" w:eastAsia="zh-CN" w:bidi="zh-CN"/>
      </w:rPr>
    </w:lvl>
    <w:lvl w:ilvl="7">
      <w:start w:val="0"/>
      <w:numFmt w:val="bullet"/>
      <w:lvlText w:val="•"/>
      <w:lvlJc w:val="left"/>
      <w:pPr>
        <w:ind w:left="2393" w:hanging="212"/>
      </w:pPr>
      <w:rPr>
        <w:rFonts w:hint="default"/>
        <w:lang w:val="zh-CN" w:eastAsia="zh-CN" w:bidi="zh-CN"/>
      </w:rPr>
    </w:lvl>
    <w:lvl w:ilvl="8">
      <w:start w:val="0"/>
      <w:numFmt w:val="bullet"/>
      <w:lvlText w:val="•"/>
      <w:lvlJc w:val="left"/>
      <w:pPr>
        <w:ind w:left="2720" w:hanging="212"/>
      </w:pPr>
      <w:rPr>
        <w:rFonts w:hint="default"/>
        <w:lang w:val="zh-CN" w:eastAsia="zh-CN" w:bidi="zh-CN"/>
      </w:rPr>
    </w:lvl>
  </w:abstractNum>
  <w:abstractNum w:abstractNumId="4">
    <w:nsid w:val="4ED142E5"/>
    <w:multiLevelType w:val="hybridMultilevel"/>
    <w:tmpl w:val="00000000"/>
    <w:lvl w:ilvl="0">
      <w:start w:val="1"/>
      <w:numFmt w:val="decimal"/>
      <w:lvlText w:val="%1"/>
      <w:lvlJc w:val="left"/>
      <w:pPr>
        <w:ind w:left="447" w:hanging="209"/>
        <w:jc w:val="left"/>
      </w:pPr>
      <w:rPr>
        <w:rFonts w:ascii="Times New Roman" w:eastAsia="Times New Roman" w:hAnsi="Times New Roman" w:cs="Times New Roman" w:hint="default"/>
        <w:b/>
        <w:bCs/>
        <w:w w:val="100"/>
        <w:sz w:val="28"/>
        <w:szCs w:val="28"/>
        <w:lang w:val="zh-CN" w:eastAsia="zh-CN" w:bidi="zh-CN"/>
      </w:rPr>
    </w:lvl>
    <w:lvl w:ilvl="1">
      <w:start w:val="1"/>
      <w:numFmt w:val="decimal"/>
      <w:lvlText w:val="%1.%2"/>
      <w:lvlJc w:val="left"/>
      <w:pPr>
        <w:ind w:left="598" w:hanging="360"/>
        <w:jc w:val="left"/>
      </w:pPr>
      <w:rPr>
        <w:rFonts w:ascii="Times New Roman" w:eastAsia="Times New Roman" w:hAnsi="Times New Roman" w:cs="Times New Roman" w:hint="default"/>
        <w:b/>
        <w:bCs/>
        <w:w w:val="99"/>
        <w:sz w:val="24"/>
        <w:szCs w:val="24"/>
        <w:lang w:val="zh-CN" w:eastAsia="zh-CN" w:bidi="zh-CN"/>
      </w:rPr>
    </w:lvl>
    <w:lvl w:ilvl="2">
      <w:start w:val="1"/>
      <w:numFmt w:val="decimal"/>
      <w:lvlText w:val="%1.%2.%3"/>
      <w:lvlJc w:val="left"/>
      <w:pPr>
        <w:ind w:left="778" w:hanging="540"/>
        <w:jc w:val="left"/>
      </w:pPr>
      <w:rPr>
        <w:rFonts w:ascii="Times New Roman" w:eastAsia="Times New Roman" w:hAnsi="Times New Roman" w:cs="Times New Roman" w:hint="default"/>
        <w:b/>
        <w:bCs/>
        <w:w w:val="99"/>
        <w:sz w:val="24"/>
        <w:szCs w:val="24"/>
        <w:lang w:val="zh-CN" w:eastAsia="zh-CN" w:bidi="zh-CN"/>
      </w:rPr>
    </w:lvl>
    <w:lvl w:ilvl="3">
      <w:start w:val="1"/>
      <w:numFmt w:val="decimal"/>
      <w:lvlText w:val="%1.%2.%3.%4"/>
      <w:lvlJc w:val="left"/>
      <w:pPr>
        <w:ind w:left="718" w:hanging="720"/>
        <w:jc w:val="left"/>
      </w:pPr>
      <w:rPr>
        <w:rFonts w:ascii="Times New Roman" w:eastAsia="Times New Roman" w:hAnsi="Times New Roman" w:cs="Times New Roman" w:hint="default"/>
        <w:b/>
        <w:bCs/>
        <w:spacing w:val="-16"/>
        <w:w w:val="99"/>
        <w:sz w:val="24"/>
        <w:szCs w:val="24"/>
        <w:lang w:val="zh-CN" w:eastAsia="zh-CN" w:bidi="zh-CN"/>
      </w:rPr>
    </w:lvl>
    <w:lvl w:ilvl="4">
      <w:start w:val="0"/>
      <w:numFmt w:val="bullet"/>
      <w:lvlText w:val="•"/>
      <w:lvlJc w:val="left"/>
      <w:pPr>
        <w:ind w:left="2032" w:hanging="720"/>
      </w:pPr>
      <w:rPr>
        <w:rFonts w:hint="default"/>
        <w:lang w:val="zh-CN" w:eastAsia="zh-CN" w:bidi="zh-CN"/>
      </w:rPr>
    </w:lvl>
    <w:lvl w:ilvl="5">
      <w:start w:val="0"/>
      <w:numFmt w:val="bullet"/>
      <w:lvlText w:val="•"/>
      <w:lvlJc w:val="left"/>
      <w:pPr>
        <w:ind w:left="3284" w:hanging="720"/>
      </w:pPr>
      <w:rPr>
        <w:rFonts w:hint="default"/>
        <w:lang w:val="zh-CN" w:eastAsia="zh-CN" w:bidi="zh-CN"/>
      </w:rPr>
    </w:lvl>
    <w:lvl w:ilvl="6">
      <w:start w:val="0"/>
      <w:numFmt w:val="bullet"/>
      <w:lvlText w:val="•"/>
      <w:lvlJc w:val="left"/>
      <w:pPr>
        <w:ind w:left="4536" w:hanging="720"/>
      </w:pPr>
      <w:rPr>
        <w:rFonts w:hint="default"/>
        <w:lang w:val="zh-CN" w:eastAsia="zh-CN" w:bidi="zh-CN"/>
      </w:rPr>
    </w:lvl>
    <w:lvl w:ilvl="7">
      <w:start w:val="0"/>
      <w:numFmt w:val="bullet"/>
      <w:lvlText w:val="•"/>
      <w:lvlJc w:val="left"/>
      <w:pPr>
        <w:ind w:left="5789" w:hanging="720"/>
      </w:pPr>
      <w:rPr>
        <w:rFonts w:hint="default"/>
        <w:lang w:val="zh-CN" w:eastAsia="zh-CN" w:bidi="zh-CN"/>
      </w:rPr>
    </w:lvl>
    <w:lvl w:ilvl="8">
      <w:start w:val="0"/>
      <w:numFmt w:val="bullet"/>
      <w:lvlText w:val="•"/>
      <w:lvlJc w:val="left"/>
      <w:pPr>
        <w:ind w:left="7041" w:hanging="720"/>
      </w:pPr>
      <w:rPr>
        <w:rFonts w:hint="default"/>
        <w:lang w:val="zh-CN" w:eastAsia="zh-CN" w:bidi="zh-CN"/>
      </w:rPr>
    </w:lvl>
  </w:abstractNum>
  <w:abstractNum w:abstractNumId="5">
    <w:nsid w:val="5C8EB3C4"/>
    <w:multiLevelType w:val="hybridMultilevel"/>
    <w:tmpl w:val="00000000"/>
    <w:lvl w:ilvl="0">
      <w:start w:val="1"/>
      <w:numFmt w:val="decimal"/>
      <w:lvlText w:val="（%1）"/>
      <w:lvlJc w:val="left"/>
      <w:pPr>
        <w:ind w:left="1319"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142" w:hanging="601"/>
      </w:pPr>
      <w:rPr>
        <w:rFonts w:hint="default"/>
        <w:lang w:val="zh-CN" w:eastAsia="zh-CN" w:bidi="zh-CN"/>
      </w:rPr>
    </w:lvl>
    <w:lvl w:ilvl="2">
      <w:start w:val="0"/>
      <w:numFmt w:val="bullet"/>
      <w:lvlText w:val="•"/>
      <w:lvlJc w:val="left"/>
      <w:pPr>
        <w:ind w:left="2965" w:hanging="601"/>
      </w:pPr>
      <w:rPr>
        <w:rFonts w:hint="default"/>
        <w:lang w:val="zh-CN" w:eastAsia="zh-CN" w:bidi="zh-CN"/>
      </w:rPr>
    </w:lvl>
    <w:lvl w:ilvl="3">
      <w:start w:val="0"/>
      <w:numFmt w:val="bullet"/>
      <w:lvlText w:val="•"/>
      <w:lvlJc w:val="left"/>
      <w:pPr>
        <w:ind w:left="3787" w:hanging="601"/>
      </w:pPr>
      <w:rPr>
        <w:rFonts w:hint="default"/>
        <w:lang w:val="zh-CN" w:eastAsia="zh-CN" w:bidi="zh-CN"/>
      </w:rPr>
    </w:lvl>
    <w:lvl w:ilvl="4">
      <w:start w:val="0"/>
      <w:numFmt w:val="bullet"/>
      <w:lvlText w:val="•"/>
      <w:lvlJc w:val="left"/>
      <w:pPr>
        <w:ind w:left="4610" w:hanging="601"/>
      </w:pPr>
      <w:rPr>
        <w:rFonts w:hint="default"/>
        <w:lang w:val="zh-CN" w:eastAsia="zh-CN" w:bidi="zh-CN"/>
      </w:rPr>
    </w:lvl>
    <w:lvl w:ilvl="5">
      <w:start w:val="0"/>
      <w:numFmt w:val="bullet"/>
      <w:lvlText w:val="•"/>
      <w:lvlJc w:val="left"/>
      <w:pPr>
        <w:ind w:left="5433" w:hanging="601"/>
      </w:pPr>
      <w:rPr>
        <w:rFonts w:hint="default"/>
        <w:lang w:val="zh-CN" w:eastAsia="zh-CN" w:bidi="zh-CN"/>
      </w:rPr>
    </w:lvl>
    <w:lvl w:ilvl="6">
      <w:start w:val="0"/>
      <w:numFmt w:val="bullet"/>
      <w:lvlText w:val="•"/>
      <w:lvlJc w:val="left"/>
      <w:pPr>
        <w:ind w:left="6255" w:hanging="601"/>
      </w:pPr>
      <w:rPr>
        <w:rFonts w:hint="default"/>
        <w:lang w:val="zh-CN" w:eastAsia="zh-CN" w:bidi="zh-CN"/>
      </w:rPr>
    </w:lvl>
    <w:lvl w:ilvl="7">
      <w:start w:val="0"/>
      <w:numFmt w:val="bullet"/>
      <w:lvlText w:val="•"/>
      <w:lvlJc w:val="left"/>
      <w:pPr>
        <w:ind w:left="7078" w:hanging="601"/>
      </w:pPr>
      <w:rPr>
        <w:rFonts w:hint="default"/>
        <w:lang w:val="zh-CN" w:eastAsia="zh-CN" w:bidi="zh-CN"/>
      </w:rPr>
    </w:lvl>
    <w:lvl w:ilvl="8">
      <w:start w:val="0"/>
      <w:numFmt w:val="bullet"/>
      <w:lvlText w:val="•"/>
      <w:lvlJc w:val="left"/>
      <w:pPr>
        <w:ind w:left="7900" w:hanging="601"/>
      </w:pPr>
      <w:rPr>
        <w:rFonts w:hint="default"/>
        <w:lang w:val="zh-CN" w:eastAsia="zh-CN" w:bidi="zh-CN"/>
      </w:rPr>
    </w:lvl>
  </w:abstractNum>
  <w:abstractNum w:abstractNumId="6">
    <w:nsid w:val="61077673"/>
    <w:multiLevelType w:val="hybridMultilevel"/>
    <w:tmpl w:val="00000000"/>
    <w:lvl w:ilvl="0">
      <w:start w:val="1"/>
      <w:numFmt w:val="decimal"/>
      <w:lvlText w:val="(%1)"/>
      <w:lvlJc w:val="left"/>
      <w:pPr>
        <w:ind w:left="107" w:hanging="317"/>
        <w:jc w:val="right"/>
      </w:pPr>
      <w:rPr>
        <w:rFonts w:ascii="宋体" w:eastAsia="宋体" w:hAnsi="宋体" w:cs="宋体" w:hint="default"/>
        <w:spacing w:val="-2"/>
        <w:w w:val="99"/>
        <w:sz w:val="19"/>
        <w:szCs w:val="19"/>
        <w:lang w:val="zh-CN" w:eastAsia="zh-CN" w:bidi="zh-CN"/>
      </w:rPr>
    </w:lvl>
    <w:lvl w:ilvl="1">
      <w:start w:val="0"/>
      <w:numFmt w:val="bullet"/>
      <w:lvlText w:val="•"/>
      <w:lvlJc w:val="left"/>
      <w:pPr>
        <w:ind w:left="452" w:hanging="317"/>
      </w:pPr>
      <w:rPr>
        <w:rFonts w:hint="default"/>
        <w:lang w:val="zh-CN" w:eastAsia="zh-CN" w:bidi="zh-CN"/>
      </w:rPr>
    </w:lvl>
    <w:lvl w:ilvl="2">
      <w:start w:val="0"/>
      <w:numFmt w:val="bullet"/>
      <w:lvlText w:val="•"/>
      <w:lvlJc w:val="left"/>
      <w:pPr>
        <w:ind w:left="804" w:hanging="317"/>
      </w:pPr>
      <w:rPr>
        <w:rFonts w:hint="default"/>
        <w:lang w:val="zh-CN" w:eastAsia="zh-CN" w:bidi="zh-CN"/>
      </w:rPr>
    </w:lvl>
    <w:lvl w:ilvl="3">
      <w:start w:val="0"/>
      <w:numFmt w:val="bullet"/>
      <w:lvlText w:val="•"/>
      <w:lvlJc w:val="left"/>
      <w:pPr>
        <w:ind w:left="1157" w:hanging="317"/>
      </w:pPr>
      <w:rPr>
        <w:rFonts w:hint="default"/>
        <w:lang w:val="zh-CN" w:eastAsia="zh-CN" w:bidi="zh-CN"/>
      </w:rPr>
    </w:lvl>
    <w:lvl w:ilvl="4">
      <w:start w:val="0"/>
      <w:numFmt w:val="bullet"/>
      <w:lvlText w:val="•"/>
      <w:lvlJc w:val="left"/>
      <w:pPr>
        <w:ind w:left="1509" w:hanging="317"/>
      </w:pPr>
      <w:rPr>
        <w:rFonts w:hint="default"/>
        <w:lang w:val="zh-CN" w:eastAsia="zh-CN" w:bidi="zh-CN"/>
      </w:rPr>
    </w:lvl>
    <w:lvl w:ilvl="5">
      <w:start w:val="0"/>
      <w:numFmt w:val="bullet"/>
      <w:lvlText w:val="•"/>
      <w:lvlJc w:val="left"/>
      <w:pPr>
        <w:ind w:left="1862" w:hanging="317"/>
      </w:pPr>
      <w:rPr>
        <w:rFonts w:hint="default"/>
        <w:lang w:val="zh-CN" w:eastAsia="zh-CN" w:bidi="zh-CN"/>
      </w:rPr>
    </w:lvl>
    <w:lvl w:ilvl="6">
      <w:start w:val="0"/>
      <w:numFmt w:val="bullet"/>
      <w:lvlText w:val="•"/>
      <w:lvlJc w:val="left"/>
      <w:pPr>
        <w:ind w:left="2214" w:hanging="317"/>
      </w:pPr>
      <w:rPr>
        <w:rFonts w:hint="default"/>
        <w:lang w:val="zh-CN" w:eastAsia="zh-CN" w:bidi="zh-CN"/>
      </w:rPr>
    </w:lvl>
    <w:lvl w:ilvl="7">
      <w:start w:val="0"/>
      <w:numFmt w:val="bullet"/>
      <w:lvlText w:val="•"/>
      <w:lvlJc w:val="left"/>
      <w:pPr>
        <w:ind w:left="2566" w:hanging="317"/>
      </w:pPr>
      <w:rPr>
        <w:rFonts w:hint="default"/>
        <w:lang w:val="zh-CN" w:eastAsia="zh-CN" w:bidi="zh-CN"/>
      </w:rPr>
    </w:lvl>
    <w:lvl w:ilvl="8">
      <w:start w:val="0"/>
      <w:numFmt w:val="bullet"/>
      <w:lvlText w:val="•"/>
      <w:lvlJc w:val="left"/>
      <w:pPr>
        <w:ind w:left="2919" w:hanging="317"/>
      </w:pPr>
      <w:rPr>
        <w:rFonts w:hint="default"/>
        <w:lang w:val="zh-CN" w:eastAsia="zh-CN" w:bidi="zh-CN"/>
      </w:rPr>
    </w:lvl>
  </w:abstractNum>
  <w:abstractNum w:abstractNumId="7">
    <w:nsid w:val="6345F45B"/>
    <w:multiLevelType w:val="hybridMultilevel"/>
    <w:tmpl w:val="00000000"/>
    <w:lvl w:ilvl="0">
      <w:start w:val="1"/>
      <w:numFmt w:val="decimal"/>
      <w:lvlText w:val="%1."/>
      <w:lvlJc w:val="left"/>
      <w:pPr>
        <w:ind w:left="155" w:hanging="212"/>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237" w:hanging="212"/>
      </w:pPr>
      <w:rPr>
        <w:rFonts w:hint="default"/>
        <w:lang w:val="zh-CN" w:eastAsia="zh-CN" w:bidi="zh-CN"/>
      </w:rPr>
    </w:lvl>
    <w:lvl w:ilvl="2">
      <w:start w:val="0"/>
      <w:numFmt w:val="bullet"/>
      <w:lvlText w:val="•"/>
      <w:lvlJc w:val="left"/>
      <w:pPr>
        <w:ind w:left="314" w:hanging="212"/>
      </w:pPr>
      <w:rPr>
        <w:rFonts w:hint="default"/>
        <w:lang w:val="zh-CN" w:eastAsia="zh-CN" w:bidi="zh-CN"/>
      </w:rPr>
    </w:lvl>
    <w:lvl w:ilvl="3">
      <w:start w:val="0"/>
      <w:numFmt w:val="bullet"/>
      <w:lvlText w:val="•"/>
      <w:lvlJc w:val="left"/>
      <w:pPr>
        <w:ind w:left="392" w:hanging="212"/>
      </w:pPr>
      <w:rPr>
        <w:rFonts w:hint="default"/>
        <w:lang w:val="zh-CN" w:eastAsia="zh-CN" w:bidi="zh-CN"/>
      </w:rPr>
    </w:lvl>
    <w:lvl w:ilvl="4">
      <w:start w:val="0"/>
      <w:numFmt w:val="bullet"/>
      <w:lvlText w:val="•"/>
      <w:lvlJc w:val="left"/>
      <w:pPr>
        <w:ind w:left="469" w:hanging="212"/>
      </w:pPr>
      <w:rPr>
        <w:rFonts w:hint="default"/>
        <w:lang w:val="zh-CN" w:eastAsia="zh-CN" w:bidi="zh-CN"/>
      </w:rPr>
    </w:lvl>
    <w:lvl w:ilvl="5">
      <w:start w:val="0"/>
      <w:numFmt w:val="bullet"/>
      <w:lvlText w:val="•"/>
      <w:lvlJc w:val="left"/>
      <w:pPr>
        <w:ind w:left="547" w:hanging="212"/>
      </w:pPr>
      <w:rPr>
        <w:rFonts w:hint="default"/>
        <w:lang w:val="zh-CN" w:eastAsia="zh-CN" w:bidi="zh-CN"/>
      </w:rPr>
    </w:lvl>
    <w:lvl w:ilvl="6">
      <w:start w:val="0"/>
      <w:numFmt w:val="bullet"/>
      <w:lvlText w:val="•"/>
      <w:lvlJc w:val="left"/>
      <w:pPr>
        <w:ind w:left="624" w:hanging="212"/>
      </w:pPr>
      <w:rPr>
        <w:rFonts w:hint="default"/>
        <w:lang w:val="zh-CN" w:eastAsia="zh-CN" w:bidi="zh-CN"/>
      </w:rPr>
    </w:lvl>
    <w:lvl w:ilvl="7">
      <w:start w:val="0"/>
      <w:numFmt w:val="bullet"/>
      <w:lvlText w:val="•"/>
      <w:lvlJc w:val="left"/>
      <w:pPr>
        <w:ind w:left="701" w:hanging="212"/>
      </w:pPr>
      <w:rPr>
        <w:rFonts w:hint="default"/>
        <w:lang w:val="zh-CN" w:eastAsia="zh-CN" w:bidi="zh-CN"/>
      </w:rPr>
    </w:lvl>
    <w:lvl w:ilvl="8">
      <w:start w:val="0"/>
      <w:numFmt w:val="bullet"/>
      <w:lvlText w:val="•"/>
      <w:lvlJc w:val="left"/>
      <w:pPr>
        <w:ind w:left="779" w:hanging="212"/>
      </w:pPr>
      <w:rPr>
        <w:rFonts w:hint="default"/>
        <w:lang w:val="zh-CN" w:eastAsia="zh-CN" w:bidi="zh-CN"/>
      </w:rPr>
    </w:lvl>
  </w:abstractNum>
  <w:abstractNum w:abstractNumId="8">
    <w:nsid w:val="64742863"/>
    <w:multiLevelType w:val="hybridMultilevel"/>
    <w:tmpl w:val="00000000"/>
    <w:lvl w:ilvl="0">
      <w:start w:val="1"/>
      <w:numFmt w:val="decimal"/>
      <w:lvlText w:val="%1"/>
      <w:lvlJc w:val="left"/>
      <w:pPr>
        <w:ind w:left="447" w:hanging="209"/>
        <w:jc w:val="left"/>
      </w:pPr>
      <w:rPr>
        <w:rFonts w:ascii="Times New Roman" w:eastAsia="Times New Roman" w:hAnsi="Times New Roman" w:cs="Times New Roman" w:hint="default"/>
        <w:b/>
        <w:bCs/>
        <w:w w:val="100"/>
        <w:sz w:val="28"/>
        <w:szCs w:val="28"/>
        <w:lang w:val="zh-CN" w:eastAsia="zh-CN" w:bidi="zh-CN"/>
      </w:rPr>
    </w:lvl>
    <w:lvl w:ilvl="1">
      <w:start w:val="1"/>
      <w:numFmt w:val="decimal"/>
      <w:lvlText w:val="%1.%2"/>
      <w:lvlJc w:val="left"/>
      <w:pPr>
        <w:ind w:left="598" w:hanging="360"/>
        <w:jc w:val="left"/>
      </w:pPr>
      <w:rPr>
        <w:rFonts w:ascii="Times New Roman" w:eastAsia="Times New Roman" w:hAnsi="Times New Roman" w:cs="Times New Roman" w:hint="default"/>
        <w:b/>
        <w:bCs/>
        <w:w w:val="99"/>
        <w:sz w:val="24"/>
        <w:szCs w:val="24"/>
        <w:lang w:val="zh-CN" w:eastAsia="zh-CN" w:bidi="zh-CN"/>
      </w:rPr>
    </w:lvl>
    <w:lvl w:ilvl="2">
      <w:start w:val="1"/>
      <w:numFmt w:val="decimal"/>
      <w:lvlText w:val="%1.%2.%3"/>
      <w:lvlJc w:val="left"/>
      <w:pPr>
        <w:ind w:left="778" w:hanging="540"/>
        <w:jc w:val="left"/>
      </w:pPr>
      <w:rPr>
        <w:rFonts w:ascii="Times New Roman" w:eastAsia="Times New Roman" w:hAnsi="Times New Roman" w:cs="Times New Roman" w:hint="default"/>
        <w:b/>
        <w:bCs/>
        <w:w w:val="99"/>
        <w:sz w:val="24"/>
        <w:szCs w:val="24"/>
        <w:lang w:val="zh-CN" w:eastAsia="zh-CN" w:bidi="zh-CN"/>
      </w:rPr>
    </w:lvl>
    <w:lvl w:ilvl="3">
      <w:start w:val="1"/>
      <w:numFmt w:val="decimal"/>
      <w:lvlText w:val="%1.%2.%3.%4"/>
      <w:lvlJc w:val="left"/>
      <w:pPr>
        <w:ind w:left="718" w:hanging="720"/>
        <w:jc w:val="left"/>
      </w:pPr>
      <w:rPr>
        <w:rFonts w:ascii="Times New Roman" w:eastAsia="Times New Roman" w:hAnsi="Times New Roman" w:cs="Times New Roman" w:hint="default"/>
        <w:b/>
        <w:bCs/>
        <w:spacing w:val="-16"/>
        <w:w w:val="99"/>
        <w:sz w:val="24"/>
        <w:szCs w:val="24"/>
        <w:lang w:val="zh-CN" w:eastAsia="zh-CN" w:bidi="zh-CN"/>
      </w:rPr>
    </w:lvl>
    <w:lvl w:ilvl="4">
      <w:start w:val="0"/>
      <w:numFmt w:val="bullet"/>
      <w:lvlText w:val="•"/>
      <w:lvlJc w:val="left"/>
      <w:pPr>
        <w:ind w:left="2032" w:hanging="720"/>
      </w:pPr>
      <w:rPr>
        <w:rFonts w:hint="default"/>
        <w:lang w:val="zh-CN" w:eastAsia="zh-CN" w:bidi="zh-CN"/>
      </w:rPr>
    </w:lvl>
    <w:lvl w:ilvl="5">
      <w:start w:val="0"/>
      <w:numFmt w:val="bullet"/>
      <w:lvlText w:val="•"/>
      <w:lvlJc w:val="left"/>
      <w:pPr>
        <w:ind w:left="3284" w:hanging="720"/>
      </w:pPr>
      <w:rPr>
        <w:rFonts w:hint="default"/>
        <w:lang w:val="zh-CN" w:eastAsia="zh-CN" w:bidi="zh-CN"/>
      </w:rPr>
    </w:lvl>
    <w:lvl w:ilvl="6">
      <w:start w:val="0"/>
      <w:numFmt w:val="bullet"/>
      <w:lvlText w:val="•"/>
      <w:lvlJc w:val="left"/>
      <w:pPr>
        <w:ind w:left="4536" w:hanging="720"/>
      </w:pPr>
      <w:rPr>
        <w:rFonts w:hint="default"/>
        <w:lang w:val="zh-CN" w:eastAsia="zh-CN" w:bidi="zh-CN"/>
      </w:rPr>
    </w:lvl>
    <w:lvl w:ilvl="7">
      <w:start w:val="0"/>
      <w:numFmt w:val="bullet"/>
      <w:lvlText w:val="•"/>
      <w:lvlJc w:val="left"/>
      <w:pPr>
        <w:ind w:left="5789" w:hanging="720"/>
      </w:pPr>
      <w:rPr>
        <w:rFonts w:hint="default"/>
        <w:lang w:val="zh-CN" w:eastAsia="zh-CN" w:bidi="zh-CN"/>
      </w:rPr>
    </w:lvl>
    <w:lvl w:ilvl="8">
      <w:start w:val="0"/>
      <w:numFmt w:val="bullet"/>
      <w:lvlText w:val="•"/>
      <w:lvlJc w:val="left"/>
      <w:pPr>
        <w:ind w:left="7041" w:hanging="720"/>
      </w:pPr>
      <w:rPr>
        <w:rFonts w:hint="default"/>
        <w:lang w:val="zh-CN" w:eastAsia="zh-CN" w:bidi="zh-CN"/>
      </w:rPr>
    </w:lvl>
  </w:abstractNum>
  <w:num w:numId="1">
    <w:abstractNumId w:val="5"/>
  </w:num>
  <w:num w:numId="2">
    <w:abstractNumId w:val="0"/>
  </w:num>
  <w:num w:numId="3">
    <w:abstractNumId w:val="3"/>
  </w:num>
  <w:num w:numId="4">
    <w:abstractNumId w:val="7"/>
  </w:num>
  <w:num w:numId="5">
    <w:abstractNumId w:val="6"/>
  </w:num>
  <w:num w:numId="6">
    <w:abstractNumId w:val="2"/>
  </w:num>
  <w:num w:numId="7">
    <w:abstractNumId w:val="8"/>
  </w:num>
  <w:num w:numId="8">
    <w:abstractNumId w:val="1"/>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ind w:left="447" w:hanging="210"/>
      <w:jc w:val="both"/>
      <w:outlineLvl w:val="0"/>
    </w:pPr>
    <w:rPr>
      <w:rFonts w:ascii="宋体" w:eastAsia="宋体" w:hAnsi="宋体" w:cs="宋体"/>
      <w:b/>
      <w:bCs/>
      <w:sz w:val="28"/>
      <w:szCs w:val="28"/>
      <w:lang w:val="zh-CN" w:eastAsia="zh-CN" w:bidi="zh-CN"/>
    </w:rPr>
  </w:style>
  <w:style w:type="paragraph" w:styleId="Heading2">
    <w:name w:val="heading 2"/>
    <w:basedOn w:val="Normal"/>
    <w:uiPriority w:val="1"/>
    <w:qFormat/>
    <w:pPr>
      <w:outlineLvl w:val="1"/>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80"/>
      <w:ind w:left="797" w:right="615" w:hanging="798"/>
      <w:jc w:val="right"/>
    </w:pPr>
    <w:rPr>
      <w:rFonts w:ascii="宋体" w:eastAsia="宋体" w:hAnsi="宋体" w:cs="宋体"/>
      <w:b/>
      <w:bCs/>
      <w:sz w:val="24"/>
      <w:szCs w:val="24"/>
      <w:lang w:val="zh-CN" w:eastAsia="zh-CN" w:bidi="zh-CN"/>
    </w:rPr>
  </w:style>
  <w:style w:type="paragraph" w:styleId="TOC2">
    <w:name w:val="toc 2"/>
    <w:basedOn w:val="Normal"/>
    <w:uiPriority w:val="1"/>
    <w:qFormat/>
    <w:pPr>
      <w:spacing w:before="160"/>
      <w:ind w:left="1246" w:right="615" w:hanging="1247"/>
      <w:jc w:val="right"/>
    </w:pPr>
    <w:rPr>
      <w:rFonts w:ascii="宋体" w:eastAsia="宋体" w:hAnsi="宋体" w:cs="宋体"/>
      <w:sz w:val="24"/>
      <w:szCs w:val="24"/>
      <w:lang w:val="zh-CN" w:eastAsia="zh-CN" w:bidi="zh-CN"/>
    </w:r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ListParagraph">
    <w:name w:val="List Paragraph"/>
    <w:basedOn w:val="Normal"/>
    <w:uiPriority w:val="1"/>
    <w:qFormat/>
    <w:pPr>
      <w:spacing w:before="160"/>
      <w:ind w:left="1246" w:hanging="1247"/>
    </w:pPr>
    <w:rPr>
      <w:rFonts w:ascii="宋体" w:eastAsia="宋体" w:hAnsi="宋体" w:cs="宋体"/>
      <w:lang w:val="zh-CN" w:eastAsia="zh-CN" w:bidi="zh-CN"/>
    </w:rPr>
  </w:style>
  <w:style w:type="paragraph" w:customStyle="1" w:styleId="TableParagraph">
    <w:name w:val="Table Paragraph"/>
    <w:basedOn w:val="Normal"/>
    <w:uiPriority w:val="1"/>
    <w:qFormat/>
    <w:pPr>
      <w:jc w:val="center"/>
    </w:pPr>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footer" Target="footer4.xml" /><Relationship Id="rId13" Type="http://schemas.openxmlformats.org/officeDocument/2006/relationships/image" Target="media/image6.jpeg" /><Relationship Id="rId14" Type="http://schemas.openxmlformats.org/officeDocument/2006/relationships/image" Target="media/image7.jpeg" /><Relationship Id="rId15" Type="http://schemas.openxmlformats.org/officeDocument/2006/relationships/image" Target="media/image8.jpeg" /><Relationship Id="rId16" Type="http://schemas.openxmlformats.org/officeDocument/2006/relationships/image" Target="media/image9.jpeg" /><Relationship Id="rId17" Type="http://schemas.openxmlformats.org/officeDocument/2006/relationships/image" Target="media/image10.jpeg" /><Relationship Id="rId18" Type="http://schemas.openxmlformats.org/officeDocument/2006/relationships/image" Target="media/image11.jpeg" /><Relationship Id="rId19" Type="http://schemas.openxmlformats.org/officeDocument/2006/relationships/image" Target="media/image12.jpeg" /><Relationship Id="rId2" Type="http://schemas.openxmlformats.org/officeDocument/2006/relationships/webSettings" Target="webSettings.xml" /><Relationship Id="rId20" Type="http://schemas.openxmlformats.org/officeDocument/2006/relationships/image" Target="media/image13.jpeg" /><Relationship Id="rId21" Type="http://schemas.openxmlformats.org/officeDocument/2006/relationships/footer" Target="footer5.xml" /><Relationship Id="rId22" Type="http://schemas.openxmlformats.org/officeDocument/2006/relationships/footer" Target="footer6.xml"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footer" Target="footer7.xml" /><Relationship Id="rId26" Type="http://schemas.openxmlformats.org/officeDocument/2006/relationships/image" Target="media/image16.png" /><Relationship Id="rId27" Type="http://schemas.openxmlformats.org/officeDocument/2006/relationships/image" Target="media/image17.jpeg" /><Relationship Id="rId28" Type="http://schemas.openxmlformats.org/officeDocument/2006/relationships/hyperlink" Target="https://d.book118.com/936003131034010103" TargetMode="Externa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revision>0</cp:revision>
  <dcterms:created xsi:type="dcterms:W3CDTF">2024-03-14T04:00:28Z</dcterms:created>
  <dcterms:modified xsi:type="dcterms:W3CDTF">2024-03-14T04:00:28Z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2024-01-12T00:00:00Z</vt:filetime>
  </property>
  <property fmtid="{D5CDD505-2E9C-101B-9397-08002B2CF9AE}" pid="3" name="Creator">
    <vt:lpwstr>WPS 文字</vt:lpwstr>
  </property>
  <property fmtid="{D5CDD505-2E9C-101B-9397-08002B2CF9AE}" pid="4" name="LastSaved">
    <vt:filetime>2024-03-14T00:00:00Z</vt:filetime>
  </property>
</Properties>
</file>