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2018-2023年山东电力高等专科学校高职单招（数学／语文／英语）历年常考试题库含答案解析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被鲁迅誉为“改造文章的祖师”的是（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A.曹操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B.曹丕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C.曹植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下列文学常识表述完全正确的一项是（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A.鲁迅的《呐喊》、茅盾的《子夜》和巴金的《家》，都是我国现代著名的长篇小说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B.我国现代著名剧作家曹禺的代表作有《雷雨》、《日出》和《龙须沟》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C.新格律诗的“三美”主张指的是“音乐的美”、“绘画的美”、“建筑的美”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D.沈从文的《箱子岩》生动地展现了浙东水乡淳厚古朴的民风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徐志摩的《再别康桥》被收录在诗集（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A.《志摩的诗》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B.《翡冷翠的一夜》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C.《猛虎集》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D.《云游集》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郭沫若诗集《女神》收录有诗作（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A.《雨巷》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B.《炉中煤》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C.《恢复》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D.《棠棣之花》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《谏逐客书》本文中，作者列举秦国四位先君广招人才的史实，然后得出“客何负于秦哉”的结论，这里采用的论证方法是（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A.归纳法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B.演绎法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C.类比法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D.对比法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《风波》的时代意义在于（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A.暴露民众的愚昧落后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B.揭露帝制余孽的阴谋复辟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C.揭示辛亥革命的不彻底性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D.昭示革命难以唤醒民众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《马伶传》的作者是（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A.宗臣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B.侯方域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和柳宗元相关的是（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A.新乐府运动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B.古文运动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C.诗文革新运动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D.诗界革命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契诃夫写有短篇小说（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A.《米龙老爹》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B.《海鸥》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C.《羊脂球》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D.《苦恼》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北宋婉约派的开创者是（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B.柳永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C.辛弃疾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D.姜夔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下列诗句中，运用反比的是（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A.桑之未落，其叶沃若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B.于嗟鸠兮，无食桑葚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C.淇水汤汤，渐车帷裳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D.淇则有岸，隰则有泮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下列孟子《寡人之于国也》的文句中，最能体现其文主旨的是（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A.寡人之民不加多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B.五十步笑百步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C.申之以孝悌之义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D.王无罪岁，斯天下之民至焉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《郑伯克段于鄢》一文中，“亟请于武公”句中的“亟”字的意思是（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A.急忙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B.迅速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C.竭力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D.屡次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马致远的《天净沙·秋思》最突出的艺术特色是（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A.设景抒情、时空跳跃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B.设景抒情、多用比兴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C.借景抒情、寓情于景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D.借景抒情、多用比兴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https://d.book118.com/936043225230010052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936043225230010052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