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o:bwmode="white" filled="t" fillcolor="white"/>
  </w:background>
  <w:body>
    <w:p>
      <w:pPr>
        <w:pStyle w:val="List"/>
        <w:ind w:left="0" w:firstLine="0" w:firstLineChars="0"/>
        <w:jc w:val="center"/>
        <w:rPr>
          <w:b/>
          <w:bCs/>
          <w:sz w:val="44"/>
          <w:szCs w:val="44"/>
        </w:rPr>
      </w:pPr>
      <w:r>
        <w:rPr>
          <w:rFonts w:hint="eastAsia"/>
          <w:b/>
          <w:bCs/>
          <w:sz w:val="44"/>
          <w:szCs w:val="44"/>
        </w:rPr>
        <w:t>目   录</w:t>
      </w:r>
    </w:p>
    <w:p>
      <w:pPr>
        <w:pStyle w:val="List"/>
        <w:ind w:left="0" w:firstLine="0" w:firstLineChars="0"/>
        <w:jc w:val="center"/>
        <w:rPr>
          <w:rFonts w:hint="eastAsia"/>
          <w:sz w:val="32"/>
          <w:szCs w:val="32"/>
        </w:rPr>
      </w:pPr>
    </w:p>
    <w:p>
      <w:pPr>
        <w:pStyle w:val="List"/>
        <w:numPr>
          <w:ilvl w:val="0"/>
          <w:numId w:val="13"/>
        </w:numPr>
        <w:ind w:firstLineChars="0"/>
        <w:jc w:val="distribute"/>
        <w:rPr>
          <w:sz w:val="32"/>
          <w:szCs w:val="32"/>
        </w:rPr>
      </w:pPr>
      <w:r>
        <w:rPr>
          <w:rFonts w:ascii="宋体" w:eastAsia="宋体" w:hAnsi="宋体" w:cs="宋体"/>
          <w:color w:val="000000"/>
          <w:sz w:val="26"/>
          <w:szCs w:val="32"/>
        </w:rPr>
        <w:t>编制依据</w:t>
      </w:r>
      <w:r>
        <w:rPr>
          <w:rFonts w:ascii="宋体" w:eastAsia="宋体" w:hAnsi="宋体" w:cs="宋体" w:hint="eastAsia"/>
          <w:color w:val="000000"/>
          <w:sz w:val="26"/>
          <w:szCs w:val="32"/>
        </w:rPr>
        <w:t>……………………………………………………</w:t>
      </w:r>
      <w:r>
        <w:rPr>
          <w:rFonts w:ascii="宋体" w:eastAsia="宋体" w:hAnsi="宋体" w:cs="宋体" w:hint="eastAsia"/>
          <w:color w:val="000000"/>
          <w:sz w:val="26"/>
          <w:szCs w:val="32"/>
        </w:rPr>
        <w:t>2</w:t>
      </w:r>
    </w:p>
    <w:p>
      <w:pPr>
        <w:pStyle w:val="List"/>
        <w:numPr>
          <w:ilvl w:val="0"/>
          <w:numId w:val="13"/>
        </w:numPr>
        <w:ind w:firstLineChars="0"/>
        <w:jc w:val="distribute"/>
        <w:rPr>
          <w:sz w:val="32"/>
          <w:szCs w:val="32"/>
        </w:rPr>
      </w:pPr>
      <w:r>
        <w:rPr>
          <w:rFonts w:ascii="宋体" w:eastAsia="宋体" w:hAnsi="宋体" w:cs="宋体"/>
          <w:color w:val="000000"/>
          <w:sz w:val="26"/>
          <w:szCs w:val="32"/>
        </w:rPr>
        <w:t>工程概况</w:t>
      </w:r>
      <w:r>
        <w:rPr>
          <w:rFonts w:ascii="宋体" w:eastAsia="宋体" w:hAnsi="宋体" w:cs="宋体" w:hint="eastAsia"/>
          <w:color w:val="000000"/>
          <w:sz w:val="26"/>
          <w:szCs w:val="32"/>
        </w:rPr>
        <w:t>……………………………………………………</w:t>
      </w:r>
      <w:r>
        <w:rPr>
          <w:rFonts w:ascii="宋体" w:eastAsia="宋体" w:hAnsi="宋体" w:cs="宋体" w:hint="eastAsia"/>
          <w:color w:val="000000"/>
          <w:sz w:val="26"/>
          <w:szCs w:val="32"/>
        </w:rPr>
        <w:t xml:space="preserve"> </w:t>
      </w:r>
      <w:r>
        <w:rPr>
          <w:rFonts w:ascii="宋体" w:eastAsia="宋体" w:hAnsi="宋体" w:cs="宋体"/>
          <w:color w:val="000000"/>
          <w:sz w:val="26"/>
          <w:szCs w:val="32"/>
        </w:rPr>
        <w:t>4</w:t>
      </w:r>
    </w:p>
    <w:p>
      <w:pPr>
        <w:pStyle w:val="List"/>
        <w:numPr>
          <w:ilvl w:val="0"/>
          <w:numId w:val="13"/>
        </w:numPr>
        <w:ind w:firstLineChars="0"/>
        <w:jc w:val="distribute"/>
        <w:rPr>
          <w:rFonts w:hint="eastAsia"/>
          <w:sz w:val="32"/>
          <w:szCs w:val="32"/>
        </w:rPr>
      </w:pPr>
      <w:r>
        <w:rPr>
          <w:rFonts w:ascii="宋体" w:eastAsia="宋体" w:hAnsi="宋体" w:cs="宋体"/>
          <w:color w:val="000000"/>
          <w:sz w:val="26"/>
          <w:szCs w:val="32"/>
        </w:rPr>
        <w:t>方案设计</w:t>
      </w:r>
      <w:r>
        <w:rPr>
          <w:rFonts w:ascii="宋体" w:eastAsia="宋体" w:hAnsi="宋体" w:cs="宋体" w:hint="eastAsia"/>
          <w:color w:val="000000"/>
          <w:sz w:val="26"/>
          <w:szCs w:val="32"/>
        </w:rPr>
        <w:t>……………………………………………………</w:t>
      </w:r>
      <w:r>
        <w:rPr>
          <w:rFonts w:ascii="宋体" w:eastAsia="宋体" w:hAnsi="宋体" w:cs="宋体"/>
          <w:color w:val="000000"/>
          <w:sz w:val="26"/>
          <w:szCs w:val="32"/>
        </w:rPr>
        <w:t>4</w:t>
      </w:r>
    </w:p>
    <w:p>
      <w:pPr>
        <w:pStyle w:val="List"/>
        <w:numPr>
          <w:ilvl w:val="0"/>
          <w:numId w:val="13"/>
        </w:numPr>
        <w:ind w:firstLineChars="0"/>
        <w:jc w:val="distribute"/>
        <w:rPr>
          <w:rFonts w:hint="eastAsia"/>
          <w:sz w:val="32"/>
          <w:szCs w:val="32"/>
        </w:rPr>
      </w:pPr>
      <w:r>
        <w:rPr>
          <w:rFonts w:ascii="宋体" w:eastAsia="宋体" w:hAnsi="宋体" w:cs="宋体"/>
          <w:color w:val="000000"/>
          <w:sz w:val="26"/>
          <w:szCs w:val="32"/>
        </w:rPr>
        <w:t>施工部署</w:t>
      </w:r>
      <w:r>
        <w:rPr>
          <w:rFonts w:ascii="宋体" w:eastAsia="宋体" w:hAnsi="宋体" w:cs="宋体" w:hint="eastAsia"/>
          <w:color w:val="000000"/>
          <w:sz w:val="26"/>
          <w:szCs w:val="32"/>
        </w:rPr>
        <w:t>……………………………………………………</w:t>
      </w:r>
      <w:r>
        <w:rPr>
          <w:rFonts w:ascii="宋体" w:eastAsia="宋体" w:hAnsi="宋体" w:cs="宋体"/>
          <w:color w:val="000000"/>
          <w:sz w:val="26"/>
          <w:szCs w:val="32"/>
        </w:rPr>
        <w:t>6</w:t>
      </w:r>
    </w:p>
    <w:p>
      <w:pPr>
        <w:pStyle w:val="List"/>
        <w:numPr>
          <w:ilvl w:val="0"/>
          <w:numId w:val="13"/>
        </w:numPr>
        <w:ind w:firstLineChars="0"/>
        <w:jc w:val="distribute"/>
        <w:rPr>
          <w:rFonts w:hint="eastAsia"/>
          <w:sz w:val="32"/>
          <w:szCs w:val="32"/>
        </w:rPr>
      </w:pPr>
      <w:r>
        <w:rPr>
          <w:rFonts w:ascii="宋体" w:eastAsia="宋体" w:hAnsi="宋体" w:cs="宋体"/>
          <w:color w:val="000000"/>
          <w:sz w:val="26"/>
          <w:szCs w:val="32"/>
        </w:rPr>
        <w:t>施工准备工作</w:t>
      </w:r>
      <w:r>
        <w:rPr>
          <w:rFonts w:ascii="宋体" w:eastAsia="宋体" w:hAnsi="宋体" w:cs="宋体" w:hint="eastAsia"/>
          <w:color w:val="000000"/>
          <w:sz w:val="26"/>
          <w:szCs w:val="32"/>
        </w:rPr>
        <w:t>………………………………………………</w:t>
      </w:r>
      <w:r>
        <w:rPr>
          <w:rFonts w:ascii="宋体" w:eastAsia="宋体" w:hAnsi="宋体" w:cs="宋体"/>
          <w:color w:val="000000"/>
          <w:sz w:val="26"/>
          <w:szCs w:val="32"/>
        </w:rPr>
        <w:t>16</w:t>
      </w:r>
    </w:p>
    <w:p>
      <w:pPr>
        <w:pStyle w:val="List"/>
        <w:numPr>
          <w:ilvl w:val="0"/>
          <w:numId w:val="13"/>
        </w:numPr>
        <w:ind w:firstLineChars="0"/>
        <w:jc w:val="distribute"/>
        <w:rPr>
          <w:rFonts w:hint="eastAsia"/>
          <w:sz w:val="32"/>
          <w:szCs w:val="32"/>
        </w:rPr>
      </w:pPr>
      <w:r>
        <w:rPr>
          <w:rFonts w:ascii="宋体" w:eastAsia="宋体" w:hAnsi="宋体" w:cs="宋体"/>
          <w:color w:val="000000"/>
          <w:sz w:val="26"/>
          <w:szCs w:val="32"/>
        </w:rPr>
        <w:t>施工方案</w:t>
      </w:r>
      <w:r>
        <w:rPr>
          <w:rFonts w:ascii="宋体" w:eastAsia="宋体" w:hAnsi="宋体" w:cs="宋体" w:hint="eastAsia"/>
          <w:color w:val="000000"/>
          <w:sz w:val="26"/>
          <w:szCs w:val="32"/>
        </w:rPr>
        <w:t>……………………………………………………</w:t>
      </w:r>
      <w:r>
        <w:rPr>
          <w:rFonts w:ascii="宋体" w:eastAsia="宋体" w:hAnsi="宋体" w:cs="宋体"/>
          <w:color w:val="000000"/>
          <w:sz w:val="26"/>
          <w:szCs w:val="32"/>
        </w:rPr>
        <w:t>35</w:t>
      </w:r>
    </w:p>
    <w:p>
      <w:pPr>
        <w:pStyle w:val="List"/>
        <w:numPr>
          <w:ilvl w:val="0"/>
          <w:numId w:val="13"/>
        </w:numPr>
        <w:spacing w:line="360" w:lineRule="auto"/>
        <w:ind w:right="102" w:firstLineChars="0"/>
        <w:jc w:val="distribute"/>
        <w:rPr>
          <w:rFonts w:hint="eastAsia"/>
          <w:sz w:val="32"/>
          <w:szCs w:val="32"/>
        </w:rPr>
      </w:pPr>
      <w:r>
        <w:rPr>
          <w:rFonts w:ascii="宋体" w:eastAsia="宋体" w:hAnsi="宋体" w:cs="宋体"/>
          <w:color w:val="000000"/>
          <w:sz w:val="26"/>
          <w:szCs w:val="32"/>
        </w:rPr>
        <w:t>质量限制措施</w:t>
      </w:r>
      <w:r>
        <w:rPr>
          <w:rFonts w:ascii="宋体" w:eastAsia="宋体" w:hAnsi="宋体" w:cs="宋体" w:hint="eastAsia"/>
          <w:color w:val="000000"/>
          <w:sz w:val="26"/>
          <w:szCs w:val="32"/>
        </w:rPr>
        <w:t>………………………………………………</w:t>
      </w:r>
      <w:r>
        <w:rPr>
          <w:rFonts w:ascii="宋体" w:eastAsia="宋体" w:hAnsi="宋体" w:cs="宋体"/>
          <w:color w:val="000000"/>
          <w:sz w:val="26"/>
          <w:szCs w:val="32"/>
        </w:rPr>
        <w:t xml:space="preserve">37 </w:t>
      </w:r>
    </w:p>
    <w:p>
      <w:pPr>
        <w:pStyle w:val="List"/>
        <w:numPr>
          <w:ilvl w:val="0"/>
          <w:numId w:val="13"/>
        </w:numPr>
        <w:spacing w:line="360" w:lineRule="auto"/>
        <w:ind w:firstLineChars="0"/>
        <w:jc w:val="distribute"/>
        <w:rPr>
          <w:rFonts w:hint="eastAsia"/>
          <w:sz w:val="32"/>
          <w:szCs w:val="32"/>
        </w:rPr>
      </w:pPr>
      <w:r>
        <w:rPr>
          <w:rFonts w:ascii="宋体" w:eastAsia="宋体" w:hAnsi="宋体" w:cs="宋体" w:hint="eastAsia"/>
          <w:color w:val="000000"/>
          <w:sz w:val="26"/>
          <w:szCs w:val="32"/>
        </w:rPr>
        <w:t>平安保证措施</w:t>
      </w:r>
      <w:r>
        <w:rPr>
          <w:rFonts w:ascii="宋体" w:eastAsia="宋体" w:hAnsi="宋体" w:cs="宋体" w:hint="eastAsia"/>
          <w:color w:val="000000"/>
          <w:sz w:val="26"/>
          <w:szCs w:val="32"/>
        </w:rPr>
        <w:t>……………………………………………</w:t>
      </w:r>
      <w:r>
        <w:rPr>
          <w:rFonts w:ascii="宋体" w:eastAsia="宋体" w:hAnsi="宋体" w:cs="宋体"/>
          <w:color w:val="000000"/>
          <w:sz w:val="26"/>
          <w:szCs w:val="32"/>
        </w:rPr>
        <w:t>40</w:t>
      </w:r>
    </w:p>
    <w:p>
      <w:pPr>
        <w:pStyle w:val="List"/>
        <w:numPr>
          <w:ilvl w:val="0"/>
          <w:numId w:val="13"/>
        </w:numPr>
        <w:ind w:firstLineChars="0"/>
        <w:jc w:val="distribute"/>
        <w:rPr>
          <w:rFonts w:hint="eastAsia"/>
          <w:sz w:val="32"/>
          <w:szCs w:val="32"/>
        </w:rPr>
      </w:pPr>
      <w:r>
        <w:rPr>
          <w:rFonts w:ascii="宋体" w:eastAsia="宋体" w:hAnsi="宋体" w:cs="宋体"/>
          <w:color w:val="000000"/>
          <w:sz w:val="26"/>
          <w:szCs w:val="32"/>
        </w:rPr>
        <w:t>文明施工措施</w:t>
      </w:r>
      <w:r>
        <w:rPr>
          <w:rFonts w:ascii="宋体" w:eastAsia="宋体" w:hAnsi="宋体" w:cs="宋体" w:hint="eastAsia"/>
          <w:color w:val="000000"/>
          <w:sz w:val="26"/>
          <w:szCs w:val="32"/>
        </w:rPr>
        <w:t xml:space="preserve"> </w:t>
      </w:r>
      <w:r>
        <w:rPr>
          <w:rFonts w:ascii="宋体" w:eastAsia="宋体" w:hAnsi="宋体" w:cs="宋体" w:hint="eastAsia"/>
          <w:color w:val="000000"/>
          <w:sz w:val="26"/>
          <w:szCs w:val="32"/>
        </w:rPr>
        <w:t>………………………………………………</w:t>
      </w:r>
      <w:r>
        <w:rPr>
          <w:rFonts w:ascii="宋体" w:eastAsia="宋体" w:hAnsi="宋体" w:cs="宋体"/>
          <w:color w:val="000000"/>
          <w:sz w:val="26"/>
          <w:szCs w:val="32"/>
        </w:rPr>
        <w:t>41</w:t>
      </w:r>
    </w:p>
    <w:p>
      <w:pPr>
        <w:pStyle w:val="List"/>
        <w:ind w:left="0" w:firstLine="0" w:firstLineChars="0"/>
        <w:jc w:val="distribute"/>
        <w:rPr>
          <w:rFonts w:hint="eastAsia"/>
          <w:sz w:val="32"/>
          <w:szCs w:val="32"/>
        </w:rPr>
      </w:pPr>
    </w:p>
    <w:p>
      <w:pPr>
        <w:pStyle w:val="List"/>
        <w:ind w:left="0" w:firstLine="0" w:firstLineChars="0"/>
        <w:jc w:val="left"/>
        <w:rPr>
          <w:rFonts w:hint="eastAsia"/>
          <w:sz w:val="32"/>
          <w:szCs w:val="32"/>
        </w:rPr>
      </w:pPr>
    </w:p>
    <w:p>
      <w:pPr>
        <w:pStyle w:val="List"/>
        <w:ind w:left="0" w:firstLine="0" w:firstLineChars="0"/>
        <w:jc w:val="distribute"/>
        <w:rPr>
          <w:rFonts w:hint="eastAsia"/>
          <w:sz w:val="32"/>
          <w:szCs w:val="32"/>
        </w:rPr>
      </w:pPr>
    </w:p>
    <w:p>
      <w:pPr>
        <w:spacing w:line="520" w:lineRule="exact"/>
        <w:rPr>
          <w:rFonts w:ascii="宋体" w:hint="eastAsia"/>
          <w:b/>
          <w:sz w:val="28"/>
          <w:szCs w:val="28"/>
        </w:rPr>
      </w:pPr>
    </w:p>
    <w:p>
      <w:pPr>
        <w:spacing w:line="520" w:lineRule="exact"/>
        <w:rPr>
          <w:rFonts w:ascii="宋体" w:hint="eastAsia"/>
          <w:b/>
          <w:sz w:val="28"/>
          <w:szCs w:val="28"/>
        </w:rPr>
      </w:pPr>
    </w:p>
    <w:p>
      <w:pPr>
        <w:spacing w:line="520" w:lineRule="exact"/>
        <w:rPr>
          <w:rFonts w:ascii="宋体" w:hint="eastAsia"/>
          <w:b/>
          <w:sz w:val="28"/>
          <w:szCs w:val="28"/>
        </w:rPr>
      </w:pPr>
    </w:p>
    <w:p>
      <w:pPr>
        <w:spacing w:line="520" w:lineRule="exact"/>
        <w:rPr>
          <w:rFonts w:ascii="宋体" w:hint="eastAsia"/>
          <w:b/>
          <w:sz w:val="28"/>
          <w:szCs w:val="28"/>
        </w:rPr>
      </w:pPr>
    </w:p>
    <w:p>
      <w:pPr>
        <w:spacing w:line="520" w:lineRule="exact"/>
        <w:rPr>
          <w:rFonts w:ascii="宋体" w:hint="eastAsia"/>
          <w:b/>
          <w:sz w:val="28"/>
          <w:szCs w:val="28"/>
        </w:rPr>
      </w:pPr>
    </w:p>
    <w:p>
      <w:pPr>
        <w:spacing w:line="520" w:lineRule="exact"/>
        <w:rPr>
          <w:rFonts w:ascii="宋体" w:hint="eastAsia"/>
          <w:b/>
          <w:sz w:val="28"/>
          <w:szCs w:val="28"/>
        </w:rPr>
      </w:pPr>
    </w:p>
    <w:p>
      <w:pPr>
        <w:spacing w:line="520" w:lineRule="exact"/>
        <w:rPr>
          <w:rFonts w:ascii="宋体" w:hint="eastAsia"/>
          <w:b/>
          <w:sz w:val="28"/>
          <w:szCs w:val="28"/>
        </w:rPr>
      </w:pPr>
    </w:p>
    <w:p>
      <w:pPr>
        <w:spacing w:line="520" w:lineRule="exact"/>
        <w:rPr>
          <w:rFonts w:ascii="宋体" w:hint="eastAsia"/>
          <w:b/>
          <w:sz w:val="28"/>
          <w:szCs w:val="28"/>
        </w:rPr>
      </w:pPr>
    </w:p>
    <w:p>
      <w:pPr>
        <w:spacing w:line="520" w:lineRule="exact"/>
        <w:rPr>
          <w:rFonts w:ascii="宋体" w:hint="eastAsia"/>
          <w:b/>
          <w:sz w:val="28"/>
          <w:szCs w:val="28"/>
        </w:rPr>
      </w:pPr>
    </w:p>
    <w:p>
      <w:pPr>
        <w:spacing w:line="520" w:lineRule="exact"/>
        <w:rPr>
          <w:rFonts w:ascii="宋体" w:hint="eastAsia"/>
          <w:b/>
          <w:sz w:val="28"/>
          <w:szCs w:val="28"/>
        </w:rPr>
        <w:sectPr>
          <w:pgSz w:w="11906" w:h="16838"/>
          <w:pgMar w:top="1440" w:right="1134" w:bottom="1440" w:left="1701" w:header="851" w:footer="992" w:gutter="0"/>
          <w:pgNumType w:start="1"/>
          <w:cols w:space="708"/>
          <w:vAlign w:val="top"/>
          <w:titlePg w:val="0"/>
          <w:textDirection w:val="lrTb"/>
          <w:docGrid w:type="lines" w:linePitch="312"/>
        </w:sectPr>
      </w:pPr>
    </w:p>
    <w:p>
      <w:pPr>
        <w:spacing w:line="520" w:lineRule="exact"/>
        <w:rPr>
          <w:rFonts w:ascii="宋体" w:hint="eastAsia"/>
          <w:sz w:val="28"/>
          <w:szCs w:val="28"/>
        </w:rPr>
      </w:pPr>
      <w:r>
        <w:rPr>
          <w:rFonts w:ascii="宋体" w:eastAsia="宋体" w:hAnsi="宋体" w:cs="宋体" w:hint="eastAsia"/>
          <w:b/>
          <w:color w:val="000000"/>
          <w:sz w:val="26"/>
          <w:szCs w:val="28"/>
        </w:rPr>
        <w:t>一、编制依据</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1.1烟台万华搬迁一体化项目丙烯酸装置区街区给排水工程(2484)施工图纸。</w:t>
      </w:r>
    </w:p>
    <w:p>
      <w:pPr>
        <w:autoSpaceDE w:val="0"/>
        <w:autoSpaceDN w:val="0"/>
        <w:adjustRightInd w:val="0"/>
        <w:spacing w:line="520" w:lineRule="exact"/>
        <w:ind w:firstLine="499" w:firstLineChars="192"/>
        <w:rPr>
          <w:rFonts w:ascii="宋体" w:cs="宋体" w:hint="eastAsia"/>
          <w:b/>
          <w:bCs/>
          <w:kern w:val="0"/>
          <w:sz w:val="24"/>
        </w:rPr>
      </w:pPr>
      <w:r>
        <w:rPr>
          <w:rFonts w:ascii="宋体" w:eastAsia="宋体" w:hAnsi="宋体" w:cs="宋体" w:hint="eastAsia"/>
          <w:color w:val="000000"/>
          <w:kern w:val="0"/>
          <w:sz w:val="26"/>
          <w:lang w:bidi="ar-SA"/>
        </w:rPr>
        <w:t>1.2本工程施工依据的规范和标准如下：</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（1）02S515 排水检查井(含03修订版)</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（2）03S702 钢筋混凝土化粪池</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（3）04S516 混凝土排水管道基础与接口</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（4）04S520 埋地塑料排水管道施工</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（5）05S502 室外给水管道附属构筑物</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（6）50268-2008 给水排水工程施工验收规范</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（7）59-2011《建筑施工平安检查评分标准》</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（8）46-2005《建筑施工现场临时用电平安技术规范》</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（9）80-1991《建筑施工高处作业平安技术规范》</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lang w:bidi="ar-SA"/>
        </w:rPr>
        <w:t>（10）50026-2007《工程测量规范》</w:t>
      </w:r>
    </w:p>
    <w:p>
      <w:pPr>
        <w:autoSpaceDE w:val="0"/>
        <w:autoSpaceDN w:val="0"/>
        <w:adjustRightInd w:val="0"/>
        <w:spacing w:line="520" w:lineRule="exact"/>
        <w:ind w:firstLine="520" w:firstLineChars="200"/>
        <w:rPr>
          <w:rFonts w:ascii="宋体" w:cs="宋体" w:hint="eastAsia"/>
          <w:kern w:val="0"/>
          <w:sz w:val="24"/>
          <w:szCs w:val="28"/>
        </w:rPr>
      </w:pPr>
      <w:r>
        <w:rPr>
          <w:rFonts w:ascii="宋体" w:eastAsia="宋体" w:hAnsi="宋体" w:cs="宋体" w:hint="eastAsia"/>
          <w:color w:val="000000"/>
          <w:kern w:val="0"/>
          <w:sz w:val="26"/>
          <w:szCs w:val="28"/>
          <w:lang w:bidi="ar-SA"/>
        </w:rPr>
        <w:t>（11）50202</w:t>
      </w:r>
      <w:r>
        <w:rPr>
          <w:rFonts w:ascii="宋体" w:eastAsia="宋体" w:hAnsi="宋体" w:cs="宋体" w:hint="eastAsia"/>
          <w:color w:val="000000"/>
          <w:sz w:val="26"/>
          <w:szCs w:val="21"/>
        </w:rPr>
        <w:t>-</w:t>
      </w:r>
      <w:r>
        <w:rPr>
          <w:rFonts w:ascii="宋体" w:eastAsia="宋体" w:hAnsi="宋体" w:cs="宋体" w:hint="eastAsia"/>
          <w:color w:val="000000"/>
          <w:kern w:val="0"/>
          <w:sz w:val="26"/>
          <w:szCs w:val="28"/>
          <w:lang w:bidi="ar-SA"/>
        </w:rPr>
        <w:t>2002《建筑地基基础工程施工质量验收规范》</w:t>
      </w:r>
    </w:p>
    <w:p>
      <w:pPr>
        <w:autoSpaceDE w:val="0"/>
        <w:autoSpaceDN w:val="0"/>
        <w:adjustRightInd w:val="0"/>
        <w:spacing w:line="520" w:lineRule="exact"/>
        <w:ind w:firstLine="520" w:firstLineChars="200"/>
        <w:rPr>
          <w:rFonts w:ascii="宋体" w:cs="宋体" w:hint="eastAsia"/>
          <w:kern w:val="0"/>
          <w:sz w:val="24"/>
          <w:szCs w:val="28"/>
        </w:rPr>
      </w:pPr>
      <w:r>
        <w:rPr>
          <w:rFonts w:ascii="宋体" w:eastAsia="宋体" w:hAnsi="宋体" w:cs="宋体" w:hint="eastAsia"/>
          <w:color w:val="000000"/>
          <w:sz w:val="26"/>
          <w:shd w:val="clear" w:color="auto" w:fill="FFFFFF"/>
        </w:rPr>
        <w:t xml:space="preserve">  </w:t>
      </w:r>
      <w:r>
        <w:rPr>
          <w:rFonts w:ascii="宋体" w:eastAsia="宋体" w:hAnsi="宋体" w:cs="宋体" w:hint="eastAsia"/>
          <w:color w:val="000000"/>
          <w:kern w:val="0"/>
          <w:sz w:val="26"/>
          <w:szCs w:val="28"/>
          <w:lang w:bidi="ar-SA"/>
        </w:rPr>
        <w:t>（12）</w:t>
      </w:r>
      <w:r>
        <w:rPr>
          <w:rFonts w:ascii="宋体" w:eastAsia="宋体" w:hAnsi="宋体" w:cs="宋体" w:hint="eastAsia"/>
          <w:b/>
          <w:bCs/>
          <w:color w:val="000000"/>
          <w:sz w:val="26"/>
          <w:shd w:val="clear" w:color="auto" w:fill="FFFFFF"/>
        </w:rPr>
        <w:t xml:space="preserve"> </w:t>
      </w:r>
      <w:r>
        <w:rPr>
          <w:rFonts w:ascii="宋体" w:eastAsia="宋体" w:hAnsi="宋体" w:cs="宋体" w:hint="eastAsia"/>
          <w:color w:val="000000"/>
          <w:sz w:val="26"/>
          <w:shd w:val="clear" w:color="auto" w:fill="FFFFFF"/>
        </w:rPr>
        <w:t>50204-2011</w:t>
      </w:r>
      <w:r>
        <w:rPr>
          <w:rFonts w:ascii="宋体" w:eastAsia="宋体" w:hAnsi="宋体" w:cs="宋体"/>
          <w:color w:val="000000"/>
          <w:sz w:val="26"/>
          <w:shd w:val="clear" w:color="auto" w:fill="FFFFFF"/>
        </w:rPr>
        <w:t>《混凝土结构工程施工质量验收规范》</w:t>
      </w:r>
    </w:p>
    <w:p>
      <w:pPr>
        <w:spacing w:line="520" w:lineRule="exact"/>
        <w:ind w:firstLine="520" w:firstLineChars="200"/>
        <w:rPr>
          <w:rFonts w:ascii="宋体" w:hint="eastAsia"/>
          <w:sz w:val="24"/>
          <w:szCs w:val="21"/>
        </w:rPr>
      </w:pPr>
      <w:r>
        <w:rPr>
          <w:rFonts w:ascii="宋体" w:eastAsia="宋体" w:hAnsi="宋体" w:cs="宋体" w:hint="eastAsia"/>
          <w:color w:val="000000"/>
          <w:kern w:val="0"/>
          <w:sz w:val="26"/>
          <w:szCs w:val="28"/>
          <w:lang w:bidi="ar-SA"/>
        </w:rPr>
        <w:t>（13）</w:t>
      </w:r>
      <w:r>
        <w:rPr>
          <w:rFonts w:ascii="宋体" w:eastAsia="宋体" w:hAnsi="宋体" w:cs="宋体" w:hint="eastAsia"/>
          <w:color w:val="000000"/>
          <w:sz w:val="26"/>
          <w:szCs w:val="21"/>
        </w:rPr>
        <w:t>50268-2008《给水排水管道工程施工与验收规范》</w:t>
      </w:r>
    </w:p>
    <w:p>
      <w:pPr>
        <w:spacing w:line="520" w:lineRule="exact"/>
        <w:rPr>
          <w:rFonts w:ascii="宋体" w:hint="eastAsia"/>
          <w:sz w:val="24"/>
          <w:szCs w:val="21"/>
        </w:rPr>
      </w:pPr>
      <w:r>
        <w:rPr>
          <w:rFonts w:ascii="宋体" w:eastAsia="宋体" w:hAnsi="宋体" w:cs="宋体" w:hint="eastAsia"/>
          <w:color w:val="000000"/>
          <w:sz w:val="26"/>
          <w:szCs w:val="21"/>
        </w:rPr>
        <w:t xml:space="preserve">    （14）50236-1998《现场设备、工业管道焊接工程施工与验收规范》</w:t>
      </w:r>
    </w:p>
    <w:p>
      <w:pPr>
        <w:spacing w:line="520" w:lineRule="exact"/>
        <w:rPr>
          <w:rFonts w:ascii="宋体" w:hint="eastAsia"/>
          <w:sz w:val="24"/>
          <w:szCs w:val="21"/>
        </w:rPr>
      </w:pPr>
      <w:r>
        <w:rPr>
          <w:rFonts w:ascii="宋体" w:eastAsia="宋体" w:hAnsi="宋体" w:cs="宋体" w:hint="eastAsia"/>
          <w:color w:val="000000"/>
          <w:sz w:val="26"/>
          <w:szCs w:val="21"/>
        </w:rPr>
        <w:t xml:space="preserve">    （15）4730-2005《压力容器无损检测》</w:t>
      </w:r>
    </w:p>
    <w:p>
      <w:pPr>
        <w:spacing w:line="520" w:lineRule="exact"/>
        <w:rPr>
          <w:rFonts w:ascii="宋体" w:hint="eastAsia"/>
          <w:sz w:val="24"/>
          <w:szCs w:val="21"/>
        </w:rPr>
      </w:pPr>
      <w:r>
        <w:rPr>
          <w:rFonts w:ascii="宋体" w:eastAsia="宋体" w:hAnsi="宋体" w:cs="宋体" w:hint="eastAsia"/>
          <w:color w:val="000000"/>
          <w:sz w:val="26"/>
          <w:szCs w:val="21"/>
        </w:rPr>
        <w:t xml:space="preserve">    （16）3505-2008《石油化工施工平安技术规程》</w:t>
      </w:r>
    </w:p>
    <w:p>
      <w:pPr>
        <w:spacing w:line="520" w:lineRule="exact"/>
        <w:rPr>
          <w:rFonts w:ascii="宋体" w:cs="宋体" w:hint="eastAsia"/>
          <w:kern w:val="0"/>
          <w:sz w:val="24"/>
          <w:szCs w:val="28"/>
        </w:rPr>
      </w:pPr>
      <w:r>
        <w:rPr>
          <w:rFonts w:ascii="宋体" w:eastAsia="宋体" w:hAnsi="宋体" w:cs="宋体" w:hint="eastAsia"/>
          <w:color w:val="000000"/>
          <w:sz w:val="26"/>
          <w:szCs w:val="21"/>
        </w:rPr>
        <w:t xml:space="preserve">    （17）3503-2007《工程建设交工技术文件规定》</w:t>
      </w:r>
    </w:p>
    <w:p>
      <w:pPr>
        <w:autoSpaceDE w:val="0"/>
        <w:autoSpaceDN w:val="0"/>
        <w:adjustRightInd w:val="0"/>
        <w:spacing w:line="520" w:lineRule="exact"/>
        <w:ind w:firstLine="499" w:firstLineChars="192"/>
        <w:rPr>
          <w:rFonts w:ascii="宋体" w:hint="eastAsia"/>
          <w:sz w:val="24"/>
        </w:rPr>
      </w:pPr>
      <w:r>
        <w:rPr>
          <w:rFonts w:ascii="宋体" w:eastAsia="宋体" w:hAnsi="宋体" w:cs="宋体" w:hint="eastAsia"/>
          <w:color w:val="000000"/>
          <w:sz w:val="26"/>
        </w:rPr>
        <w:t>1.3法律法规：</w:t>
      </w:r>
    </w:p>
    <w:p>
      <w:pPr>
        <w:spacing w:line="520" w:lineRule="exact"/>
        <w:ind w:firstLine="520" w:firstLineChars="200"/>
        <w:outlineLvl w:val="0"/>
        <w:rPr>
          <w:rFonts w:ascii="宋体" w:hint="eastAsia"/>
          <w:bCs/>
          <w:sz w:val="24"/>
        </w:rPr>
      </w:pPr>
      <w:r>
        <w:rPr>
          <w:rFonts w:ascii="宋体" w:eastAsia="宋体" w:hAnsi="宋体" w:cs="宋体" w:hint="eastAsia"/>
          <w:bCs/>
          <w:color w:val="000000"/>
          <w:sz w:val="26"/>
        </w:rPr>
        <w:t>《中华人民共和国建筑法》、《中华人民共和国合同法》、《中华人民共和国招标投标法》、《中华人民共和国平安生产法》、《建设工程质量管理条例》、《建设工程平安生产管理条例》与山东省与烟台市有关规定。</w:t>
      </w:r>
    </w:p>
    <w:p>
      <w:pPr>
        <w:spacing w:line="520" w:lineRule="exact"/>
        <w:outlineLvl w:val="0"/>
        <w:rPr>
          <w:rFonts w:ascii="宋体" w:hint="eastAsia"/>
          <w:b/>
          <w:bCs/>
          <w:sz w:val="28"/>
          <w:szCs w:val="28"/>
        </w:rPr>
        <w:sectPr>
          <w:type w:val="nextPage"/>
          <w:pgSz w:w="11906" w:h="16838"/>
          <w:pgMar w:top="1440" w:right="1134" w:bottom="1440" w:left="1701" w:header="851" w:footer="992" w:gutter="0"/>
          <w:pgNumType w:start="2"/>
          <w:cols w:space="708"/>
          <w:vAlign w:val="top"/>
          <w:titlePg w:val="0"/>
          <w:textDirection w:val="lrTb"/>
          <w:docGrid w:type="lines" w:linePitch="312"/>
        </w:sectPr>
      </w:pPr>
      <w:r>
        <w:rPr>
          <w:rFonts w:ascii="宋体" w:eastAsia="宋体" w:hAnsi="宋体" w:cs="宋体" w:hint="eastAsia"/>
          <w:b/>
          <w:bCs/>
          <w:color w:val="000000"/>
          <w:sz w:val="26"/>
          <w:szCs w:val="28"/>
        </w:rPr>
        <w:t>二、工程概况</w:t>
      </w:r>
    </w:p>
    <w:p>
      <w:pPr>
        <w:autoSpaceDE w:val="0"/>
        <w:autoSpaceDN w:val="0"/>
        <w:adjustRightInd w:val="0"/>
        <w:spacing w:line="520" w:lineRule="exact"/>
        <w:ind w:firstLine="499" w:firstLineChars="192"/>
        <w:rPr>
          <w:rFonts w:ascii="宋体" w:cs="宋体" w:hint="eastAsia"/>
          <w:kern w:val="0"/>
          <w:sz w:val="24"/>
        </w:rPr>
      </w:pPr>
      <w:r>
        <w:rPr>
          <w:rFonts w:ascii="宋体" w:eastAsia="宋体" w:hAnsi="宋体" w:cs="宋体" w:hint="eastAsia"/>
          <w:color w:val="000000"/>
          <w:kern w:val="0"/>
          <w:sz w:val="26"/>
        </w:rPr>
        <w:t>2.1</w:t>
      </w:r>
      <w:r>
        <w:rPr>
          <w:rFonts w:ascii="宋体" w:eastAsia="宋体" w:hAnsi="宋体" w:cs="宋体" w:hint="eastAsia"/>
          <w:color w:val="000000"/>
          <w:kern w:val="0"/>
          <w:sz w:val="26"/>
          <w:lang w:bidi="ar-SA"/>
        </w:rPr>
        <w:t>工程特点</w:t>
      </w:r>
    </w:p>
    <w:p>
      <w:pPr>
        <w:autoSpaceDE w:val="0"/>
        <w:autoSpaceDN w:val="0"/>
        <w:adjustRightInd w:val="0"/>
        <w:spacing w:line="520" w:lineRule="exact"/>
        <w:ind w:firstLine="520" w:firstLineChars="200"/>
        <w:rPr>
          <w:rFonts w:ascii="宋体" w:cs="宋体" w:hint="eastAsia"/>
          <w:kern w:val="0"/>
          <w:sz w:val="24"/>
        </w:rPr>
      </w:pPr>
      <w:r>
        <w:rPr>
          <w:rFonts w:ascii="宋体" w:eastAsia="宋体" w:hAnsi="宋体" w:cs="宋体" w:hint="eastAsia"/>
          <w:color w:val="000000"/>
          <w:sz w:val="26"/>
          <w:szCs w:val="21"/>
        </w:rPr>
        <w:t>本工程由中国石油集团东北炼化工程有限公司吉林设计院设计。给排水工程包括:生活水管()；工业给水管()；高压消防给水管()；泡沫消防给水管()；循环水供/回水管()；淡化海水管(1)；地面污水排水管()；污染雨水排水管(1)；生活污水排水管()；雨水排水管()等；、、、、、管线接受钢管；1管线接受高密度聚乙烯管()给水管；、1、主干线接受离心球墨铸铁管,与各单元交界处接受与各单元相同的材质；管线中</w:t>
      </w:r>
      <w:r>
        <w:rPr>
          <w:rFonts w:ascii="宋体" w:eastAsia="宋体" w:hAnsi="宋体" w:cs="宋体" w:hint="eastAsia"/>
          <w:color w:val="000000"/>
          <w:sz w:val="26"/>
          <w:szCs w:val="21"/>
        </w:rPr>
        <w:t>≥</w:t>
      </w:r>
      <w:r>
        <w:rPr>
          <w:rFonts w:ascii="宋体" w:eastAsia="宋体" w:hAnsi="宋体" w:cs="宋体" w:hint="eastAsia"/>
          <w:color w:val="000000"/>
          <w:sz w:val="26"/>
          <w:szCs w:val="21"/>
        </w:rPr>
        <w:t>600接受钢筋混凝土管&lt;600接受离心球墨铸铁管；其中钢筋混凝土管550米，离心球墨铸铁管6023米，不锈钢管420米，碳钢管9580米。</w:t>
      </w:r>
      <w:r>
        <w:rPr>
          <w:rFonts w:ascii="宋体" w:eastAsia="宋体" w:hAnsi="宋体" w:cs="宋体" w:hint="eastAsia"/>
          <w:color w:val="000000"/>
          <w:kern w:val="0"/>
          <w:sz w:val="26"/>
          <w:lang w:bidi="ar-SA"/>
        </w:rPr>
        <w:t>本工程为各种工业给排水管道与钢筋混凝土管井。建筑结构平安等级为二级，建筑抗震分组其次组，抗震设防烈度为7度，设计运用年限为50年。</w:t>
      </w:r>
    </w:p>
    <w:p>
      <w:pPr>
        <w:tabs>
          <w:tab w:val="right" w:pos="8448"/>
          <w:tab w:val="right" w:pos="8732"/>
        </w:tabs>
        <w:adjustRightInd w:val="0"/>
        <w:snapToGrid w:val="0"/>
        <w:spacing w:line="520" w:lineRule="exact"/>
        <w:ind w:firstLine="481" w:firstLineChars="185"/>
        <w:rPr>
          <w:rFonts w:ascii="宋体" w:hint="eastAsia"/>
          <w:sz w:val="24"/>
        </w:rPr>
      </w:pPr>
      <w:r>
        <w:rPr>
          <w:rFonts w:ascii="宋体" w:eastAsia="宋体" w:hAnsi="宋体" w:cs="宋体" w:hint="eastAsia"/>
          <w:color w:val="000000"/>
          <w:kern w:val="0"/>
          <w:sz w:val="26"/>
        </w:rPr>
        <w:t>2.2</w:t>
      </w:r>
      <w:r>
        <w:rPr>
          <w:rFonts w:ascii="宋体" w:eastAsia="宋体" w:hAnsi="宋体" w:cs="宋体" w:hint="eastAsia"/>
          <w:color w:val="000000"/>
          <w:sz w:val="26"/>
        </w:rPr>
        <w:t>建设地点与环境特征</w:t>
      </w:r>
    </w:p>
    <w:p>
      <w:pPr>
        <w:autoSpaceDE w:val="0"/>
        <w:autoSpaceDN w:val="0"/>
        <w:adjustRightInd w:val="0"/>
        <w:spacing w:line="520" w:lineRule="exact"/>
        <w:ind w:firstLine="520" w:firstLineChars="200"/>
        <w:jc w:val="left"/>
        <w:rPr>
          <w:rFonts w:ascii="宋体" w:cs="宋体" w:hint="eastAsia"/>
          <w:kern w:val="0"/>
          <w:sz w:val="24"/>
        </w:rPr>
      </w:pPr>
      <w:r>
        <w:rPr>
          <w:rFonts w:ascii="宋体" w:eastAsia="宋体" w:hAnsi="宋体" w:cs="宋体" w:hint="eastAsia"/>
          <w:color w:val="000000"/>
          <w:kern w:val="0"/>
          <w:sz w:val="26"/>
          <w:lang w:bidi="ar-SA"/>
        </w:rPr>
        <w:t>本工程位于烟台</w:t>
      </w:r>
      <w:r>
        <w:rPr>
          <w:rFonts w:ascii="宋体" w:eastAsia="宋体" w:hAnsi="宋体" w:cs="宋体" w:hint="eastAsia"/>
          <w:color w:val="000000"/>
          <w:sz w:val="26"/>
        </w:rPr>
        <w:t>万华工业园丙烯酸酯装置区内</w:t>
      </w:r>
      <w:r>
        <w:rPr>
          <w:rFonts w:ascii="宋体" w:eastAsia="宋体" w:hAnsi="宋体" w:cs="宋体" w:hint="eastAsia"/>
          <w:color w:val="000000"/>
          <w:kern w:val="0"/>
          <w:sz w:val="26"/>
          <w:lang w:bidi="ar-SA"/>
        </w:rPr>
        <w:t>。</w:t>
      </w:r>
    </w:p>
    <w:p>
      <w:pPr>
        <w:autoSpaceDE w:val="0"/>
        <w:autoSpaceDN w:val="0"/>
        <w:adjustRightInd w:val="0"/>
        <w:spacing w:line="520" w:lineRule="exact"/>
        <w:ind w:firstLine="520" w:firstLineChars="200"/>
        <w:jc w:val="left"/>
        <w:rPr>
          <w:rFonts w:ascii="宋体" w:cs="宋体" w:hint="eastAsia"/>
          <w:kern w:val="0"/>
          <w:sz w:val="24"/>
          <w:lang w:val="zh-CN"/>
        </w:rPr>
      </w:pPr>
      <w:r>
        <w:rPr>
          <w:rFonts w:ascii="宋体" w:eastAsia="宋体" w:hAnsi="宋体" w:cs="宋体" w:hint="eastAsia"/>
          <w:color w:val="000000"/>
          <w:kern w:val="0"/>
          <w:sz w:val="26"/>
          <w:lang w:val="zh-CN" w:eastAsia="zh-CN" w:bidi="ar-SA"/>
        </w:rPr>
        <w:t>岩、土层分布：</w:t>
      </w:r>
    </w:p>
    <w:p>
      <w:pPr>
        <w:spacing w:line="520" w:lineRule="exact"/>
        <w:ind w:firstLine="520" w:firstLineChars="200"/>
        <w:jc w:val="left"/>
        <w:rPr>
          <w:sz w:val="24"/>
        </w:rPr>
      </w:pPr>
      <w:r>
        <w:rPr>
          <w:rFonts w:ascii="宋体" w:eastAsia="宋体" w:hAnsi="宋体" w:cs="宋体"/>
          <w:color w:val="000000"/>
          <w:sz w:val="26"/>
          <w:szCs w:val="28"/>
        </w:rPr>
        <w:t>①层填土：承载力低，压缩性高，结构松散，为新近填土，未经处理，不宜干脆作为基础持力层。</w:t>
      </w:r>
    </w:p>
    <w:p>
      <w:pPr>
        <w:spacing w:line="520" w:lineRule="exact"/>
        <w:ind w:firstLine="520" w:firstLineChars="200"/>
        <w:jc w:val="left"/>
        <w:rPr>
          <w:sz w:val="24"/>
        </w:rPr>
      </w:pPr>
      <w:r>
        <w:rPr>
          <w:rFonts w:ascii="宋体" w:eastAsia="宋体" w:hAnsi="宋体" w:cs="宋体"/>
          <w:color w:val="000000"/>
          <w:sz w:val="26"/>
          <w:szCs w:val="28"/>
        </w:rPr>
        <w:t>②层中砂：承载力较低，压缩性较高，厚度一般较小，分布不稳定，属工程性质相对较差的地基土层。</w:t>
      </w:r>
    </w:p>
    <w:p>
      <w:pPr>
        <w:spacing w:line="520" w:lineRule="exact"/>
        <w:ind w:firstLine="520" w:firstLineChars="200"/>
        <w:jc w:val="left"/>
        <w:rPr>
          <w:sz w:val="24"/>
        </w:rPr>
      </w:pPr>
      <w:r>
        <w:rPr>
          <w:rFonts w:ascii="宋体" w:eastAsia="宋体" w:hAnsi="宋体" w:cs="宋体"/>
          <w:color w:val="000000"/>
          <w:sz w:val="26"/>
          <w:szCs w:val="28"/>
        </w:rPr>
        <w:t>③层粉质粘土：承载力较高，压缩性中等，厚度变更较大，当承载力满足上部建（构）筑物要求时，在分布稳定、层顶面埋深较浅地段，</w:t>
      </w:r>
      <w:r>
        <w:rPr>
          <w:rFonts w:ascii="宋体" w:eastAsia="宋体" w:hAnsi="宋体" w:cs="宋体"/>
          <w:color w:val="000000"/>
          <w:sz w:val="26"/>
        </w:rPr>
        <w:t>可作为拟建建（构）筑物的自然地基持力层。</w:t>
      </w:r>
    </w:p>
    <w:p>
      <w:pPr>
        <w:spacing w:line="520" w:lineRule="exact"/>
        <w:ind w:firstLine="520" w:firstLineChars="200"/>
        <w:jc w:val="left"/>
        <w:rPr>
          <w:sz w:val="24"/>
        </w:rPr>
      </w:pPr>
      <w:r>
        <w:rPr>
          <w:rFonts w:ascii="宋体" w:eastAsia="宋体" w:hAnsi="宋体" w:cs="宋体"/>
          <w:color w:val="000000"/>
          <w:sz w:val="26"/>
          <w:szCs w:val="28"/>
        </w:rPr>
        <w:t>④层残积砂质粘性土：承载力较高，压缩性较低，厚度变更较大，当承载力满足上部建（构）筑物要求时，在分布稳定、层顶面埋深较浅地段，</w:t>
      </w:r>
      <w:r>
        <w:rPr>
          <w:rFonts w:ascii="宋体" w:eastAsia="宋体" w:hAnsi="宋体" w:cs="宋体"/>
          <w:color w:val="000000"/>
          <w:sz w:val="26"/>
        </w:rPr>
        <w:t>可作为拟建建（构）筑物的自然地基持力层。</w:t>
      </w:r>
    </w:p>
    <w:p>
      <w:pPr>
        <w:spacing w:line="520" w:lineRule="exact"/>
        <w:ind w:firstLine="520" w:firstLineChars="200"/>
        <w:jc w:val="left"/>
        <w:rPr>
          <w:sz w:val="24"/>
        </w:rPr>
        <w:sectPr>
          <w:type w:val="nextPage"/>
          <w:pgSz w:w="11906" w:h="16838"/>
          <w:pgMar w:top="1440" w:right="1134" w:bottom="1440" w:left="1701" w:header="851" w:footer="992" w:gutter="0"/>
          <w:pgNumType w:start="3"/>
          <w:cols w:space="708"/>
          <w:vAlign w:val="top"/>
          <w:titlePg w:val="0"/>
          <w:textDirection w:val="lrTb"/>
          <w:docGrid w:type="lines" w:linePitch="312"/>
        </w:sectPr>
      </w:pPr>
      <w:r>
        <w:rPr>
          <w:rFonts w:ascii="宋体" w:eastAsia="宋体" w:hAnsi="宋体" w:cs="宋体"/>
          <w:color w:val="000000"/>
          <w:sz w:val="26"/>
          <w:szCs w:val="28"/>
        </w:rPr>
        <w:t>⑤层全风化黑云二长花岗岩、⑥</w:t>
      </w:r>
      <w:r>
        <w:rPr>
          <w:rFonts w:ascii="宋体" w:eastAsia="宋体" w:hAnsi="宋体" w:cs="宋体"/>
          <w:color w:val="000000"/>
          <w:sz w:val="26"/>
          <w:szCs w:val="28"/>
          <w:vertAlign w:val="subscript"/>
        </w:rPr>
        <w:t>1</w:t>
      </w:r>
      <w:r>
        <w:rPr>
          <w:rFonts w:ascii="宋体" w:eastAsia="宋体" w:hAnsi="宋体" w:cs="宋体"/>
          <w:color w:val="000000"/>
          <w:sz w:val="26"/>
          <w:szCs w:val="28"/>
        </w:rPr>
        <w:t>层砂砾状强风化黑云二长花岗岩：承载力高，压缩性低，厚度大，分布稳定，在层顶面埋深较浅地段，</w:t>
      </w:r>
    </w:p>
    <w:p>
      <w:pPr>
        <w:spacing w:line="520" w:lineRule="exact"/>
        <w:ind w:firstLine="520" w:firstLineChars="200"/>
        <w:jc w:val="left"/>
        <w:rPr>
          <w:sz w:val="24"/>
        </w:rPr>
      </w:pPr>
      <w:r>
        <w:rPr>
          <w:rFonts w:ascii="宋体" w:eastAsia="宋体" w:hAnsi="宋体" w:cs="宋体"/>
          <w:color w:val="000000"/>
          <w:sz w:val="26"/>
        </w:rPr>
        <w:t>可作为拟建建（构）筑物的自然地基持力层。</w:t>
      </w:r>
    </w:p>
    <w:p>
      <w:pPr>
        <w:spacing w:line="520" w:lineRule="exact"/>
        <w:ind w:firstLine="520" w:firstLineChars="200"/>
        <w:jc w:val="left"/>
        <w:rPr>
          <w:sz w:val="24"/>
        </w:rPr>
      </w:pPr>
      <w:r>
        <w:rPr>
          <w:rFonts w:ascii="宋体" w:eastAsia="宋体" w:hAnsi="宋体" w:cs="宋体"/>
          <w:color w:val="000000"/>
          <w:sz w:val="26"/>
        </w:rPr>
        <w:t>⑤</w:t>
      </w:r>
      <w:r>
        <w:rPr>
          <w:rFonts w:ascii="宋体" w:eastAsia="宋体" w:hAnsi="宋体" w:cs="宋体"/>
          <w:color w:val="000000"/>
          <w:sz w:val="26"/>
          <w:szCs w:val="28"/>
          <w:vertAlign w:val="subscript"/>
        </w:rPr>
        <w:t>夹</w:t>
      </w:r>
      <w:r>
        <w:rPr>
          <w:rFonts w:ascii="宋体" w:eastAsia="宋体" w:hAnsi="宋体" w:cs="宋体"/>
          <w:color w:val="000000"/>
          <w:sz w:val="26"/>
          <w:szCs w:val="28"/>
        </w:rPr>
        <w:t>、⑥</w:t>
      </w:r>
      <w:r>
        <w:rPr>
          <w:rFonts w:ascii="宋体" w:eastAsia="宋体" w:hAnsi="宋体" w:cs="宋体"/>
          <w:color w:val="000000"/>
          <w:sz w:val="26"/>
          <w:szCs w:val="28"/>
          <w:vertAlign w:val="subscript"/>
        </w:rPr>
        <w:t>1夹</w:t>
      </w:r>
      <w:r>
        <w:rPr>
          <w:rFonts w:ascii="宋体" w:eastAsia="宋体" w:hAnsi="宋体" w:cs="宋体"/>
          <w:color w:val="000000"/>
          <w:sz w:val="26"/>
          <w:szCs w:val="28"/>
        </w:rPr>
        <w:t>层全风化、强风化煌斑岩脉、构造片岩脉，与⑤层、⑥</w:t>
      </w:r>
      <w:r>
        <w:rPr>
          <w:rFonts w:ascii="宋体" w:eastAsia="宋体" w:hAnsi="宋体" w:cs="宋体"/>
          <w:color w:val="000000"/>
          <w:sz w:val="26"/>
          <w:szCs w:val="28"/>
          <w:vertAlign w:val="subscript"/>
        </w:rPr>
        <w:t>1</w:t>
      </w:r>
      <w:r>
        <w:rPr>
          <w:rFonts w:ascii="宋体" w:eastAsia="宋体" w:hAnsi="宋体" w:cs="宋体"/>
          <w:color w:val="000000"/>
          <w:sz w:val="26"/>
          <w:szCs w:val="28"/>
        </w:rPr>
        <w:t>层工程性质基本相近，可视为同层。</w:t>
      </w:r>
    </w:p>
    <w:p>
      <w:pPr>
        <w:spacing w:line="520" w:lineRule="exact"/>
        <w:ind w:firstLine="520" w:firstLineChars="200"/>
        <w:jc w:val="left"/>
        <w:rPr>
          <w:sz w:val="24"/>
          <w:szCs w:val="28"/>
        </w:rPr>
      </w:pPr>
      <w:r>
        <w:rPr>
          <w:rFonts w:ascii="宋体" w:eastAsia="宋体" w:hAnsi="宋体" w:cs="宋体"/>
          <w:color w:val="000000"/>
          <w:sz w:val="26"/>
          <w:szCs w:val="28"/>
        </w:rPr>
        <w:t>⑥</w:t>
      </w:r>
      <w:r>
        <w:rPr>
          <w:rFonts w:ascii="宋体" w:eastAsia="宋体" w:hAnsi="宋体" w:cs="宋体"/>
          <w:color w:val="000000"/>
          <w:sz w:val="26"/>
          <w:szCs w:val="28"/>
          <w:vertAlign w:val="subscript"/>
        </w:rPr>
        <w:t>2</w:t>
      </w:r>
      <w:r>
        <w:rPr>
          <w:rFonts w:ascii="宋体" w:eastAsia="宋体" w:hAnsi="宋体" w:cs="宋体"/>
          <w:color w:val="000000"/>
          <w:sz w:val="26"/>
          <w:szCs w:val="28"/>
        </w:rPr>
        <w:t>层块状状强风化黑云二长花岗岩：承载力高，压缩性低，厚度大，分布较稳定，在层顶面埋深较小地段是良好的自然地基持力层，在层顶面埋深较大地段是较好的</w:t>
      </w:r>
      <w:r>
        <w:rPr>
          <w:rFonts w:ascii="宋体" w:eastAsia="宋体" w:hAnsi="宋体" w:cs="宋体"/>
          <w:color w:val="000000"/>
          <w:sz w:val="26"/>
        </w:rPr>
        <w:t>桩基持力层</w:t>
      </w:r>
      <w:r>
        <w:rPr>
          <w:rFonts w:ascii="宋体" w:eastAsia="宋体" w:hAnsi="宋体" w:cs="宋体"/>
          <w:color w:val="000000"/>
          <w:sz w:val="26"/>
          <w:szCs w:val="28"/>
        </w:rPr>
        <w:t>。</w:t>
      </w:r>
    </w:p>
    <w:p>
      <w:pPr>
        <w:spacing w:line="520" w:lineRule="exact"/>
        <w:ind w:firstLine="520" w:firstLineChars="200"/>
        <w:jc w:val="left"/>
        <w:rPr>
          <w:sz w:val="24"/>
        </w:rPr>
      </w:pPr>
      <w:r>
        <w:rPr>
          <w:rFonts w:ascii="宋体" w:eastAsia="宋体" w:hAnsi="宋体" w:cs="宋体"/>
          <w:color w:val="000000"/>
          <w:sz w:val="26"/>
          <w:szCs w:val="28"/>
        </w:rPr>
        <w:t>⑥</w:t>
      </w:r>
      <w:r>
        <w:rPr>
          <w:rFonts w:ascii="宋体" w:eastAsia="宋体" w:hAnsi="宋体" w:cs="宋体"/>
          <w:color w:val="000000"/>
          <w:sz w:val="26"/>
          <w:szCs w:val="28"/>
          <w:vertAlign w:val="subscript"/>
        </w:rPr>
        <w:t>2夹</w:t>
      </w:r>
      <w:r>
        <w:rPr>
          <w:rFonts w:ascii="宋体" w:eastAsia="宋体" w:hAnsi="宋体" w:cs="宋体"/>
          <w:color w:val="000000"/>
          <w:sz w:val="26"/>
          <w:szCs w:val="28"/>
        </w:rPr>
        <w:t>层块状强风化花岗斑岩脉：承载力高，压缩性低，呈陡倾角脉状产出，作为基础持力层时，需留意与四周岩体的</w:t>
      </w:r>
      <w:r>
        <w:rPr>
          <w:rFonts w:ascii="宋体" w:eastAsia="宋体" w:hAnsi="宋体" w:cs="宋体" w:hint="eastAsia"/>
          <w:color w:val="000000"/>
          <w:sz w:val="26"/>
          <w:szCs w:val="28"/>
        </w:rPr>
        <w:t>压缩性差异</w:t>
      </w:r>
      <w:r>
        <w:rPr>
          <w:rFonts w:ascii="宋体" w:eastAsia="宋体" w:hAnsi="宋体" w:cs="宋体"/>
          <w:color w:val="000000"/>
          <w:sz w:val="26"/>
          <w:szCs w:val="28"/>
        </w:rPr>
        <w:t>。</w:t>
      </w:r>
    </w:p>
    <w:p>
      <w:pPr>
        <w:spacing w:line="520" w:lineRule="exact"/>
        <w:ind w:firstLine="520" w:firstLineChars="200"/>
        <w:jc w:val="left"/>
        <w:rPr>
          <w:sz w:val="24"/>
          <w:szCs w:val="28"/>
        </w:rPr>
      </w:pPr>
      <w:r>
        <w:rPr>
          <w:rFonts w:ascii="宋体" w:eastAsia="宋体" w:hAnsi="宋体" w:cs="宋体"/>
          <w:color w:val="000000"/>
          <w:sz w:val="26"/>
          <w:szCs w:val="28"/>
        </w:rPr>
        <w:t>⑦层中风化黑云二长花岗岩：承载力高，压缩变形可忽视不计，厚度大，分布稳定，是良好的桩基持力层。</w:t>
      </w:r>
    </w:p>
    <w:p>
      <w:pPr>
        <w:autoSpaceDE w:val="0"/>
        <w:autoSpaceDN w:val="0"/>
        <w:adjustRightInd w:val="0"/>
        <w:spacing w:line="520" w:lineRule="exact"/>
        <w:ind w:firstLine="520" w:firstLineChars="200"/>
        <w:jc w:val="left"/>
        <w:rPr>
          <w:rFonts w:ascii="宋体" w:cs="宋体" w:hint="eastAsia"/>
          <w:kern w:val="0"/>
          <w:sz w:val="24"/>
          <w:lang w:val="zh-CN"/>
        </w:rPr>
      </w:pPr>
      <w:r>
        <w:rPr>
          <w:rFonts w:ascii="宋体" w:eastAsia="宋体" w:hAnsi="宋体" w:cs="宋体"/>
          <w:color w:val="000000"/>
          <w:sz w:val="26"/>
          <w:szCs w:val="28"/>
        </w:rPr>
        <w:t>⑦</w:t>
      </w:r>
      <w:r>
        <w:rPr>
          <w:rFonts w:ascii="宋体" w:eastAsia="宋体" w:hAnsi="宋体" w:cs="宋体"/>
          <w:color w:val="000000"/>
          <w:sz w:val="26"/>
          <w:szCs w:val="28"/>
          <w:vertAlign w:val="subscript"/>
        </w:rPr>
        <w:t>夹</w:t>
      </w:r>
      <w:r>
        <w:rPr>
          <w:rFonts w:ascii="宋体" w:eastAsia="宋体" w:hAnsi="宋体" w:cs="宋体"/>
          <w:color w:val="000000"/>
          <w:sz w:val="26"/>
          <w:szCs w:val="28"/>
        </w:rPr>
        <w:t>层中风化花岗斑岩脉、玄武质玢岩脉、煌斑岩脉、构造片岩脉：承载力高，压缩变形可忽视不计，一般呈陡倾角脉状产出，作为基础持力层时，需留意与四周岩体的</w:t>
      </w:r>
      <w:r>
        <w:rPr>
          <w:rFonts w:ascii="宋体" w:eastAsia="宋体" w:hAnsi="宋体" w:cs="宋体" w:hint="eastAsia"/>
          <w:color w:val="000000"/>
          <w:sz w:val="26"/>
          <w:szCs w:val="28"/>
        </w:rPr>
        <w:t>压缩性差异</w:t>
      </w:r>
      <w:r>
        <w:rPr>
          <w:rFonts w:ascii="宋体" w:eastAsia="宋体" w:hAnsi="宋体" w:cs="宋体" w:hint="eastAsia"/>
          <w:color w:val="000000"/>
          <w:kern w:val="0"/>
          <w:sz w:val="26"/>
          <w:lang w:val="zh-CN" w:eastAsia="zh-CN" w:bidi="ar-SA"/>
        </w:rPr>
        <w:t>本工程持力层为1层强风化花岗岩，灰-灰白色，中粗粒结构，块状构造，厚度为5-8.1m,平均6.13m，地基承载力特征值700。</w:t>
      </w:r>
    </w:p>
    <w:p>
      <w:pPr>
        <w:autoSpaceDE w:val="0"/>
        <w:autoSpaceDN w:val="0"/>
        <w:adjustRightInd w:val="0"/>
        <w:spacing w:line="520" w:lineRule="exact"/>
        <w:ind w:firstLine="520" w:firstLineChars="200"/>
        <w:jc w:val="left"/>
        <w:rPr>
          <w:rFonts w:ascii="宋体" w:cs="宋体" w:hint="eastAsia"/>
          <w:kern w:val="0"/>
          <w:sz w:val="24"/>
          <w:lang w:val="zh-CN"/>
        </w:rPr>
      </w:pPr>
      <w:r>
        <w:rPr>
          <w:rFonts w:ascii="宋体" w:eastAsia="宋体" w:hAnsi="宋体" w:cs="宋体" w:hint="eastAsia"/>
          <w:color w:val="000000"/>
          <w:kern w:val="0"/>
          <w:sz w:val="26"/>
          <w:lang w:val="zh-CN" w:eastAsia="zh-CN" w:bidi="ar-SA"/>
        </w:rPr>
        <w:t>地下水主要是基岩裂隙水，位于1层强风化花岗岩中，水源为大气降水与相邻含水层侧向径流并以蒸发与地下迳流方式排泄。该区域6-9月水位较高，稳定水位埋深最小1.5m，最大1.65m，平均1.58m，水位标高，最小27.48m,最大29.62m，平均28.56m。</w:t>
      </w:r>
    </w:p>
    <w:p>
      <w:pPr>
        <w:autoSpaceDE w:val="0"/>
        <w:autoSpaceDN w:val="0"/>
        <w:adjustRightInd w:val="0"/>
        <w:spacing w:line="520" w:lineRule="exact"/>
        <w:ind w:firstLine="499" w:firstLineChars="192"/>
        <w:rPr>
          <w:rFonts w:ascii="宋体" w:hint="eastAsia"/>
          <w:sz w:val="24"/>
        </w:rPr>
      </w:pPr>
      <w:r>
        <w:rPr>
          <w:rFonts w:ascii="宋体" w:eastAsia="宋体" w:hAnsi="宋体" w:cs="宋体" w:hint="eastAsia"/>
          <w:color w:val="000000"/>
          <w:sz w:val="26"/>
        </w:rPr>
        <w:t>气候特征：</w:t>
      </w:r>
      <w:r>
        <w:rPr>
          <w:rFonts w:ascii="宋体" w:eastAsia="宋体" w:hAnsi="宋体" w:cs="宋体" w:hint="eastAsia"/>
          <w:color w:val="000000"/>
          <w:kern w:val="0"/>
          <w:sz w:val="26"/>
          <w:lang w:val="zh-CN" w:eastAsia="zh-CN" w:bidi="ar-SA"/>
        </w:rPr>
        <w:t>属温带季风气候，冬夏季风交替显著，气温适中，四季分明。每年 6 月至 9 月雨水较为密集，常年有</w:t>
      </w:r>
      <w:r>
        <w:rPr>
          <w:rFonts w:ascii="宋体" w:eastAsia="宋体" w:hAnsi="宋体" w:cs="宋体" w:hint="eastAsia"/>
          <w:color w:val="000000"/>
          <w:kern w:val="0"/>
          <w:sz w:val="26"/>
          <w:lang w:bidi="ar-SA"/>
        </w:rPr>
        <w:t>3-4级风</w:t>
      </w:r>
      <w:r>
        <w:rPr>
          <w:rFonts w:ascii="宋体" w:eastAsia="宋体" w:hAnsi="宋体" w:cs="宋体" w:hint="eastAsia"/>
          <w:color w:val="000000"/>
          <w:sz w:val="26"/>
        </w:rPr>
        <w:t>。</w:t>
      </w:r>
    </w:p>
    <w:p>
      <w:pPr>
        <w:spacing w:line="520" w:lineRule="exact"/>
        <w:rPr>
          <w:rFonts w:ascii="宋体" w:hint="eastAsia"/>
          <w:sz w:val="28"/>
          <w:szCs w:val="28"/>
        </w:rPr>
      </w:pPr>
      <w:r>
        <w:rPr>
          <w:rFonts w:ascii="宋体" w:eastAsia="宋体" w:hAnsi="宋体" w:cs="宋体" w:hint="eastAsia"/>
          <w:b/>
          <w:color w:val="000000"/>
          <w:sz w:val="26"/>
          <w:szCs w:val="28"/>
        </w:rPr>
        <w:t>三、方案设计</w:t>
      </w:r>
    </w:p>
    <w:p>
      <w:pPr>
        <w:spacing w:line="520" w:lineRule="exact"/>
        <w:rPr>
          <w:rFonts w:ascii="宋体" w:hint="eastAsia"/>
          <w:sz w:val="24"/>
          <w:szCs w:val="21"/>
        </w:rPr>
        <w:sectPr>
          <w:type w:val="nextPage"/>
          <w:pgSz w:w="11906" w:h="16838"/>
          <w:pgMar w:top="1440" w:right="1134" w:bottom="1440" w:left="1701" w:header="851" w:footer="992" w:gutter="0"/>
          <w:pgNumType w:start="4"/>
          <w:cols w:space="708"/>
          <w:vAlign w:val="top"/>
          <w:titlePg w:val="0"/>
          <w:textDirection w:val="lrTb"/>
          <w:docGrid w:type="lines" w:linePitch="312"/>
        </w:sectPr>
      </w:pPr>
      <w:r>
        <w:rPr>
          <w:rFonts w:ascii="宋体" w:eastAsia="宋体" w:hAnsi="宋体" w:cs="宋体" w:hint="eastAsia"/>
          <w:color w:val="000000"/>
          <w:kern w:val="0"/>
          <w:sz w:val="26"/>
          <w:lang w:bidi="ar-SA"/>
        </w:rPr>
        <w:t xml:space="preserve">    </w:t>
      </w:r>
      <w:r>
        <w:rPr>
          <w:rFonts w:ascii="宋体" w:eastAsia="宋体" w:hAnsi="宋体" w:cs="宋体" w:hint="eastAsia"/>
          <w:color w:val="000000"/>
          <w:kern w:val="0"/>
          <w:sz w:val="26"/>
          <w:lang w:val="zh-CN" w:eastAsia="zh-CN" w:bidi="ar-SA"/>
        </w:rPr>
        <w:t>本方案所涉与施工内容主要包括：测量放线、土方开挖、回填、布管和下管、管道对口和调直稳固、管道安装、水压试验和清洗、管道消毒、管道防腐、井室施工等。由于管道工程分布面广、零散、移动施工，</w:t>
      </w:r>
    </w:p>
    <w:p>
      <w:pPr>
        <w:spacing w:line="520" w:lineRule="exact"/>
        <w:rPr>
          <w:rFonts w:ascii="宋体" w:hint="eastAsia"/>
          <w:sz w:val="24"/>
          <w:szCs w:val="21"/>
        </w:rPr>
      </w:pPr>
      <w:r>
        <w:rPr>
          <w:rFonts w:ascii="宋体" w:eastAsia="宋体" w:hAnsi="宋体" w:cs="宋体" w:hint="eastAsia"/>
          <w:color w:val="000000"/>
          <w:sz w:val="26"/>
          <w:szCs w:val="21"/>
        </w:rPr>
        <w:t>钢管地基承载力大于80、管道防腐要求高、大口径管道多、工程量大、工期紧、地质形势困难、施工期间多组工作人员交叉作业、统筹施工</w:t>
      </w:r>
      <w:r>
        <w:rPr>
          <w:rFonts w:ascii="宋体" w:eastAsia="宋体" w:hAnsi="宋体" w:cs="宋体" w:hint="eastAsia"/>
          <w:color w:val="000000"/>
          <w:kern w:val="0"/>
          <w:sz w:val="26"/>
          <w:lang w:val="zh-CN" w:eastAsia="zh-CN" w:bidi="ar-SA"/>
        </w:rPr>
        <w:t>等特点，使它不同于其他一般工程项目，需结合现场实际施工状况确定管道工程的施工依次和施工方法。</w:t>
      </w:r>
      <w:r>
        <w:rPr>
          <w:rFonts w:ascii="宋体" w:eastAsia="宋体" w:hAnsi="宋体" w:cs="宋体" w:hint="eastAsia"/>
          <w:color w:val="000000"/>
          <w:sz w:val="26"/>
          <w:szCs w:val="21"/>
        </w:rPr>
        <w:t>图中绘制的给排水管道局部可能与现场实际状况不完全相符，据设计施工说明施工时依据现场实际状况作适当调整。原则是：压力流管道躲重力流管道、小管道让大管道。</w:t>
      </w:r>
      <w:r>
        <w:rPr>
          <w:rFonts w:ascii="宋体" w:eastAsia="宋体" w:hAnsi="宋体" w:cs="宋体" w:hint="eastAsia"/>
          <w:color w:val="000000"/>
          <w:kern w:val="0"/>
          <w:sz w:val="26"/>
          <w:lang w:val="zh-CN" w:eastAsia="zh-CN" w:bidi="ar-SA"/>
        </w:rPr>
        <w:t>为保证给排水管道工程各项工作顺当、有序的进行，从工程质量动身，结合施工现场实际状况编制此方案。</w:t>
      </w:r>
    </w:p>
    <w:p>
      <w:pPr>
        <w:spacing w:line="520" w:lineRule="exact"/>
        <w:rPr>
          <w:rFonts w:ascii="宋体" w:hint="eastAsia"/>
          <w:b/>
          <w:sz w:val="28"/>
          <w:szCs w:val="28"/>
        </w:rPr>
      </w:pPr>
      <w:r>
        <w:rPr>
          <w:rFonts w:ascii="宋体" w:eastAsia="宋体" w:hAnsi="宋体" w:cs="宋体" w:hint="eastAsia"/>
          <w:b/>
          <w:color w:val="000000"/>
          <w:sz w:val="26"/>
          <w:szCs w:val="28"/>
        </w:rPr>
        <w:t>四、施工部署</w:t>
      </w:r>
    </w:p>
    <w:p>
      <w:pPr>
        <w:spacing w:line="520" w:lineRule="exact"/>
        <w:rPr>
          <w:rFonts w:ascii="宋体" w:hint="eastAsia"/>
          <w:b/>
          <w:bCs/>
          <w:color w:val="000000"/>
          <w:sz w:val="24"/>
        </w:rPr>
      </w:pPr>
      <w:r>
        <w:rPr>
          <w:rFonts w:ascii="宋体" w:eastAsia="宋体" w:hAnsi="宋体" w:cs="宋体" w:hint="eastAsia"/>
          <w:b/>
          <w:color w:val="000000"/>
          <w:kern w:val="0"/>
          <w:sz w:val="26"/>
        </w:rPr>
        <w:t xml:space="preserve">   </w:t>
      </w:r>
      <w:r>
        <w:rPr>
          <w:rFonts w:ascii="宋体" w:eastAsia="宋体" w:hAnsi="宋体" w:cs="宋体" w:hint="eastAsia"/>
          <w:color w:val="000000"/>
          <w:sz w:val="26"/>
        </w:rPr>
        <w:t>4.1项目部管理人员职责支配表</w:t>
      </w:r>
    </w:p>
    <w:p>
      <w:pPr>
        <w:spacing w:line="520" w:lineRule="exact"/>
        <w:jc w:val="center"/>
        <w:rPr>
          <w:rFonts w:ascii="宋体" w:hint="eastAsia"/>
          <w:b/>
          <w:bCs/>
          <w:color w:val="000000"/>
          <w:sz w:val="24"/>
        </w:rPr>
      </w:pPr>
      <w:r>
        <w:rPr>
          <w:rFonts w:ascii="宋体" w:eastAsia="宋体" w:hAnsi="宋体" w:cs="宋体" w:hint="eastAsia"/>
          <w:b/>
          <w:bCs/>
          <w:color w:val="000000"/>
          <w:kern w:val="0"/>
          <w:sz w:val="26"/>
          <w:lang w:bidi="ar-SA"/>
        </w:rPr>
        <w:t>土建项目管理人员职责支配表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63"/>
        <w:gridCol w:w="1050"/>
        <w:gridCol w:w="1155"/>
        <w:gridCol w:w="566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63" w:type="dxa"/>
            <w:vAlign w:val="center"/>
          </w:tcPr>
          <w:p>
            <w:pPr>
              <w:spacing w:line="520" w:lineRule="exact"/>
              <w:jc w:val="center"/>
              <w:rPr>
                <w:rFonts w:hint="eastAsia"/>
                <w:sz w:val="24"/>
              </w:rPr>
            </w:pPr>
            <w:r>
              <w:rPr>
                <w:rFonts w:ascii="宋体" w:eastAsia="宋体" w:hAnsi="宋体" w:cs="宋体" w:hint="eastAsia"/>
                <w:color w:val="000000"/>
                <w:sz w:val="26"/>
              </w:rPr>
              <w:t>工作岗位</w:t>
            </w:r>
          </w:p>
        </w:tc>
        <w:tc>
          <w:tcPr>
            <w:tcW w:w="1050" w:type="dxa"/>
            <w:vAlign w:val="center"/>
          </w:tcPr>
          <w:p>
            <w:pPr>
              <w:spacing w:line="520" w:lineRule="exact"/>
              <w:jc w:val="center"/>
              <w:rPr>
                <w:rFonts w:hint="eastAsia"/>
                <w:sz w:val="24"/>
              </w:rPr>
            </w:pPr>
            <w:r>
              <w:rPr>
                <w:rFonts w:ascii="宋体" w:eastAsia="宋体" w:hAnsi="宋体" w:cs="宋体" w:hint="eastAsia"/>
                <w:color w:val="000000"/>
                <w:sz w:val="26"/>
              </w:rPr>
              <w:t>姓名</w:t>
            </w:r>
          </w:p>
        </w:tc>
        <w:tc>
          <w:tcPr>
            <w:tcW w:w="1155" w:type="dxa"/>
            <w:vAlign w:val="center"/>
          </w:tcPr>
          <w:p>
            <w:pPr>
              <w:spacing w:line="520" w:lineRule="exact"/>
              <w:jc w:val="center"/>
              <w:rPr>
                <w:rFonts w:hint="eastAsia"/>
                <w:sz w:val="24"/>
              </w:rPr>
            </w:pPr>
            <w:r>
              <w:rPr>
                <w:rFonts w:ascii="宋体" w:eastAsia="宋体" w:hAnsi="宋体" w:cs="宋体" w:hint="eastAsia"/>
                <w:color w:val="000000"/>
                <w:sz w:val="26"/>
              </w:rPr>
              <w:t>职称</w:t>
            </w:r>
          </w:p>
        </w:tc>
        <w:tc>
          <w:tcPr>
            <w:tcW w:w="5669" w:type="dxa"/>
            <w:vAlign w:val="center"/>
          </w:tcPr>
          <w:p>
            <w:pPr>
              <w:spacing w:line="520" w:lineRule="exact"/>
              <w:jc w:val="center"/>
              <w:rPr>
                <w:rFonts w:hint="eastAsia"/>
                <w:sz w:val="24"/>
              </w:rPr>
            </w:pPr>
            <w:r>
              <w:rPr>
                <w:rFonts w:ascii="宋体" w:eastAsia="宋体" w:hAnsi="宋体" w:cs="宋体" w:hint="eastAsia"/>
                <w:color w:val="000000"/>
                <w:sz w:val="26"/>
              </w:rPr>
              <w:t>工作职责范围</w:t>
            </w:r>
          </w:p>
        </w:tc>
      </w:tr>
      <w:tr>
        <w:tblPrEx>
          <w:tblW w:w="0" w:type="auto"/>
          <w:tblInd w:w="0" w:type="dxa"/>
          <w:tblLayout w:type="fixed"/>
          <w:tblCellMar>
            <w:top w:w="0" w:type="dxa"/>
            <w:left w:w="108" w:type="dxa"/>
            <w:bottom w:w="0" w:type="dxa"/>
            <w:right w:w="108" w:type="dxa"/>
          </w:tblCellMar>
          <w:tblLook w:val="0000"/>
        </w:tblPrEx>
        <w:tc>
          <w:tcPr>
            <w:tcW w:w="1263" w:type="dxa"/>
            <w:vAlign w:val="center"/>
          </w:tcPr>
          <w:p>
            <w:pPr>
              <w:spacing w:line="520" w:lineRule="exact"/>
              <w:jc w:val="center"/>
              <w:rPr>
                <w:rFonts w:hint="eastAsia"/>
                <w:sz w:val="24"/>
              </w:rPr>
            </w:pPr>
            <w:r>
              <w:rPr>
                <w:rFonts w:ascii="宋体" w:eastAsia="宋体" w:hAnsi="宋体" w:cs="宋体" w:hint="eastAsia"/>
                <w:color w:val="000000"/>
                <w:sz w:val="26"/>
              </w:rPr>
              <w:t>项目经理</w:t>
            </w:r>
          </w:p>
        </w:tc>
        <w:tc>
          <w:tcPr>
            <w:tcW w:w="1050" w:type="dxa"/>
            <w:vAlign w:val="center"/>
          </w:tcPr>
          <w:p>
            <w:pPr>
              <w:spacing w:line="520" w:lineRule="exact"/>
              <w:jc w:val="center"/>
              <w:rPr>
                <w:rFonts w:hint="eastAsia"/>
                <w:sz w:val="24"/>
              </w:rPr>
            </w:pPr>
            <w:r>
              <w:rPr>
                <w:rFonts w:ascii="宋体" w:eastAsia="宋体" w:hAnsi="宋体" w:cs="宋体" w:hint="eastAsia"/>
                <w:color w:val="000000"/>
                <w:sz w:val="26"/>
              </w:rPr>
              <w:t>吕德强</w:t>
            </w:r>
          </w:p>
        </w:tc>
        <w:tc>
          <w:tcPr>
            <w:tcW w:w="1155" w:type="dxa"/>
            <w:vAlign w:val="center"/>
          </w:tcPr>
          <w:p>
            <w:pPr>
              <w:spacing w:line="520" w:lineRule="exact"/>
              <w:jc w:val="center"/>
              <w:rPr>
                <w:sz w:val="24"/>
              </w:rPr>
            </w:pPr>
            <w:r>
              <w:rPr>
                <w:rFonts w:ascii="宋体" w:eastAsia="宋体" w:hAnsi="宋体" w:cs="宋体" w:hint="eastAsia"/>
                <w:color w:val="000000"/>
                <w:sz w:val="26"/>
              </w:rPr>
              <w:t>高级</w:t>
            </w:r>
          </w:p>
          <w:p>
            <w:pPr>
              <w:spacing w:line="520" w:lineRule="exact"/>
              <w:jc w:val="center"/>
              <w:rPr>
                <w:rFonts w:hint="eastAsia"/>
                <w:sz w:val="24"/>
              </w:rPr>
            </w:pPr>
            <w:r>
              <w:rPr>
                <w:rFonts w:ascii="宋体" w:eastAsia="宋体" w:hAnsi="宋体" w:cs="宋体" w:hint="eastAsia"/>
                <w:color w:val="000000"/>
                <w:sz w:val="26"/>
              </w:rPr>
              <w:t>工程师</w:t>
            </w:r>
          </w:p>
        </w:tc>
        <w:tc>
          <w:tcPr>
            <w:tcW w:w="5669" w:type="dxa"/>
            <w:vAlign w:val="center"/>
          </w:tcPr>
          <w:p>
            <w:pPr>
              <w:spacing w:line="400" w:lineRule="exact"/>
              <w:rPr>
                <w:rFonts w:hint="eastAsia"/>
                <w:sz w:val="24"/>
              </w:rPr>
            </w:pPr>
            <w:r>
              <w:rPr>
                <w:rFonts w:ascii="宋体" w:eastAsia="宋体" w:hAnsi="宋体" w:cs="宋体" w:hint="eastAsia"/>
                <w:color w:val="000000"/>
                <w:sz w:val="26"/>
              </w:rPr>
              <w:t>对工程进度、质量、平安、文明施工向建设单位全面负责；代表公司履行对建设单位的合约，并代表建设单位行使对项目全部建设单位指定分包商的管理权。</w:t>
            </w:r>
          </w:p>
        </w:tc>
      </w:tr>
      <w:tr>
        <w:tblPrEx>
          <w:tblW w:w="0" w:type="auto"/>
          <w:tblInd w:w="0" w:type="dxa"/>
          <w:tblLayout w:type="fixed"/>
          <w:tblCellMar>
            <w:top w:w="0" w:type="dxa"/>
            <w:left w:w="108" w:type="dxa"/>
            <w:bottom w:w="0" w:type="dxa"/>
            <w:right w:w="108" w:type="dxa"/>
          </w:tblCellMar>
          <w:tblLook w:val="0000"/>
        </w:tblPrEx>
        <w:trPr>
          <w:trHeight w:val="1229"/>
        </w:trPr>
        <w:tc>
          <w:tcPr>
            <w:tcW w:w="1263" w:type="dxa"/>
            <w:vAlign w:val="center"/>
          </w:tcPr>
          <w:p>
            <w:pPr>
              <w:spacing w:line="520" w:lineRule="exact"/>
              <w:jc w:val="center"/>
              <w:rPr>
                <w:rFonts w:hint="eastAsia"/>
                <w:sz w:val="24"/>
              </w:rPr>
            </w:pPr>
            <w:r>
              <w:rPr>
                <w:rFonts w:ascii="宋体" w:eastAsia="宋体" w:hAnsi="宋体" w:cs="宋体" w:hint="eastAsia"/>
                <w:color w:val="000000"/>
                <w:sz w:val="26"/>
              </w:rPr>
              <w:t>施工经理</w:t>
            </w:r>
          </w:p>
        </w:tc>
        <w:tc>
          <w:tcPr>
            <w:tcW w:w="1050" w:type="dxa"/>
            <w:vAlign w:val="center"/>
          </w:tcPr>
          <w:p>
            <w:pPr>
              <w:spacing w:line="520" w:lineRule="exact"/>
              <w:jc w:val="center"/>
              <w:rPr>
                <w:rFonts w:hint="eastAsia"/>
                <w:sz w:val="24"/>
              </w:rPr>
            </w:pPr>
            <w:r>
              <w:rPr>
                <w:rFonts w:ascii="宋体" w:eastAsia="宋体" w:hAnsi="宋体" w:cs="宋体" w:hint="eastAsia"/>
                <w:color w:val="000000"/>
                <w:sz w:val="26"/>
              </w:rPr>
              <w:t>于治家</w:t>
            </w:r>
          </w:p>
        </w:tc>
        <w:tc>
          <w:tcPr>
            <w:tcW w:w="1155" w:type="dxa"/>
            <w:vAlign w:val="center"/>
          </w:tcPr>
          <w:p>
            <w:pPr>
              <w:spacing w:line="520" w:lineRule="exact"/>
              <w:jc w:val="center"/>
              <w:rPr>
                <w:rFonts w:hint="eastAsia"/>
                <w:sz w:val="24"/>
              </w:rPr>
            </w:pPr>
            <w:r>
              <w:rPr>
                <w:rFonts w:ascii="宋体" w:eastAsia="宋体" w:hAnsi="宋体" w:cs="宋体" w:hint="eastAsia"/>
                <w:color w:val="000000"/>
                <w:sz w:val="26"/>
              </w:rPr>
              <w:t>工程师</w:t>
            </w:r>
          </w:p>
        </w:tc>
        <w:tc>
          <w:tcPr>
            <w:tcW w:w="5669" w:type="dxa"/>
            <w:vAlign w:val="center"/>
          </w:tcPr>
          <w:p>
            <w:pPr>
              <w:spacing w:line="400" w:lineRule="exact"/>
              <w:rPr>
                <w:rFonts w:hint="eastAsia"/>
                <w:sz w:val="24"/>
              </w:rPr>
            </w:pPr>
            <w:r>
              <w:rPr>
                <w:rFonts w:ascii="宋体" w:eastAsia="宋体" w:hAnsi="宋体" w:cs="宋体" w:hint="eastAsia"/>
                <w:color w:val="000000"/>
                <w:sz w:val="26"/>
              </w:rPr>
              <w:t>对负责区域的进度、质量、平安、文明施工向项目经理负责；代表项目经理对项目部的管理，并代表项目经理行使对负责区域全部大小事务的管理权。</w:t>
            </w:r>
            <w:r>
              <w:rPr>
                <w:rFonts w:ascii="宋体" w:eastAsia="宋体" w:hAnsi="宋体" w:cs="宋体" w:hint="eastAsia"/>
                <w:color w:val="000000"/>
                <w:spacing w:val="-10"/>
                <w:sz w:val="26"/>
              </w:rPr>
              <w:t>负责施工现场的施工人员组织，工期进度，</w:t>
            </w:r>
            <w:r>
              <w:rPr>
                <w:rFonts w:ascii="宋体" w:eastAsia="宋体" w:hAnsi="宋体" w:cs="宋体" w:hint="eastAsia"/>
                <w:color w:val="000000"/>
                <w:sz w:val="26"/>
              </w:rPr>
              <w:t>环境爱惜，平安生产</w:t>
            </w:r>
            <w:r>
              <w:rPr>
                <w:rFonts w:ascii="宋体" w:eastAsia="宋体" w:hAnsi="宋体" w:cs="宋体" w:hint="eastAsia"/>
                <w:color w:val="000000"/>
                <w:spacing w:val="-10"/>
                <w:sz w:val="26"/>
              </w:rPr>
              <w:t>，文明施工。</w:t>
            </w:r>
          </w:p>
        </w:tc>
      </w:tr>
      <w:tr>
        <w:tblPrEx>
          <w:tblW w:w="0" w:type="auto"/>
          <w:tblInd w:w="0" w:type="dxa"/>
          <w:tblLayout w:type="fixed"/>
          <w:tblCellMar>
            <w:top w:w="0" w:type="dxa"/>
            <w:left w:w="108" w:type="dxa"/>
            <w:bottom w:w="0" w:type="dxa"/>
            <w:right w:w="108" w:type="dxa"/>
          </w:tblCellMar>
          <w:tblLook w:val="0000"/>
        </w:tblPrEx>
        <w:tc>
          <w:tcPr>
            <w:tcW w:w="1263" w:type="dxa"/>
            <w:vAlign w:val="center"/>
          </w:tcPr>
          <w:p>
            <w:pPr>
              <w:jc w:val="center"/>
              <w:rPr>
                <w:sz w:val="24"/>
              </w:rPr>
            </w:pPr>
            <w:r>
              <w:rPr>
                <w:rFonts w:ascii="宋体" w:eastAsia="宋体" w:hAnsi="宋体" w:cs="宋体" w:hint="eastAsia"/>
                <w:color w:val="000000"/>
                <w:sz w:val="26"/>
              </w:rPr>
              <w:t>技术</w:t>
            </w:r>
          </w:p>
          <w:p>
            <w:pPr>
              <w:jc w:val="center"/>
              <w:rPr>
                <w:rFonts w:hint="eastAsia"/>
                <w:sz w:val="24"/>
              </w:rPr>
            </w:pPr>
            <w:r>
              <w:rPr>
                <w:rFonts w:ascii="宋体" w:eastAsia="宋体" w:hAnsi="宋体" w:cs="宋体" w:hint="eastAsia"/>
                <w:color w:val="000000"/>
                <w:sz w:val="26"/>
              </w:rPr>
              <w:t>负责人</w:t>
            </w:r>
          </w:p>
        </w:tc>
        <w:tc>
          <w:tcPr>
            <w:tcW w:w="1050" w:type="dxa"/>
            <w:vAlign w:val="center"/>
          </w:tcPr>
          <w:p>
            <w:pPr>
              <w:jc w:val="center"/>
              <w:rPr>
                <w:rFonts w:hint="eastAsia"/>
                <w:sz w:val="24"/>
              </w:rPr>
            </w:pPr>
            <w:r>
              <w:rPr>
                <w:rFonts w:ascii="宋体" w:eastAsia="宋体" w:hAnsi="宋体" w:cs="宋体" w:hint="eastAsia"/>
                <w:color w:val="000000"/>
                <w:sz w:val="26"/>
              </w:rPr>
              <w:t>刘民</w:t>
            </w:r>
          </w:p>
          <w:p>
            <w:pPr>
              <w:jc w:val="center"/>
              <w:rPr>
                <w:rFonts w:hint="eastAsia"/>
                <w:sz w:val="24"/>
              </w:rPr>
            </w:pPr>
            <w:r>
              <w:rPr>
                <w:rFonts w:ascii="宋体" w:eastAsia="宋体" w:hAnsi="宋体" w:cs="宋体" w:hint="eastAsia"/>
                <w:color w:val="000000"/>
                <w:sz w:val="26"/>
              </w:rPr>
              <w:t>王健</w:t>
            </w:r>
          </w:p>
        </w:tc>
        <w:tc>
          <w:tcPr>
            <w:tcW w:w="1155" w:type="dxa"/>
            <w:vAlign w:val="center"/>
          </w:tcPr>
          <w:p>
            <w:pPr>
              <w:spacing w:line="520" w:lineRule="exact"/>
              <w:jc w:val="center"/>
              <w:rPr>
                <w:rFonts w:hint="eastAsia"/>
                <w:sz w:val="24"/>
              </w:rPr>
            </w:pPr>
            <w:r>
              <w:rPr>
                <w:rFonts w:ascii="宋体" w:eastAsia="宋体" w:hAnsi="宋体" w:cs="宋体" w:hint="eastAsia"/>
                <w:color w:val="000000"/>
                <w:sz w:val="26"/>
              </w:rPr>
              <w:t>助工</w:t>
            </w:r>
          </w:p>
        </w:tc>
        <w:tc>
          <w:tcPr>
            <w:tcW w:w="5669" w:type="dxa"/>
            <w:vAlign w:val="center"/>
          </w:tcPr>
          <w:p>
            <w:pPr>
              <w:spacing w:line="400" w:lineRule="exact"/>
              <w:rPr>
                <w:rFonts w:hint="eastAsia"/>
                <w:sz w:val="24"/>
              </w:rPr>
            </w:pPr>
            <w:r>
              <w:rPr>
                <w:rFonts w:ascii="宋体" w:eastAsia="宋体" w:hAnsi="宋体" w:cs="宋体" w:hint="eastAsia"/>
                <w:color w:val="000000"/>
                <w:sz w:val="26"/>
              </w:rPr>
              <w:t>全面负责工程施工中的平安、质量、进度等一切技术工作；负责施工组织设计编制；负责对重要分项工程与关键部位进行技术交底；负责技术协调；技术难关处理。</w:t>
            </w:r>
          </w:p>
        </w:tc>
      </w:tr>
      <w:tr>
        <w:tblPrEx>
          <w:tblW w:w="0" w:type="auto"/>
          <w:tblInd w:w="0" w:type="dxa"/>
          <w:tblLayout w:type="fixed"/>
          <w:tblCellMar>
            <w:top w:w="0" w:type="dxa"/>
            <w:left w:w="108" w:type="dxa"/>
            <w:bottom w:w="0" w:type="dxa"/>
            <w:right w:w="108" w:type="dxa"/>
          </w:tblCellMar>
          <w:tblLook w:val="0000"/>
        </w:tblPrEx>
        <w:tc>
          <w:tcPr>
            <w:tcW w:w="1263" w:type="dxa"/>
            <w:vAlign w:val="center"/>
          </w:tcPr>
          <w:p>
            <w:pPr>
              <w:jc w:val="center"/>
              <w:rPr>
                <w:rFonts w:hint="eastAsia"/>
                <w:sz w:val="24"/>
              </w:rPr>
            </w:pPr>
            <w:r>
              <w:rPr>
                <w:rFonts w:ascii="宋体" w:eastAsia="宋体" w:hAnsi="宋体" w:cs="宋体" w:hint="eastAsia"/>
                <w:color w:val="000000"/>
                <w:sz w:val="26"/>
              </w:rPr>
              <w:t>技术员</w:t>
            </w:r>
          </w:p>
        </w:tc>
        <w:tc>
          <w:tcPr>
            <w:tcW w:w="1050" w:type="dxa"/>
            <w:vAlign w:val="center"/>
          </w:tcPr>
          <w:p>
            <w:pPr>
              <w:jc w:val="center"/>
              <w:rPr>
                <w:rFonts w:hint="eastAsia"/>
                <w:sz w:val="24"/>
              </w:rPr>
            </w:pPr>
            <w:r>
              <w:rPr>
                <w:rFonts w:ascii="宋体" w:eastAsia="宋体" w:hAnsi="宋体" w:cs="宋体" w:hint="eastAsia"/>
                <w:color w:val="000000"/>
                <w:sz w:val="26"/>
              </w:rPr>
              <w:t>欧阳春</w:t>
            </w:r>
          </w:p>
          <w:p>
            <w:pPr>
              <w:jc w:val="center"/>
              <w:rPr>
                <w:rFonts w:hint="eastAsia"/>
                <w:sz w:val="24"/>
              </w:rPr>
            </w:pPr>
            <w:r>
              <w:rPr>
                <w:rFonts w:ascii="宋体" w:eastAsia="宋体" w:hAnsi="宋体" w:cs="宋体" w:hint="eastAsia"/>
                <w:color w:val="000000"/>
                <w:sz w:val="26"/>
              </w:rPr>
              <w:t>李安超</w:t>
            </w:r>
          </w:p>
          <w:p>
            <w:pPr>
              <w:jc w:val="center"/>
              <w:rPr>
                <w:rFonts w:hint="eastAsia"/>
                <w:sz w:val="24"/>
              </w:rPr>
            </w:pPr>
            <w:r>
              <w:rPr>
                <w:rFonts w:ascii="宋体" w:eastAsia="宋体" w:hAnsi="宋体" w:cs="宋体" w:hint="eastAsia"/>
                <w:color w:val="000000"/>
                <w:sz w:val="26"/>
              </w:rPr>
              <w:t>孙裕臣</w:t>
            </w:r>
          </w:p>
        </w:tc>
        <w:tc>
          <w:tcPr>
            <w:tcW w:w="1155" w:type="dxa"/>
            <w:vAlign w:val="center"/>
          </w:tcPr>
          <w:p>
            <w:pPr>
              <w:spacing w:line="520" w:lineRule="exact"/>
              <w:jc w:val="center"/>
              <w:rPr>
                <w:rFonts w:hint="eastAsia"/>
                <w:sz w:val="24"/>
              </w:rPr>
            </w:pPr>
            <w:r>
              <w:rPr>
                <w:rFonts w:ascii="宋体" w:eastAsia="宋体" w:hAnsi="宋体" w:cs="宋体" w:hint="eastAsia"/>
                <w:color w:val="000000"/>
                <w:sz w:val="26"/>
              </w:rPr>
              <w:t>助工</w:t>
            </w:r>
          </w:p>
        </w:tc>
        <w:tc>
          <w:tcPr>
            <w:tcW w:w="5669" w:type="dxa"/>
            <w:vAlign w:val="center"/>
          </w:tcPr>
          <w:p>
            <w:pPr>
              <w:spacing w:line="400" w:lineRule="exact"/>
              <w:rPr>
                <w:rFonts w:hint="eastAsia"/>
                <w:sz w:val="24"/>
              </w:rPr>
            </w:pPr>
            <w:r>
              <w:rPr>
                <w:rFonts w:ascii="宋体" w:eastAsia="宋体" w:hAnsi="宋体" w:cs="宋体" w:hint="eastAsia"/>
                <w:color w:val="000000"/>
                <w:sz w:val="26"/>
              </w:rPr>
              <w:t>负责分部分项技术交底；参与工程检点的验收，处理施工中一般技术问题；参与对设计院、工程部、监理的部分技术管理工作；负责施工现场监督和管理工作。</w:t>
            </w:r>
          </w:p>
        </w:tc>
      </w:tr>
      <w:tr>
        <w:tblPrEx>
          <w:tblW w:w="0" w:type="auto"/>
          <w:tblInd w:w="0" w:type="dxa"/>
          <w:tblLayout w:type="fixed"/>
          <w:tblCellMar>
            <w:top w:w="0" w:type="dxa"/>
            <w:left w:w="108" w:type="dxa"/>
            <w:bottom w:w="0" w:type="dxa"/>
            <w:right w:w="108" w:type="dxa"/>
          </w:tblCellMar>
          <w:tblLook w:val="0000"/>
        </w:tblPrEx>
        <w:trPr>
          <w:trHeight w:val="784"/>
        </w:trPr>
        <w:tc>
          <w:tcPr>
            <w:tcW w:w="1263" w:type="dxa"/>
            <w:vAlign w:val="center"/>
          </w:tcPr>
          <w:p>
            <w:pPr>
              <w:spacing w:line="520" w:lineRule="exact"/>
              <w:jc w:val="center"/>
              <w:rPr>
                <w:rFonts w:hint="eastAsia"/>
                <w:sz w:val="24"/>
              </w:rPr>
            </w:pPr>
            <w:r>
              <w:rPr>
                <w:rFonts w:ascii="宋体" w:eastAsia="宋体" w:hAnsi="宋体" w:cs="宋体" w:hint="eastAsia"/>
                <w:color w:val="000000"/>
                <w:sz w:val="26"/>
              </w:rPr>
              <w:t>材料员</w:t>
            </w:r>
          </w:p>
        </w:tc>
        <w:tc>
          <w:tcPr>
            <w:tcW w:w="1050" w:type="dxa"/>
            <w:vAlign w:val="center"/>
          </w:tcPr>
          <w:p>
            <w:pPr>
              <w:spacing w:line="520" w:lineRule="exact"/>
              <w:jc w:val="center"/>
              <w:rPr>
                <w:rFonts w:hint="eastAsia"/>
                <w:sz w:val="24"/>
              </w:rPr>
            </w:pPr>
            <w:r>
              <w:rPr>
                <w:rFonts w:ascii="宋体" w:eastAsia="宋体" w:hAnsi="宋体" w:cs="宋体" w:hint="eastAsia"/>
                <w:color w:val="000000"/>
                <w:sz w:val="26"/>
              </w:rPr>
              <w:t>孙吉存</w:t>
            </w:r>
          </w:p>
        </w:tc>
        <w:tc>
          <w:tcPr>
            <w:tcW w:w="1155" w:type="dxa"/>
            <w:vAlign w:val="center"/>
          </w:tcPr>
          <w:p>
            <w:pPr>
              <w:spacing w:line="520" w:lineRule="exact"/>
              <w:jc w:val="center"/>
              <w:rPr>
                <w:rFonts w:hint="eastAsia"/>
                <w:sz w:val="24"/>
              </w:rPr>
            </w:pPr>
            <w:r>
              <w:rPr>
                <w:rFonts w:ascii="宋体" w:eastAsia="宋体" w:hAnsi="宋体" w:cs="宋体" w:hint="eastAsia"/>
                <w:color w:val="000000"/>
                <w:sz w:val="26"/>
              </w:rPr>
              <w:t>助工</w:t>
            </w:r>
          </w:p>
        </w:tc>
        <w:tc>
          <w:tcPr>
            <w:tcW w:w="5669" w:type="dxa"/>
            <w:vAlign w:val="center"/>
          </w:tcPr>
          <w:p>
            <w:pPr>
              <w:spacing w:line="400" w:lineRule="exact"/>
              <w:rPr>
                <w:rFonts w:hint="eastAsia"/>
                <w:sz w:val="24"/>
              </w:rPr>
            </w:pPr>
            <w:r>
              <w:rPr>
                <w:rFonts w:ascii="宋体" w:eastAsia="宋体" w:hAnsi="宋体" w:cs="宋体" w:hint="eastAsia"/>
                <w:color w:val="000000"/>
                <w:sz w:val="26"/>
              </w:rPr>
              <w:t>负责材料设备的询价、选购</w:t>
              <w:tab/>
              <w:t>、供货、现场物料管理与器材租赁。</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https://d.book118.com/936103214123010033</w:t>
        </w:r>
      </w:hyperlink>
    </w:p>
    <w:p/>
    <w:sectPr>
      <w:type w:val="nextPage"/>
      <w:pgSz w:w="11906" w:h="16838"/>
      <w:pgMar w:top="1440" w:right="1134" w:bottom="1440" w:left="1701" w:header="851" w:footer="992" w:gutter="0"/>
      <w:pgNumType w:start="5"/>
      <w:cols w:space="708"/>
      <w:vAlign w:val="top"/>
      <w:titlePg w:val="0"/>
      <w:textDirection w:val="lrTb"/>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A87" w:usb1="00000000" w:usb2="00000000" w:usb3="00000000" w:csb0="400001BF" w:csb1="DFF70000"/>
  </w:font>
  <w:font w:name="Wingdings">
    <w:panose1 w:val="05000000000000000000"/>
    <w:charset w:val="02"/>
    <w:family w:val="auto"/>
    <w:pitch w:val="variable"/>
    <w:sig w:usb0="00000000" w:usb1="00000000" w:usb2="00000000" w:usb3="00000000" w:csb0="80000000" w:csb1="00000000"/>
  </w:font>
  <w:font w:name="宋体">
    <w:panose1 w:val="02010600030101010101"/>
    <w:charset w:val="86"/>
    <w:family w:val="auto"/>
    <w:pitch w:val="variable"/>
    <w:sig w:usb0="00000003" w:usb1="080E0000" w:usb2="00000000" w:usb3="00000000" w:csb0="00040001" w:csb1="00000000"/>
  </w:font>
  <w:font w:name="Arial">
    <w:panose1 w:val="020B0604020202020204"/>
    <w:charset w:val="00"/>
    <w:family w:val="auto"/>
    <w:pitch w:val="variable"/>
    <w:sig w:usb0="00007A87" w:usb1="80000000" w:usb2="00000008" w:usb3="00000000" w:csb0="400001FF" w:csb1="FFFF0000"/>
  </w:font>
  <w:font w:name="Helvetica">
    <w:altName w:val="Vijaya"/>
    <w:panose1 w:val="00000000000000000000"/>
    <w:charset w:val="00"/>
    <w:family w:val="auto"/>
    <w:pitch w:val="variable"/>
    <w:sig w:usb0="00000000" w:usb1="00000000" w:usb2="00000000" w:usb3="00000000" w:csb0="00000001" w:csb1="00000000"/>
  </w:font>
  <w:font w:name="TimesNewRoman">
    <w:altName w:val="Times New Roman"/>
    <w:panose1 w:val="00000000000000000000"/>
    <w:charset w:val="00"/>
    <w:family w:val="auto"/>
    <w:pitch w:val="variable"/>
    <w:sig w:usb0="00000000" w:usb1="00000000" w:usb2="00000000" w:usb3="00000000" w:csb0="00000001" w:csb1="00000000"/>
  </w:font>
  <w:font w:name="新宋体">
    <w:panose1 w:val="02010600030101010101"/>
    <w:charset w:val="86"/>
    <w:family w:val="auto"/>
    <w:pitch w:val="variable"/>
    <w:sig w:usb0="00000003" w:usb1="288F0000" w:usb2="00000006" w:usb3="00000000" w:csb0="00040001" w:csb1="00000000"/>
  </w:font>
  <w:font w:name="Symbol">
    <w:panose1 w:val="05050102010706020507"/>
    <w:charset w:val="02"/>
    <w:family w:val="auto"/>
    <w:pitch w:val="variable"/>
    <w:sig w:usb0="00000000" w:usb1="00000000" w:usb2="00000000" w:usb3="00000000" w:csb0="80000000" w:csb1="00000000"/>
  </w:font>
  <w:font w:name="新宋体 arial">
    <w:altName w:val="宋体"/>
    <w:panose1 w:val="00000000000000000000"/>
    <w:charset w:val="00"/>
    <w:family w:val="auto"/>
    <w:pitch w:val="variable"/>
    <w:sig w:usb0="00000000" w:usb1="00000000" w:usb2="00000000" w:usb3="00000000" w:csb0="00000001" w:csb1="00000000"/>
  </w:font>
  <w:font w:name="黑体">
    <w:panose1 w:val="02010609060101010101"/>
    <w:charset w:val="86"/>
    <w:family w:val="auto"/>
    <w:pitch w:val="variable"/>
    <w:sig w:usb0="800002BF" w:usb1="38CF7CFA" w:usb2="00000016" w:usb3="00000000" w:csb0="00040001" w:csb1="00000000"/>
  </w:font>
  <w:font w:name="Courier New">
    <w:panose1 w:val="02070409020205090404"/>
    <w:charset w:val="00"/>
    <w:family w:val="auto"/>
    <w:pitch w:val="variable"/>
    <w:sig w:usb0="00007A87" w:usb1="80000000" w:usb2="00000008" w:usb3="00000000" w:csb0="400001FF" w:csb1="FFFF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C92062EA"/>
    <w:lvl w:ilvl="0">
      <w:start w:val="6"/>
      <w:numFmt w:val="chineseCounting"/>
      <w:suff w:val="nothing"/>
      <w:lvlText w:val="%1、"/>
      <w:lvlJc w:val="left"/>
      <w:pPr>
        <w:tabs>
          <w:tab w:val="num" w:pos="0"/>
        </w:tabs>
        <w:ind w:left="0" w:firstLine="0"/>
      </w:pPr>
    </w:lvl>
  </w:abstractNum>
  <w:abstractNum w:abstractNumId="1">
    <w:nsid w:val="0FFFFF7C"/>
    <w:multiLevelType w:val="singleLevel"/>
    <w:tmpl w:val="00000000"/>
    <w:lvl w:ilvl="0">
      <w:start w:val="1"/>
      <w:numFmt w:val="decimal"/>
      <w:lvlText w:val="%1."/>
      <w:lvlJc w:val="left"/>
      <w:pPr>
        <w:tabs>
          <w:tab w:val="num" w:pos="2040"/>
        </w:tabs>
        <w:ind w:left="2040" w:hanging="360"/>
      </w:pPr>
    </w:lvl>
  </w:abstractNum>
  <w:abstractNum w:abstractNumId="2">
    <w:nsid w:val="0FFFFF7D"/>
    <w:multiLevelType w:val="singleLevel"/>
    <w:tmpl w:val="00000000"/>
    <w:lvl w:ilvl="0">
      <w:start w:val="1"/>
      <w:numFmt w:val="decimal"/>
      <w:lvlText w:val="%1."/>
      <w:lvlJc w:val="left"/>
      <w:pPr>
        <w:tabs>
          <w:tab w:val="num" w:pos="1620"/>
        </w:tabs>
        <w:ind w:left="1620" w:hanging="360"/>
      </w:pPr>
    </w:lvl>
  </w:abstractNum>
  <w:abstractNum w:abstractNumId="3">
    <w:nsid w:val="0FFFFF7E"/>
    <w:multiLevelType w:val="singleLevel"/>
    <w:tmpl w:val="00000000"/>
    <w:lvl w:ilvl="0">
      <w:start w:val="1"/>
      <w:numFmt w:val="decimal"/>
      <w:lvlText w:val="%1."/>
      <w:lvlJc w:val="left"/>
      <w:pPr>
        <w:tabs>
          <w:tab w:val="num" w:pos="1200"/>
        </w:tabs>
        <w:ind w:left="1200" w:hanging="360"/>
      </w:pPr>
    </w:lvl>
  </w:abstractNum>
  <w:abstractNum w:abstractNumId="4">
    <w:nsid w:val="0FFFFF7F"/>
    <w:multiLevelType w:val="singleLevel"/>
    <w:tmpl w:val="00000000"/>
    <w:lvl w:ilvl="0">
      <w:start w:val="1"/>
      <w:numFmt w:val="decimal"/>
      <w:lvlText w:val="%1."/>
      <w:lvlJc w:val="left"/>
      <w:pPr>
        <w:tabs>
          <w:tab w:val="num" w:pos="780"/>
        </w:tabs>
        <w:ind w:left="780" w:hanging="360"/>
      </w:pPr>
    </w:lvl>
  </w:abstractNum>
  <w:abstractNum w:abstractNumId="5">
    <w:nsid w:val="0FFFFF80"/>
    <w:multiLevelType w:val="singleLevel"/>
    <w:tmpl w:val="00000000"/>
    <w:lvl w:ilvl="0">
      <w:start w:val="1"/>
      <w:numFmt w:val="bullet"/>
      <w:lvlText w:val=""/>
      <w:lvlJc w:val="left"/>
      <w:pPr>
        <w:tabs>
          <w:tab w:val="num" w:pos="2040"/>
        </w:tabs>
        <w:ind w:left="2040" w:hanging="360"/>
      </w:pPr>
      <w:rPr>
        <w:rFonts w:ascii="Wingdings" w:hAnsi="Wingdings" w:hint="default"/>
      </w:rPr>
    </w:lvl>
  </w:abstractNum>
  <w:abstractNum w:abstractNumId="6">
    <w:nsid w:val="0FFFFF81"/>
    <w:multiLevelType w:val="singleLevel"/>
    <w:tmpl w:val="00000000"/>
    <w:lvl w:ilvl="0">
      <w:start w:val="1"/>
      <w:numFmt w:val="bullet"/>
      <w:lvlText w:val=""/>
      <w:lvlJc w:val="left"/>
      <w:pPr>
        <w:tabs>
          <w:tab w:val="num" w:pos="1620"/>
        </w:tabs>
        <w:ind w:left="1620" w:hanging="360"/>
      </w:pPr>
      <w:rPr>
        <w:rFonts w:ascii="Wingdings" w:hAnsi="Wingdings" w:hint="default"/>
      </w:rPr>
    </w:lvl>
  </w:abstractNum>
  <w:abstractNum w:abstractNumId="7">
    <w:nsid w:val="0FFFFF82"/>
    <w:multiLevelType w:val="singleLevel"/>
    <w:tmpl w:val="00000000"/>
    <w:lvl w:ilvl="0">
      <w:start w:val="1"/>
      <w:numFmt w:val="bullet"/>
      <w:lvlText w:val=""/>
      <w:lvlJc w:val="left"/>
      <w:pPr>
        <w:tabs>
          <w:tab w:val="num" w:pos="1200"/>
        </w:tabs>
        <w:ind w:left="1200" w:hanging="360"/>
      </w:pPr>
      <w:rPr>
        <w:rFonts w:ascii="Wingdings" w:hAnsi="Wingdings" w:hint="default"/>
      </w:rPr>
    </w:lvl>
  </w:abstractNum>
  <w:abstractNum w:abstractNumId="8">
    <w:nsid w:val="0FFFFF83"/>
    <w:multiLevelType w:val="singleLevel"/>
    <w:tmpl w:val="00000000"/>
    <w:lvl w:ilvl="0">
      <w:start w:val="1"/>
      <w:numFmt w:val="bullet"/>
      <w:lvlText w:val=""/>
      <w:lvlJc w:val="left"/>
      <w:pPr>
        <w:tabs>
          <w:tab w:val="num" w:pos="780"/>
        </w:tabs>
        <w:ind w:left="780" w:hanging="360"/>
      </w:pPr>
      <w:rPr>
        <w:rFonts w:ascii="Wingdings" w:hAnsi="Wingdings" w:hint="default"/>
      </w:rPr>
    </w:lvl>
  </w:abstractNum>
  <w:abstractNum w:abstractNumId="9">
    <w:nsid w:val="0FFFFF88"/>
    <w:multiLevelType w:val="singleLevel"/>
    <w:tmpl w:val="00000000"/>
    <w:lvl w:ilvl="0">
      <w:start w:val="1"/>
      <w:numFmt w:val="decimal"/>
      <w:lvlText w:val="%1."/>
      <w:lvlJc w:val="left"/>
      <w:pPr>
        <w:tabs>
          <w:tab w:val="num" w:pos="360"/>
        </w:tabs>
        <w:ind w:left="360" w:hanging="360"/>
      </w:pPr>
    </w:lvl>
  </w:abstractNum>
  <w:abstractNum w:abstractNumId="10">
    <w:nsid w:val="0FFFFF89"/>
    <w:multiLevelType w:val="singleLevel"/>
    <w:tmpl w:val="00000000"/>
    <w:lvl w:ilvl="0">
      <w:start w:val="1"/>
      <w:numFmt w:val="bullet"/>
      <w:lvlText w:val=""/>
      <w:lvlJc w:val="left"/>
      <w:pPr>
        <w:tabs>
          <w:tab w:val="num" w:pos="360"/>
        </w:tabs>
        <w:ind w:left="360" w:hanging="360"/>
      </w:pPr>
      <w:rPr>
        <w:rFonts w:ascii="Wingdings" w:hAnsi="Wingdings" w:hint="default"/>
      </w:rPr>
    </w:lvl>
  </w:abstractNum>
  <w:abstractNum w:abstractNumId="11">
    <w:nsid w:val="35705D34"/>
    <w:multiLevelType w:val="hybridMultilevel"/>
    <w:tmpl w:val="00000000"/>
    <w:lvl w:ilvl="0">
      <w:start w:val="1"/>
      <w:numFmt w:val="chineseCountingThousand"/>
      <w:lvlText w:val="%1、"/>
      <w:lvlJc w:val="left"/>
      <w:pPr>
        <w:tabs>
          <w:tab w:val="num" w:pos="815"/>
        </w:tabs>
        <w:ind w:left="815" w:hanging="815"/>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59780917"/>
    <w:multiLevelType w:val="multilevel"/>
    <w:tmpl w:val="00000005"/>
    <w:lvl w:ilvl="0">
      <w:start w:val="1"/>
      <w:numFmt w:val="decimal"/>
      <w:lvlText w:val="%1"/>
      <w:lvlJc w:val="left"/>
      <w:pPr>
        <w:tabs>
          <w:tab w:val="num" w:pos="432"/>
        </w:tabs>
        <w:ind w:left="432" w:hanging="432"/>
      </w:pPr>
      <w:rPr>
        <w:rFonts w:hint="eastAsia"/>
      </w:rPr>
    </w:lvl>
    <w:lvl w:ilvl="1">
      <w:start w:val="1"/>
      <w:numFmt w:val="decimal"/>
      <w:lvlText w:val="%1.%2"/>
      <w:lvlJc w:val="left"/>
      <w:pPr>
        <w:tabs>
          <w:tab w:val="num" w:pos="576"/>
        </w:tabs>
        <w:ind w:left="576" w:hanging="576"/>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864"/>
        </w:tabs>
        <w:ind w:left="864" w:hanging="864"/>
      </w:pPr>
      <w:rPr>
        <w:rFonts w:hint="eastAsia"/>
      </w:rPr>
    </w:lvl>
    <w:lvl w:ilvl="4">
      <w:start w:val="1"/>
      <w:numFmt w:val="decimal"/>
      <w:lvlText w:val="%1.%2.%3.%4.%5"/>
      <w:lvlJc w:val="left"/>
      <w:pPr>
        <w:tabs>
          <w:tab w:val="num" w:pos="1008"/>
        </w:tabs>
        <w:ind w:left="1008" w:hanging="1008"/>
      </w:pPr>
      <w:rPr>
        <w:rFonts w:hint="eastAsia"/>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num w:numId="1">
    <w:abstractNumId w:val="12"/>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GrammaticalErrors/>
  <w:zoom w:percent="100"/>
  <w:embedSystemFonts/>
  <w:bordersDoNotSurroundHeader/>
  <w:bordersDoNotSurroundFooter/>
  <w:stylePaneFormatFilter w:val="3F01"/>
  <w:defaultTabStop w:val="420"/>
  <w:defaultTableStyle w:val="Normal"/>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doNotEmbedSmartTags/>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Times New Roman" w:eastAsia="宋体" w:hAnsi="Times New Roman"/>
      <w:kern w:val="2"/>
      <w:sz w:val="21"/>
      <w:szCs w:val="24"/>
      <w:lang w:val="en-US" w:eastAsia="zh-CN" w:bidi="ar-SA"/>
    </w:rPr>
  </w:style>
  <w:style w:type="paragraph" w:styleId="Heading1">
    <w:name w:val="heading 1"/>
    <w:basedOn w:val="Normal"/>
    <w:next w:val="Normal"/>
    <w:uiPriority w:val="9"/>
    <w:qFormat/>
    <w:pPr>
      <w:keepNext/>
      <w:keepLines/>
      <w:widowControl w:val="0"/>
      <w:numPr>
        <w:ilvl w:val="0"/>
        <w:numId w:val="1"/>
      </w:numPr>
      <w:tabs>
        <w:tab w:val="left" w:pos="432"/>
      </w:tabs>
      <w:spacing w:before="340" w:after="330" w:line="576" w:lineRule="auto"/>
      <w:outlineLvl w:val="0"/>
    </w:pPr>
    <w:rPr>
      <w:rFonts w:eastAsia="黑体"/>
      <w:b/>
      <w:bCs/>
      <w:kern w:val="44"/>
      <w:sz w:val="36"/>
      <w:szCs w:val="44"/>
    </w:rPr>
  </w:style>
  <w:style w:type="paragraph" w:styleId="Heading2">
    <w:name w:val="heading 2"/>
    <w:basedOn w:val="Normal"/>
    <w:next w:val="Normal"/>
    <w:uiPriority w:val="9"/>
    <w:qFormat/>
    <w:pPr>
      <w:keepNext/>
      <w:keepLines/>
      <w:widowControl w:val="0"/>
      <w:numPr>
        <w:ilvl w:val="1"/>
        <w:numId w:val="1"/>
      </w:numPr>
      <w:tabs>
        <w:tab w:val="left" w:pos="576"/>
      </w:tabs>
      <w:spacing w:before="260" w:after="260" w:line="412" w:lineRule="auto"/>
      <w:outlineLvl w:val="1"/>
    </w:pPr>
    <w:rPr>
      <w:rFonts w:ascii="Arial" w:eastAsia="黑体" w:hAnsi="Arial"/>
      <w:b/>
      <w:bCs/>
      <w:sz w:val="32"/>
      <w:szCs w:val="32"/>
    </w:rPr>
  </w:style>
  <w:style w:type="paragraph" w:styleId="Heading3">
    <w:name w:val="heading 3"/>
    <w:basedOn w:val="Normal"/>
    <w:next w:val="Normal"/>
    <w:uiPriority w:val="9"/>
    <w:qFormat/>
    <w:pPr>
      <w:keepNext/>
      <w:keepLines/>
      <w:widowControl w:val="0"/>
      <w:numPr>
        <w:ilvl w:val="2"/>
        <w:numId w:val="1"/>
      </w:numPr>
      <w:tabs>
        <w:tab w:val="left" w:pos="720"/>
      </w:tabs>
      <w:spacing w:before="260" w:after="260" w:line="412" w:lineRule="auto"/>
      <w:outlineLvl w:val="2"/>
    </w:pPr>
    <w:rPr>
      <w:rFonts w:eastAsia="黑体"/>
      <w:b/>
      <w:bCs/>
      <w:sz w:val="30"/>
      <w:szCs w:val="32"/>
    </w:rPr>
  </w:style>
  <w:style w:type="paragraph" w:styleId="Heading4">
    <w:name w:val="heading 4"/>
    <w:basedOn w:val="Normal"/>
    <w:next w:val="Normal"/>
    <w:uiPriority w:val="9"/>
    <w:qFormat/>
    <w:pPr>
      <w:keepNext/>
      <w:keepLines/>
      <w:widowControl w:val="0"/>
      <w:numPr>
        <w:ilvl w:val="3"/>
        <w:numId w:val="1"/>
      </w:numPr>
      <w:tabs>
        <w:tab w:val="left" w:pos="864"/>
      </w:tabs>
      <w:spacing w:before="280" w:after="290" w:line="372" w:lineRule="auto"/>
      <w:outlineLvl w:val="3"/>
    </w:pPr>
    <w:rPr>
      <w:rFonts w:ascii="Arial" w:eastAsia="黑体" w:hAnsi="Arial"/>
      <w:b/>
      <w:bCs/>
      <w:sz w:val="28"/>
      <w:szCs w:val="28"/>
    </w:rPr>
  </w:style>
  <w:style w:type="paragraph" w:styleId="Heading5">
    <w:name w:val="heading 5"/>
    <w:basedOn w:val="Normal"/>
    <w:next w:val="Normal"/>
    <w:uiPriority w:val="9"/>
    <w:qFormat/>
    <w:pPr>
      <w:keepNext/>
      <w:keepLines/>
      <w:widowControl w:val="0"/>
      <w:numPr>
        <w:ilvl w:val="4"/>
        <w:numId w:val="1"/>
      </w:numPr>
      <w:tabs>
        <w:tab w:val="left" w:pos="1008"/>
      </w:tabs>
      <w:spacing w:before="280" w:after="290" w:line="372" w:lineRule="auto"/>
      <w:outlineLvl w:val="4"/>
    </w:pPr>
    <w:rPr>
      <w:rFonts w:eastAsia="黑体"/>
      <w:b/>
      <w:bCs/>
      <w:sz w:val="24"/>
      <w:szCs w:val="28"/>
    </w:rPr>
  </w:style>
  <w:style w:type="paragraph" w:styleId="Heading6">
    <w:name w:val="heading 6"/>
    <w:basedOn w:val="Normal"/>
    <w:next w:val="Normal"/>
    <w:uiPriority w:val="9"/>
    <w:qFormat/>
    <w:pPr>
      <w:keepNext/>
      <w:keepLines/>
      <w:widowControl w:val="0"/>
      <w:numPr>
        <w:ilvl w:val="5"/>
        <w:numId w:val="1"/>
      </w:numPr>
      <w:tabs>
        <w:tab w:val="left" w:pos="1152"/>
      </w:tabs>
      <w:spacing w:before="240" w:after="64" w:line="316" w:lineRule="auto"/>
      <w:outlineLvl w:val="5"/>
    </w:pPr>
    <w:rPr>
      <w:rFonts w:ascii="Arial" w:eastAsia="黑体" w:hAnsi="Arial"/>
      <w:b/>
      <w:bCs/>
      <w:sz w:val="24"/>
    </w:rPr>
  </w:style>
  <w:style w:type="paragraph" w:styleId="Heading7">
    <w:name w:val="heading 7"/>
    <w:basedOn w:val="Normal"/>
    <w:next w:val="Normal"/>
    <w:uiPriority w:val="9"/>
    <w:qFormat/>
    <w:pPr>
      <w:keepNext/>
      <w:keepLines/>
      <w:widowControl w:val="0"/>
      <w:numPr>
        <w:ilvl w:val="6"/>
        <w:numId w:val="1"/>
      </w:numPr>
      <w:tabs>
        <w:tab w:val="left" w:pos="1296"/>
      </w:tabs>
      <w:spacing w:before="240" w:after="64" w:line="316" w:lineRule="auto"/>
      <w:outlineLvl w:val="6"/>
    </w:pPr>
    <w:rPr>
      <w:b/>
      <w:bCs/>
      <w:sz w:val="24"/>
    </w:rPr>
  </w:style>
  <w:style w:type="paragraph" w:styleId="Heading8">
    <w:name w:val="heading 8"/>
    <w:basedOn w:val="Normal"/>
    <w:next w:val="Normal"/>
    <w:uiPriority w:val="9"/>
    <w:qFormat/>
    <w:pPr>
      <w:keepNext/>
      <w:keepLines/>
      <w:widowControl w:val="0"/>
      <w:numPr>
        <w:ilvl w:val="7"/>
        <w:numId w:val="1"/>
      </w:numPr>
      <w:tabs>
        <w:tab w:val="left" w:pos="1440"/>
      </w:tabs>
      <w:spacing w:before="240" w:after="64" w:line="316" w:lineRule="auto"/>
      <w:outlineLvl w:val="7"/>
    </w:pPr>
    <w:rPr>
      <w:rFonts w:ascii="Arial" w:eastAsia="黑体" w:hAnsi="Arial"/>
      <w:sz w:val="24"/>
    </w:rPr>
  </w:style>
  <w:style w:type="paragraph" w:styleId="Heading9">
    <w:name w:val="heading 9"/>
    <w:basedOn w:val="Normal"/>
    <w:next w:val="Normal"/>
    <w:uiPriority w:val="9"/>
    <w:qFormat/>
    <w:pPr>
      <w:keepNext/>
      <w:keepLines/>
      <w:widowControl w:val="0"/>
      <w:numPr>
        <w:ilvl w:val="8"/>
        <w:numId w:val="1"/>
      </w:numPr>
      <w:tabs>
        <w:tab w:val="left" w:pos="1584"/>
      </w:tabs>
      <w:spacing w:before="240" w:after="64" w:line="316" w:lineRule="auto"/>
      <w:outlineLvl w:val="8"/>
    </w:pPr>
    <w:rPr>
      <w:rFonts w:ascii="Arial" w:eastAsia="黑体" w:hAnsi="Arial"/>
      <w:szCs w:val="21"/>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PageNumber">
    <w:name w:val="page number"/>
  </w:style>
  <w:style w:type="character" w:styleId="Strong">
    <w:name w:val="Strong"/>
    <w:uiPriority w:val="22"/>
    <w:qFormat/>
    <w:rPr>
      <w:b/>
      <w:bCs/>
    </w:rPr>
  </w:style>
  <w:style w:type="character" w:customStyle="1" w:styleId="a">
    <w:name w:val="样式 小四 红色"/>
    <w:rPr>
      <w:color w:val="auto"/>
      <w:sz w:val="24"/>
      <w:szCs w:val="24"/>
    </w:rPr>
  </w:style>
  <w:style w:type="paragraph" w:styleId="PlainText">
    <w:name w:val="Plain Text"/>
    <w:basedOn w:val="Normal"/>
    <w:rPr>
      <w:rFonts w:ascii="宋体"/>
      <w:sz w:val="28"/>
      <w:szCs w:val="20"/>
    </w:rPr>
  </w:style>
  <w:style w:type="paragraph" w:styleId="Index1">
    <w:name w:val="index 1"/>
    <w:basedOn w:val="Normal"/>
    <w:next w:val="Normal"/>
    <w:pPr>
      <w:spacing w:line="400" w:lineRule="exact"/>
      <w:jc w:val="center"/>
    </w:pPr>
    <w:rPr>
      <w:rFonts w:ascii="宋体"/>
    </w:rPr>
  </w:style>
  <w:style w:type="paragraph" w:styleId="TOC3">
    <w:name w:val="toc 3"/>
    <w:basedOn w:val="Normal"/>
    <w:next w:val="Normal"/>
    <w:uiPriority w:val="39"/>
    <w:pPr>
      <w:ind w:left="200" w:leftChars="200"/>
    </w:pPr>
  </w:style>
  <w:style w:type="paragraph" w:styleId="Footer">
    <w:name w:val="footer"/>
    <w:basedOn w:val="Normal"/>
    <w:pPr>
      <w:tabs>
        <w:tab w:val="center" w:pos="4153"/>
        <w:tab w:val="right" w:pos="8306"/>
      </w:tabs>
      <w:snapToGrid w:val="0"/>
      <w:jc w:val="left"/>
    </w:pPr>
    <w:rPr>
      <w:sz w:val="18"/>
      <w:szCs w:val="18"/>
    </w:rPr>
  </w:style>
  <w:style w:type="paragraph" w:styleId="TOC2">
    <w:name w:val="toc 2"/>
    <w:basedOn w:val="Normal"/>
    <w:next w:val="Normal"/>
    <w:uiPriority w:val="39"/>
    <w:pPr>
      <w:ind w:left="100" w:leftChars="100"/>
    </w:pPr>
  </w:style>
  <w:style w:type="paragraph" w:styleId="TOC1">
    <w:name w:val="toc 1"/>
    <w:basedOn w:val="Normal"/>
    <w:next w:val="Normal"/>
    <w:uiPriority w:val="39"/>
  </w:style>
  <w:style w:type="paragraph" w:styleId="Salutation">
    <w:name w:val="Salutation"/>
    <w:basedOn w:val="Normal"/>
    <w:next w:val="Normal"/>
    <w:rPr>
      <w:rFonts w:eastAsia="宋体"/>
      <w:kern w:val="0"/>
      <w:sz w:val="20"/>
      <w:szCs w:val="28"/>
      <w:lang w:val="x-none" w:eastAsia="en-US" w:bidi="x-none"/>
    </w:rPr>
  </w:style>
  <w:style w:type="paragraph" w:styleId="BalloonText">
    <w:name w:val="Balloon Text"/>
    <w:basedOn w:val="Normal"/>
    <w:rPr>
      <w:sz w:val="18"/>
      <w:szCs w:val="18"/>
    </w:rPr>
  </w:style>
  <w:style w:type="paragraph" w:styleId="BodyText">
    <w:name w:val="Body Text"/>
    <w:basedOn w:val="Normal"/>
    <w:pPr>
      <w:spacing w:after="120"/>
    </w:pPr>
  </w:style>
  <w:style w:type="paragraph" w:styleId="Header">
    <w:name w:val="header"/>
    <w:basedOn w:val="Normal"/>
    <w:pPr>
      <w:pBdr>
        <w:bottom w:val="single" w:sz="6" w:space="1" w:color="auto"/>
      </w:pBdr>
      <w:tabs>
        <w:tab w:val="center" w:pos="4153"/>
        <w:tab w:val="right" w:pos="8306"/>
      </w:tabs>
      <w:snapToGrid w:val="0"/>
      <w:jc w:val="center"/>
    </w:pPr>
    <w:rPr>
      <w:sz w:val="18"/>
      <w:szCs w:val="18"/>
      <w:bdr w:val="none" w:sz="0" w:space="0" w:color="auto"/>
    </w:rPr>
  </w:style>
  <w:style w:type="paragraph" w:styleId="Date">
    <w:name w:val="Date"/>
    <w:basedOn w:val="Normal"/>
    <w:next w:val="Normal"/>
    <w:pPr>
      <w:ind w:left="2500" w:leftChars="2500"/>
    </w:pPr>
    <w:rPr>
      <w:rFonts w:ascii="宋体"/>
      <w:sz w:val="28"/>
    </w:rPr>
  </w:style>
  <w:style w:type="paragraph" w:styleId="List">
    <w:name w:val="List"/>
    <w:basedOn w:val="Normal"/>
    <w:pPr>
      <w:ind w:left="200" w:hanging="200" w:hangingChars="200"/>
    </w:pPr>
  </w:style>
  <w:style w:type="paragraph" w:styleId="TOC5">
    <w:name w:val="toc 5"/>
    <w:basedOn w:val="Normal"/>
    <w:next w:val="Normal"/>
    <w:uiPriority w:val="39"/>
    <w:pPr>
      <w:ind w:left="300" w:leftChars="300"/>
    </w:pPr>
  </w:style>
  <w:style w:type="paragraph" w:styleId="NormalWeb">
    <w:name w:val="Normal (Web)"/>
    <w:basedOn w:val="Normal"/>
    <w:pPr>
      <w:widowControl/>
      <w:spacing w:before="100" w:beforeAutospacing="1" w:after="100" w:afterAutospacing="1"/>
      <w:jc w:val="left"/>
    </w:pPr>
    <w:rPr>
      <w:rFonts w:ascii="宋体" w:cs="宋体"/>
      <w:kern w:val="0"/>
      <w:sz w:val="18"/>
      <w:szCs w:val="18"/>
      <w:lang w:bidi="x-none"/>
    </w:rPr>
  </w:style>
  <w:style w:type="paragraph" w:styleId="BodyTextFirstIndent">
    <w:name w:val="Body Text First Indent"/>
    <w:basedOn w:val="BodyText"/>
    <w:pPr>
      <w:ind w:firstLine="100" w:firstLineChars="100"/>
    </w:pPr>
  </w:style>
  <w:style w:type="paragraph" w:styleId="BodyTextIndent">
    <w:name w:val="Body Text Indent"/>
    <w:basedOn w:val="Normal"/>
    <w:pPr>
      <w:spacing w:after="120"/>
      <w:ind w:left="200" w:leftChars="200"/>
    </w:pPr>
  </w:style>
  <w:style w:type="paragraph" w:styleId="TOC4">
    <w:name w:val="toc 4"/>
    <w:basedOn w:val="Normal"/>
    <w:next w:val="Normal"/>
    <w:uiPriority w:val="39"/>
    <w:pPr>
      <w:ind w:left="300" w:leftChars="300"/>
    </w:pPr>
  </w:style>
  <w:style w:type="paragraph" w:customStyle="1" w:styleId="Char">
    <w:name w:val="Char"/>
    <w:basedOn w:val="Normal"/>
  </w:style>
  <w:style w:type="paragraph" w:customStyle="1" w:styleId="list1">
    <w:name w:val="list 1"/>
    <w:basedOn w:val="Normal"/>
    <w:pPr>
      <w:ind w:left="200" w:hanging="200" w:hangingChars="200"/>
    </w:pPr>
  </w:style>
  <w:style w:type="paragraph" w:customStyle="1" w:styleId="Style20">
    <w:name w:val="_Style 20"/>
    <w:basedOn w:val="Normal"/>
  </w:style>
  <w:style w:type="paragraph" w:customStyle="1" w:styleId="a0">
    <w:name w:val="正文 + 四号"/>
    <w:basedOn w:val="Normal"/>
    <w:pPr>
      <w:spacing w:line="360" w:lineRule="auto"/>
      <w:ind w:firstLine="149" w:firstLineChars="149"/>
    </w:pPr>
    <w:rPr>
      <w:kern w:val="0"/>
      <w:sz w:val="28"/>
    </w:rPr>
  </w:style>
  <w:style w:type="paragraph" w:customStyle="1" w:styleId="1">
    <w:name w:val="1"/>
    <w:basedOn w:val="Normal"/>
    <w:next w:val="PlainText"/>
    <w:rPr>
      <w:rFonts w:ascii="Courier New" w:hAnsi="Courier New"/>
      <w:sz w:val="28"/>
      <w:szCs w:val="20"/>
    </w:rPr>
  </w:style>
  <w:style w:type="paragraph" w:customStyle="1" w:styleId="Char1CharChar">
    <w:name w:val=" Char1 Char Char"/>
    <w:basedOn w:val="Normal"/>
  </w:style>
  <w:style w:type="paragraph" w:customStyle="1" w:styleId="c">
    <w:name w:val="c_"/>
    <w:pPr>
      <w:widowControl w:val="0"/>
      <w:autoSpaceDE w:val="0"/>
      <w:autoSpaceDN w:val="0"/>
      <w:adjustRightInd w:val="0"/>
      <w:jc w:val="both"/>
    </w:pPr>
    <w:rPr>
      <w:rFonts w:ascii="Arial" w:eastAsia="宋体" w:hAnsi="Arial"/>
      <w:sz w:val="24"/>
      <w:lang w:val="en-US" w:eastAsia="zh-CN" w:bidi="ar-SA"/>
    </w:rPr>
  </w:style>
  <w:style w:type="paragraph" w:customStyle="1" w:styleId="xl23">
    <w:name w:val="xl23"/>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kern w:val="0"/>
      <w:sz w:val="20"/>
      <w:szCs w:val="20"/>
      <w:bdr w:val="none" w:sz="0" w:space="0" w:color="auto"/>
    </w:rPr>
  </w:style>
  <w:style w:type="paragraph" w:customStyle="1" w:styleId="xl26">
    <w:name w:val="xl26"/>
    <w:basedOn w:val="Normal"/>
    <w:pPr>
      <w:widowControl/>
      <w:pBdr>
        <w:bottom w:val="single" w:sz="4" w:space="0" w:color="auto"/>
        <w:right w:val="single" w:sz="4" w:space="0" w:color="auto"/>
      </w:pBdr>
      <w:spacing w:before="100" w:beforeAutospacing="1" w:after="100" w:afterAutospacing="1"/>
    </w:pPr>
    <w:rPr>
      <w:kern w:val="0"/>
      <w:sz w:val="20"/>
      <w:szCs w:val="20"/>
      <w:bdr w:val="none" w:sz="0" w:space="0" w:color="aut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36103214123010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921</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206</cp:revision>
  <cp:lastPrinted>2012-05-15T07:40:00Z</cp:lastPrinted>
  <dcterms:created xsi:type="dcterms:W3CDTF">2012-04-22T05:29:00Z</dcterms:created>
  <dcterms:modified xsi:type="dcterms:W3CDTF">2012-10-13T02:10:37Z</dcterms:modified>
</cp:coreProperties>
</file>