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700" w:lineRule="exact"/>
        <w:jc w:val="both"/>
        <w:rPr>
          <w:rFonts w:ascii="宋体" w:cs="宋体"/>
          <w:b/>
          <w:bCs/>
          <w:sz w:val="44"/>
          <w:szCs w:val="44"/>
          <w:u w:val="single"/>
        </w:rPr>
      </w:pPr>
    </w:p>
    <w:p>
      <w:pPr>
        <w:spacing w:line="700" w:lineRule="exact"/>
        <w:jc w:val="center"/>
        <w:rPr>
          <w:rFonts w:ascii="宋体" w:hAnsi="宋体" w:cs="宋体"/>
          <w:b/>
          <w:bCs/>
          <w:sz w:val="44"/>
          <w:szCs w:val="32"/>
        </w:rPr>
      </w:pPr>
      <w:r>
        <w:rPr>
          <w:rStyle w:val="style3"/>
          <w:rFonts w:hint="eastAsia"/>
          <w:b/>
          <w:bCs/>
          <w:sz w:val="40"/>
          <w:szCs w:val="40"/>
          <w:lang w:val="en-US" w:eastAsia="zh-CN"/>
        </w:rPr>
        <w:t>颍上县人民医院医共体滨河社区卫生服务中心改造项目施工劳务分包</w:t>
      </w:r>
    </w:p>
    <w:p>
      <w:pPr>
        <w:spacing w:line="700" w:lineRule="exact"/>
        <w:jc w:val="center"/>
        <w:rPr>
          <w:rFonts w:ascii="宋体" w:hAnsi="宋体" w:cs="宋体" w:hint="eastAsia"/>
          <w:b/>
          <w:bCs/>
          <w:sz w:val="44"/>
          <w:szCs w:val="32"/>
        </w:rPr>
      </w:pPr>
    </w:p>
    <w:p>
      <w:pPr>
        <w:spacing w:line="700" w:lineRule="exact"/>
        <w:jc w:val="center"/>
        <w:rPr>
          <w:rFonts w:ascii="宋体" w:cs="宋体"/>
          <w:b/>
          <w:bCs/>
          <w:sz w:val="44"/>
          <w:szCs w:val="32"/>
        </w:rPr>
      </w:pPr>
      <w:r>
        <w:rPr>
          <w:rFonts w:ascii="宋体" w:hAnsi="宋体" w:cs="宋体" w:hint="eastAsia"/>
          <w:b/>
          <w:bCs/>
          <w:sz w:val="44"/>
          <w:szCs w:val="32"/>
        </w:rPr>
        <w:t>招 标 文 件</w:t>
      </w:r>
    </w:p>
    <w:p>
      <w:pPr>
        <w:spacing w:line="700" w:lineRule="exact"/>
        <w:ind w:firstLine="2560" w:firstLineChars="800"/>
        <w:rPr>
          <w:rFonts w:cs="宋体"/>
          <w:b/>
          <w:bCs/>
          <w:sz w:val="32"/>
          <w:szCs w:val="32"/>
        </w:rPr>
      </w:pPr>
    </w:p>
    <w:p>
      <w:pPr>
        <w:spacing w:line="700" w:lineRule="exact"/>
        <w:ind w:firstLine="2240" w:firstLineChars="700"/>
        <w:rPr>
          <w:rFonts w:ascii="等线 Light" w:hAnsi="等线 Light" w:cs="等线 Light" w:hint="default"/>
          <w:b/>
          <w:bCs/>
          <w:color w:val="FF0000"/>
          <w:sz w:val="32"/>
          <w:szCs w:val="32"/>
        </w:rPr>
      </w:pPr>
      <w:r>
        <w:rPr>
          <w:rFonts w:cs="宋体"/>
          <w:b/>
          <w:bCs/>
          <w:sz w:val="32"/>
          <w:szCs w:val="32"/>
        </w:rPr>
        <w:t>项目编号</w:t>
      </w:r>
      <w:r>
        <w:rPr>
          <w:rFonts w:cs="宋体" w:hint="eastAsia"/>
          <w:b/>
          <w:bCs/>
          <w:sz w:val="32"/>
          <w:szCs w:val="32"/>
          <w:lang w:eastAsia="zh-CN"/>
        </w:rPr>
        <w:t>：AHST-BHSQ001</w:t>
      </w:r>
    </w:p>
    <w:p>
      <w:pPr>
        <w:spacing w:line="700" w:lineRule="exact"/>
        <w:jc w:val="center"/>
        <w:rPr>
          <w:rFonts w:ascii="等线 Light" w:eastAsia="等线 Light" w:hAnsi="等线 Light" w:cs="等线 Light" w:hint="eastAsia"/>
          <w:b/>
          <w:bCs/>
          <w:sz w:val="32"/>
          <w:szCs w:val="32"/>
        </w:rPr>
      </w:pPr>
    </w:p>
    <w:p>
      <w:pPr>
        <w:spacing w:line="700" w:lineRule="exact"/>
        <w:jc w:val="center"/>
        <w:rPr>
          <w:rFonts w:cs="宋体"/>
          <w:b/>
          <w:bCs/>
          <w:sz w:val="32"/>
          <w:szCs w:val="32"/>
        </w:rPr>
      </w:pPr>
    </w:p>
    <w:p>
      <w:pPr>
        <w:spacing w:line="700" w:lineRule="exact"/>
        <w:jc w:val="center"/>
        <w:rPr>
          <w:rFonts w:cs="宋体"/>
          <w:b/>
          <w:bCs/>
          <w:sz w:val="32"/>
          <w:szCs w:val="32"/>
        </w:rPr>
      </w:pPr>
    </w:p>
    <w:p>
      <w:pPr>
        <w:spacing w:line="700" w:lineRule="exact"/>
        <w:jc w:val="center"/>
        <w:rPr>
          <w:rFonts w:cs="宋体"/>
          <w:b/>
          <w:bCs/>
          <w:sz w:val="32"/>
          <w:szCs w:val="32"/>
        </w:rPr>
      </w:pPr>
    </w:p>
    <w:p>
      <w:pPr>
        <w:spacing w:line="700" w:lineRule="exact"/>
        <w:rPr>
          <w:rFonts w:cs="宋体"/>
          <w:b/>
          <w:bCs/>
          <w:sz w:val="32"/>
          <w:szCs w:val="32"/>
        </w:rPr>
      </w:pPr>
    </w:p>
    <w:p>
      <w:pPr>
        <w:spacing w:line="700" w:lineRule="exact"/>
        <w:rPr>
          <w:rFonts w:cs="宋体"/>
          <w:b/>
          <w:bCs/>
          <w:sz w:val="32"/>
          <w:szCs w:val="32"/>
        </w:rPr>
      </w:pPr>
    </w:p>
    <w:p>
      <w:pPr>
        <w:spacing w:line="700" w:lineRule="exact"/>
        <w:rPr>
          <w:rFonts w:cs="宋体"/>
          <w:b/>
          <w:bCs/>
          <w:sz w:val="32"/>
          <w:szCs w:val="32"/>
        </w:rPr>
      </w:pPr>
    </w:p>
    <w:p>
      <w:pPr>
        <w:spacing w:line="700" w:lineRule="exact"/>
        <w:rPr>
          <w:rFonts w:cs="宋体"/>
          <w:b/>
          <w:bCs/>
          <w:sz w:val="32"/>
          <w:szCs w:val="32"/>
        </w:rPr>
      </w:pPr>
    </w:p>
    <w:p>
      <w:pPr>
        <w:spacing w:line="700" w:lineRule="exact"/>
        <w:rPr>
          <w:rFonts w:cs="宋体"/>
          <w:b/>
          <w:bCs/>
          <w:sz w:val="32"/>
          <w:szCs w:val="32"/>
        </w:rPr>
      </w:pPr>
    </w:p>
    <w:p>
      <w:pPr>
        <w:spacing w:line="700" w:lineRule="exact"/>
        <w:rPr>
          <w:rFonts w:cs="宋体"/>
          <w:b/>
          <w:bCs/>
          <w:sz w:val="32"/>
          <w:szCs w:val="32"/>
        </w:rPr>
      </w:pPr>
    </w:p>
    <w:p>
      <w:pPr>
        <w:spacing w:line="700" w:lineRule="exact"/>
        <w:jc w:val="center"/>
        <w:rPr>
          <w:rFonts w:cs="宋体" w:hint="eastAsia"/>
          <w:b/>
          <w:bCs/>
          <w:sz w:val="32"/>
          <w:szCs w:val="32"/>
        </w:rPr>
      </w:pPr>
      <w:r>
        <w:rPr>
          <w:rFonts w:cs="宋体" w:hint="eastAsia"/>
          <w:b/>
          <w:bCs/>
          <w:sz w:val="32"/>
          <w:szCs w:val="32"/>
        </w:rPr>
        <w:t>招标人：</w:t>
      </w:r>
      <w:r>
        <w:rPr>
          <w:rFonts w:cs="宋体" w:hint="eastAsia"/>
          <w:b/>
          <w:bCs/>
          <w:sz w:val="32"/>
          <w:szCs w:val="32"/>
          <w:u w:val="single"/>
        </w:rPr>
        <w:t>安徽舜泰建筑工程有限公司</w:t>
      </w:r>
    </w:p>
    <w:p>
      <w:pPr>
        <w:spacing w:line="700" w:lineRule="exact"/>
        <w:jc w:val="center"/>
        <w:rPr>
          <w:rFonts w:cs="宋体"/>
          <w:b/>
          <w:bCs/>
          <w:color w:val="auto"/>
          <w:sz w:val="32"/>
          <w:szCs w:val="32"/>
          <w:highlight w:val="none"/>
        </w:rPr>
        <w:sectPr>
          <w:pgSz w:w="11910" w:h="16840"/>
          <w:pgMar w:top="1380" w:right="1440" w:bottom="1580" w:left="1580" w:header="890" w:footer="1363" w:gutter="0"/>
          <w:cols w:num="1" w:space="720"/>
        </w:sectPr>
      </w:pPr>
      <w:r>
        <w:rPr>
          <w:rFonts w:cs="宋体"/>
          <w:b/>
          <w:bCs/>
          <w:color w:val="auto"/>
          <w:sz w:val="32"/>
          <w:szCs w:val="32"/>
          <w:highlight w:val="none"/>
          <w:u w:val="none"/>
        </w:rPr>
        <w:t xml:space="preserve"> 202</w:t>
      </w:r>
      <w:r>
        <w:rPr>
          <w:rFonts w:cs="宋体" w:hint="eastAsia"/>
          <w:b/>
          <w:bCs/>
          <w:color w:val="auto"/>
          <w:sz w:val="32"/>
          <w:szCs w:val="32"/>
          <w:highlight w:val="none"/>
          <w:u w:val="none"/>
          <w:lang w:val="en-US" w:eastAsia="zh-CN"/>
        </w:rPr>
        <w:t>3</w:t>
      </w:r>
      <w:r>
        <w:rPr>
          <w:rFonts w:cs="宋体" w:hint="eastAsia"/>
          <w:b/>
          <w:bCs/>
          <w:color w:val="auto"/>
          <w:sz w:val="32"/>
          <w:szCs w:val="32"/>
          <w:highlight w:val="none"/>
        </w:rPr>
        <w:t>年</w:t>
      </w:r>
      <w:r>
        <w:rPr>
          <w:rFonts w:cs="宋体" w:hint="eastAsia"/>
          <w:b/>
          <w:bCs/>
          <w:color w:val="auto"/>
          <w:sz w:val="32"/>
          <w:szCs w:val="32"/>
          <w:highlight w:val="none"/>
          <w:lang w:val="en-US" w:eastAsia="zh-CN"/>
        </w:rPr>
        <w:t>2</w:t>
      </w:r>
      <w:r>
        <w:rPr>
          <w:rFonts w:cs="宋体" w:hint="eastAsia"/>
          <w:b/>
          <w:bCs/>
          <w:color w:val="auto"/>
          <w:sz w:val="32"/>
          <w:szCs w:val="32"/>
          <w:highlight w:val="none"/>
        </w:rPr>
        <w:t>月</w:t>
      </w:r>
    </w:p>
    <w:p>
      <w:pPr>
        <w:spacing w:line="700" w:lineRule="exact"/>
        <w:jc w:val="center"/>
        <w:rPr>
          <w:rFonts w:cs="宋体"/>
          <w:b/>
          <w:bCs/>
          <w:kern w:val="0"/>
          <w:sz w:val="36"/>
          <w:szCs w:val="36"/>
        </w:rPr>
        <w:sectPr>
          <w:type w:val="nextPage"/>
          <w:pgSz w:w="11910" w:h="16840"/>
          <w:pgMar w:top="1380" w:right="1440" w:bottom="1580" w:left="1580" w:header="890" w:footer="1363" w:gutter="0"/>
          <w:pgNumType w:start="2"/>
          <w:cols w:num="1" w:space="720"/>
          <w:titlePg w:val="0"/>
        </w:sectPr>
      </w:pPr>
      <w:bookmarkStart w:id="0" w:name="_Toc523399747"/>
      <w:bookmarkStart w:id="1" w:name="_Toc523399845"/>
    </w:p>
    <w:p>
      <w:pPr>
        <w:spacing w:line="700" w:lineRule="exact"/>
        <w:jc w:val="center"/>
        <w:rPr>
          <w:b/>
          <w:sz w:val="52"/>
          <w:szCs w:val="52"/>
        </w:rPr>
      </w:pPr>
      <w:r>
        <w:rPr>
          <w:rFonts w:hint="eastAsia"/>
          <w:b/>
          <w:sz w:val="40"/>
          <w:szCs w:val="24"/>
        </w:rPr>
        <w:t>目</w:t>
      </w:r>
      <w:r>
        <w:rPr>
          <w:b/>
          <w:sz w:val="40"/>
          <w:szCs w:val="24"/>
        </w:rPr>
        <w:t xml:space="preserve">    </w:t>
      </w:r>
      <w:r>
        <w:rPr>
          <w:rFonts w:hint="eastAsia"/>
          <w:b/>
          <w:sz w:val="40"/>
          <w:szCs w:val="24"/>
        </w:rPr>
        <w:t>录</w:t>
      </w:r>
      <w:bookmarkEnd w:id="0"/>
      <w:bookmarkEnd w:id="1"/>
    </w:p>
    <w:p>
      <w:pPr>
        <w:spacing w:line="700" w:lineRule="exact"/>
        <w:jc w:val="center"/>
        <w:rPr>
          <w:rFonts w:cs="宋体"/>
          <w:b/>
          <w:bCs/>
          <w:sz w:val="44"/>
          <w:szCs w:val="44"/>
        </w:rPr>
      </w:pPr>
    </w:p>
    <w:p>
      <w:pPr>
        <w:tabs>
          <w:tab w:val="right" w:leader="dot" w:pos="8296"/>
        </w:tabs>
        <w:rPr>
          <w:rFonts w:ascii="宋体" w:hAnsi="宋体" w:hint="eastAsia"/>
          <w:sz w:val="32"/>
          <w:szCs w:val="32"/>
        </w:rPr>
      </w:pPr>
      <w:r>
        <w:rPr>
          <w:rFonts w:ascii="宋体" w:hAnsi="宋体" w:cs="宋体" w:hint="eastAsia"/>
          <w:b/>
          <w:bCs/>
          <w:sz w:val="32"/>
          <w:szCs w:val="32"/>
        </w:rPr>
        <w:fldChar w:fldCharType="begin"/>
      </w:r>
      <w:r>
        <w:rPr>
          <w:rFonts w:ascii="宋体" w:hAnsi="宋体" w:cs="宋体" w:hint="eastAsia"/>
          <w:b/>
          <w:bCs/>
          <w:sz w:val="32"/>
          <w:szCs w:val="32"/>
        </w:rPr>
        <w:instrText xml:space="preserve"> TOC \o "1-1" \h \z \u </w:instrText>
      </w:r>
      <w:r>
        <w:rPr>
          <w:rFonts w:ascii="宋体" w:hAnsi="宋体" w:cs="宋体" w:hint="eastAsia"/>
          <w:b/>
          <w:bCs/>
          <w:sz w:val="32"/>
          <w:szCs w:val="32"/>
        </w:rPr>
        <w:fldChar w:fldCharType="separate"/>
      </w:r>
      <w:hyperlink r:id="rId5" w:anchor="_Toc523400015" w:history="1">
        <w:r>
          <w:rPr>
            <w:rFonts w:ascii="宋体" w:hAnsi="宋体" w:cs="黑体" w:hint="eastAsia"/>
            <w:b/>
            <w:bCs/>
            <w:sz w:val="32"/>
            <w:szCs w:val="32"/>
            <w:u w:val="single"/>
          </w:rPr>
          <w:t xml:space="preserve">第一章  </w:t>
        </w:r>
        <w:r>
          <w:rPr>
            <w:rFonts w:ascii="宋体" w:hAnsi="宋体" w:cs="黑体" w:hint="eastAsia"/>
            <w:b/>
            <w:bCs/>
            <w:sz w:val="32"/>
            <w:szCs w:val="32"/>
            <w:u w:val="single"/>
            <w:lang w:eastAsia="zh-CN"/>
          </w:rPr>
          <w:t>招标公告</w:t>
        </w:r>
        <w:r>
          <w:rPr>
            <w:rFonts w:ascii="宋体" w:hAnsi="宋体" w:hint="eastAsia"/>
            <w:sz w:val="32"/>
            <w:szCs w:val="32"/>
            <w:u w:val="single"/>
          </w:rPr>
          <w:tab/>
        </w:r>
      </w:hyperlink>
      <w:r>
        <w:rPr>
          <w:rFonts w:ascii="宋体" w:hAnsi="宋体" w:hint="eastAsia"/>
          <w:sz w:val="32"/>
          <w:szCs w:val="32"/>
          <w:u w:val="single"/>
          <w:lang w:val="en-US" w:eastAsia="zh-CN"/>
        </w:rPr>
        <w:t>3</w:t>
      </w:r>
    </w:p>
    <w:p>
      <w:pPr>
        <w:tabs>
          <w:tab w:val="right" w:leader="dot" w:pos="8296"/>
        </w:tabs>
        <w:rPr>
          <w:rFonts w:ascii="宋体" w:hAnsi="宋体" w:hint="eastAsia"/>
          <w:sz w:val="32"/>
          <w:szCs w:val="32"/>
        </w:rPr>
      </w:pPr>
      <w:hyperlink r:id="rId5" w:anchor="_Toc523400016" w:history="1">
        <w:r>
          <w:rPr>
            <w:rFonts w:ascii="宋体" w:hAnsi="宋体" w:cs="黑体" w:hint="eastAsia"/>
            <w:b/>
            <w:bCs/>
            <w:sz w:val="32"/>
            <w:szCs w:val="32"/>
            <w:u w:val="single"/>
          </w:rPr>
          <w:t>第二章  投标人须知</w:t>
        </w:r>
        <w:r>
          <w:rPr>
            <w:rFonts w:ascii="宋体" w:hAnsi="宋体" w:hint="eastAsia"/>
            <w:sz w:val="32"/>
            <w:szCs w:val="32"/>
            <w:u w:val="single"/>
          </w:rPr>
          <w:tab/>
        </w:r>
      </w:hyperlink>
      <w:r>
        <w:rPr>
          <w:rFonts w:ascii="宋体" w:hAnsi="宋体" w:hint="eastAsia"/>
          <w:sz w:val="32"/>
          <w:szCs w:val="32"/>
          <w:u w:val="single"/>
          <w:lang w:val="en-US" w:eastAsia="zh-CN"/>
        </w:rPr>
        <w:t>5</w:t>
      </w:r>
    </w:p>
    <w:p>
      <w:pPr>
        <w:tabs>
          <w:tab w:val="right" w:leader="dot" w:pos="8296"/>
        </w:tabs>
        <w:rPr>
          <w:rFonts w:ascii="宋体" w:hAnsi="宋体" w:hint="eastAsia"/>
          <w:sz w:val="32"/>
          <w:szCs w:val="32"/>
          <w:u w:val="single"/>
        </w:rPr>
      </w:pPr>
      <w:hyperlink r:id="rId5" w:anchor="_Toc523400017" w:history="1">
        <w:r>
          <w:rPr>
            <w:rFonts w:ascii="宋体" w:hAnsi="宋体" w:cs="黑体" w:hint="eastAsia"/>
            <w:b/>
            <w:bCs/>
            <w:sz w:val="32"/>
            <w:szCs w:val="32"/>
            <w:u w:val="single"/>
          </w:rPr>
          <w:t>第三章  评标办法</w:t>
        </w:r>
        <w:r>
          <w:rPr>
            <w:rFonts w:ascii="宋体" w:hAnsi="宋体" w:hint="eastAsia"/>
            <w:sz w:val="32"/>
            <w:szCs w:val="32"/>
            <w:u w:val="single"/>
          </w:rPr>
          <w:tab/>
        </w:r>
      </w:hyperlink>
      <w:r>
        <w:rPr>
          <w:rFonts w:ascii="宋体" w:hAnsi="宋体" w:hint="eastAsia"/>
          <w:sz w:val="32"/>
          <w:szCs w:val="32"/>
          <w:u w:val="single"/>
          <w:lang w:val="en-US" w:eastAsia="zh-CN"/>
        </w:rPr>
        <w:t>19</w:t>
      </w:r>
    </w:p>
    <w:p>
      <w:pPr>
        <w:pStyle w:val="BodyTextFirstIndent2"/>
        <w:ind w:left="0" w:firstLine="0" w:leftChars="0" w:firstLineChars="0"/>
        <w:rPr>
          <w:rFonts w:hint="default"/>
          <w:lang w:val="en-US" w:eastAsia="zh-CN"/>
        </w:rPr>
      </w:pPr>
      <w:hyperlink r:id="rId5" w:anchor="_Toc523400017" w:history="1">
        <w:r>
          <w:rPr>
            <w:rFonts w:ascii="宋体" w:hAnsi="宋体" w:cs="黑体" w:hint="eastAsia"/>
            <w:b/>
            <w:bCs/>
            <w:sz w:val="32"/>
            <w:szCs w:val="32"/>
            <w:u w:val="single"/>
          </w:rPr>
          <w:t>第</w:t>
        </w:r>
        <w:r>
          <w:rPr>
            <w:rFonts w:ascii="宋体" w:hAnsi="宋体" w:cs="黑体" w:hint="eastAsia"/>
            <w:b/>
            <w:bCs/>
            <w:sz w:val="32"/>
            <w:szCs w:val="32"/>
            <w:u w:val="single"/>
            <w:lang w:val="en-US" w:eastAsia="zh-CN"/>
          </w:rPr>
          <w:t>四</w:t>
        </w:r>
        <w:r>
          <w:rPr>
            <w:rFonts w:ascii="宋体" w:hAnsi="宋体" w:cs="黑体" w:hint="eastAsia"/>
            <w:b/>
            <w:bCs/>
            <w:sz w:val="32"/>
            <w:szCs w:val="32"/>
            <w:u w:val="single"/>
          </w:rPr>
          <w:t xml:space="preserve">章  </w:t>
        </w:r>
        <w:r>
          <w:rPr>
            <w:rFonts w:ascii="宋体" w:hAnsi="宋体" w:cs="黑体" w:hint="eastAsia"/>
            <w:b/>
            <w:bCs/>
            <w:sz w:val="32"/>
            <w:szCs w:val="32"/>
            <w:u w:val="single"/>
            <w:lang w:val="en-US" w:eastAsia="zh-CN"/>
          </w:rPr>
          <w:t>清单</w:t>
        </w:r>
        <w:r>
          <w:rPr>
            <w:rFonts w:ascii="宋体" w:hAnsi="宋体" w:hint="eastAsia"/>
            <w:b/>
            <w:bCs/>
            <w:sz w:val="32"/>
            <w:szCs w:val="32"/>
            <w:u w:val="single"/>
            <w:lang w:val="en-US" w:eastAsia="zh-CN"/>
          </w:rPr>
          <w:t>控制价</w:t>
        </w:r>
      </w:hyperlink>
      <w:r>
        <w:rPr>
          <w:rFonts w:ascii="宋体" w:hAnsi="宋体" w:hint="eastAsia"/>
          <w:sz w:val="32"/>
          <w:szCs w:val="32"/>
          <w:u w:val="single"/>
          <w:lang w:val="en-US" w:eastAsia="zh-CN"/>
        </w:rPr>
        <w:t>...............................20</w:t>
      </w:r>
    </w:p>
    <w:p>
      <w:pPr>
        <w:tabs>
          <w:tab w:val="right" w:leader="dot" w:pos="8296"/>
        </w:tabs>
        <w:rPr>
          <w:rFonts w:ascii="宋体" w:hAnsi="宋体" w:hint="default"/>
          <w:sz w:val="32"/>
          <w:szCs w:val="32"/>
        </w:rPr>
      </w:pPr>
      <w:hyperlink r:id="rId5" w:anchor="_Toc523400018" w:history="1">
        <w:r>
          <w:rPr>
            <w:rFonts w:ascii="宋体" w:hAnsi="宋体" w:cs="黑体" w:hint="eastAsia"/>
            <w:b/>
            <w:bCs/>
            <w:sz w:val="32"/>
            <w:szCs w:val="32"/>
            <w:u w:val="single"/>
          </w:rPr>
          <w:t>第</w:t>
        </w:r>
        <w:r>
          <w:rPr>
            <w:rFonts w:ascii="宋体" w:hAnsi="宋体" w:cs="黑体" w:hint="eastAsia"/>
            <w:b/>
            <w:bCs/>
            <w:sz w:val="32"/>
            <w:szCs w:val="32"/>
            <w:u w:val="single"/>
            <w:lang w:val="en-US" w:eastAsia="zh-CN"/>
          </w:rPr>
          <w:t>五</w:t>
        </w:r>
        <w:r>
          <w:rPr>
            <w:rFonts w:ascii="宋体" w:hAnsi="宋体" w:cs="黑体" w:hint="eastAsia"/>
            <w:b/>
            <w:bCs/>
            <w:sz w:val="32"/>
            <w:szCs w:val="32"/>
            <w:u w:val="single"/>
          </w:rPr>
          <w:t>章  合同条款及格式</w:t>
        </w:r>
        <w:r>
          <w:rPr>
            <w:rFonts w:ascii="宋体" w:hAnsi="宋体" w:hint="eastAsia"/>
            <w:sz w:val="32"/>
            <w:szCs w:val="32"/>
            <w:u w:val="single"/>
          </w:rPr>
          <w:tab/>
        </w:r>
      </w:hyperlink>
      <w:r>
        <w:rPr>
          <w:rFonts w:ascii="宋体" w:hAnsi="宋体" w:hint="eastAsia"/>
          <w:sz w:val="32"/>
          <w:szCs w:val="32"/>
          <w:u w:val="single"/>
          <w:lang w:val="en-US" w:eastAsia="zh-CN"/>
        </w:rPr>
        <w:t>23</w:t>
      </w:r>
    </w:p>
    <w:p>
      <w:pPr>
        <w:tabs>
          <w:tab w:val="right" w:leader="dot" w:pos="8296"/>
        </w:tabs>
        <w:rPr>
          <w:rFonts w:ascii="Calibri" w:hAnsi="Calibri" w:hint="default"/>
          <w:szCs w:val="22"/>
        </w:rPr>
      </w:pPr>
      <w:hyperlink r:id="rId5" w:anchor="_Toc523400022" w:history="1">
        <w:r>
          <w:rPr>
            <w:rFonts w:ascii="宋体" w:hAnsi="宋体" w:cs="黑体" w:hint="eastAsia"/>
            <w:b/>
            <w:bCs/>
            <w:sz w:val="32"/>
            <w:szCs w:val="32"/>
            <w:u w:val="single"/>
          </w:rPr>
          <w:t>第</w:t>
        </w:r>
        <w:r>
          <w:rPr>
            <w:rFonts w:ascii="宋体" w:hAnsi="宋体" w:cs="黑体" w:hint="eastAsia"/>
            <w:b/>
            <w:bCs/>
            <w:sz w:val="32"/>
            <w:szCs w:val="32"/>
            <w:u w:val="single"/>
            <w:lang w:val="en-US" w:eastAsia="zh-CN"/>
          </w:rPr>
          <w:t>六</w:t>
        </w:r>
        <w:r>
          <w:rPr>
            <w:rFonts w:ascii="宋体" w:hAnsi="宋体" w:cs="黑体" w:hint="eastAsia"/>
            <w:b/>
            <w:bCs/>
            <w:sz w:val="32"/>
            <w:szCs w:val="32"/>
            <w:u w:val="single"/>
          </w:rPr>
          <w:t>章  投标文件格式</w:t>
        </w:r>
        <w:r>
          <w:rPr>
            <w:rFonts w:ascii="宋体" w:hAnsi="宋体" w:hint="eastAsia"/>
            <w:sz w:val="32"/>
            <w:szCs w:val="32"/>
            <w:u w:val="single"/>
          </w:rPr>
          <w:tab/>
        </w:r>
      </w:hyperlink>
      <w:r>
        <w:rPr>
          <w:rFonts w:ascii="宋体" w:hAnsi="宋体" w:hint="eastAsia"/>
          <w:sz w:val="32"/>
          <w:szCs w:val="32"/>
          <w:u w:val="single"/>
          <w:lang w:val="en-US" w:eastAsia="zh-CN"/>
        </w:rPr>
        <w:t>43</w:t>
      </w:r>
    </w:p>
    <w:p>
      <w:pPr>
        <w:spacing w:after="120" w:afterLines="50" w:line="540" w:lineRule="exact"/>
        <w:ind w:firstLine="437"/>
        <w:jc w:val="center"/>
        <w:outlineLvl w:val="0"/>
        <w:rPr>
          <w:rFonts w:ascii="黑体" w:eastAsia="黑体" w:hAnsi="黑体" w:cs="黑体"/>
          <w:b/>
          <w:bCs/>
          <w:kern w:val="44"/>
          <w:sz w:val="44"/>
          <w:szCs w:val="44"/>
        </w:rPr>
        <w:sectPr>
          <w:type w:val="nextPage"/>
          <w:pgSz w:w="11910" w:h="16840"/>
          <w:pgMar w:top="1380" w:right="1440" w:bottom="1580" w:left="1580" w:header="890" w:footer="1363" w:gutter="0"/>
          <w:pgNumType w:start="3"/>
          <w:cols w:num="1" w:space="720"/>
          <w:titlePg w:val="0"/>
        </w:sectPr>
      </w:pPr>
      <w:r>
        <w:rPr>
          <w:rFonts w:ascii="宋体" w:hAnsi="宋体" w:cs="宋体" w:hint="eastAsia"/>
          <w:b/>
          <w:bCs/>
          <w:sz w:val="32"/>
          <w:szCs w:val="32"/>
        </w:rPr>
        <w:fldChar w:fldCharType="end"/>
      </w:r>
    </w:p>
    <w:p>
      <w:pPr>
        <w:spacing w:after="120" w:afterLines="50" w:line="540" w:lineRule="exact"/>
        <w:ind w:firstLine="437"/>
        <w:jc w:val="center"/>
        <w:outlineLvl w:val="0"/>
        <w:rPr>
          <w:rFonts w:ascii="黑体" w:eastAsia="黑体" w:hAnsi="黑体" w:cs="黑体"/>
          <w:b/>
          <w:bCs/>
          <w:kern w:val="44"/>
          <w:sz w:val="44"/>
          <w:szCs w:val="44"/>
        </w:rPr>
      </w:pPr>
      <w:bookmarkStart w:id="2" w:name="_Toc523399846"/>
      <w:bookmarkStart w:id="3" w:name="_Toc523400015"/>
      <w:bookmarkStart w:id="4" w:name="_Toc368985787"/>
      <w:bookmarkStart w:id="5" w:name="_Toc523399748"/>
      <w:bookmarkStart w:id="6" w:name="_Toc355604664"/>
      <w:bookmarkStart w:id="7" w:name="_Toc1059"/>
      <w:r>
        <w:rPr>
          <w:rFonts w:ascii="黑体" w:eastAsia="黑体" w:hAnsi="黑体" w:cs="黑体" w:hint="eastAsia"/>
          <w:b/>
          <w:bCs/>
          <w:kern w:val="44"/>
          <w:sz w:val="44"/>
          <w:szCs w:val="44"/>
        </w:rPr>
        <w:t xml:space="preserve">第一章 </w:t>
      </w:r>
      <w:bookmarkEnd w:id="2"/>
      <w:bookmarkEnd w:id="3"/>
      <w:bookmarkEnd w:id="4"/>
      <w:bookmarkEnd w:id="5"/>
      <w:bookmarkEnd w:id="6"/>
      <w:r>
        <w:rPr>
          <w:rFonts w:ascii="黑体" w:eastAsia="黑体" w:hAnsi="黑体" w:cs="黑体" w:hint="eastAsia"/>
          <w:b/>
          <w:bCs/>
          <w:kern w:val="44"/>
          <w:sz w:val="44"/>
          <w:szCs w:val="44"/>
          <w:lang w:eastAsia="zh-CN"/>
        </w:rPr>
        <w:t>招标公告</w:t>
      </w:r>
      <w:r>
        <w:rPr>
          <w:rFonts w:ascii="黑体" w:eastAsia="黑体" w:hAnsi="黑体" w:cs="黑体" w:hint="eastAsia"/>
          <w:b/>
          <w:bCs/>
          <w:kern w:val="44"/>
          <w:sz w:val="44"/>
          <w:szCs w:val="44"/>
        </w:rPr>
        <w:t xml:space="preserve"> </w:t>
      </w:r>
    </w:p>
    <w:p>
      <w:pPr>
        <w:jc w:val="left"/>
        <w:outlineLvl w:val="1"/>
        <w:rPr>
          <w:rFonts w:ascii="楷体_GB2312" w:eastAsia="楷体_GB2312" w:hAnsi="楷体_GB2312" w:cs="楷体_GB2312"/>
          <w:b/>
          <w:bCs/>
          <w:sz w:val="32"/>
          <w:szCs w:val="32"/>
        </w:rPr>
      </w:pPr>
      <w:bookmarkStart w:id="8" w:name="_Toc355604665"/>
      <w:r>
        <w:rPr>
          <w:rFonts w:ascii="楷体_GB2312" w:eastAsia="楷体_GB2312" w:hAnsi="楷体_GB2312" w:cs="楷体_GB2312" w:hint="eastAsia"/>
          <w:b/>
          <w:bCs/>
          <w:sz w:val="32"/>
          <w:szCs w:val="32"/>
        </w:rPr>
        <w:t>1.招标条件</w:t>
      </w:r>
      <w:bookmarkEnd w:id="8"/>
    </w:p>
    <w:p>
      <w:pPr>
        <w:spacing w:line="440" w:lineRule="exact"/>
        <w:ind w:firstLine="525" w:firstLineChars="250"/>
        <w:rPr>
          <w:rFonts w:ascii="宋体" w:hAnsi="宋体" w:cs="宋体" w:hint="eastAsia"/>
          <w:bCs/>
          <w:color w:val="FF0000"/>
        </w:rPr>
      </w:pPr>
      <w:bookmarkStart w:id="9" w:name="_Toc355604666"/>
      <w:r>
        <w:rPr>
          <w:rFonts w:ascii="宋体" w:hAnsi="宋体" w:cs="宋体" w:hint="eastAsia"/>
          <w:bCs/>
          <w:color w:val="FF0000"/>
          <w:lang w:val="en-US" w:eastAsia="zh-CN"/>
        </w:rPr>
        <w:t xml:space="preserve"> </w:t>
      </w:r>
      <w:r>
        <w:t>本项目不属于依法必须招标的项目，也不属于政府采购项目，不受《中华人民共和国招标投标法》和《中华人民共和国政府采购法》约束，仅以企业的规章制度或项目采购文件为依据。</w:t>
      </w:r>
      <w:r>
        <w:rPr>
          <w:rFonts w:ascii="宋体" w:hAnsi="宋体" w:cs="宋体" w:hint="eastAsia"/>
          <w:bCs/>
          <w:color w:val="000000" w:themeColor="text1"/>
          <w14:textFill>
            <w14:solidFill>
              <w14:schemeClr w14:val="tx1"/>
            </w14:solidFill>
          </w14:textFill>
        </w:rPr>
        <w:t>本招标项目</w:t>
      </w:r>
      <w:r>
        <w:rPr>
          <w:rFonts w:ascii="宋体" w:hAnsi="宋体" w:cs="宋体" w:hint="eastAsia"/>
          <w:b/>
          <w:bCs w:val="0"/>
          <w:color w:val="000000" w:themeColor="text1"/>
          <w:u w:val="single"/>
          <w:lang w:val="en-US" w:eastAsia="zh-CN"/>
          <w14:textFill>
            <w14:solidFill>
              <w14:schemeClr w14:val="tx1"/>
            </w14:solidFill>
          </w14:textFill>
        </w:rPr>
        <w:t>颍上县人民医院医共体滨河社区卫生服务中心改造项目施工劳务分包</w:t>
      </w:r>
      <w:r>
        <w:rPr>
          <w:rFonts w:ascii="宋体" w:hAnsi="宋体" w:cs="宋体" w:hint="eastAsia"/>
          <w:bCs/>
          <w:color w:val="000000" w:themeColor="text1"/>
          <w14:textFill>
            <w14:solidFill>
              <w14:schemeClr w14:val="tx1"/>
            </w14:solidFill>
          </w14:textFill>
        </w:rPr>
        <w:t>，招标人为</w:t>
      </w:r>
      <w:r>
        <w:rPr>
          <w:rFonts w:ascii="宋体" w:hAnsi="宋体" w:cs="宋体" w:hint="eastAsia"/>
          <w:b/>
          <w:bCs w:val="0"/>
          <w:color w:val="000000" w:themeColor="text1"/>
          <w:u w:val="single"/>
          <w14:textFill>
            <w14:solidFill>
              <w14:schemeClr w14:val="tx1"/>
            </w14:solidFill>
          </w14:textFill>
        </w:rPr>
        <w:t>安徽舜泰建筑工程有限公司</w:t>
      </w:r>
      <w:r>
        <w:rPr>
          <w:rFonts w:ascii="宋体" w:hAnsi="宋体" w:cs="宋体" w:hint="eastAsia"/>
          <w:bCs/>
        </w:rPr>
        <w:t>，建设资金来自</w:t>
      </w:r>
      <w:r>
        <w:rPr>
          <w:rFonts w:ascii="宋体" w:hAnsi="宋体" w:hint="eastAsia"/>
          <w:b/>
          <w:bCs/>
          <w:color w:val="000000"/>
          <w:szCs w:val="22"/>
          <w:u w:val="single"/>
        </w:rPr>
        <w:t>自有</w:t>
      </w:r>
      <w:r>
        <w:rPr>
          <w:rFonts w:ascii="宋体" w:hAnsi="宋体"/>
          <w:b/>
          <w:bCs/>
          <w:color w:val="000000"/>
          <w:szCs w:val="22"/>
          <w:u w:val="single"/>
        </w:rPr>
        <w:t>资金</w:t>
      </w:r>
      <w:r>
        <w:rPr>
          <w:rFonts w:ascii="宋体" w:hAnsi="宋体" w:cs="宋体" w:hint="eastAsia"/>
          <w:bCs/>
        </w:rPr>
        <w:t>（资金来源），项目出资比例为</w:t>
      </w:r>
      <w:r>
        <w:rPr>
          <w:rFonts w:ascii="宋体" w:hAnsi="宋体"/>
          <w:b/>
          <w:bCs/>
          <w:color w:val="000000"/>
          <w:szCs w:val="22"/>
          <w:u w:val="single"/>
        </w:rPr>
        <w:t>100</w:t>
      </w:r>
      <w:r>
        <w:rPr>
          <w:rFonts w:ascii="宋体" w:hAnsi="宋体" w:hint="eastAsia"/>
          <w:b/>
          <w:bCs/>
          <w:color w:val="000000"/>
          <w:szCs w:val="22"/>
          <w:u w:val="single"/>
        </w:rPr>
        <w:t>%</w:t>
      </w:r>
      <w:r>
        <w:rPr>
          <w:rFonts w:ascii="宋体" w:hAnsi="宋体"/>
          <w:b/>
          <w:bCs/>
          <w:color w:val="000000"/>
          <w:szCs w:val="22"/>
          <w:u w:val="single"/>
        </w:rPr>
        <w:t xml:space="preserve"> </w:t>
      </w:r>
      <w:r>
        <w:rPr>
          <w:rFonts w:ascii="宋体" w:hAnsi="宋体" w:cs="宋体" w:hint="eastAsia"/>
          <w:bCs/>
        </w:rPr>
        <w:t>。项目已具备招标条件，现对该项目的施工进行</w:t>
      </w:r>
      <w:r>
        <w:rPr>
          <w:rFonts w:ascii="宋体" w:hAnsi="宋体" w:cs="宋体" w:hint="eastAsia"/>
          <w:bCs/>
          <w:lang w:val="en-US" w:eastAsia="zh-CN"/>
        </w:rPr>
        <w:t>公开</w:t>
      </w:r>
      <w:r>
        <w:rPr>
          <w:rFonts w:ascii="宋体" w:hAnsi="宋体" w:cs="宋体" w:hint="eastAsia"/>
          <w:bCs/>
        </w:rPr>
        <w:t>招标。</w:t>
      </w:r>
    </w:p>
    <w:p>
      <w:pPr>
        <w:jc w:val="left"/>
        <w:outlineLvl w:val="1"/>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2.项目概况与招标范围</w:t>
      </w:r>
      <w:bookmarkEnd w:id="9"/>
    </w:p>
    <w:p>
      <w:pPr>
        <w:spacing w:line="440" w:lineRule="exact"/>
        <w:ind w:firstLine="420" w:firstLineChars="200"/>
        <w:rPr>
          <w:rFonts w:ascii="宋体" w:cs="宋体"/>
          <w:bCs/>
        </w:rPr>
      </w:pPr>
      <w:r>
        <w:rPr>
          <w:rFonts w:ascii="宋体" w:hAnsi="宋体" w:cs="宋体" w:hint="eastAsia"/>
          <w:bCs/>
        </w:rPr>
        <w:t>2.1 建设地点:</w:t>
      </w:r>
      <w:r>
        <w:rPr>
          <w:rFonts w:ascii="宋体" w:hAnsi="宋体" w:hint="eastAsia"/>
          <w:b/>
          <w:bCs/>
          <w:color w:val="000000"/>
          <w:szCs w:val="22"/>
          <w:u w:val="single"/>
        </w:rPr>
        <w:t>颍上县境内</w:t>
      </w:r>
    </w:p>
    <w:p>
      <w:pPr>
        <w:spacing w:line="440" w:lineRule="exact"/>
        <w:ind w:firstLine="420" w:firstLineChars="200"/>
        <w:rPr>
          <w:rFonts w:ascii="宋体" w:cs="宋体"/>
          <w:bCs/>
          <w:u w:val="single"/>
        </w:rPr>
      </w:pPr>
      <w:r>
        <w:rPr>
          <w:rFonts w:ascii="宋体" w:hAnsi="宋体" w:cs="宋体" w:hint="eastAsia"/>
          <w:bCs/>
        </w:rPr>
        <w:t>2.2 建设规模:</w:t>
      </w:r>
      <w:r>
        <w:rPr>
          <w:rFonts w:ascii="宋体" w:hAnsi="宋体" w:hint="eastAsia"/>
          <w:b/>
          <w:bCs/>
          <w:color w:val="000000"/>
          <w:szCs w:val="22"/>
          <w:u w:val="single"/>
        </w:rPr>
        <w:t>具体内容详见工程量清单及图纸</w:t>
      </w:r>
      <w:r>
        <w:rPr>
          <w:rFonts w:ascii="宋体" w:hAnsi="宋体" w:hint="eastAsia"/>
          <w:b/>
          <w:bCs/>
          <w:color w:val="000000"/>
          <w:szCs w:val="22"/>
          <w:u w:val="none"/>
        </w:rPr>
        <w:t>。</w:t>
      </w:r>
      <w:r>
        <w:rPr>
          <w:rFonts w:ascii="宋体" w:hAnsi="宋体" w:cs="宋体" w:hint="eastAsia"/>
          <w:bCs/>
          <w:u w:val="none"/>
        </w:rPr>
        <w:t xml:space="preserve">  </w:t>
      </w:r>
    </w:p>
    <w:p>
      <w:pPr>
        <w:spacing w:line="440" w:lineRule="exact"/>
        <w:ind w:firstLine="420" w:firstLineChars="200"/>
        <w:rPr>
          <w:rFonts w:ascii="宋体" w:cs="宋体" w:hint="default"/>
          <w:bCs/>
          <w:u w:val="single"/>
        </w:rPr>
      </w:pPr>
      <w:r>
        <w:rPr>
          <w:rFonts w:ascii="宋体" w:hAnsi="宋体" w:cs="宋体" w:hint="eastAsia"/>
          <w:bCs/>
        </w:rPr>
        <w:t>2.3 计划工期:</w:t>
      </w:r>
      <w:r>
        <w:rPr>
          <w:rFonts w:ascii="宋体" w:hAnsi="宋体" w:cs="宋体" w:hint="eastAsia"/>
          <w:b/>
          <w:bCs w:val="0"/>
          <w:u w:val="single"/>
          <w:lang w:val="en-US" w:eastAsia="zh-CN"/>
        </w:rPr>
        <w:t>160日历天</w:t>
      </w:r>
    </w:p>
    <w:p>
      <w:pPr>
        <w:spacing w:line="440" w:lineRule="exact"/>
        <w:ind w:firstLine="420" w:firstLineChars="200"/>
        <w:rPr>
          <w:rFonts w:ascii="宋体" w:hAnsi="宋体" w:cs="宋体" w:hint="eastAsia"/>
          <w:bCs/>
        </w:rPr>
      </w:pPr>
      <w:r>
        <w:rPr>
          <w:rFonts w:ascii="宋体" w:hAnsi="宋体" w:cs="宋体" w:hint="eastAsia"/>
          <w:bCs/>
        </w:rPr>
        <w:t>2.4 招标范围：</w:t>
      </w:r>
      <w:r>
        <w:rPr>
          <w:rFonts w:ascii="宋体" w:hAnsi="宋体" w:cs="宋体" w:hint="eastAsia"/>
          <w:b/>
          <w:bCs w:val="0"/>
          <w:color w:val="000000" w:themeColor="text1"/>
          <w:u w:val="single"/>
          <w:lang w:val="en-US" w:eastAsia="zh-CN"/>
          <w14:textFill>
            <w14:solidFill>
              <w14:schemeClr w14:val="tx1"/>
            </w14:solidFill>
          </w14:textFill>
        </w:rPr>
        <w:t>颍上县人民医院医共体滨河社区卫生服务中心改造项目施工劳务分包包含：1、图纸及招标文件要求的砌筑工程、混凝土工程、钢筋工程、金属工程（零星钢结构）、装饰装修工程（楼地面、墙柱面）、吊顶等工程劳务； 2、包含工程所需的人工、机械、混凝土、钢筋、防水材料、部分板材（阻燃板、密度板、细木工板、防水板、矿棉吸声板、耐火石膏板）、吊顶及龙骨、钢结构、腻子、乳胶漆、防火涂料、相应工程所需的辅材等材料；3、不包含工程所需的部分主材，如：地砖、砌块、砖、水泥、砂、石、石材、砂浆、门窗、玻璃、柜体、6厚淡蓝色洁净板、铅板等材料。4、报价考虑措施费、安全文明施工费、税金、可能出现的风险因素等。</w:t>
      </w:r>
      <w:r>
        <w:rPr>
          <w:rFonts w:ascii="宋体" w:hAnsi="宋体" w:cs="宋体" w:hint="eastAsia"/>
          <w:b/>
          <w:bCs w:val="0"/>
          <w:u w:val="single"/>
          <w:lang w:val="en-US" w:eastAsia="zh-CN"/>
        </w:rPr>
        <w:t>；根据施工图、有关设计变更及会审纪要及后期提供的本项目工程量清单的全部劳务工程包括但不限于招标文件、施工图所包含的全部劳务内容。</w:t>
      </w:r>
    </w:p>
    <w:p>
      <w:pPr>
        <w:spacing w:line="440" w:lineRule="exact"/>
        <w:ind w:firstLine="420" w:firstLineChars="200"/>
        <w:rPr>
          <w:rFonts w:ascii="宋体" w:cs="宋体"/>
          <w:bCs/>
          <w:u w:val="single"/>
        </w:rPr>
      </w:pPr>
      <w:r>
        <w:rPr>
          <w:rFonts w:ascii="宋体" w:hAnsi="宋体" w:cs="宋体" w:hint="eastAsia"/>
          <w:bCs/>
        </w:rPr>
        <w:t>2.5 标段划分:</w:t>
      </w:r>
      <w:r>
        <w:rPr>
          <w:rFonts w:ascii="宋体" w:hAnsi="宋体" w:cs="宋体" w:hint="eastAsia"/>
          <w:bCs/>
          <w:u w:val="single"/>
        </w:rPr>
        <w:t xml:space="preserve"> </w:t>
      </w:r>
      <w:r>
        <w:rPr>
          <w:rFonts w:ascii="宋体" w:hAnsi="宋体"/>
          <w:b/>
          <w:bCs/>
          <w:color w:val="000000"/>
          <w:szCs w:val="22"/>
          <w:u w:val="single"/>
        </w:rPr>
        <w:t>一个标段</w:t>
      </w:r>
      <w:r>
        <w:rPr>
          <w:rFonts w:ascii="宋体" w:hAnsi="宋体" w:cs="宋体" w:hint="eastAsia"/>
          <w:bCs/>
          <w:u w:val="single"/>
        </w:rPr>
        <w:t xml:space="preserve">  </w:t>
      </w:r>
    </w:p>
    <w:p>
      <w:pPr>
        <w:spacing w:line="440" w:lineRule="exact"/>
        <w:ind w:firstLine="420" w:firstLineChars="200"/>
        <w:rPr>
          <w:rFonts w:ascii="宋体" w:hAnsi="宋体" w:cs="宋体"/>
          <w:bCs/>
          <w:color w:val="000000" w:themeColor="text1"/>
          <w:u w:val="single"/>
          <w14:textFill>
            <w14:solidFill>
              <w14:schemeClr w14:val="tx1"/>
            </w14:solidFill>
          </w14:textFill>
        </w:rPr>
      </w:pPr>
      <w:r>
        <w:rPr>
          <w:rFonts w:ascii="宋体" w:hAnsi="宋体" w:cs="宋体" w:hint="eastAsia"/>
          <w:bCs/>
        </w:rPr>
        <w:t>2.</w:t>
      </w:r>
      <w:r>
        <w:rPr>
          <w:rFonts w:ascii="宋体" w:hAnsi="宋体" w:cs="宋体" w:hint="eastAsia"/>
          <w:bCs/>
          <w:lang w:val="en-US" w:eastAsia="zh-CN"/>
        </w:rPr>
        <w:t>6</w:t>
      </w:r>
      <w:r>
        <w:rPr>
          <w:rFonts w:ascii="宋体" w:hAnsi="宋体" w:cs="宋体" w:hint="eastAsia"/>
          <w:bCs/>
        </w:rPr>
        <w:t xml:space="preserve"> 其他：</w:t>
      </w:r>
      <w:r>
        <w:rPr>
          <w:rFonts w:ascii="宋体" w:hAnsi="宋体" w:cs="宋体" w:hint="eastAsia"/>
          <w:b/>
          <w:bCs w:val="0"/>
          <w:u w:val="single"/>
          <w:lang w:val="en-US" w:eastAsia="zh-CN"/>
        </w:rPr>
        <w:t>劳</w:t>
      </w:r>
      <w:r>
        <w:rPr>
          <w:rFonts w:ascii="宋体" w:hAnsi="宋体" w:cs="宋体" w:hint="eastAsia"/>
          <w:b/>
          <w:bCs w:val="0"/>
          <w:color w:val="000000" w:themeColor="text1"/>
          <w:u w:val="single"/>
          <w:lang w:val="en-US" w:eastAsia="zh-CN"/>
          <w14:textFill>
            <w14:solidFill>
              <w14:schemeClr w14:val="tx1"/>
            </w14:solidFill>
          </w14:textFill>
        </w:rPr>
        <w:t>务大清包</w:t>
      </w:r>
      <w:r>
        <w:rPr>
          <w:rFonts w:ascii="宋体" w:hAnsi="宋体" w:cs="宋体" w:hint="eastAsia"/>
          <w:b/>
          <w:bCs w:val="0"/>
          <w:color w:val="000000" w:themeColor="text1"/>
          <w:u w:val="single"/>
          <w14:textFill>
            <w14:solidFill>
              <w14:schemeClr w14:val="tx1"/>
            </w14:solidFill>
          </w14:textFill>
        </w:rPr>
        <w:t>，包一切与合同内工作有关的零星用工</w:t>
      </w:r>
      <w:r>
        <w:rPr>
          <w:rFonts w:ascii="宋体" w:hAnsi="宋体" w:cs="宋体" w:hint="eastAsia"/>
          <w:b/>
          <w:bCs w:val="0"/>
          <w:color w:val="000000" w:themeColor="text1"/>
          <w:u w:val="single"/>
          <w:lang w:val="en-US" w:eastAsia="zh-CN"/>
          <w14:textFill>
            <w14:solidFill>
              <w14:schemeClr w14:val="tx1"/>
            </w14:solidFill>
          </w14:textFill>
        </w:rPr>
        <w:t>及辅材</w:t>
      </w:r>
      <w:r>
        <w:rPr>
          <w:rFonts w:ascii="宋体" w:hAnsi="宋体" w:cs="宋体" w:hint="eastAsia"/>
          <w:b/>
          <w:bCs w:val="0"/>
          <w:color w:val="000000" w:themeColor="text1"/>
          <w:u w:val="single"/>
          <w14:textFill>
            <w14:solidFill>
              <w14:schemeClr w14:val="tx1"/>
            </w14:solidFill>
          </w14:textFill>
        </w:rPr>
        <w:t>（包含但不限于甲方所供材料到达现场以及所有材料退场后的装卸运、码放等所用零星用工</w:t>
      </w:r>
      <w:r>
        <w:rPr>
          <w:rFonts w:ascii="宋体" w:hAnsi="宋体" w:cs="宋体" w:hint="eastAsia"/>
          <w:b/>
          <w:bCs w:val="0"/>
          <w:color w:val="000000" w:themeColor="text1"/>
          <w:u w:val="single"/>
          <w:lang w:val="en-US" w:eastAsia="zh-CN"/>
          <w14:textFill>
            <w14:solidFill>
              <w14:schemeClr w14:val="tx1"/>
            </w14:solidFill>
          </w14:textFill>
        </w:rPr>
        <w:t>及辅材</w:t>
      </w:r>
      <w:r>
        <w:rPr>
          <w:rFonts w:ascii="宋体" w:hAnsi="宋体" w:cs="宋体" w:hint="eastAsia"/>
          <w:b/>
          <w:bCs w:val="0"/>
          <w:color w:val="000000" w:themeColor="text1"/>
          <w:u w:val="single"/>
          <w14:textFill>
            <w14:solidFill>
              <w14:schemeClr w14:val="tx1"/>
            </w14:solidFill>
          </w14:textFill>
        </w:rPr>
        <w:t>）。招标人现场不再发生任何零工。</w:t>
      </w:r>
      <w:r>
        <w:rPr>
          <w:rFonts w:ascii="宋体" w:hAnsi="宋体" w:cs="宋体" w:hint="eastAsia"/>
          <w:b/>
          <w:bCs w:val="0"/>
          <w:color w:val="000000" w:themeColor="text1"/>
          <w:u w:val="single"/>
          <w:lang w:val="en-US" w:eastAsia="zh-CN"/>
          <w14:textFill>
            <w14:solidFill>
              <w14:schemeClr w14:val="tx1"/>
            </w14:solidFill>
          </w14:textFill>
        </w:rPr>
        <w:t>请潜在的投标单位合理报价</w:t>
      </w:r>
      <w:r>
        <w:rPr>
          <w:rFonts w:ascii="宋体" w:hAnsi="宋体" w:cs="宋体" w:hint="eastAsia"/>
          <w:b/>
          <w:bCs w:val="0"/>
          <w:color w:val="000000" w:themeColor="text1"/>
          <w:u w:val="none"/>
          <w:lang w:val="en-US" w:eastAsia="zh-CN"/>
          <w14:textFill>
            <w14:solidFill>
              <w14:schemeClr w14:val="tx1"/>
            </w14:solidFill>
          </w14:textFill>
        </w:rPr>
        <w:t>。</w:t>
      </w:r>
      <w:r>
        <w:rPr>
          <w:rFonts w:ascii="宋体" w:hAnsi="宋体" w:cs="宋体" w:hint="eastAsia"/>
          <w:b/>
          <w:bCs w:val="0"/>
          <w:color w:val="000000" w:themeColor="text1"/>
          <w:u w:val="none"/>
          <w14:textFill>
            <w14:solidFill>
              <w14:schemeClr w14:val="tx1"/>
            </w14:solidFill>
          </w14:textFill>
        </w:rPr>
        <w:t xml:space="preserve">     </w:t>
      </w:r>
    </w:p>
    <w:p>
      <w:pPr>
        <w:jc w:val="left"/>
        <w:outlineLvl w:val="1"/>
        <w:rPr>
          <w:rFonts w:ascii="楷体_GB2312" w:eastAsia="楷体_GB2312" w:hAnsi="楷体_GB2312" w:cs="楷体_GB2312"/>
          <w:b/>
          <w:bCs/>
          <w:sz w:val="32"/>
          <w:szCs w:val="32"/>
        </w:rPr>
      </w:pPr>
      <w:bookmarkStart w:id="10" w:name="_Toc355604667"/>
      <w:r>
        <w:rPr>
          <w:rFonts w:ascii="楷体_GB2312" w:eastAsia="楷体_GB2312" w:hAnsi="楷体_GB2312" w:cs="楷体_GB2312" w:hint="eastAsia"/>
          <w:b/>
          <w:bCs/>
          <w:sz w:val="32"/>
          <w:szCs w:val="32"/>
        </w:rPr>
        <w:t>3.投标人资格要求</w:t>
      </w:r>
      <w:bookmarkEnd w:id="10"/>
    </w:p>
    <w:p>
      <w:pPr>
        <w:spacing w:line="360" w:lineRule="auto"/>
        <w:ind w:firstLine="420" w:firstLineChars="200"/>
        <w:rPr>
          <w:rFonts w:ascii="宋体" w:hAnsi="宋体" w:cs="宋体" w:hint="eastAsia"/>
          <w:bCs/>
        </w:rPr>
      </w:pPr>
      <w:r>
        <w:rPr>
          <w:rFonts w:ascii="宋体" w:hAnsi="宋体" w:cs="宋体" w:hint="eastAsia"/>
          <w:bCs/>
        </w:rPr>
        <w:t>3.1本次招标要求投标人须</w:t>
      </w:r>
      <w:r>
        <w:rPr>
          <w:rFonts w:ascii="宋体" w:hAnsi="宋体" w:cs="宋体" w:hint="eastAsia"/>
          <w:b/>
          <w:bCs w:val="0"/>
          <w:u w:val="single"/>
        </w:rPr>
        <w:t>具备独立法人资格</w:t>
      </w:r>
      <w:r>
        <w:rPr>
          <w:rFonts w:ascii="宋体" w:hAnsi="宋体" w:cs="宋体" w:hint="eastAsia"/>
          <w:bCs/>
        </w:rPr>
        <w:t>，</w:t>
      </w:r>
      <w:r>
        <w:rPr>
          <w:rFonts w:ascii="宋体" w:hAnsi="宋体" w:cs="宋体" w:hint="eastAsia"/>
          <w:b w:val="0"/>
          <w:bCs/>
        </w:rPr>
        <w:t>具有</w:t>
      </w:r>
      <w:r>
        <w:rPr>
          <w:rFonts w:ascii="宋体" w:hAnsi="宋体" w:cs="宋体" w:hint="eastAsia"/>
          <w:b/>
          <w:bCs w:val="0"/>
          <w:u w:val="single"/>
          <w:lang w:val="en-US" w:eastAsia="zh-CN"/>
        </w:rPr>
        <w:t>施工</w:t>
      </w:r>
      <w:r>
        <w:rPr>
          <w:rStyle w:val="NormalCharacter"/>
          <w:rFonts w:ascii="宋体" w:hAnsi="宋体" w:cs="宋体" w:hint="eastAsia"/>
          <w:b/>
          <w:bCs/>
          <w:color w:val="000000" w:themeColor="text1"/>
          <w:u w:val="single"/>
          <w14:textFill>
            <w14:solidFill>
              <w14:schemeClr w14:val="tx1"/>
            </w14:solidFill>
          </w14:textFill>
        </w:rPr>
        <w:t>劳务</w:t>
      </w:r>
      <w:r>
        <w:rPr>
          <w:rStyle w:val="NormalCharacter"/>
          <w:rFonts w:ascii="宋体" w:hAnsi="宋体" w:cs="宋体" w:hint="eastAsia"/>
          <w:b/>
          <w:bCs/>
          <w:color w:val="000000" w:themeColor="text1"/>
          <w:u w:val="single"/>
          <w:lang w:val="en-US" w:eastAsia="zh-CN"/>
          <w14:textFill>
            <w14:solidFill>
              <w14:schemeClr w14:val="tx1"/>
            </w14:solidFill>
          </w14:textFill>
        </w:rPr>
        <w:t>资质不分等级</w:t>
      </w:r>
      <w:bookmarkStart w:id="11" w:name="_GoBack"/>
      <w:bookmarkEnd w:id="11"/>
      <w:r>
        <w:rPr>
          <w:rFonts w:ascii="宋体" w:hAnsi="宋体" w:cs="宋体" w:hint="eastAsia"/>
          <w:bCs/>
          <w:lang w:eastAsia="zh-CN"/>
        </w:rPr>
        <w:t>，</w:t>
      </w:r>
      <w:r>
        <w:rPr>
          <w:rFonts w:ascii="宋体" w:hAnsi="宋体" w:cs="宋体" w:hint="eastAsia"/>
          <w:bCs/>
          <w:lang w:val="en-US" w:eastAsia="zh-CN"/>
        </w:rPr>
        <w:t>及履行合同所必需的资金、设备、技术能力。不得以个人名义参与投标。</w:t>
      </w:r>
    </w:p>
    <w:p>
      <w:pPr>
        <w:spacing w:line="360" w:lineRule="auto"/>
        <w:ind w:firstLine="420" w:firstLineChars="200"/>
        <w:rPr>
          <w:rFonts w:ascii="宋体" w:hAnsi="宋体" w:cs="宋体" w:hint="eastAsia"/>
          <w:bCs/>
        </w:rPr>
      </w:pPr>
      <w:r>
        <w:rPr>
          <w:rFonts w:ascii="宋体" w:hAnsi="宋体" w:cs="宋体" w:hint="eastAsia"/>
          <w:bCs/>
        </w:rPr>
        <w:t>3.</w:t>
      </w:r>
      <w:r>
        <w:rPr>
          <w:rFonts w:ascii="宋体" w:hAnsi="宋体" w:cs="宋体" w:hint="eastAsia"/>
          <w:bCs/>
          <w:lang w:val="en-US" w:eastAsia="zh-CN"/>
        </w:rPr>
        <w:t>2投标人需有该专业相应施工经验，与公司有过工程合作且经信用评价高分者的优先。</w:t>
      </w:r>
    </w:p>
    <w:p>
      <w:pPr>
        <w:spacing w:line="360" w:lineRule="auto"/>
        <w:ind w:firstLine="420" w:firstLineChars="200"/>
        <w:rPr>
          <w:rFonts w:ascii="宋体" w:hAnsi="宋体" w:cs="宋体" w:hint="eastAsia"/>
          <w:bCs/>
        </w:rPr>
      </w:pPr>
      <w:r>
        <w:rPr>
          <w:rFonts w:ascii="宋体" w:hAnsi="宋体" w:cs="宋体" w:hint="eastAsia"/>
          <w:bCs/>
        </w:rPr>
        <w:t>3.</w:t>
      </w:r>
      <w:r>
        <w:rPr>
          <w:rFonts w:ascii="宋体" w:hAnsi="宋体" w:cs="宋体" w:hint="eastAsia"/>
          <w:bCs/>
          <w:lang w:val="en-US" w:eastAsia="zh-CN"/>
        </w:rPr>
        <w:t>3投标人具有履行合同所必需的资金、设备、技术能力；具有良好的商业信誉和健全的财务会计制度；具有依法缴纳税收和社会保障资金的良好记录；近三年内无重大违法经营记录；</w:t>
      </w:r>
    </w:p>
    <w:p>
      <w:pPr>
        <w:spacing w:line="360" w:lineRule="auto"/>
        <w:ind w:firstLine="420" w:firstLineChars="200"/>
        <w:rPr>
          <w:rFonts w:ascii="宋体" w:hAnsi="宋体" w:cs="宋体" w:hint="eastAsia"/>
          <w:bCs/>
        </w:rPr>
      </w:pPr>
      <w:r>
        <w:rPr>
          <w:rFonts w:ascii="宋体" w:hAnsi="宋体" w:cs="宋体" w:hint="eastAsia"/>
          <w:bCs/>
        </w:rPr>
        <w:t>3.</w:t>
      </w:r>
      <w:r>
        <w:rPr>
          <w:rFonts w:ascii="宋体" w:hAnsi="宋体" w:cs="宋体" w:hint="eastAsia"/>
          <w:bCs/>
          <w:lang w:val="en-US" w:eastAsia="zh-CN"/>
        </w:rPr>
        <w:t>4投标人必须在公司合格供方名录内；拒绝列入公司不良行为记录的企业或个人投标。</w:t>
      </w:r>
    </w:p>
    <w:p>
      <w:pPr>
        <w:spacing w:line="360" w:lineRule="auto"/>
        <w:ind w:firstLine="420" w:firstLineChars="200"/>
        <w:rPr>
          <w:rStyle w:val="NormalCharacter"/>
          <w:rFonts w:ascii="宋体" w:eastAsiaTheme="minorEastAsia" w:hAnsiTheme="minorHAnsi" w:cs="宋体" w:hint="eastAsia"/>
          <w:bCs/>
          <w:color w:val="000000"/>
        </w:rPr>
        <w:sectPr>
          <w:type w:val="nextPage"/>
          <w:pgSz w:w="11910" w:h="16840"/>
          <w:pgMar w:top="1380" w:right="1440" w:bottom="1580" w:left="1580" w:header="890" w:footer="1363" w:gutter="0"/>
          <w:pgNumType w:start="4"/>
          <w:cols w:num="1" w:space="720"/>
          <w:titlePg w:val="0"/>
        </w:sectPr>
      </w:pPr>
      <w:r>
        <w:rPr>
          <w:rFonts w:ascii="宋体" w:hAnsi="宋体" w:cs="宋体" w:hint="eastAsia"/>
          <w:bCs/>
        </w:rPr>
        <w:t>3.</w:t>
      </w:r>
      <w:r>
        <w:rPr>
          <w:rFonts w:ascii="宋体" w:hAnsi="宋体" w:cs="宋体" w:hint="eastAsia"/>
          <w:bCs/>
          <w:lang w:val="en-US" w:eastAsia="zh-CN"/>
        </w:rPr>
        <w:t>5技术</w:t>
      </w:r>
      <w:r>
        <w:rPr>
          <w:rFonts w:ascii="宋体" w:hAnsi="宋体" w:cs="宋体" w:hint="eastAsia"/>
          <w:bCs/>
        </w:rPr>
        <w:t>负责人：</w:t>
      </w:r>
      <w:r>
        <w:rPr>
          <w:rStyle w:val="NormalCharacter"/>
          <w:rFonts w:ascii="宋体" w:eastAsiaTheme="minorEastAsia" w:hAnsiTheme="minorHAnsi" w:cs="宋体" w:hint="eastAsia"/>
          <w:b/>
          <w:bCs w:val="0"/>
          <w:color w:val="000000"/>
          <w:u w:val="single"/>
        </w:rPr>
        <w:t>具有</w:t>
      </w:r>
      <w:r>
        <w:rPr>
          <w:rStyle w:val="NormalCharacter"/>
          <w:rFonts w:ascii="宋体" w:eastAsiaTheme="minorEastAsia" w:hAnsiTheme="minorHAnsi" w:cs="宋体" w:hint="eastAsia"/>
          <w:b/>
          <w:bCs w:val="0"/>
          <w:color w:val="000000"/>
          <w:u w:val="single"/>
          <w:lang w:val="en-US" w:eastAsia="zh-CN"/>
        </w:rPr>
        <w:t>中级工程师以上职称</w:t>
      </w:r>
      <w:r>
        <w:rPr>
          <w:rStyle w:val="NormalCharacter"/>
          <w:rFonts w:ascii="宋体" w:eastAsiaTheme="minorEastAsia" w:hAnsiTheme="minorHAnsi" w:cs="宋体" w:hint="eastAsia"/>
          <w:bCs/>
          <w:color w:val="000000"/>
          <w:lang w:eastAsia="zh-CN"/>
        </w:rPr>
        <w:t>。</w:t>
      </w:r>
    </w:p>
    <w:p>
      <w:pPr>
        <w:spacing w:line="360" w:lineRule="auto"/>
        <w:ind w:firstLine="420" w:firstLineChars="200"/>
        <w:rPr>
          <w:rFonts w:ascii="宋体" w:cs="宋体"/>
          <w:bCs/>
        </w:rPr>
      </w:pPr>
      <w:r>
        <w:rPr>
          <w:rFonts w:ascii="宋体" w:hAnsi="宋体" w:cs="宋体" w:hint="eastAsia"/>
          <w:bCs/>
        </w:rPr>
        <w:t>3.</w:t>
      </w:r>
      <w:r>
        <w:rPr>
          <w:rFonts w:ascii="宋体" w:hAnsi="宋体" w:cs="宋体" w:hint="eastAsia"/>
          <w:bCs/>
          <w:lang w:val="en-US" w:eastAsia="zh-CN"/>
        </w:rPr>
        <w:t>6</w:t>
      </w:r>
      <w:r>
        <w:rPr>
          <w:rFonts w:ascii="宋体" w:hAnsi="宋体" w:cs="宋体" w:hint="eastAsia"/>
          <w:bCs/>
        </w:rPr>
        <w:t>本次招标</w:t>
      </w:r>
      <w:r>
        <w:rPr>
          <w:rFonts w:ascii="宋体" w:hAnsi="宋体" w:cs="宋体" w:hint="eastAsia"/>
          <w:bCs/>
          <w:u w:val="single"/>
        </w:rPr>
        <w:t xml:space="preserve"> 不接受 </w:t>
      </w:r>
      <w:r>
        <w:rPr>
          <w:rFonts w:ascii="宋体" w:hAnsi="宋体" w:cs="宋体" w:hint="eastAsia"/>
          <w:bCs/>
        </w:rPr>
        <w:t>联合体投标。联合体投标的，应满足下列要求：</w:t>
      </w:r>
      <w:r>
        <w:rPr>
          <w:rFonts w:ascii="宋体" w:hAnsi="宋体" w:cs="宋体" w:hint="eastAsia"/>
          <w:bCs/>
          <w:u w:val="single"/>
        </w:rPr>
        <w:t xml:space="preserve">  /  </w:t>
      </w:r>
      <w:r>
        <w:rPr>
          <w:rFonts w:ascii="宋体" w:hAnsi="宋体" w:cs="宋体" w:hint="eastAsia"/>
          <w:bCs/>
        </w:rPr>
        <w:t>。</w:t>
      </w:r>
    </w:p>
    <w:p>
      <w:pPr>
        <w:jc w:val="left"/>
        <w:outlineLvl w:val="1"/>
        <w:rPr>
          <w:rFonts w:ascii="楷体_GB2312" w:eastAsia="楷体_GB2312" w:hAnsi="楷体_GB2312" w:cs="楷体_GB2312"/>
          <w:b/>
          <w:bCs/>
          <w:sz w:val="32"/>
          <w:szCs w:val="32"/>
        </w:rPr>
      </w:pPr>
      <w:bookmarkStart w:id="12" w:name="_Toc355604668"/>
      <w:r>
        <w:rPr>
          <w:rFonts w:ascii="楷体_GB2312" w:eastAsia="楷体_GB2312" w:hAnsi="楷体_GB2312" w:cs="楷体_GB2312" w:hint="eastAsia"/>
          <w:b/>
          <w:bCs/>
          <w:sz w:val="32"/>
          <w:szCs w:val="32"/>
        </w:rPr>
        <w:t>4.招标文件的获取</w:t>
      </w:r>
      <w:bookmarkEnd w:id="12"/>
    </w:p>
    <w:p>
      <w:pPr>
        <w:pStyle w:val="BodyText1I2"/>
        <w:spacing w:line="360" w:lineRule="auto"/>
        <w:ind w:left="0" w:leftChars="0"/>
        <w:jc w:val="left"/>
        <w:rPr>
          <w:rStyle w:val="NormalCharacter"/>
          <w:rFonts w:ascii="宋体" w:hAnsi="宋体" w:cs="宋体"/>
          <w:bCs/>
          <w:color w:val="000000"/>
        </w:rPr>
      </w:pPr>
      <w:bookmarkStart w:id="13" w:name="_Toc355604669"/>
      <w:r>
        <w:rPr>
          <w:rStyle w:val="NormalCharacter"/>
          <w:rFonts w:ascii="宋体" w:hAnsi="宋体" w:cs="宋体"/>
          <w:bCs/>
          <w:color w:val="000000"/>
        </w:rPr>
        <w:t>4.</w:t>
      </w:r>
      <w:r>
        <w:rPr>
          <w:rStyle w:val="NormalCharacter"/>
          <w:rFonts w:ascii="宋体" w:hAnsi="宋体" w:cs="宋体" w:hint="eastAsia"/>
          <w:bCs/>
          <w:color w:val="000000"/>
        </w:rPr>
        <w:t>1</w:t>
      </w:r>
      <w:r>
        <w:rPr>
          <w:rStyle w:val="NormalCharacter"/>
          <w:rFonts w:ascii="宋体" w:hAnsi="宋体" w:cs="宋体"/>
          <w:bCs/>
          <w:color w:val="000000"/>
        </w:rPr>
        <w:t>招标文件费用：(1)凡有意参加投标者，请于202</w:t>
      </w:r>
      <w:r>
        <w:rPr>
          <w:rStyle w:val="NormalCharacter"/>
          <w:rFonts w:ascii="宋体" w:hAnsi="宋体" w:cs="宋体" w:hint="eastAsia"/>
          <w:bCs/>
          <w:color w:val="000000"/>
          <w:lang w:val="en-US" w:eastAsia="zh-CN"/>
        </w:rPr>
        <w:t>3</w:t>
      </w:r>
      <w:r>
        <w:rPr>
          <w:rStyle w:val="NormalCharacter"/>
          <w:rFonts w:ascii="宋体" w:hAnsi="宋体" w:cs="宋体"/>
          <w:bCs/>
          <w:color w:val="000000"/>
        </w:rPr>
        <w:t>年</w:t>
      </w:r>
      <w:r>
        <w:rPr>
          <w:rStyle w:val="NormalCharacter"/>
          <w:rFonts w:ascii="宋体" w:hAnsi="宋体" w:cs="宋体" w:hint="eastAsia"/>
          <w:bCs/>
          <w:color w:val="000000"/>
          <w:lang w:val="en-US" w:eastAsia="zh-CN"/>
        </w:rPr>
        <w:t>2</w:t>
      </w:r>
      <w:r>
        <w:rPr>
          <w:rStyle w:val="NormalCharacter"/>
          <w:rFonts w:ascii="宋体" w:hAnsi="宋体" w:cs="宋体"/>
          <w:bCs/>
          <w:color w:val="000000"/>
        </w:rPr>
        <w:t>月</w:t>
      </w:r>
      <w:r>
        <w:rPr>
          <w:rStyle w:val="NormalCharacter"/>
          <w:rFonts w:ascii="宋体" w:hAnsi="宋体" w:cs="宋体" w:hint="eastAsia"/>
          <w:bCs/>
          <w:color w:val="000000"/>
          <w:lang w:val="en-US" w:eastAsia="zh-CN"/>
        </w:rPr>
        <w:t>10</w:t>
      </w:r>
      <w:r>
        <w:rPr>
          <w:rStyle w:val="NormalCharacter"/>
          <w:rFonts w:ascii="宋体" w:hAnsi="宋体" w:cs="宋体"/>
          <w:bCs/>
          <w:color w:val="000000"/>
        </w:rPr>
        <w:t>日至202</w:t>
      </w:r>
      <w:r>
        <w:rPr>
          <w:rStyle w:val="NormalCharacter"/>
          <w:rFonts w:ascii="宋体" w:hAnsi="宋体" w:cs="宋体" w:hint="eastAsia"/>
          <w:bCs/>
          <w:color w:val="000000"/>
          <w:lang w:val="en-US" w:eastAsia="zh-CN"/>
        </w:rPr>
        <w:t>3</w:t>
      </w:r>
      <w:r>
        <w:rPr>
          <w:rStyle w:val="NormalCharacter"/>
          <w:rFonts w:ascii="宋体" w:hAnsi="宋体" w:cs="宋体"/>
          <w:bCs/>
          <w:color w:val="000000"/>
        </w:rPr>
        <w:t>年</w:t>
      </w:r>
      <w:r>
        <w:rPr>
          <w:rStyle w:val="NormalCharacter"/>
          <w:rFonts w:ascii="宋体" w:hAnsi="宋体" w:cs="宋体" w:hint="eastAsia"/>
          <w:bCs/>
          <w:color w:val="000000"/>
          <w:lang w:val="en-US" w:eastAsia="zh-CN"/>
        </w:rPr>
        <w:t>2</w:t>
      </w:r>
      <w:r>
        <w:rPr>
          <w:rStyle w:val="NormalCharacter"/>
          <w:rFonts w:ascii="宋体" w:hAnsi="宋体" w:cs="宋体"/>
          <w:bCs/>
          <w:color w:val="000000"/>
        </w:rPr>
        <w:t>月</w:t>
      </w:r>
      <w:r>
        <w:rPr>
          <w:rStyle w:val="NormalCharacter"/>
          <w:rFonts w:ascii="宋体" w:hAnsi="宋体" w:cs="宋体" w:hint="eastAsia"/>
          <w:bCs/>
          <w:color w:val="000000"/>
          <w:lang w:val="en-US" w:eastAsia="zh-CN"/>
        </w:rPr>
        <w:t>14</w:t>
      </w:r>
      <w:r>
        <w:rPr>
          <w:rStyle w:val="NormalCharacter"/>
          <w:rFonts w:ascii="宋体" w:hAnsi="宋体" w:cs="宋体"/>
          <w:bCs/>
          <w:color w:val="000000"/>
        </w:rPr>
        <w:t>日每天上午 8：30 -11:30，下午 14:30 -17:</w:t>
      </w:r>
      <w:r>
        <w:rPr>
          <w:rStyle w:val="NormalCharacter"/>
          <w:rFonts w:ascii="宋体" w:hAnsi="宋体" w:cs="宋体" w:hint="eastAsia"/>
          <w:bCs/>
          <w:color w:val="000000"/>
        </w:rPr>
        <w:t>3</w:t>
      </w:r>
      <w:r>
        <w:rPr>
          <w:rStyle w:val="NormalCharacter"/>
          <w:rFonts w:ascii="宋体" w:hAnsi="宋体" w:cs="宋体"/>
          <w:bCs/>
          <w:color w:val="000000"/>
        </w:rPr>
        <w:t>0 。现场获取招标文件（地点：</w:t>
      </w:r>
      <w:r>
        <w:rPr>
          <w:rStyle w:val="NormalCharacter"/>
          <w:rFonts w:ascii="宋体" w:hAnsi="宋体" w:cs="宋体"/>
          <w:bCs/>
        </w:rPr>
        <w:t>颍上县</w:t>
      </w:r>
      <w:r>
        <w:rPr>
          <w:rStyle w:val="NormalCharacter"/>
          <w:rFonts w:ascii="宋体" w:hAnsi="宋体" w:cs="宋体" w:hint="eastAsia"/>
          <w:bCs/>
          <w:lang w:val="en-US" w:eastAsia="zh-CN"/>
        </w:rPr>
        <w:t>慎城镇叔牙路0001</w:t>
      </w:r>
      <w:r>
        <w:rPr>
          <w:rStyle w:val="NormalCharacter"/>
          <w:rFonts w:ascii="宋体" w:hAnsi="宋体" w:cs="宋体"/>
          <w:bCs/>
        </w:rPr>
        <w:t>号</w:t>
      </w:r>
      <w:r>
        <w:rPr>
          <w:rStyle w:val="NormalCharacter"/>
          <w:rFonts w:ascii="宋体" w:hAnsi="宋体" w:cs="宋体"/>
          <w:bCs/>
          <w:color w:val="000000"/>
        </w:rPr>
        <w:t xml:space="preserve">） </w:t>
      </w:r>
    </w:p>
    <w:p>
      <w:pPr>
        <w:jc w:val="left"/>
        <w:outlineLvl w:val="1"/>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5.投标文件的递交</w:t>
      </w:r>
      <w:bookmarkEnd w:id="13"/>
    </w:p>
    <w:p>
      <w:pPr>
        <w:spacing w:line="440" w:lineRule="exact"/>
        <w:ind w:firstLine="420" w:firstLineChars="200"/>
        <w:rPr>
          <w:rStyle w:val="NormalCharacter"/>
          <w:rFonts w:ascii="宋体" w:hAnsi="宋体" w:cs="宋体" w:hint="eastAsia"/>
          <w:bCs/>
        </w:rPr>
      </w:pPr>
      <w:bookmarkStart w:id="14" w:name="_Toc246996163"/>
      <w:bookmarkStart w:id="15" w:name="_Toc246996906"/>
      <w:bookmarkStart w:id="16" w:name="_Toc157499355"/>
      <w:bookmarkStart w:id="17" w:name="_Toc296602407"/>
      <w:bookmarkStart w:id="18" w:name="_Toc179632533"/>
      <w:bookmarkStart w:id="19" w:name="_Toc247085677"/>
      <w:r>
        <w:rPr>
          <w:rFonts w:ascii="宋体" w:hAnsi="宋体" w:cs="宋体" w:hint="eastAsia"/>
          <w:bCs/>
        </w:rPr>
        <w:t>5.1 投标文件递交的截止时间（投标截止时间，下同）为</w:t>
      </w:r>
      <w:r>
        <w:rPr>
          <w:rFonts w:ascii="宋体" w:cs="宋体"/>
          <w:bCs/>
          <w:highlight w:val="none"/>
          <w:u w:val="single"/>
        </w:rPr>
        <w:t>202</w:t>
      </w:r>
      <w:r>
        <w:rPr>
          <w:rFonts w:ascii="宋体" w:cs="宋体" w:hint="eastAsia"/>
          <w:bCs/>
          <w:highlight w:val="none"/>
          <w:u w:val="single"/>
          <w:lang w:val="en-US" w:eastAsia="zh-CN"/>
        </w:rPr>
        <w:t>3</w:t>
      </w:r>
      <w:r>
        <w:rPr>
          <w:rFonts w:ascii="宋体" w:hAnsi="宋体" w:cs="宋体" w:hint="eastAsia"/>
          <w:bCs/>
          <w:highlight w:val="none"/>
        </w:rPr>
        <w:t>年</w:t>
      </w:r>
      <w:r>
        <w:rPr>
          <w:rFonts w:ascii="宋体" w:cs="宋体" w:hint="eastAsia"/>
          <w:bCs/>
          <w:highlight w:val="none"/>
          <w:u w:val="single"/>
          <w:lang w:val="en-US" w:eastAsia="zh-CN"/>
        </w:rPr>
        <w:t>2</w:t>
      </w:r>
      <w:r>
        <w:rPr>
          <w:rFonts w:ascii="宋体" w:hAnsi="宋体" w:cs="宋体" w:hint="eastAsia"/>
          <w:bCs/>
          <w:highlight w:val="none"/>
        </w:rPr>
        <w:t>月</w:t>
      </w:r>
      <w:r>
        <w:rPr>
          <w:rFonts w:ascii="宋体" w:hAnsi="宋体" w:cs="宋体" w:hint="eastAsia"/>
          <w:bCs/>
          <w:highlight w:val="none"/>
          <w:u w:val="single"/>
          <w:lang w:val="en-US" w:eastAsia="zh-CN"/>
        </w:rPr>
        <w:t>15</w:t>
      </w:r>
      <w:r>
        <w:rPr>
          <w:rFonts w:ascii="宋体" w:hAnsi="宋体" w:cs="宋体" w:hint="eastAsia"/>
          <w:bCs/>
          <w:highlight w:val="none"/>
        </w:rPr>
        <w:t>日</w:t>
      </w:r>
      <w:r>
        <w:rPr>
          <w:rFonts w:ascii="宋体" w:hAnsi="宋体" w:cs="宋体" w:hint="eastAsia"/>
          <w:bCs/>
          <w:highlight w:val="none"/>
          <w:u w:val="single"/>
          <w:lang w:val="en-US" w:eastAsia="zh-CN"/>
        </w:rPr>
        <w:t>9</w:t>
      </w:r>
      <w:r>
        <w:rPr>
          <w:rFonts w:ascii="宋体" w:hAnsi="宋体" w:cs="宋体" w:hint="eastAsia"/>
          <w:bCs/>
          <w:highlight w:val="none"/>
        </w:rPr>
        <w:t>时</w:t>
      </w:r>
      <w:r>
        <w:rPr>
          <w:rFonts w:ascii="宋体" w:hAnsi="宋体" w:cs="宋体" w:hint="eastAsia"/>
          <w:bCs/>
          <w:highlight w:val="none"/>
          <w:u w:val="single"/>
          <w:lang w:val="en-US" w:eastAsia="zh-CN"/>
        </w:rPr>
        <w:t>3</w:t>
      </w:r>
      <w:r>
        <w:rPr>
          <w:rFonts w:ascii="宋体" w:hAnsi="宋体" w:cs="宋体"/>
          <w:bCs/>
          <w:highlight w:val="none"/>
          <w:u w:val="single"/>
        </w:rPr>
        <w:t>0</w:t>
      </w:r>
      <w:r>
        <w:rPr>
          <w:rFonts w:ascii="宋体" w:hAnsi="宋体" w:cs="宋体" w:hint="eastAsia"/>
          <w:bCs/>
          <w:highlight w:val="none"/>
        </w:rPr>
        <w:t>分</w:t>
      </w:r>
      <w:r>
        <w:rPr>
          <w:rFonts w:ascii="宋体" w:hAnsi="宋体" w:cs="宋体" w:hint="eastAsia"/>
          <w:bCs/>
        </w:rPr>
        <w:t>，投标人应在截止时间前递交投标文件，</w:t>
      </w:r>
      <w:r>
        <w:rPr>
          <w:rStyle w:val="NormalCharacter"/>
          <w:rFonts w:ascii="宋体" w:hAnsi="宋体" w:cs="宋体"/>
          <w:bCs/>
        </w:rPr>
        <w:t>逾期送达的投标文件，将予以拒收</w:t>
      </w:r>
      <w:r>
        <w:rPr>
          <w:rStyle w:val="NormalCharacter"/>
          <w:rFonts w:ascii="宋体" w:hAnsi="宋体" w:cs="宋体" w:hint="eastAsia"/>
          <w:bCs/>
        </w:rPr>
        <w:t>。</w:t>
      </w:r>
    </w:p>
    <w:p>
      <w:pPr>
        <w:jc w:val="left"/>
        <w:outlineLvl w:val="1"/>
        <w:rPr>
          <w:rFonts w:ascii="楷体_GB2312" w:eastAsia="楷体_GB2312" w:hAnsi="楷体_GB2312" w:cs="楷体_GB2312"/>
          <w:b/>
          <w:bCs/>
          <w:sz w:val="32"/>
          <w:szCs w:val="32"/>
        </w:rPr>
      </w:pPr>
      <w:r>
        <w:rPr>
          <w:rFonts w:ascii="楷体_GB2312" w:eastAsia="楷体_GB2312" w:hAnsi="楷体_GB2312" w:cs="楷体_GB2312" w:hint="eastAsia"/>
          <w:b/>
          <w:bCs/>
          <w:sz w:val="32"/>
          <w:szCs w:val="32"/>
          <w:lang w:val="en-US" w:eastAsia="zh-CN"/>
        </w:rPr>
        <w:t>6</w:t>
      </w:r>
      <w:r>
        <w:rPr>
          <w:rFonts w:ascii="楷体_GB2312" w:eastAsia="楷体_GB2312" w:hAnsi="楷体_GB2312" w:cs="楷体_GB2312" w:hint="eastAsia"/>
          <w:b/>
          <w:bCs/>
          <w:sz w:val="32"/>
          <w:szCs w:val="32"/>
        </w:rPr>
        <w:t>. 开标时间及地点</w:t>
      </w:r>
    </w:p>
    <w:p>
      <w:pPr>
        <w:spacing w:line="420" w:lineRule="exact"/>
        <w:ind w:firstLine="420" w:firstLineChars="200"/>
        <w:rPr>
          <w:rFonts w:ascii="宋体" w:cs="宋体"/>
          <w:bCs/>
        </w:rPr>
      </w:pPr>
      <w:r>
        <w:rPr>
          <w:rFonts w:ascii="宋体" w:cs="宋体" w:hint="eastAsia"/>
          <w:bCs/>
        </w:rPr>
        <w:t>6.1 开标时间</w:t>
      </w:r>
      <w:r>
        <w:rPr>
          <w:rFonts w:ascii="宋体" w:cs="宋体" w:hint="eastAsia"/>
          <w:bCs/>
          <w:color w:val="auto"/>
        </w:rPr>
        <w:t>：</w:t>
      </w:r>
      <w:r>
        <w:rPr>
          <w:rFonts w:ascii="宋体" w:cs="宋体"/>
          <w:bCs/>
          <w:color w:val="auto"/>
          <w:highlight w:val="none"/>
          <w:u w:val="single"/>
        </w:rPr>
        <w:t>202</w:t>
      </w:r>
      <w:r>
        <w:rPr>
          <w:rFonts w:ascii="宋体" w:cs="宋体" w:hint="eastAsia"/>
          <w:bCs/>
          <w:color w:val="auto"/>
          <w:highlight w:val="none"/>
          <w:u w:val="single"/>
          <w:lang w:val="en-US" w:eastAsia="zh-CN"/>
        </w:rPr>
        <w:t>3</w:t>
      </w:r>
      <w:r>
        <w:rPr>
          <w:rFonts w:ascii="宋体" w:cs="宋体" w:hint="eastAsia"/>
          <w:bCs/>
          <w:color w:val="auto"/>
          <w:highlight w:val="none"/>
        </w:rPr>
        <w:t>年</w:t>
      </w:r>
      <w:r>
        <w:rPr>
          <w:rFonts w:ascii="宋体" w:cs="宋体" w:hint="eastAsia"/>
          <w:bCs/>
          <w:color w:val="auto"/>
          <w:highlight w:val="none"/>
          <w:u w:val="single"/>
        </w:rPr>
        <w:t xml:space="preserve"> </w:t>
      </w:r>
      <w:r>
        <w:rPr>
          <w:rFonts w:ascii="宋体" w:cs="宋体" w:hint="eastAsia"/>
          <w:bCs/>
          <w:color w:val="auto"/>
          <w:highlight w:val="none"/>
          <w:u w:val="single"/>
          <w:lang w:val="en-US" w:eastAsia="zh-CN"/>
        </w:rPr>
        <w:t>2</w:t>
      </w:r>
      <w:r>
        <w:rPr>
          <w:rFonts w:ascii="宋体" w:cs="宋体" w:hint="eastAsia"/>
          <w:bCs/>
          <w:color w:val="auto"/>
          <w:highlight w:val="none"/>
        </w:rPr>
        <w:t>月</w:t>
      </w:r>
      <w:r>
        <w:rPr>
          <w:rFonts w:ascii="宋体" w:cs="宋体" w:hint="eastAsia"/>
          <w:bCs/>
          <w:color w:val="auto"/>
          <w:highlight w:val="none"/>
          <w:u w:val="single"/>
        </w:rPr>
        <w:t xml:space="preserve"> </w:t>
      </w:r>
      <w:r>
        <w:rPr>
          <w:rFonts w:ascii="宋体" w:cs="宋体" w:hint="eastAsia"/>
          <w:bCs/>
          <w:color w:val="auto"/>
          <w:highlight w:val="none"/>
          <w:u w:val="single"/>
          <w:lang w:val="en-US" w:eastAsia="zh-CN"/>
        </w:rPr>
        <w:t>15</w:t>
      </w:r>
      <w:r>
        <w:rPr>
          <w:rFonts w:ascii="宋体" w:cs="宋体" w:hint="eastAsia"/>
          <w:bCs/>
          <w:color w:val="auto"/>
          <w:highlight w:val="none"/>
        </w:rPr>
        <w:t>日</w:t>
      </w:r>
      <w:r>
        <w:rPr>
          <w:rFonts w:ascii="宋体" w:cs="宋体" w:hint="eastAsia"/>
          <w:bCs/>
          <w:color w:val="auto"/>
          <w:highlight w:val="none"/>
          <w:u w:val="single"/>
        </w:rPr>
        <w:t xml:space="preserve"> </w:t>
      </w:r>
      <w:r>
        <w:rPr>
          <w:rFonts w:ascii="宋体" w:cs="宋体" w:hint="eastAsia"/>
          <w:bCs/>
          <w:color w:val="auto"/>
          <w:highlight w:val="none"/>
          <w:u w:val="single"/>
          <w:lang w:val="en-US" w:eastAsia="zh-CN"/>
        </w:rPr>
        <w:t>9</w:t>
      </w:r>
      <w:r>
        <w:rPr>
          <w:rFonts w:ascii="宋体" w:cs="宋体" w:hint="eastAsia"/>
          <w:bCs/>
          <w:color w:val="auto"/>
          <w:highlight w:val="none"/>
          <w:u w:val="single"/>
        </w:rPr>
        <w:t xml:space="preserve"> </w:t>
      </w:r>
      <w:r>
        <w:rPr>
          <w:rFonts w:ascii="宋体" w:cs="宋体" w:hint="eastAsia"/>
          <w:bCs/>
          <w:color w:val="auto"/>
          <w:highlight w:val="none"/>
        </w:rPr>
        <w:t>时</w:t>
      </w:r>
      <w:r>
        <w:rPr>
          <w:rFonts w:ascii="宋体" w:cs="宋体" w:hint="eastAsia"/>
          <w:bCs/>
          <w:color w:val="auto"/>
          <w:highlight w:val="none"/>
          <w:u w:val="single"/>
        </w:rPr>
        <w:t xml:space="preserve"> </w:t>
      </w:r>
      <w:r>
        <w:rPr>
          <w:rFonts w:ascii="宋体" w:cs="宋体" w:hint="eastAsia"/>
          <w:bCs/>
          <w:color w:val="auto"/>
          <w:highlight w:val="none"/>
          <w:u w:val="single"/>
          <w:lang w:val="en-US" w:eastAsia="zh-CN"/>
        </w:rPr>
        <w:t>3</w:t>
      </w:r>
      <w:r>
        <w:rPr>
          <w:rFonts w:ascii="宋体" w:cs="宋体"/>
          <w:bCs/>
          <w:color w:val="auto"/>
          <w:highlight w:val="none"/>
          <w:u w:val="single"/>
        </w:rPr>
        <w:t>0</w:t>
      </w:r>
      <w:r>
        <w:rPr>
          <w:rFonts w:ascii="宋体" w:cs="宋体" w:hint="eastAsia"/>
          <w:bCs/>
          <w:color w:val="auto"/>
          <w:highlight w:val="none"/>
        </w:rPr>
        <w:t>分。</w:t>
      </w:r>
    </w:p>
    <w:p>
      <w:pPr>
        <w:spacing w:line="420" w:lineRule="exact"/>
        <w:ind w:firstLine="420" w:firstLineChars="200"/>
        <w:rPr>
          <w:rFonts w:ascii="宋体" w:cs="宋体"/>
          <w:bCs/>
        </w:rPr>
      </w:pPr>
      <w:r>
        <w:rPr>
          <w:rFonts w:ascii="宋体" w:cs="宋体" w:hint="eastAsia"/>
          <w:bCs/>
        </w:rPr>
        <w:t>6.2 开标地点</w:t>
      </w:r>
      <w:r>
        <w:rPr>
          <w:rFonts w:ascii="宋体" w:cs="宋体" w:hint="eastAsia"/>
          <w:bCs/>
          <w:u w:val="none"/>
        </w:rPr>
        <w:t>：</w:t>
      </w:r>
      <w:r>
        <w:rPr>
          <w:rStyle w:val="NormalCharacter"/>
          <w:rFonts w:ascii="宋体" w:hAnsi="宋体" w:cs="宋体"/>
          <w:bCs/>
        </w:rPr>
        <w:t>颍上县城投</w:t>
      </w:r>
      <w:r>
        <w:rPr>
          <w:rStyle w:val="NormalCharacter"/>
          <w:rFonts w:ascii="宋体" w:hAnsi="宋体" w:cs="宋体" w:hint="eastAsia"/>
          <w:bCs/>
          <w:lang w:val="en-US" w:eastAsia="zh-CN"/>
        </w:rPr>
        <w:t>三</w:t>
      </w:r>
      <w:r>
        <w:rPr>
          <w:rStyle w:val="NormalCharacter"/>
          <w:rFonts w:ascii="宋体" w:hAnsi="宋体" w:cs="宋体"/>
          <w:bCs/>
        </w:rPr>
        <w:t>楼会议室（颍上县</w:t>
      </w:r>
      <w:r>
        <w:rPr>
          <w:rStyle w:val="NormalCharacter"/>
          <w:rFonts w:ascii="宋体" w:hAnsi="宋体" w:cs="宋体" w:hint="eastAsia"/>
          <w:bCs/>
          <w:lang w:val="en-US" w:eastAsia="zh-CN"/>
        </w:rPr>
        <w:t>慎城镇叔牙路0001</w:t>
      </w:r>
      <w:r>
        <w:rPr>
          <w:rStyle w:val="NormalCharacter"/>
          <w:rFonts w:ascii="宋体" w:hAnsi="宋体" w:cs="宋体"/>
          <w:bCs/>
        </w:rPr>
        <w:t>号）</w:t>
      </w:r>
      <w:r>
        <w:rPr>
          <w:rFonts w:ascii="宋体" w:cs="宋体" w:hint="eastAsia"/>
          <w:bCs/>
        </w:rPr>
        <w:t xml:space="preserve">  </w:t>
      </w:r>
    </w:p>
    <w:bookmarkEnd w:id="14"/>
    <w:bookmarkEnd w:id="15"/>
    <w:bookmarkEnd w:id="16"/>
    <w:bookmarkEnd w:id="17"/>
    <w:bookmarkEnd w:id="18"/>
    <w:bookmarkEnd w:id="19"/>
    <w:p>
      <w:pPr>
        <w:jc w:val="left"/>
        <w:outlineLvl w:val="1"/>
        <w:rPr>
          <w:rFonts w:ascii="楷体_GB2312" w:eastAsia="楷体_GB2312" w:hAnsi="楷体_GB2312" w:cs="楷体_GB2312"/>
          <w:b/>
          <w:bCs/>
          <w:sz w:val="32"/>
          <w:szCs w:val="32"/>
        </w:rPr>
      </w:pPr>
      <w:bookmarkStart w:id="20" w:name="_Toc355604670"/>
      <w:r>
        <w:rPr>
          <w:rFonts w:ascii="楷体_GB2312" w:eastAsia="楷体_GB2312" w:hAnsi="楷体_GB2312" w:cs="楷体_GB2312" w:hint="eastAsia"/>
          <w:b/>
          <w:bCs/>
          <w:sz w:val="32"/>
          <w:szCs w:val="32"/>
          <w:lang w:val="en-US" w:eastAsia="zh-CN"/>
        </w:rPr>
        <w:t>7</w:t>
      </w:r>
      <w:r>
        <w:rPr>
          <w:rFonts w:ascii="楷体_GB2312" w:eastAsia="楷体_GB2312" w:hAnsi="楷体_GB2312" w:cs="楷体_GB2312" w:hint="eastAsia"/>
          <w:b/>
          <w:bCs/>
          <w:sz w:val="32"/>
          <w:szCs w:val="32"/>
        </w:rPr>
        <w:t>.</w:t>
      </w:r>
      <w:bookmarkEnd w:id="20"/>
      <w:r>
        <w:rPr>
          <w:rFonts w:ascii="楷体_GB2312" w:eastAsia="楷体_GB2312" w:hAnsi="楷体_GB2312" w:cs="楷体_GB2312" w:hint="eastAsia"/>
          <w:b/>
          <w:bCs/>
          <w:sz w:val="32"/>
          <w:szCs w:val="32"/>
        </w:rPr>
        <w:t>特别注意</w:t>
      </w:r>
      <w:r>
        <w:rPr>
          <w:rFonts w:ascii="楷体_GB2312" w:eastAsia="楷体_GB2312" w:hAnsi="楷体_GB2312" w:cs="楷体_GB2312"/>
          <w:b/>
          <w:bCs/>
          <w:sz w:val="32"/>
          <w:szCs w:val="32"/>
        </w:rPr>
        <w:t xml:space="preserve"> </w:t>
      </w:r>
    </w:p>
    <w:p>
      <w:pPr>
        <w:spacing w:line="440" w:lineRule="exact"/>
        <w:ind w:firstLine="420" w:firstLineChars="200"/>
        <w:rPr>
          <w:rFonts w:ascii="宋体" w:hAnsi="宋体" w:cs="宋体" w:hint="eastAsia"/>
          <w:bCs/>
        </w:rPr>
      </w:pPr>
      <w:bookmarkStart w:id="21" w:name="_Toc144974485"/>
      <w:bookmarkStart w:id="22" w:name="_Toc246996907"/>
      <w:bookmarkStart w:id="23" w:name="_Toc355604671"/>
      <w:bookmarkStart w:id="24" w:name="_Toc179632534"/>
      <w:bookmarkStart w:id="25" w:name="_Toc152045517"/>
      <w:bookmarkStart w:id="26" w:name="_Toc296602408"/>
      <w:bookmarkStart w:id="27" w:name="_Toc247085678"/>
      <w:bookmarkStart w:id="28" w:name="_Toc246996164"/>
      <w:bookmarkStart w:id="29" w:name="_Toc152042293"/>
      <w:r>
        <w:rPr>
          <w:rFonts w:ascii="宋体" w:hAnsi="宋体" w:cs="宋体" w:hint="eastAsia"/>
          <w:bCs/>
        </w:rPr>
        <w:t>在履约过程中，乙方中途擅自停工超过3天罚款3万元，乙方中途退场7天，甲方有权解除合同，并且竣工前所有工程款不予结算。在工程竣工验收合格后，按实际完成合格工程量的50%结算工程款。</w:t>
      </w:r>
    </w:p>
    <w:p>
      <w:pPr>
        <w:jc w:val="left"/>
        <w:outlineLvl w:val="1"/>
        <w:rPr>
          <w:rFonts w:ascii="楷体_GB2312" w:eastAsia="楷体_GB2312" w:hAnsi="楷体_GB2312" w:cs="楷体_GB2312"/>
          <w:b/>
          <w:bCs/>
          <w:sz w:val="32"/>
          <w:szCs w:val="32"/>
        </w:rPr>
      </w:pPr>
      <w:r>
        <w:rPr>
          <w:rFonts w:ascii="楷体_GB2312" w:eastAsia="楷体_GB2312" w:hAnsi="楷体_GB2312" w:cs="楷体_GB2312" w:hint="eastAsia"/>
          <w:b/>
          <w:bCs/>
          <w:sz w:val="32"/>
          <w:szCs w:val="32"/>
          <w:lang w:val="en-US" w:eastAsia="zh-CN"/>
        </w:rPr>
        <w:t>8</w:t>
      </w:r>
      <w:r>
        <w:rPr>
          <w:rFonts w:ascii="楷体_GB2312" w:eastAsia="楷体_GB2312" w:hAnsi="楷体_GB2312" w:cs="楷体_GB2312" w:hint="eastAsia"/>
          <w:b/>
          <w:bCs/>
          <w:sz w:val="32"/>
          <w:szCs w:val="32"/>
        </w:rPr>
        <w:t>.联系方式</w:t>
      </w:r>
      <w:bookmarkEnd w:id="21"/>
      <w:bookmarkEnd w:id="22"/>
      <w:bookmarkEnd w:id="23"/>
      <w:bookmarkEnd w:id="24"/>
      <w:bookmarkEnd w:id="25"/>
      <w:bookmarkEnd w:id="26"/>
      <w:bookmarkEnd w:id="27"/>
      <w:bookmarkEnd w:id="28"/>
      <w:bookmarkEnd w:id="29"/>
    </w:p>
    <w:p>
      <w:pPr>
        <w:topLinePunct/>
        <w:spacing w:line="360" w:lineRule="auto"/>
        <w:ind w:firstLine="420" w:firstLineChars="200"/>
        <w:rPr>
          <w:rFonts w:ascii="宋体" w:hAnsi="宋体" w:cs="宋体" w:hint="eastAsia"/>
        </w:rPr>
      </w:pPr>
      <w:r>
        <w:rPr>
          <w:rFonts w:ascii="宋体" w:hAnsi="宋体" w:cs="宋体" w:hint="eastAsia"/>
        </w:rPr>
        <w:t>招 标 人：</w:t>
      </w:r>
      <w:r>
        <w:rPr>
          <w:rFonts w:ascii="宋体" w:hAnsi="宋体" w:cs="宋体" w:hint="eastAsia"/>
          <w:u w:val="single"/>
        </w:rPr>
        <w:t>安徽舜泰建筑工程有限公司</w:t>
      </w:r>
      <w:r>
        <w:rPr>
          <w:rFonts w:ascii="宋体" w:hAnsi="宋体" w:cs="宋体" w:hint="eastAsia"/>
        </w:rPr>
        <w:t xml:space="preserve">          </w:t>
      </w:r>
    </w:p>
    <w:p>
      <w:pPr>
        <w:topLinePunct/>
        <w:spacing w:line="360" w:lineRule="auto"/>
        <w:ind w:firstLine="420" w:firstLineChars="200"/>
        <w:rPr>
          <w:rFonts w:ascii="宋体" w:cs="宋体"/>
        </w:rPr>
      </w:pPr>
      <w:r>
        <w:rPr>
          <w:rFonts w:ascii="宋体" w:hAnsi="宋体" w:cs="宋体" w:hint="eastAsia"/>
        </w:rPr>
        <w:t>地    址：</w:t>
      </w:r>
      <w:r>
        <w:rPr>
          <w:rFonts w:ascii="宋体" w:hAnsi="宋体" w:cs="宋体" w:hint="eastAsia"/>
          <w:u w:val="single"/>
        </w:rPr>
        <w:t>颍上县</w:t>
      </w:r>
      <w:r>
        <w:rPr>
          <w:rFonts w:ascii="宋体" w:hAnsi="宋体" w:cs="宋体" w:hint="eastAsia"/>
          <w:u w:val="single"/>
          <w:lang w:val="en-US" w:eastAsia="zh-CN"/>
        </w:rPr>
        <w:t>慎城镇叔牙路0001</w:t>
      </w:r>
      <w:r>
        <w:rPr>
          <w:rFonts w:ascii="宋体" w:hAnsi="宋体" w:cs="宋体" w:hint="eastAsia"/>
          <w:u w:val="single"/>
        </w:rPr>
        <w:t>号</w:t>
      </w:r>
      <w:r>
        <w:rPr>
          <w:rFonts w:ascii="宋体" w:hAnsi="宋体" w:cs="宋体" w:hint="eastAsia"/>
        </w:rPr>
        <w:t xml:space="preserve">         </w:t>
      </w:r>
    </w:p>
    <w:p>
      <w:pPr>
        <w:topLinePunct/>
        <w:spacing w:line="360" w:lineRule="auto"/>
        <w:ind w:firstLine="420" w:firstLineChars="200"/>
        <w:rPr>
          <w:rFonts w:ascii="宋体" w:hAnsi="宋体" w:cs="宋体" w:hint="eastAsia"/>
          <w:b/>
          <w:color w:val="FF0000"/>
        </w:rPr>
      </w:pPr>
      <w:r>
        <w:rPr>
          <w:rFonts w:ascii="宋体" w:hAnsi="宋体" w:cs="宋体" w:hint="eastAsia"/>
        </w:rPr>
        <w:t>电    话：</w:t>
      </w:r>
      <w:r>
        <w:rPr>
          <w:rFonts w:ascii="宋体" w:hAnsi="宋体" w:cs="宋体" w:hint="eastAsia"/>
          <w:u w:val="single"/>
          <w:lang w:val="en-US" w:eastAsia="zh-CN"/>
        </w:rPr>
        <w:t>0558-3909267、0558-3909265</w:t>
      </w:r>
      <w:r>
        <w:rPr>
          <w:rFonts w:ascii="宋体" w:hAnsi="宋体" w:cs="宋体" w:hint="eastAsia"/>
        </w:rPr>
        <w:t xml:space="preserve">      </w:t>
      </w:r>
      <w:r>
        <w:rPr>
          <w:rFonts w:ascii="宋体" w:hAnsi="宋体" w:cs="宋体" w:hint="eastAsia"/>
          <w:b/>
        </w:rPr>
        <w:t xml:space="preserve">      </w:t>
      </w:r>
      <w:r>
        <w:rPr>
          <w:rFonts w:ascii="宋体" w:hAnsi="宋体" w:cs="宋体" w:hint="eastAsia"/>
          <w:b/>
          <w:color w:val="FF0000"/>
        </w:rPr>
        <w:t xml:space="preserve">                </w:t>
      </w:r>
    </w:p>
    <w:p>
      <w:pPr>
        <w:spacing w:line="360" w:lineRule="auto"/>
        <w:jc w:val="right"/>
        <w:rPr>
          <w:rFonts w:ascii="黑体" w:eastAsia="黑体" w:hAnsi="黑体" w:cs="黑体" w:hint="eastAsia"/>
          <w:b/>
          <w:bCs/>
          <w:kern w:val="44"/>
          <w:sz w:val="44"/>
          <w:szCs w:val="44"/>
        </w:rPr>
      </w:pPr>
      <w:r>
        <w:rPr>
          <w:rFonts w:ascii="宋体" w:hAnsi="宋体" w:cs="宋体" w:hint="eastAsia"/>
          <w:b/>
          <w:color w:val="FF0000"/>
        </w:rPr>
        <w:t xml:space="preserve">                                       </w:t>
      </w:r>
      <w:r>
        <w:rPr>
          <w:rFonts w:ascii="宋体" w:hAnsi="宋体" w:cs="宋体" w:hint="eastAsia"/>
          <w:b w:val="0"/>
          <w:bCs/>
          <w:color w:val="FF0000"/>
        </w:rPr>
        <w:t xml:space="preserve"> </w:t>
      </w:r>
      <w:r>
        <w:rPr>
          <w:rFonts w:ascii="宋体" w:hAnsi="宋体" w:cs="宋体" w:hint="eastAsia"/>
          <w:b w:val="0"/>
          <w:bCs/>
          <w:color w:val="auto"/>
        </w:rPr>
        <w:t xml:space="preserve"> </w:t>
      </w:r>
      <w:r>
        <w:rPr>
          <w:rFonts w:ascii="宋体" w:hAnsi="宋体" w:cs="宋体"/>
          <w:b w:val="0"/>
          <w:bCs/>
          <w:color w:val="auto"/>
          <w:u w:val="single"/>
        </w:rPr>
        <w:t>202</w:t>
      </w:r>
      <w:r>
        <w:rPr>
          <w:rFonts w:ascii="宋体" w:hAnsi="宋体" w:cs="宋体" w:hint="eastAsia"/>
          <w:b w:val="0"/>
          <w:bCs/>
          <w:color w:val="auto"/>
          <w:u w:val="single"/>
          <w:lang w:val="en-US" w:eastAsia="zh-CN"/>
        </w:rPr>
        <w:t>3</w:t>
      </w:r>
      <w:r>
        <w:rPr>
          <w:rFonts w:ascii="宋体" w:hAnsi="宋体" w:cs="宋体" w:hint="eastAsia"/>
          <w:b w:val="0"/>
          <w:bCs/>
          <w:color w:val="auto"/>
        </w:rPr>
        <w:t>年</w:t>
      </w:r>
      <w:r>
        <w:rPr>
          <w:rFonts w:ascii="宋体" w:hAnsi="宋体" w:cs="宋体" w:hint="eastAsia"/>
          <w:b w:val="0"/>
          <w:bCs/>
          <w:color w:val="auto"/>
          <w:u w:val="single"/>
          <w:lang w:val="en-US" w:eastAsia="zh-CN"/>
        </w:rPr>
        <w:t>2</w:t>
      </w:r>
      <w:r>
        <w:rPr>
          <w:rFonts w:ascii="宋体" w:hAnsi="宋体" w:cs="宋体" w:hint="eastAsia"/>
          <w:b w:val="0"/>
          <w:bCs/>
          <w:color w:val="auto"/>
        </w:rPr>
        <w:t>月</w:t>
      </w:r>
      <w:r>
        <w:rPr>
          <w:rFonts w:ascii="宋体" w:hAnsi="宋体" w:cs="宋体" w:hint="eastAsia"/>
          <w:b w:val="0"/>
          <w:bCs/>
          <w:color w:val="auto"/>
          <w:u w:val="single"/>
          <w:lang w:val="en-US" w:eastAsia="zh-CN"/>
        </w:rPr>
        <w:t>10</w:t>
      </w:r>
      <w:r>
        <w:rPr>
          <w:rFonts w:ascii="宋体" w:hAnsi="宋体" w:cs="宋体" w:hint="eastAsia"/>
          <w:b w:val="0"/>
          <w:bCs/>
          <w:color w:val="auto"/>
        </w:rPr>
        <w:t xml:space="preserve">日 </w:t>
      </w:r>
      <w:r>
        <w:rPr>
          <w:rFonts w:ascii="宋体" w:hAnsi="宋体" w:cs="宋体" w:hint="eastAsia"/>
          <w:b/>
          <w:color w:val="FF0000"/>
          <w:sz w:val="24"/>
          <w:szCs w:val="24"/>
        </w:rPr>
        <w:t>　　</w:t>
      </w:r>
      <w:r>
        <w:rPr>
          <w:rFonts w:ascii="宋体" w:hAnsi="宋体" w:cs="宋体" w:hint="eastAsia"/>
          <w:b/>
          <w:sz w:val="24"/>
          <w:szCs w:val="24"/>
        </w:rPr>
        <w:t>　　　　　　　　　　　　　　　　　　　</w:t>
      </w:r>
      <w:r>
        <w:rPr>
          <w:rFonts w:ascii="宋体" w:hAnsi="宋体" w:cs="宋体" w:hint="eastAsia"/>
          <w:b/>
          <w:sz w:val="24"/>
          <w:szCs w:val="24"/>
          <w:u w:val="single"/>
        </w:rPr>
        <w:t xml:space="preserve"> </w:t>
      </w:r>
      <w:bookmarkStart w:id="30" w:name="_Toc368985788"/>
      <w:bookmarkStart w:id="31" w:name="_Toc523399749"/>
      <w:bookmarkStart w:id="32" w:name="_Toc523399847"/>
      <w:bookmarkStart w:id="33" w:name="_Toc523400016"/>
    </w:p>
    <w:p>
      <w:pPr>
        <w:ind w:firstLine="2200" w:firstLineChars="500"/>
        <w:jc w:val="both"/>
        <w:outlineLvl w:val="0"/>
        <w:rPr>
          <w:rFonts w:ascii="黑体" w:eastAsia="黑体" w:hAnsi="黑体" w:cs="黑体" w:hint="eastAsia"/>
          <w:b/>
          <w:bCs/>
          <w:kern w:val="44"/>
          <w:sz w:val="44"/>
          <w:szCs w:val="44"/>
        </w:rPr>
      </w:pPr>
    </w:p>
    <w:p>
      <w:pPr>
        <w:pStyle w:val="BodyTextFirstIndent2"/>
        <w:rPr>
          <w:rFonts w:ascii="黑体" w:eastAsia="黑体" w:hAnsi="黑体" w:cs="黑体" w:hint="eastAsia"/>
          <w:b/>
          <w:bCs/>
          <w:kern w:val="44"/>
          <w:sz w:val="44"/>
          <w:szCs w:val="44"/>
        </w:rPr>
      </w:pPr>
    </w:p>
    <w:p>
      <w:pPr>
        <w:pStyle w:val="BodyTextFirstIndent2"/>
        <w:rPr>
          <w:rFonts w:ascii="黑体" w:eastAsia="黑体" w:hAnsi="黑体" w:cs="黑体" w:hint="eastAsia"/>
          <w:b/>
          <w:bCs/>
          <w:kern w:val="44"/>
          <w:sz w:val="44"/>
          <w:szCs w:val="44"/>
        </w:rPr>
      </w:pPr>
    </w:p>
    <w:p>
      <w:pPr>
        <w:pStyle w:val="BodyTextFirstIndent2"/>
        <w:rPr>
          <w:rFonts w:ascii="黑体" w:eastAsia="黑体" w:hAnsi="黑体" w:cs="黑体" w:hint="eastAsia"/>
          <w:b/>
          <w:bCs/>
          <w:kern w:val="44"/>
          <w:sz w:val="44"/>
          <w:szCs w:val="44"/>
        </w:rPr>
      </w:pPr>
    </w:p>
    <w:p>
      <w:pPr>
        <w:pStyle w:val="BodyTextFirstIndent2"/>
        <w:rPr>
          <w:rFonts w:ascii="黑体" w:eastAsia="黑体" w:hAnsi="黑体" w:cs="黑体" w:hint="eastAsia"/>
          <w:b/>
          <w:bCs/>
          <w:kern w:val="44"/>
          <w:sz w:val="44"/>
          <w:szCs w:val="44"/>
        </w:rPr>
      </w:pPr>
    </w:p>
    <w:p>
      <w:pPr>
        <w:pStyle w:val="BodyTextFirstIndent2"/>
        <w:rPr>
          <w:rFonts w:ascii="黑体" w:eastAsia="黑体" w:hAnsi="黑体" w:cs="黑体" w:hint="eastAsia"/>
          <w:b/>
          <w:bCs/>
          <w:kern w:val="44"/>
          <w:sz w:val="44"/>
          <w:szCs w:val="44"/>
        </w:rPr>
      </w:pPr>
    </w:p>
    <w:p>
      <w:pPr>
        <w:pStyle w:val="BodyTextFirstIndent2"/>
        <w:rPr>
          <w:rFonts w:ascii="黑体" w:eastAsia="黑体" w:hAnsi="黑体" w:cs="黑体" w:hint="eastAsia"/>
          <w:b/>
          <w:bCs/>
          <w:kern w:val="44"/>
          <w:sz w:val="44"/>
          <w:szCs w:val="44"/>
        </w:rPr>
      </w:pPr>
    </w:p>
    <w:p>
      <w:pPr>
        <w:pStyle w:val="BodyTextFirstIndent2"/>
        <w:rPr>
          <w:rFonts w:ascii="黑体" w:eastAsia="黑体" w:hAnsi="黑体" w:cs="黑体" w:hint="eastAsia"/>
          <w:b/>
          <w:bCs/>
          <w:kern w:val="44"/>
          <w:sz w:val="44"/>
          <w:szCs w:val="44"/>
        </w:rPr>
        <w:sectPr>
          <w:type w:val="nextPage"/>
          <w:pgSz w:w="11910" w:h="16840"/>
          <w:pgMar w:top="1380" w:right="1440" w:bottom="1580" w:left="1580" w:header="890" w:footer="1363" w:gutter="0"/>
          <w:pgNumType w:start="5"/>
          <w:cols w:num="1" w:space="720"/>
          <w:titlePg w:val="0"/>
        </w:sectPr>
      </w:pPr>
    </w:p>
    <w:p>
      <w:pPr>
        <w:pStyle w:val="BodyTextFirstIndent2"/>
        <w:ind w:left="0" w:firstLine="0" w:leftChars="0" w:firstLineChars="0"/>
        <w:rPr>
          <w:rFonts w:ascii="黑体" w:eastAsia="黑体" w:hAnsi="黑体" w:cs="黑体" w:hint="eastAsia"/>
          <w:b/>
          <w:bCs/>
          <w:kern w:val="44"/>
          <w:sz w:val="44"/>
          <w:szCs w:val="44"/>
        </w:rPr>
      </w:pPr>
    </w:p>
    <w:p>
      <w:pPr>
        <w:ind w:firstLine="2200" w:firstLineChars="500"/>
        <w:jc w:val="both"/>
        <w:outlineLvl w:val="0"/>
        <w:rPr>
          <w:rFonts w:ascii="黑体" w:eastAsia="黑体" w:hAnsi="黑体" w:cs="黑体"/>
          <w:b/>
          <w:bCs/>
          <w:kern w:val="44"/>
          <w:sz w:val="32"/>
          <w:szCs w:val="32"/>
        </w:rPr>
      </w:pPr>
      <w:r>
        <w:rPr>
          <w:rFonts w:ascii="黑体" w:eastAsia="黑体" w:hAnsi="黑体" w:cs="黑体" w:hint="eastAsia"/>
          <w:b/>
          <w:bCs/>
          <w:kern w:val="44"/>
          <w:sz w:val="44"/>
          <w:szCs w:val="44"/>
        </w:rPr>
        <w:t>第二章  投标人须知</w:t>
      </w:r>
      <w:bookmarkEnd w:id="7"/>
      <w:bookmarkEnd w:id="30"/>
      <w:bookmarkEnd w:id="31"/>
      <w:bookmarkEnd w:id="32"/>
      <w:bookmarkEnd w:id="33"/>
    </w:p>
    <w:p>
      <w:pPr>
        <w:rPr>
          <w:sz w:val="24"/>
        </w:rPr>
      </w:pPr>
    </w:p>
    <w:p>
      <w:pPr>
        <w:keepNext/>
        <w:keepLines/>
        <w:spacing w:before="100" w:line="400" w:lineRule="exact"/>
        <w:jc w:val="center"/>
        <w:outlineLvl w:val="1"/>
        <w:rPr>
          <w:rFonts w:ascii="楷体_GB2312" w:eastAsia="楷体_GB2312" w:hAnsi="楷体_GB2312" w:cs="楷体_GB2312"/>
          <w:sz w:val="32"/>
          <w:szCs w:val="32"/>
        </w:rPr>
      </w:pPr>
      <w:bookmarkStart w:id="34" w:name="_Toc152045528"/>
      <w:bookmarkStart w:id="35" w:name="_Toc144974496"/>
      <w:bookmarkStart w:id="36" w:name="_Toc179632545"/>
      <w:bookmarkStart w:id="37" w:name="_Toc152042304"/>
      <w:bookmarkStart w:id="38" w:name="_Toc152045529"/>
      <w:bookmarkStart w:id="39" w:name="_Toc152042305"/>
      <w:bookmarkStart w:id="40" w:name="_Toc144974497"/>
      <w:bookmarkStart w:id="41" w:name="_Toc179632546"/>
      <w:bookmarkStart w:id="42" w:name="_Toc29425"/>
      <w:bookmarkStart w:id="43" w:name="_Toc17457"/>
      <w:r>
        <w:rPr>
          <w:rFonts w:ascii="楷体_GB2312" w:eastAsia="楷体_GB2312" w:hAnsi="楷体_GB2312" w:cs="楷体_GB2312" w:hint="eastAsia"/>
          <w:sz w:val="32"/>
          <w:szCs w:val="32"/>
        </w:rPr>
        <w:t>投标人须知前附表</w:t>
      </w:r>
    </w:p>
    <w:tbl>
      <w:tblPr>
        <w:tblStyle w:val="TableNormal"/>
        <w:tblW w:w="8755" w:type="dxa"/>
        <w:tblInd w:w="0" w:type="dxa"/>
        <w:tblLayout w:type="fixed"/>
        <w:tblCellMar>
          <w:top w:w="0" w:type="dxa"/>
          <w:left w:w="108" w:type="dxa"/>
          <w:bottom w:w="0" w:type="dxa"/>
          <w:right w:w="108" w:type="dxa"/>
        </w:tblCellMar>
      </w:tblPr>
      <w:tblGrid>
        <w:gridCol w:w="1116"/>
        <w:gridCol w:w="2181"/>
        <w:gridCol w:w="5458"/>
      </w:tblGrid>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b/>
              </w:rPr>
            </w:pPr>
            <w:bookmarkEnd w:id="34"/>
            <w:bookmarkEnd w:id="35"/>
            <w:bookmarkEnd w:id="36"/>
            <w:bookmarkEnd w:id="37"/>
            <w:r>
              <w:rPr>
                <w:rFonts w:ascii="宋体" w:hAnsi="宋体" w:hint="eastAsia"/>
                <w:b/>
              </w:rPr>
              <w:t>条款号</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b/>
              </w:rPr>
            </w:pPr>
            <w:r>
              <w:rPr>
                <w:rFonts w:ascii="宋体" w:hAnsi="宋体" w:hint="eastAsia"/>
                <w:b/>
              </w:rPr>
              <w:t>条  款  名  称</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b/>
              </w:rPr>
            </w:pPr>
            <w:r>
              <w:rPr>
                <w:rFonts w:ascii="宋体" w:hAnsi="宋体" w:hint="eastAsia"/>
                <w:b/>
              </w:rPr>
              <w:t>编  列  内  容</w:t>
            </w:r>
          </w:p>
        </w:tc>
      </w:tr>
      <w:tr>
        <w:tblPrEx>
          <w:tblW w:w="8755" w:type="dxa"/>
          <w:tblInd w:w="0" w:type="dxa"/>
          <w:tblLayout w:type="fixed"/>
          <w:tblCellMar>
            <w:top w:w="0" w:type="dxa"/>
            <w:left w:w="108" w:type="dxa"/>
            <w:bottom w:w="0" w:type="dxa"/>
            <w:right w:w="108" w:type="dxa"/>
          </w:tblCellMar>
        </w:tblPrEx>
        <w:trPr>
          <w:trHeight w:val="484"/>
        </w:trPr>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1.1.2</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招标人</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 xml:space="preserve">见招标公告  </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hint="eastAsia"/>
              </w:rPr>
            </w:pPr>
            <w:r>
              <w:rPr>
                <w:rFonts w:ascii="宋体" w:hAnsi="宋体" w:hint="eastAsia"/>
              </w:rPr>
              <w:t>1.1.</w:t>
            </w:r>
            <w:r>
              <w:rPr>
                <w:rFonts w:ascii="宋体" w:hAnsi="宋体" w:hint="eastAsia"/>
                <w:lang w:val="en-US" w:eastAsia="zh-CN"/>
              </w:rPr>
              <w:t>3</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项目名称</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见招标公告</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1.1.5</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建设地点</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见招标公告</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1.2.1</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资金来源</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见招标公告</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1.2.2</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出资比例</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见招标公告</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1.2.3</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资金落实情况</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 xml:space="preserve"> 已落实        </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1.3.1</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招标范围</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 xml:space="preserve">见招标公告  </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1.3.2</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计划工期</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计划工期：</w:t>
            </w:r>
            <w:r>
              <w:rPr>
                <w:rFonts w:ascii="宋体" w:hAnsi="宋体" w:hint="eastAsia"/>
                <w:lang w:val="en-US" w:eastAsia="zh-CN"/>
              </w:rPr>
              <w:t>160 日历天</w:t>
            </w:r>
          </w:p>
          <w:p>
            <w:pPr>
              <w:adjustRightInd w:val="0"/>
              <w:spacing w:line="360" w:lineRule="auto"/>
              <w:textAlignment w:val="baseline"/>
              <w:rPr>
                <w:rFonts w:ascii="宋体" w:hAnsi="宋体"/>
              </w:rPr>
            </w:pPr>
            <w:r>
              <w:rPr>
                <w:rFonts w:ascii="宋体" w:hAnsi="宋体" w:hint="eastAsia"/>
              </w:rPr>
              <w:t>计划开工日期：</w:t>
            </w:r>
            <w:r>
              <w:rPr>
                <w:rFonts w:ascii="宋体" w:hAnsi="宋体" w:hint="eastAsia"/>
                <w:u w:val="single"/>
              </w:rPr>
              <w:t xml:space="preserve">    </w:t>
            </w:r>
            <w:r>
              <w:rPr>
                <w:rFonts w:ascii="宋体" w:hAnsi="宋体" w:hint="eastAsia"/>
              </w:rPr>
              <w:t xml:space="preserve">年 </w:t>
            </w:r>
            <w:r>
              <w:rPr>
                <w:rFonts w:ascii="宋体" w:hAnsi="宋体" w:hint="eastAsia"/>
                <w:u w:val="single"/>
              </w:rPr>
              <w:t xml:space="preserve">     </w:t>
            </w:r>
            <w:r>
              <w:rPr>
                <w:rFonts w:ascii="宋体" w:hAnsi="宋体" w:hint="eastAsia"/>
              </w:rPr>
              <w:t>月</w:t>
            </w:r>
            <w:r>
              <w:rPr>
                <w:rFonts w:ascii="宋体" w:hAnsi="宋体" w:hint="eastAsia"/>
                <w:u w:val="single"/>
              </w:rPr>
              <w:t xml:space="preserve">    </w:t>
            </w:r>
            <w:r>
              <w:rPr>
                <w:rFonts w:ascii="宋体" w:hAnsi="宋体" w:hint="eastAsia"/>
              </w:rPr>
              <w:t>日</w:t>
            </w:r>
          </w:p>
          <w:p>
            <w:pPr>
              <w:adjustRightInd w:val="0"/>
              <w:spacing w:line="360" w:lineRule="auto"/>
              <w:textAlignment w:val="baseline"/>
              <w:rPr>
                <w:rFonts w:ascii="宋体" w:hAnsi="宋体"/>
              </w:rPr>
            </w:pPr>
            <w:r>
              <w:rPr>
                <w:rFonts w:ascii="宋体" w:hAnsi="宋体" w:hint="eastAsia"/>
              </w:rPr>
              <w:t>计划竣工日期：</w:t>
            </w:r>
            <w:r>
              <w:rPr>
                <w:rFonts w:ascii="宋体" w:hAnsi="宋体" w:hint="eastAsia"/>
                <w:u w:val="single"/>
              </w:rPr>
              <w:t xml:space="preserve">    </w:t>
            </w:r>
            <w:r>
              <w:rPr>
                <w:rFonts w:ascii="宋体" w:hAnsi="宋体" w:hint="eastAsia"/>
              </w:rPr>
              <w:t xml:space="preserve">年 </w:t>
            </w:r>
            <w:r>
              <w:rPr>
                <w:rFonts w:ascii="宋体" w:hAnsi="宋体" w:hint="eastAsia"/>
                <w:u w:val="single"/>
              </w:rPr>
              <w:t xml:space="preserve">     </w:t>
            </w:r>
            <w:r>
              <w:rPr>
                <w:rFonts w:ascii="宋体" w:hAnsi="宋体" w:hint="eastAsia"/>
              </w:rPr>
              <w:t>月</w:t>
            </w:r>
            <w:r>
              <w:rPr>
                <w:rFonts w:ascii="宋体" w:hAnsi="宋体" w:hint="eastAsia"/>
                <w:u w:val="single"/>
              </w:rPr>
              <w:t xml:space="preserve">    </w:t>
            </w:r>
            <w:r>
              <w:rPr>
                <w:rFonts w:ascii="宋体" w:hAnsi="宋体" w:hint="eastAsia"/>
              </w:rPr>
              <w:t>日</w:t>
            </w:r>
          </w:p>
          <w:p>
            <w:pPr>
              <w:adjustRightInd w:val="0"/>
              <w:spacing w:line="360" w:lineRule="auto"/>
              <w:textAlignment w:val="baseline"/>
              <w:rPr>
                <w:rFonts w:ascii="宋体" w:hAnsi="宋体"/>
              </w:rPr>
            </w:pPr>
            <w:r>
              <w:rPr>
                <w:rFonts w:ascii="宋体" w:hAnsi="宋体" w:cs="宋体" w:hint="eastAsia"/>
              </w:rPr>
              <w:t>除上述总工期外，发包人还要求如下：</w:t>
            </w:r>
            <w:r>
              <w:rPr>
                <w:rFonts w:ascii="宋体" w:hAnsi="宋体" w:cs="宋体" w:hint="eastAsia"/>
                <w:u w:val="single"/>
              </w:rPr>
              <w:t xml:space="preserve">           </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1.3.3</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质量要求</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hint="eastAsia"/>
              </w:rPr>
            </w:pPr>
            <w:r>
              <w:rPr>
                <w:rFonts w:ascii="宋体" w:hAnsi="宋体" w:cs="宋体" w:hint="eastAsia"/>
              </w:rPr>
              <w:t>质量标准：合格</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1.4.1</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投标人资质条件、能力和信誉</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 xml:space="preserve">资质条件：见招标公告     </w:t>
            </w:r>
          </w:p>
          <w:p>
            <w:pPr>
              <w:adjustRightInd w:val="0"/>
              <w:spacing w:line="360" w:lineRule="auto"/>
              <w:textAlignment w:val="baseline"/>
              <w:rPr>
                <w:rFonts w:ascii="宋体" w:hAnsi="宋体"/>
              </w:rPr>
            </w:pPr>
            <w:r>
              <w:rPr>
                <w:rFonts w:ascii="宋体" w:hAnsi="宋体" w:hint="eastAsia"/>
              </w:rPr>
              <w:t>信誉要求：见招标公告</w:t>
            </w:r>
          </w:p>
          <w:p>
            <w:pPr>
              <w:spacing w:line="360" w:lineRule="auto"/>
              <w:rPr>
                <w:rFonts w:ascii="宋体" w:hAnsi="宋体"/>
              </w:rPr>
            </w:pPr>
            <w:r>
              <w:rPr>
                <w:rFonts w:ascii="宋体" w:hAnsi="宋体" w:hint="eastAsia"/>
              </w:rPr>
              <w:t>项目负责人资格：</w:t>
            </w:r>
            <w:r>
              <w:rPr>
                <w:rFonts w:ascii="宋体" w:hAnsi="宋体" w:cs="宋体" w:hint="eastAsia"/>
              </w:rPr>
              <w:t>具备</w:t>
            </w:r>
            <w:r>
              <w:rPr>
                <w:rFonts w:ascii="宋体" w:hAnsi="宋体" w:cs="宋体" w:hint="eastAsia"/>
                <w:u w:val="single"/>
              </w:rPr>
              <w:t xml:space="preserve"> 见招标公告       </w:t>
            </w:r>
            <w:r>
              <w:rPr>
                <w:rFonts w:ascii="宋体" w:hAnsi="宋体" w:cs="宋体" w:hint="eastAsia"/>
              </w:rPr>
              <w:t xml:space="preserve"> </w:t>
            </w:r>
          </w:p>
          <w:p>
            <w:pPr>
              <w:adjustRightInd w:val="0"/>
              <w:spacing w:line="360" w:lineRule="auto"/>
              <w:textAlignment w:val="baseline"/>
              <w:rPr>
                <w:rFonts w:ascii="宋体" w:hAnsi="宋体"/>
              </w:rPr>
            </w:pPr>
            <w:r>
              <w:rPr>
                <w:rFonts w:ascii="宋体" w:hAnsi="宋体" w:hint="eastAsia"/>
              </w:rPr>
              <w:t>其他要求：</w:t>
            </w:r>
            <w:r>
              <w:rPr>
                <w:rFonts w:ascii="宋体" w:hAnsi="宋体" w:cs="宋体" w:hint="eastAsia"/>
              </w:rPr>
              <w:t>见招标公告</w:t>
            </w:r>
            <w:r>
              <w:rPr>
                <w:rFonts w:ascii="宋体" w:hAnsi="宋体" w:hint="eastAsia"/>
              </w:rPr>
              <w:t xml:space="preserve">      </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1.4.2</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是否接受联合体投标</w:t>
            </w:r>
          </w:p>
        </w:tc>
        <w:tc>
          <w:tcPr>
            <w:tcW w:w="5458" w:type="dxa"/>
            <w:tcBorders>
              <w:top w:val="single" w:sz="4" w:space="0" w:color="auto"/>
              <w:left w:val="single" w:sz="4" w:space="0" w:color="auto"/>
              <w:bottom w:val="single" w:sz="4" w:space="0" w:color="auto"/>
              <w:right w:val="single" w:sz="4" w:space="0" w:color="auto"/>
            </w:tcBorders>
            <w:vAlign w:val="center"/>
          </w:tcPr>
          <w:p>
            <w:pPr>
              <w:topLinePunct/>
              <w:adjustRightInd w:val="0"/>
              <w:spacing w:line="360" w:lineRule="auto"/>
              <w:textAlignment w:val="baseline"/>
              <w:rPr>
                <w:rFonts w:ascii="宋体" w:hAnsi="宋体"/>
              </w:rPr>
            </w:pPr>
            <w:r>
              <w:rPr>
                <w:rFonts w:ascii="MS Gothic" w:eastAsia="MS Gothic" w:hAnsi="MS Gothic" w:cs="MS Gothic" w:hint="eastAsia"/>
                <w:sz w:val="18"/>
                <w:szCs w:val="18"/>
              </w:rPr>
              <w:t>☑</w:t>
            </w:r>
            <w:r>
              <w:rPr>
                <w:rFonts w:ascii="宋体" w:hAnsi="宋体" w:hint="eastAsia"/>
              </w:rPr>
              <w:t>不接受</w:t>
            </w:r>
          </w:p>
          <w:p>
            <w:pPr>
              <w:adjustRightInd w:val="0"/>
              <w:spacing w:line="360" w:lineRule="auto"/>
              <w:textAlignment w:val="baseline"/>
              <w:rPr>
                <w:rFonts w:ascii="宋体" w:hAnsi="宋体" w:cs="宋体"/>
              </w:rPr>
            </w:pPr>
            <w:r>
              <w:rPr>
                <w:rFonts w:ascii="宋体" w:hAnsi="宋体" w:hint="eastAsia"/>
              </w:rPr>
              <w:t>□接受，应满足下列要求：</w:t>
            </w:r>
            <w:r>
              <w:rPr>
                <w:rFonts w:ascii="宋体" w:hAnsi="宋体" w:hint="eastAsia"/>
                <w:u w:val="single"/>
              </w:rPr>
              <w:t xml:space="preserve">       </w:t>
            </w:r>
            <w:r>
              <w:rPr>
                <w:rFonts w:ascii="宋体" w:hAnsi="宋体" w:hint="eastAsia"/>
                <w:u w:val="none"/>
              </w:rPr>
              <w:t>，</w:t>
            </w:r>
            <w:r>
              <w:rPr>
                <w:rFonts w:ascii="宋体" w:hAnsi="宋体" w:cs="宋体" w:hint="eastAsia"/>
              </w:rPr>
              <w:t>联合体资质按照联合体协议分工认定。</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1.9.1</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踏勘现场</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MS Gothic" w:eastAsia="MS Gothic" w:hAnsi="MS Gothic" w:cs="MS Gothic" w:hint="eastAsia"/>
                <w:sz w:val="18"/>
                <w:szCs w:val="18"/>
              </w:rPr>
              <w:t>☑</w:t>
            </w:r>
            <w:r>
              <w:rPr>
                <w:rFonts w:ascii="宋体" w:hAnsi="宋体" w:hint="eastAsia"/>
              </w:rPr>
              <w:t>不组织</w:t>
            </w:r>
          </w:p>
          <w:p>
            <w:pPr>
              <w:adjustRightInd w:val="0"/>
              <w:spacing w:line="360" w:lineRule="auto"/>
              <w:textAlignment w:val="baseline"/>
              <w:rPr>
                <w:rFonts w:ascii="宋体" w:hAnsi="宋体"/>
              </w:rPr>
            </w:pPr>
            <w:r>
              <w:rPr>
                <w:rFonts w:ascii="宋体" w:hAnsi="宋体" w:hint="eastAsia"/>
              </w:rPr>
              <w:t>□组织，踏勘时间：</w:t>
            </w:r>
            <w:r>
              <w:rPr>
                <w:rFonts w:ascii="宋体" w:hAnsi="宋体" w:hint="eastAsia"/>
                <w:u w:val="single"/>
              </w:rPr>
              <w:t xml:space="preserve">          </w:t>
            </w:r>
          </w:p>
          <w:p>
            <w:pPr>
              <w:adjustRightInd w:val="0"/>
              <w:spacing w:line="360" w:lineRule="auto"/>
              <w:textAlignment w:val="baseline"/>
              <w:rPr>
                <w:rFonts w:ascii="宋体" w:hAnsi="宋体"/>
              </w:rPr>
            </w:pPr>
            <w:r>
              <w:rPr>
                <w:rFonts w:ascii="宋体" w:hAnsi="宋体" w:hint="eastAsia"/>
              </w:rPr>
              <w:t>踏勘集中地点：</w:t>
            </w:r>
            <w:r>
              <w:rPr>
                <w:rFonts w:ascii="宋体" w:hAnsi="宋体" w:hint="eastAsia"/>
                <w:u w:val="single"/>
              </w:rPr>
              <w:t xml:space="preserve">            </w:t>
            </w:r>
            <w:r>
              <w:rPr>
                <w:rFonts w:ascii="宋体" w:hAnsi="宋体" w:hint="eastAsia"/>
              </w:rPr>
              <w:t xml:space="preserve"> </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1.10.1</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投标预备会</w:t>
            </w:r>
          </w:p>
        </w:tc>
        <w:tc>
          <w:tcPr>
            <w:tcW w:w="5458" w:type="dxa"/>
            <w:tcBorders>
              <w:top w:val="single" w:sz="4" w:space="0" w:color="auto"/>
              <w:left w:val="single" w:sz="4" w:space="0" w:color="auto"/>
              <w:bottom w:val="single" w:sz="4" w:space="0" w:color="auto"/>
              <w:right w:val="single" w:sz="4" w:space="0" w:color="auto"/>
            </w:tcBorders>
            <w:vAlign w:val="center"/>
          </w:tcPr>
          <w:p>
            <w:pPr>
              <w:topLinePunct/>
              <w:adjustRightInd w:val="0"/>
              <w:spacing w:line="360" w:lineRule="auto"/>
              <w:textAlignment w:val="baseline"/>
              <w:rPr>
                <w:rFonts w:ascii="宋体" w:hAnsi="宋体"/>
              </w:rPr>
            </w:pPr>
            <w:r>
              <w:rPr>
                <w:rFonts w:ascii="MS Gothic" w:eastAsia="MS Gothic" w:hAnsi="MS Gothic" w:cs="MS Gothic" w:hint="eastAsia"/>
                <w:sz w:val="18"/>
                <w:szCs w:val="18"/>
              </w:rPr>
              <w:t>☑</w:t>
            </w:r>
            <w:r>
              <w:rPr>
                <w:rFonts w:ascii="宋体" w:hAnsi="宋体" w:hint="eastAsia"/>
              </w:rPr>
              <w:t>不召开</w:t>
            </w:r>
          </w:p>
          <w:p>
            <w:pPr>
              <w:adjustRightInd w:val="0"/>
              <w:spacing w:line="360" w:lineRule="auto"/>
              <w:textAlignment w:val="baseline"/>
              <w:rPr>
                <w:rFonts w:ascii="宋体" w:hAnsi="宋体"/>
              </w:rPr>
            </w:pPr>
            <w:r>
              <w:rPr>
                <w:rFonts w:ascii="宋体" w:hAnsi="宋体" w:hint="eastAsia"/>
              </w:rPr>
              <w:t xml:space="preserve">□召开，召开时间：                         </w:t>
            </w:r>
          </w:p>
          <w:p>
            <w:pPr>
              <w:adjustRightInd w:val="0"/>
              <w:spacing w:line="360" w:lineRule="auto"/>
              <w:ind w:firstLine="840" w:firstLineChars="400"/>
              <w:textAlignment w:val="baseline"/>
              <w:rPr>
                <w:rFonts w:ascii="宋体" w:hAnsi="宋体"/>
              </w:rPr>
            </w:pPr>
            <w:r>
              <w:rPr>
                <w:rFonts w:ascii="宋体" w:hAnsi="宋体" w:hint="eastAsia"/>
              </w:rPr>
              <w:t xml:space="preserve">召开地点：                         </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1.10.2</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投标人</w:t>
            </w:r>
            <w:r>
              <w:rPr>
                <w:rFonts w:ascii="宋体" w:eastAsia="宋体" w:hAnsi="宋体" w:cs="Times New Roman" w:hint="eastAsia"/>
              </w:rPr>
              <w:t>提出异议的截</w:t>
            </w:r>
            <w:r>
              <w:rPr>
                <w:rFonts w:ascii="宋体" w:hAnsi="宋体" w:hint="eastAsia"/>
              </w:rPr>
              <w:t>止时间</w:t>
            </w:r>
          </w:p>
        </w:tc>
        <w:tc>
          <w:tcPr>
            <w:tcW w:w="5458"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hAnsi="宋体" w:cs="宋体"/>
                <w:b/>
                <w:bCs/>
              </w:rPr>
            </w:pPr>
            <w:r>
              <w:rPr>
                <w:rFonts w:ascii="宋体" w:hAnsi="宋体" w:hint="eastAsia"/>
              </w:rPr>
              <w:t>对招标文件提出异议应在</w:t>
            </w:r>
            <w:r>
              <w:rPr>
                <w:rFonts w:ascii="宋体" w:hAnsi="宋体" w:cs="宋体" w:hint="eastAsia"/>
              </w:rPr>
              <w:t>投标截止时间3日前</w:t>
            </w:r>
            <w:r>
              <w:rPr>
                <w:rFonts w:ascii="宋体" w:hAnsi="宋体" w:cs="宋体" w:hint="eastAsia"/>
                <w:lang w:val="en-US" w:eastAsia="zh-CN"/>
              </w:rPr>
              <w:t>以书面形式</w:t>
            </w:r>
            <w:r>
              <w:rPr>
                <w:rFonts w:ascii="宋体" w:hAnsi="宋体" w:cs="宋体" w:hint="eastAsia"/>
              </w:rPr>
              <w:t>。</w:t>
            </w:r>
          </w:p>
        </w:tc>
      </w:tr>
    </w:tbl>
    <w:p>
      <w:pPr>
        <w:sectPr>
          <w:type w:val="nextPage"/>
          <w:pgSz w:w="11910" w:h="16840"/>
          <w:pgMar w:top="1380" w:right="1440" w:bottom="1580" w:left="1580" w:header="890" w:footer="1363" w:gutter="0"/>
          <w:pgNumType w:start="6"/>
          <w:cols w:num="1" w:space="720"/>
          <w:titlePg w:val="0"/>
        </w:sectPr>
      </w:pPr>
    </w:p>
    <w:tbl>
      <w:tblPr>
        <w:tblStyle w:val="TableNormal"/>
        <w:tblW w:w="8755" w:type="dxa"/>
        <w:tblInd w:w="0" w:type="dxa"/>
        <w:tblLayout w:type="fixed"/>
        <w:tblCellMar>
          <w:top w:w="0" w:type="dxa"/>
          <w:left w:w="108" w:type="dxa"/>
          <w:bottom w:w="0" w:type="dxa"/>
          <w:right w:w="108" w:type="dxa"/>
        </w:tblCellMar>
      </w:tblPr>
      <w:tblGrid>
        <w:gridCol w:w="1116"/>
        <w:gridCol w:w="2181"/>
        <w:gridCol w:w="5458"/>
      </w:tblGrid>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1.11</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分包</w:t>
            </w:r>
          </w:p>
        </w:tc>
        <w:tc>
          <w:tcPr>
            <w:tcW w:w="5458" w:type="dxa"/>
            <w:tcBorders>
              <w:top w:val="single" w:sz="4" w:space="0" w:color="auto"/>
              <w:left w:val="single" w:sz="4" w:space="0" w:color="auto"/>
              <w:bottom w:val="single" w:sz="4" w:space="0" w:color="auto"/>
              <w:right w:val="single" w:sz="4" w:space="0" w:color="auto"/>
            </w:tcBorders>
            <w:vAlign w:val="center"/>
          </w:tcPr>
          <w:p>
            <w:pPr>
              <w:topLinePunct/>
              <w:adjustRightInd w:val="0"/>
              <w:spacing w:line="360" w:lineRule="auto"/>
              <w:textAlignment w:val="baseline"/>
              <w:rPr>
                <w:rFonts w:ascii="宋体" w:hAnsi="宋体"/>
              </w:rPr>
            </w:pPr>
            <w:r>
              <w:rPr>
                <w:rFonts w:ascii="MS Gothic" w:eastAsia="MS Gothic" w:hAnsi="MS Gothic" w:cs="MS Gothic" w:hint="eastAsia"/>
                <w:sz w:val="18"/>
                <w:szCs w:val="18"/>
              </w:rPr>
              <w:t>☑</w:t>
            </w:r>
            <w:r>
              <w:rPr>
                <w:rFonts w:ascii="宋体" w:hAnsi="宋体" w:hint="eastAsia"/>
              </w:rPr>
              <w:t xml:space="preserve">不允许       </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1.12</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偏离</w:t>
            </w:r>
          </w:p>
        </w:tc>
        <w:tc>
          <w:tcPr>
            <w:tcW w:w="5458" w:type="dxa"/>
            <w:tcBorders>
              <w:top w:val="single" w:sz="4" w:space="0" w:color="auto"/>
              <w:left w:val="single" w:sz="4" w:space="0" w:color="auto"/>
              <w:bottom w:val="single" w:sz="4" w:space="0" w:color="auto"/>
              <w:right w:val="single" w:sz="4" w:space="0" w:color="auto"/>
            </w:tcBorders>
            <w:vAlign w:val="center"/>
          </w:tcPr>
          <w:p>
            <w:pPr>
              <w:topLinePunct/>
              <w:adjustRightInd w:val="0"/>
              <w:spacing w:line="360" w:lineRule="auto"/>
              <w:textAlignment w:val="baseline"/>
              <w:rPr>
                <w:rFonts w:ascii="宋体" w:hAnsi="宋体"/>
              </w:rPr>
            </w:pPr>
            <w:r>
              <w:rPr>
                <w:rFonts w:ascii="MS Gothic" w:eastAsia="MS Gothic" w:hAnsi="MS Gothic" w:cs="MS Gothic" w:hint="eastAsia"/>
                <w:sz w:val="18"/>
                <w:szCs w:val="18"/>
              </w:rPr>
              <w:t>☑</w:t>
            </w:r>
            <w:r>
              <w:rPr>
                <w:rFonts w:ascii="宋体" w:hAnsi="宋体" w:hint="eastAsia"/>
              </w:rPr>
              <w:t>不允许</w:t>
            </w:r>
          </w:p>
          <w:p>
            <w:pPr>
              <w:spacing w:line="360" w:lineRule="auto"/>
              <w:rPr>
                <w:rFonts w:ascii="宋体" w:hAnsi="宋体" w:cs="宋体"/>
                <w:u w:val="single"/>
              </w:rPr>
            </w:pPr>
            <w:r>
              <w:rPr>
                <w:rFonts w:ascii="宋体" w:hAnsi="宋体" w:hint="eastAsia"/>
              </w:rPr>
              <w:t>□允许</w:t>
            </w:r>
            <w:r>
              <w:rPr>
                <w:rFonts w:ascii="宋体" w:hAnsi="宋体" w:cs="宋体" w:hint="eastAsia"/>
              </w:rPr>
              <w:t>，偏离最高项数：</w:t>
            </w:r>
            <w:r>
              <w:rPr>
                <w:rFonts w:ascii="宋体" w:hAnsi="宋体" w:cs="宋体" w:hint="eastAsia"/>
                <w:u w:val="single"/>
              </w:rPr>
              <w:t xml:space="preserve">      </w:t>
            </w:r>
          </w:p>
          <w:p>
            <w:pPr>
              <w:topLinePunct/>
              <w:adjustRightInd w:val="0"/>
              <w:spacing w:line="360" w:lineRule="auto"/>
              <w:textAlignment w:val="baseline"/>
              <w:rPr>
                <w:rFonts w:ascii="宋体" w:hAnsi="宋体"/>
              </w:rPr>
            </w:pPr>
            <w:r>
              <w:rPr>
                <w:rFonts w:ascii="宋体" w:hAnsi="宋体" w:cs="宋体" w:hint="eastAsia"/>
              </w:rPr>
              <w:t xml:space="preserve">       偏差调整方法：</w:t>
            </w:r>
            <w:r>
              <w:rPr>
                <w:rFonts w:ascii="宋体" w:hAnsi="宋体" w:cs="宋体" w:hint="eastAsia"/>
                <w:u w:val="single"/>
              </w:rPr>
              <w:t xml:space="preserve">          </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2.1</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构成招标文件的其他材料</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cs="Times New Roman" w:hint="eastAsia"/>
              </w:rPr>
              <w:t xml:space="preserve">施工图、工程量清单、招标文件的澄清、修改及答疑等。 </w:t>
            </w:r>
            <w:r>
              <w:rPr>
                <w:rFonts w:ascii="宋体" w:hAnsi="宋体" w:hint="eastAsia"/>
              </w:rPr>
              <w:t xml:space="preserve">                         </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2.2.2</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投标截止时间</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见招标公告</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3.2.1</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工程量清单的填写方式</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投标人按照招标人提供的工程量清单文件编制工程量清单</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3.3.1</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投标有效期</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 xml:space="preserve">  90日历天              </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3.6</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是否允许递交备选投标方案</w:t>
            </w:r>
          </w:p>
        </w:tc>
        <w:tc>
          <w:tcPr>
            <w:tcW w:w="5458" w:type="dxa"/>
            <w:tcBorders>
              <w:top w:val="single" w:sz="4" w:space="0" w:color="auto"/>
              <w:left w:val="single" w:sz="4" w:space="0" w:color="auto"/>
              <w:bottom w:val="single" w:sz="4" w:space="0" w:color="auto"/>
              <w:right w:val="single" w:sz="4" w:space="0" w:color="auto"/>
            </w:tcBorders>
            <w:vAlign w:val="center"/>
          </w:tcPr>
          <w:p>
            <w:pPr>
              <w:topLinePunct/>
              <w:adjustRightInd w:val="0"/>
              <w:spacing w:line="360" w:lineRule="auto"/>
              <w:textAlignment w:val="baseline"/>
              <w:rPr>
                <w:rFonts w:ascii="宋体" w:hAnsi="宋体"/>
              </w:rPr>
            </w:pPr>
            <w:r>
              <w:rPr>
                <w:rFonts w:ascii="MS Gothic" w:eastAsia="MS Gothic" w:hAnsi="MS Gothic" w:cs="MS Gothic" w:hint="eastAsia"/>
                <w:sz w:val="18"/>
                <w:szCs w:val="18"/>
              </w:rPr>
              <w:t>☑</w:t>
            </w:r>
            <w:r>
              <w:rPr>
                <w:rFonts w:ascii="宋体" w:hAnsi="宋体" w:hint="eastAsia"/>
              </w:rPr>
              <w:t>不允许</w:t>
            </w:r>
          </w:p>
          <w:p>
            <w:pPr>
              <w:adjustRightInd w:val="0"/>
              <w:spacing w:line="360" w:lineRule="auto"/>
              <w:textAlignment w:val="baseline"/>
              <w:rPr>
                <w:rFonts w:ascii="宋体" w:hAnsi="宋体"/>
              </w:rPr>
            </w:pPr>
            <w:r>
              <w:rPr>
                <w:rFonts w:ascii="宋体" w:hAnsi="宋体" w:hint="eastAsia"/>
              </w:rPr>
              <w:t>□允许</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3.7.3</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签字或盖章要求</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符合第五章投标文件格式要求</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3.7.6</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cs="宋体" w:hint="eastAsia"/>
                <w:bCs/>
              </w:rPr>
              <w:t>投标文件份数</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rPr>
                <w:rFonts w:asciiTheme="minorEastAsia" w:hAnsiTheme="minorEastAsia" w:cstheme="minorEastAsia"/>
              </w:rPr>
            </w:pPr>
            <w:r>
              <w:rPr>
                <w:rFonts w:ascii="宋体" w:hAnsi="宋体" w:cs="宋体" w:hint="eastAsia"/>
                <w:bCs/>
              </w:rPr>
              <w:t>正本一份，副本</w:t>
            </w:r>
            <w:r>
              <w:rPr>
                <w:rFonts w:ascii="宋体" w:hAnsi="宋体" w:cs="宋体" w:hint="eastAsia"/>
                <w:bCs/>
                <w:lang w:val="en-US" w:eastAsia="zh-CN"/>
              </w:rPr>
              <w:t>一</w:t>
            </w:r>
            <w:r>
              <w:rPr>
                <w:rFonts w:ascii="宋体" w:hAnsi="宋体" w:cs="宋体" w:hint="eastAsia"/>
                <w:bCs/>
              </w:rPr>
              <w:t>份</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3.7.7</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cs="宋体" w:hint="eastAsia"/>
                <w:bCs/>
              </w:rPr>
              <w:t>装订要求</w:t>
            </w:r>
          </w:p>
        </w:tc>
        <w:tc>
          <w:tcPr>
            <w:tcW w:w="5458"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hAnsi="宋体" w:cs="宋体"/>
                <w:sz w:val="18"/>
                <w:szCs w:val="18"/>
              </w:rPr>
            </w:pPr>
            <w:r>
              <w:rPr>
                <w:rFonts w:ascii="宋体" w:hAnsi="宋体" w:cs="宋体" w:hint="eastAsia"/>
                <w:bCs/>
              </w:rPr>
              <w:t>投标文件应按以下要求装订：每册均采用胶装方式装订，装订应牢固、不易拆散和换页，不得采用活页装订。</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4.1.2</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cs="宋体" w:hint="eastAsia"/>
                <w:bCs/>
              </w:rPr>
              <w:t>封套上写明</w:t>
            </w:r>
          </w:p>
        </w:tc>
        <w:tc>
          <w:tcPr>
            <w:tcW w:w="5458"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宋体"/>
                <w:bCs/>
                <w:highlight w:val="none"/>
              </w:rPr>
            </w:pPr>
            <w:r>
              <w:rPr>
                <w:rFonts w:ascii="宋体" w:hAnsi="宋体" w:cs="宋体" w:hint="eastAsia"/>
                <w:bCs/>
                <w:highlight w:val="none"/>
              </w:rPr>
              <w:t>招标人名称：</w:t>
            </w:r>
          </w:p>
          <w:p>
            <w:pPr>
              <w:spacing w:line="360" w:lineRule="auto"/>
              <w:rPr>
                <w:rFonts w:ascii="宋体" w:cs="宋体"/>
                <w:bCs/>
                <w:highlight w:val="none"/>
                <w:u w:val="single"/>
              </w:rPr>
            </w:pPr>
            <w:r>
              <w:rPr>
                <w:rFonts w:ascii="宋体" w:hAnsi="宋体" w:cs="宋体" w:hint="eastAsia"/>
                <w:bCs/>
                <w:highlight w:val="none"/>
              </w:rPr>
              <w:t>投标人名称：</w:t>
            </w:r>
          </w:p>
          <w:p>
            <w:pPr>
              <w:spacing w:line="360" w:lineRule="auto"/>
              <w:rPr>
                <w:rFonts w:ascii="宋体" w:cs="宋体"/>
                <w:bCs/>
                <w:highlight w:val="none"/>
                <w:u w:val="single"/>
              </w:rPr>
            </w:pPr>
            <w:r>
              <w:rPr>
                <w:rFonts w:ascii="宋体" w:hAnsi="宋体" w:cs="宋体"/>
                <w:bCs/>
                <w:highlight w:val="none"/>
                <w:u w:val="single"/>
              </w:rPr>
              <w:t xml:space="preserve">   </w:t>
            </w:r>
            <w:r>
              <w:rPr>
                <w:rFonts w:ascii="宋体" w:hAnsi="宋体" w:cs="宋体" w:hint="eastAsia"/>
                <w:bCs/>
                <w:highlight w:val="none"/>
                <w:u w:val="single"/>
              </w:rPr>
              <w:t>（项目名称）</w:t>
            </w:r>
            <w:r>
              <w:rPr>
                <w:rFonts w:ascii="宋体" w:hAnsi="宋体" w:cs="宋体"/>
                <w:bCs/>
                <w:highlight w:val="none"/>
                <w:u w:val="single"/>
              </w:rPr>
              <w:t xml:space="preserve">  </w:t>
            </w:r>
            <w:r>
              <w:rPr>
                <w:rFonts w:ascii="宋体" w:hAnsi="宋体" w:cs="宋体" w:hint="eastAsia"/>
                <w:bCs/>
                <w:highlight w:val="none"/>
              </w:rPr>
              <w:t>标段投标文件</w:t>
            </w:r>
          </w:p>
          <w:p>
            <w:pPr>
              <w:topLinePunct/>
              <w:adjustRightInd w:val="0"/>
              <w:spacing w:line="360" w:lineRule="auto"/>
              <w:textAlignment w:val="baseline"/>
              <w:rPr>
                <w:rFonts w:ascii="宋体" w:hAnsi="宋体" w:cs="宋体"/>
                <w:sz w:val="18"/>
                <w:szCs w:val="18"/>
                <w:highlight w:val="none"/>
              </w:rPr>
            </w:pPr>
            <w:r>
              <w:rPr>
                <w:rFonts w:ascii="宋体" w:hAnsi="宋体" w:cs="宋体" w:hint="eastAsia"/>
                <w:bCs/>
                <w:color w:val="FF0000"/>
                <w:highlight w:val="none"/>
              </w:rPr>
              <w:t>在</w:t>
            </w:r>
            <w:r>
              <w:rPr>
                <w:rFonts w:ascii="宋体" w:hAnsi="宋体" w:cs="宋体"/>
                <w:bCs/>
                <w:color w:val="FF0000"/>
                <w:highlight w:val="none"/>
                <w:u w:val="single"/>
              </w:rPr>
              <w:t xml:space="preserve"> </w:t>
            </w:r>
            <w:r>
              <w:rPr>
                <w:rFonts w:ascii="宋体" w:hAnsi="宋体" w:cs="宋体" w:hint="eastAsia"/>
                <w:bCs/>
                <w:color w:val="FF0000"/>
                <w:highlight w:val="none"/>
                <w:u w:val="single"/>
                <w:lang w:val="en-US" w:eastAsia="zh-CN"/>
              </w:rPr>
              <w:t xml:space="preserve">   </w:t>
            </w:r>
            <w:r>
              <w:rPr>
                <w:rFonts w:ascii="宋体" w:hAnsi="宋体" w:cs="宋体" w:hint="eastAsia"/>
                <w:bCs/>
                <w:color w:val="FF0000"/>
                <w:highlight w:val="none"/>
              </w:rPr>
              <w:t>年</w:t>
            </w:r>
            <w:r>
              <w:rPr>
                <w:rFonts w:ascii="宋体" w:hAnsi="宋体" w:cs="宋体" w:hint="eastAsia"/>
                <w:bCs/>
                <w:color w:val="FF0000"/>
                <w:highlight w:val="none"/>
                <w:u w:val="single"/>
                <w:lang w:val="en-US" w:eastAsia="zh-CN"/>
              </w:rPr>
              <w:t xml:space="preserve">  </w:t>
            </w:r>
            <w:r>
              <w:rPr>
                <w:rFonts w:ascii="宋体" w:hAnsi="宋体" w:cs="宋体" w:hint="eastAsia"/>
                <w:bCs/>
                <w:color w:val="FF0000"/>
                <w:highlight w:val="none"/>
              </w:rPr>
              <w:t>月</w:t>
            </w:r>
            <w:r>
              <w:rPr>
                <w:rFonts w:ascii="宋体" w:hAnsi="宋体" w:cs="宋体" w:hint="eastAsia"/>
                <w:bCs/>
                <w:color w:val="FF0000"/>
                <w:highlight w:val="none"/>
                <w:u w:val="single"/>
                <w:lang w:val="en-US" w:eastAsia="zh-CN"/>
              </w:rPr>
              <w:t xml:space="preserve">    </w:t>
            </w:r>
            <w:r>
              <w:rPr>
                <w:rFonts w:ascii="宋体" w:hAnsi="宋体" w:cs="宋体" w:hint="eastAsia"/>
                <w:bCs/>
                <w:color w:val="FF0000"/>
                <w:highlight w:val="none"/>
              </w:rPr>
              <w:t>日</w:t>
            </w:r>
            <w:r>
              <w:rPr>
                <w:rFonts w:ascii="宋体" w:hAnsi="宋体" w:cs="宋体" w:hint="eastAsia"/>
                <w:bCs/>
                <w:color w:val="FF0000"/>
                <w:highlight w:val="none"/>
                <w:u w:val="single"/>
                <w:lang w:val="en-US" w:eastAsia="zh-CN"/>
              </w:rPr>
              <w:t xml:space="preserve">   </w:t>
            </w:r>
            <w:r>
              <w:rPr>
                <w:rFonts w:ascii="宋体" w:hAnsi="宋体" w:cs="宋体" w:hint="eastAsia"/>
                <w:bCs/>
                <w:color w:val="FF0000"/>
                <w:highlight w:val="none"/>
              </w:rPr>
              <w:t>时</w:t>
            </w:r>
            <w:r>
              <w:rPr>
                <w:rFonts w:ascii="宋体" w:hAnsi="宋体" w:cs="宋体"/>
                <w:bCs/>
                <w:color w:val="FF0000"/>
                <w:highlight w:val="none"/>
                <w:u w:val="single"/>
              </w:rPr>
              <w:t xml:space="preserve"> </w:t>
            </w:r>
            <w:r>
              <w:rPr>
                <w:rFonts w:ascii="宋体" w:hAnsi="宋体" w:cs="宋体" w:hint="eastAsia"/>
                <w:bCs/>
                <w:color w:val="FF0000"/>
                <w:highlight w:val="none"/>
                <w:u w:val="single"/>
                <w:lang w:val="en-US" w:eastAsia="zh-CN"/>
              </w:rPr>
              <w:t xml:space="preserve">  </w:t>
            </w:r>
            <w:r>
              <w:rPr>
                <w:rFonts w:ascii="宋体" w:hAnsi="宋体" w:cs="宋体"/>
                <w:bCs/>
                <w:color w:val="FF0000"/>
                <w:highlight w:val="none"/>
                <w:u w:val="single"/>
              </w:rPr>
              <w:t xml:space="preserve"> </w:t>
            </w:r>
            <w:r>
              <w:rPr>
                <w:rFonts w:ascii="宋体" w:hAnsi="宋体" w:cs="宋体" w:hint="eastAsia"/>
                <w:bCs/>
                <w:color w:val="FF0000"/>
                <w:highlight w:val="none"/>
              </w:rPr>
              <w:t>分前不得开启</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4.2.1</w:t>
            </w:r>
          </w:p>
        </w:tc>
        <w:tc>
          <w:tcPr>
            <w:tcW w:w="2181" w:type="dxa"/>
            <w:tcBorders>
              <w:top w:val="single" w:sz="4" w:space="0" w:color="auto"/>
              <w:left w:val="single" w:sz="4" w:space="0" w:color="auto"/>
              <w:bottom w:val="single" w:sz="4" w:space="0" w:color="auto"/>
              <w:right w:val="single" w:sz="4" w:space="0" w:color="auto"/>
            </w:tcBorders>
            <w:vAlign w:val="center"/>
          </w:tcPr>
          <w:p>
            <w:pPr>
              <w:spacing w:line="440" w:lineRule="exact"/>
              <w:rPr>
                <w:rFonts w:ascii="宋体" w:cs="宋体"/>
                <w:bCs/>
              </w:rPr>
            </w:pPr>
            <w:r>
              <w:rPr>
                <w:rFonts w:ascii="宋体" w:hAnsi="宋体" w:cs="宋体" w:hint="eastAsia"/>
                <w:bCs/>
              </w:rPr>
              <w:t>投标文件递交截止时间</w:t>
            </w:r>
          </w:p>
        </w:tc>
        <w:tc>
          <w:tcPr>
            <w:tcW w:w="5458"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宋体"/>
                <w:bCs/>
                <w:highlight w:val="none"/>
              </w:rPr>
            </w:pPr>
            <w:r>
              <w:rPr>
                <w:rFonts w:ascii="宋体" w:hAnsi="宋体" w:cs="宋体" w:hint="eastAsia"/>
                <w:bCs/>
                <w:highlight w:val="none"/>
              </w:rPr>
              <w:t>截止时间</w:t>
            </w:r>
            <w:r>
              <w:rPr>
                <w:rFonts w:ascii="宋体" w:hAnsi="宋体" w:cs="宋体" w:hint="eastAsia"/>
                <w:bCs/>
                <w:color w:val="FF0000"/>
                <w:highlight w:val="none"/>
              </w:rPr>
              <w:t>：</w:t>
            </w:r>
            <w:r>
              <w:rPr>
                <w:rFonts w:ascii="宋体" w:hAnsi="宋体" w:cs="宋体"/>
                <w:bCs/>
                <w:color w:val="FF0000"/>
                <w:highlight w:val="none"/>
                <w:u w:val="single"/>
              </w:rPr>
              <w:t xml:space="preserve"> 20</w:t>
            </w:r>
            <w:r>
              <w:rPr>
                <w:rFonts w:ascii="宋体" w:hAnsi="宋体" w:cs="宋体" w:hint="eastAsia"/>
                <w:bCs/>
                <w:color w:val="FF0000"/>
                <w:highlight w:val="none"/>
                <w:u w:val="single"/>
              </w:rPr>
              <w:t>2</w:t>
            </w:r>
            <w:r>
              <w:rPr>
                <w:rFonts w:ascii="宋体" w:hAnsi="宋体" w:cs="宋体" w:hint="eastAsia"/>
                <w:bCs/>
                <w:color w:val="FF0000"/>
                <w:highlight w:val="none"/>
                <w:u w:val="single"/>
                <w:lang w:val="en-US" w:eastAsia="zh-CN"/>
              </w:rPr>
              <w:t>3</w:t>
            </w:r>
            <w:r>
              <w:rPr>
                <w:rFonts w:ascii="宋体" w:hAnsi="宋体" w:cs="宋体" w:hint="eastAsia"/>
                <w:bCs/>
                <w:color w:val="FF0000"/>
                <w:highlight w:val="none"/>
              </w:rPr>
              <w:t>年</w:t>
            </w:r>
            <w:r>
              <w:rPr>
                <w:rFonts w:ascii="宋体" w:hAnsi="宋体" w:cs="宋体" w:hint="eastAsia"/>
                <w:bCs/>
                <w:color w:val="FF0000"/>
                <w:highlight w:val="none"/>
                <w:u w:val="single"/>
              </w:rPr>
              <w:t xml:space="preserve"> </w:t>
            </w:r>
            <w:r>
              <w:rPr>
                <w:rFonts w:ascii="宋体" w:hAnsi="宋体" w:cs="宋体" w:hint="eastAsia"/>
                <w:bCs/>
                <w:color w:val="FF0000"/>
                <w:highlight w:val="none"/>
                <w:u w:val="single"/>
                <w:lang w:val="en-US" w:eastAsia="zh-CN"/>
              </w:rPr>
              <w:t>2</w:t>
            </w:r>
            <w:r>
              <w:rPr>
                <w:rFonts w:ascii="宋体" w:hAnsi="宋体" w:cs="宋体" w:hint="eastAsia"/>
                <w:bCs/>
                <w:color w:val="FF0000"/>
                <w:highlight w:val="none"/>
              </w:rPr>
              <w:t>月</w:t>
            </w:r>
            <w:r>
              <w:rPr>
                <w:rFonts w:ascii="宋体" w:hAnsi="宋体" w:cs="宋体" w:hint="eastAsia"/>
                <w:bCs/>
                <w:color w:val="FF0000"/>
                <w:highlight w:val="none"/>
                <w:u w:val="single"/>
                <w:lang w:val="en-US" w:eastAsia="zh-CN"/>
              </w:rPr>
              <w:t>15</w:t>
            </w:r>
            <w:r>
              <w:rPr>
                <w:rFonts w:ascii="宋体" w:hAnsi="宋体" w:cs="宋体" w:hint="eastAsia"/>
                <w:bCs/>
                <w:color w:val="FF0000"/>
                <w:highlight w:val="none"/>
              </w:rPr>
              <w:t>日</w:t>
            </w:r>
            <w:r>
              <w:rPr>
                <w:rFonts w:ascii="宋体" w:hAnsi="宋体" w:cs="宋体" w:hint="eastAsia"/>
                <w:bCs/>
                <w:color w:val="FF0000"/>
                <w:highlight w:val="none"/>
                <w:u w:val="single"/>
              </w:rPr>
              <w:t xml:space="preserve"> </w:t>
            </w:r>
            <w:r>
              <w:rPr>
                <w:rFonts w:ascii="宋体" w:hAnsi="宋体" w:cs="宋体" w:hint="eastAsia"/>
                <w:bCs/>
                <w:color w:val="FF0000"/>
                <w:highlight w:val="none"/>
                <w:u w:val="single"/>
                <w:lang w:val="en-US" w:eastAsia="zh-CN"/>
              </w:rPr>
              <w:t>9</w:t>
            </w:r>
            <w:r>
              <w:rPr>
                <w:rFonts w:ascii="宋体" w:hAnsi="宋体" w:cs="宋体" w:hint="eastAsia"/>
                <w:bCs/>
                <w:color w:val="FF0000"/>
                <w:highlight w:val="none"/>
              </w:rPr>
              <w:t>时</w:t>
            </w:r>
            <w:r>
              <w:rPr>
                <w:rFonts w:ascii="宋体" w:hAnsi="宋体" w:cs="宋体" w:hint="eastAsia"/>
                <w:bCs/>
                <w:color w:val="FF0000"/>
                <w:highlight w:val="none"/>
                <w:u w:val="single"/>
                <w:lang w:val="en-US" w:eastAsia="zh-CN"/>
              </w:rPr>
              <w:t>30</w:t>
            </w:r>
            <w:r>
              <w:rPr>
                <w:rFonts w:ascii="宋体" w:hAnsi="宋体" w:cs="宋体" w:hint="eastAsia"/>
                <w:bCs/>
                <w:color w:val="FF0000"/>
                <w:highlight w:val="none"/>
              </w:rPr>
              <w:t>分</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4.2.2</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cs="宋体" w:hint="eastAsia"/>
                <w:bCs/>
              </w:rPr>
              <w:t>递交投标文件地点</w:t>
            </w:r>
          </w:p>
        </w:tc>
        <w:tc>
          <w:tcPr>
            <w:tcW w:w="5458" w:type="dxa"/>
            <w:tcBorders>
              <w:top w:val="single" w:sz="4" w:space="0" w:color="auto"/>
              <w:left w:val="single" w:sz="4" w:space="0" w:color="auto"/>
              <w:bottom w:val="single" w:sz="4" w:space="0" w:color="auto"/>
              <w:right w:val="single" w:sz="4" w:space="0" w:color="auto"/>
            </w:tcBorders>
            <w:vAlign w:val="center"/>
          </w:tcPr>
          <w:p>
            <w:pPr>
              <w:topLinePunct/>
              <w:adjustRightInd w:val="0"/>
              <w:spacing w:line="360" w:lineRule="auto"/>
              <w:textAlignment w:val="baseline"/>
              <w:rPr>
                <w:rFonts w:ascii="宋体" w:hAnsi="宋体" w:cs="宋体"/>
                <w:sz w:val="18"/>
                <w:szCs w:val="18"/>
              </w:rPr>
            </w:pPr>
            <w:r>
              <w:rPr>
                <w:rFonts w:hAnsi="宋体" w:cs="宋体" w:hint="eastAsia"/>
                <w:kern w:val="0"/>
              </w:rPr>
              <w:t>投标文件递交地点：</w:t>
            </w:r>
            <w:r>
              <w:rPr>
                <w:rStyle w:val="NormalCharacter"/>
                <w:rFonts w:ascii="宋体" w:hAnsi="宋体" w:cs="宋体"/>
                <w:bCs/>
              </w:rPr>
              <w:t>颍上县城投</w:t>
            </w:r>
            <w:r>
              <w:rPr>
                <w:rStyle w:val="NormalCharacter"/>
                <w:rFonts w:ascii="宋体" w:hAnsi="宋体" w:cs="宋体" w:hint="eastAsia"/>
                <w:bCs/>
                <w:lang w:val="en-US" w:eastAsia="zh-CN"/>
              </w:rPr>
              <w:t>四</w:t>
            </w:r>
            <w:r>
              <w:rPr>
                <w:rStyle w:val="NormalCharacter"/>
                <w:rFonts w:ascii="宋体" w:hAnsi="宋体" w:cs="宋体"/>
                <w:bCs/>
              </w:rPr>
              <w:t>楼会议室（颍上县</w:t>
            </w:r>
            <w:r>
              <w:rPr>
                <w:rStyle w:val="NormalCharacter"/>
                <w:rFonts w:ascii="宋体" w:hAnsi="宋体" w:cs="宋体" w:hint="eastAsia"/>
                <w:bCs/>
                <w:lang w:val="en-US" w:eastAsia="zh-CN"/>
              </w:rPr>
              <w:t>慎城镇叔牙路0001</w:t>
            </w:r>
            <w:r>
              <w:rPr>
                <w:rStyle w:val="NormalCharacter"/>
                <w:rFonts w:ascii="宋体" w:hAnsi="宋体" w:cs="宋体"/>
                <w:bCs/>
              </w:rPr>
              <w:t>号）</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4.2.3</w:t>
            </w:r>
          </w:p>
        </w:tc>
        <w:tc>
          <w:tcPr>
            <w:tcW w:w="218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是否退还投标文件</w:t>
            </w:r>
          </w:p>
        </w:tc>
        <w:tc>
          <w:tcPr>
            <w:tcW w:w="5458" w:type="dxa"/>
            <w:tcBorders>
              <w:top w:val="single" w:sz="4" w:space="0" w:color="auto"/>
              <w:left w:val="single" w:sz="4" w:space="0" w:color="auto"/>
              <w:bottom w:val="single" w:sz="4" w:space="0" w:color="auto"/>
              <w:right w:val="single" w:sz="4" w:space="0" w:color="auto"/>
            </w:tcBorders>
            <w:vAlign w:val="center"/>
          </w:tcPr>
          <w:p>
            <w:pPr>
              <w:topLinePunct/>
              <w:adjustRightInd w:val="0"/>
              <w:spacing w:line="360" w:lineRule="auto"/>
              <w:textAlignment w:val="baseline"/>
              <w:rPr>
                <w:rFonts w:ascii="宋体" w:hAnsi="宋体"/>
              </w:rPr>
            </w:pPr>
            <w:r>
              <w:rPr>
                <w:rFonts w:ascii="MS Gothic" w:eastAsia="MS Gothic" w:hAnsi="MS Gothic" w:cs="MS Gothic" w:hint="eastAsia"/>
                <w:sz w:val="18"/>
                <w:szCs w:val="18"/>
              </w:rPr>
              <w:t>☑</w:t>
            </w:r>
            <w:r>
              <w:rPr>
                <w:rFonts w:ascii="宋体" w:hAnsi="宋体" w:hint="eastAsia"/>
              </w:rPr>
              <w:t>否</w:t>
            </w:r>
          </w:p>
          <w:p>
            <w:pPr>
              <w:adjustRightInd w:val="0"/>
              <w:spacing w:line="360" w:lineRule="auto"/>
              <w:textAlignment w:val="baseline"/>
              <w:rPr>
                <w:rFonts w:ascii="宋体" w:hAnsi="宋体"/>
              </w:rPr>
            </w:pPr>
            <w:r>
              <w:rPr>
                <w:rFonts w:ascii="宋体" w:hAnsi="宋体" w:hint="eastAsia"/>
              </w:rPr>
              <w:t>□是</w:t>
            </w:r>
          </w:p>
        </w:tc>
      </w:tr>
      <w:tr>
        <w:tblPrEx>
          <w:tblW w:w="8755" w:type="dxa"/>
          <w:tblInd w:w="0" w:type="dxa"/>
          <w:tblLayout w:type="fixed"/>
          <w:tblCellMar>
            <w:top w:w="0" w:type="dxa"/>
            <w:left w:w="108" w:type="dxa"/>
            <w:bottom w:w="0" w:type="dxa"/>
            <w:right w:w="108" w:type="dxa"/>
          </w:tblCellMar>
        </w:tblPrEx>
        <w:trPr>
          <w:trHeight w:val="880"/>
        </w:trPr>
        <w:tc>
          <w:tcPr>
            <w:tcW w:w="1116" w:type="dxa"/>
            <w:tcBorders>
              <w:top w:val="single" w:sz="4" w:space="0" w:color="auto"/>
              <w:left w:val="single" w:sz="4" w:space="0" w:color="auto"/>
              <w:bottom w:val="nil"/>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5.1</w:t>
            </w:r>
          </w:p>
        </w:tc>
        <w:tc>
          <w:tcPr>
            <w:tcW w:w="2181" w:type="dxa"/>
            <w:tcBorders>
              <w:top w:val="single" w:sz="4" w:space="0" w:color="auto"/>
              <w:left w:val="single" w:sz="4" w:space="0" w:color="auto"/>
              <w:bottom w:val="nil"/>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开标时间和地点</w:t>
            </w:r>
          </w:p>
        </w:tc>
        <w:tc>
          <w:tcPr>
            <w:tcW w:w="5458" w:type="dxa"/>
            <w:tcBorders>
              <w:top w:val="single" w:sz="4" w:space="0" w:color="auto"/>
              <w:left w:val="single" w:sz="4" w:space="0" w:color="auto"/>
              <w:bottom w:val="nil"/>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开标时间：同投标截止时间</w:t>
            </w:r>
          </w:p>
          <w:p>
            <w:pPr>
              <w:adjustRightInd w:val="0"/>
              <w:spacing w:line="360" w:lineRule="auto"/>
              <w:textAlignment w:val="baseline"/>
              <w:rPr>
                <w:rFonts w:ascii="宋体" w:hAnsi="宋体"/>
              </w:rPr>
            </w:pPr>
            <w:r>
              <w:rPr>
                <w:rFonts w:ascii="宋体" w:hAnsi="宋体" w:hint="eastAsia"/>
              </w:rPr>
              <w:t>开标地点：同投标文件的递交地点</w:t>
            </w:r>
          </w:p>
        </w:tc>
      </w:tr>
      <w:tr>
        <w:tblPrEx>
          <w:tblW w:w="8755" w:type="dxa"/>
          <w:tblInd w:w="0" w:type="dxa"/>
          <w:tblLayout w:type="fixed"/>
          <w:tblCellMar>
            <w:top w:w="0" w:type="dxa"/>
            <w:left w:w="108" w:type="dxa"/>
            <w:bottom w:w="0" w:type="dxa"/>
            <w:right w:w="108" w:type="dxa"/>
          </w:tblCellMar>
        </w:tblPrEx>
        <w:trPr>
          <w:trHeight w:val="381"/>
        </w:trPr>
        <w:tc>
          <w:tcPr>
            <w:tcW w:w="1116" w:type="dxa"/>
            <w:tcBorders>
              <w:top w:val="single" w:sz="4" w:space="0" w:color="auto"/>
              <w:left w:val="single" w:sz="4" w:space="0" w:color="auto"/>
              <w:bottom w:val="nil"/>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5.2.1</w:t>
            </w:r>
          </w:p>
        </w:tc>
        <w:tc>
          <w:tcPr>
            <w:tcW w:w="2181" w:type="dxa"/>
            <w:tcBorders>
              <w:top w:val="single" w:sz="4" w:space="0" w:color="auto"/>
              <w:left w:val="single" w:sz="4" w:space="0" w:color="auto"/>
              <w:bottom w:val="nil"/>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开标程序</w:t>
            </w:r>
          </w:p>
        </w:tc>
        <w:tc>
          <w:tcPr>
            <w:tcW w:w="5458" w:type="dxa"/>
            <w:tcBorders>
              <w:top w:val="single" w:sz="4" w:space="0" w:color="auto"/>
              <w:left w:val="single" w:sz="4" w:space="0" w:color="auto"/>
              <w:bottom w:val="nil"/>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密封情况检查：投标人检查。</w:t>
            </w:r>
          </w:p>
          <w:p>
            <w:pPr>
              <w:adjustRightInd w:val="0"/>
              <w:spacing w:line="360" w:lineRule="auto"/>
              <w:textAlignment w:val="baseline"/>
              <w:rPr>
                <w:rFonts w:ascii="宋体" w:hAnsi="宋体"/>
              </w:rPr>
            </w:pPr>
            <w:r>
              <w:rPr>
                <w:rFonts w:ascii="宋体" w:hAnsi="宋体" w:hint="eastAsia"/>
              </w:rPr>
              <w:t>唱标顺序：按投标文件递交逆顺序进行。</w:t>
            </w:r>
          </w:p>
        </w:tc>
      </w:tr>
      <w:tr>
        <w:tblPrEx>
          <w:tblW w:w="8755" w:type="dxa"/>
          <w:tblInd w:w="0" w:type="dxa"/>
          <w:tblLayout w:type="fixed"/>
          <w:tblCellMar>
            <w:top w:w="0" w:type="dxa"/>
            <w:left w:w="108" w:type="dxa"/>
            <w:bottom w:w="0" w:type="dxa"/>
            <w:right w:w="108" w:type="dxa"/>
          </w:tblCellMar>
        </w:tblPrEx>
        <w:trPr>
          <w:trHeight w:val="880"/>
        </w:trPr>
        <w:tc>
          <w:tcPr>
            <w:tcW w:w="1116" w:type="dxa"/>
            <w:tcBorders>
              <w:top w:val="single" w:sz="4" w:space="0" w:color="auto"/>
              <w:left w:val="single" w:sz="4" w:space="0" w:color="auto"/>
              <w:bottom w:val="nil"/>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5.2.2</w:t>
            </w:r>
          </w:p>
        </w:tc>
        <w:tc>
          <w:tcPr>
            <w:tcW w:w="2181" w:type="dxa"/>
            <w:tcBorders>
              <w:top w:val="single" w:sz="4" w:space="0" w:color="auto"/>
              <w:left w:val="single" w:sz="4" w:space="0" w:color="auto"/>
              <w:bottom w:val="nil"/>
              <w:right w:val="single" w:sz="4" w:space="0" w:color="auto"/>
            </w:tcBorders>
            <w:vAlign w:val="center"/>
          </w:tcPr>
          <w:p>
            <w:r>
              <w:rPr>
                <w:rFonts w:ascii="宋体" w:hAnsi="宋体" w:hint="eastAsia"/>
              </w:rPr>
              <w:t>投标人参加开标会的要求</w:t>
            </w:r>
          </w:p>
          <w:p>
            <w:pPr>
              <w:adjustRightInd w:val="0"/>
              <w:spacing w:line="360" w:lineRule="auto"/>
              <w:jc w:val="center"/>
              <w:textAlignment w:val="baseline"/>
              <w:rPr>
                <w:rFonts w:ascii="宋体" w:hAnsi="宋体"/>
              </w:rPr>
            </w:pPr>
          </w:p>
        </w:tc>
        <w:tc>
          <w:tcPr>
            <w:tcW w:w="5458" w:type="dxa"/>
            <w:tcBorders>
              <w:top w:val="single" w:sz="4" w:space="0" w:color="auto"/>
              <w:left w:val="single" w:sz="4" w:space="0" w:color="auto"/>
              <w:bottom w:val="nil"/>
              <w:right w:val="single" w:sz="4" w:space="0" w:color="auto"/>
            </w:tcBorders>
            <w:vAlign w:val="center"/>
          </w:tcPr>
          <w:p>
            <w:pPr>
              <w:spacing w:line="360" w:lineRule="auto"/>
              <w:rPr>
                <w:rFonts w:ascii="宋体"/>
              </w:rPr>
            </w:pPr>
            <w:r>
              <w:rPr>
                <w:rFonts w:ascii="宋体" w:hAnsi="宋体" w:hint="eastAsia"/>
              </w:rPr>
              <w:t>按照本须知第</w:t>
            </w:r>
            <w:r>
              <w:rPr>
                <w:rFonts w:ascii="宋体" w:hAnsi="宋体"/>
              </w:rPr>
              <w:t>5.1</w:t>
            </w:r>
            <w:r>
              <w:rPr>
                <w:rFonts w:ascii="宋体" w:hAnsi="宋体" w:hint="eastAsia"/>
              </w:rPr>
              <w:t>款的规定，招标人邀请所有投标人：</w:t>
            </w:r>
          </w:p>
          <w:p>
            <w:pPr>
              <w:spacing w:line="360" w:lineRule="auto"/>
              <w:rPr>
                <w:b/>
              </w:rPr>
            </w:pPr>
            <w:r>
              <w:rPr>
                <w:rFonts w:hint="eastAsia"/>
                <w:b/>
              </w:rPr>
              <w:t>法定代表人或其委托代理人</w:t>
            </w:r>
          </w:p>
          <w:p>
            <w:pPr>
              <w:spacing w:after="0" w:line="360" w:lineRule="auto"/>
              <w:rPr>
                <w:rFonts w:ascii="宋体"/>
              </w:rPr>
            </w:pPr>
          </w:p>
        </w:tc>
      </w:tr>
    </w:tbl>
    <w:p>
      <w:pPr>
        <w:sectPr>
          <w:type w:val="nextPage"/>
          <w:pgSz w:w="11910" w:h="16840"/>
          <w:pgMar w:top="1380" w:right="1440" w:bottom="1580" w:left="1580" w:header="890" w:footer="1363" w:gutter="0"/>
          <w:pgNumType w:start="7"/>
          <w:cols w:num="1" w:space="720"/>
          <w:titlePg w:val="0"/>
        </w:sectPr>
      </w:pPr>
    </w:p>
    <w:tbl>
      <w:tblPr>
        <w:tblStyle w:val="TableNormal"/>
        <w:tblW w:w="8755" w:type="dxa"/>
        <w:tblInd w:w="0" w:type="dxa"/>
        <w:tblLayout w:type="fixed"/>
        <w:tblCellMar>
          <w:top w:w="0" w:type="dxa"/>
          <w:left w:w="108" w:type="dxa"/>
          <w:bottom w:w="0" w:type="dxa"/>
          <w:right w:w="108" w:type="dxa"/>
        </w:tblCellMar>
      </w:tblPr>
      <w:tblGrid>
        <w:gridCol w:w="1116"/>
        <w:gridCol w:w="1912"/>
        <w:gridCol w:w="269"/>
        <w:gridCol w:w="5458"/>
      </w:tblGrid>
      <w:tr>
        <w:tblPrEx>
          <w:tblW w:w="8755" w:type="dxa"/>
          <w:tblInd w:w="0" w:type="dxa"/>
          <w:tblLayout w:type="fixed"/>
          <w:tblCellMar>
            <w:top w:w="0" w:type="dxa"/>
            <w:left w:w="108" w:type="dxa"/>
            <w:bottom w:w="0" w:type="dxa"/>
            <w:right w:w="108" w:type="dxa"/>
          </w:tblCellMar>
        </w:tblPrEx>
        <w:trPr>
          <w:trHeight w:val="880"/>
        </w:trPr>
        <w:tc>
          <w:tcPr>
            <w:tcW w:w="1116" w:type="dxa"/>
            <w:tcBorders>
              <w:top w:val="single" w:sz="4" w:space="0" w:color="auto"/>
              <w:left w:val="single" w:sz="4" w:space="0" w:color="auto"/>
              <w:bottom w:val="nil"/>
              <w:right w:val="single" w:sz="4" w:space="0" w:color="auto"/>
            </w:tcBorders>
            <w:vAlign w:val="center"/>
          </w:tcPr>
          <w:p/>
        </w:tc>
        <w:tc>
          <w:tcPr>
            <w:tcW w:w="2181" w:type="dxa"/>
            <w:gridSpan w:val="2"/>
            <w:tcBorders>
              <w:top w:val="single" w:sz="4" w:space="0" w:color="auto"/>
              <w:left w:val="single" w:sz="4" w:space="0" w:color="auto"/>
              <w:bottom w:val="nil"/>
              <w:right w:val="single" w:sz="4" w:space="0" w:color="auto"/>
            </w:tcBorders>
            <w:vAlign w:val="center"/>
          </w:tcPr>
          <w:p/>
        </w:tc>
        <w:tc>
          <w:tcPr>
            <w:tcW w:w="5458" w:type="dxa"/>
            <w:tcBorders>
              <w:top w:val="single" w:sz="4" w:space="0" w:color="auto"/>
              <w:left w:val="single" w:sz="4" w:space="0" w:color="auto"/>
              <w:bottom w:val="nil"/>
              <w:right w:val="single" w:sz="4" w:space="0" w:color="auto"/>
            </w:tcBorders>
            <w:vAlign w:val="center"/>
          </w:tcPr>
          <w:p>
            <w:pPr>
              <w:spacing w:before="0" w:line="360" w:lineRule="auto"/>
              <w:rPr>
                <w:rFonts w:ascii="宋体"/>
              </w:rPr>
            </w:pPr>
            <w:r>
              <w:rPr>
                <w:rFonts w:hint="eastAsia"/>
              </w:rPr>
              <w:t>①法定代表人参加开标会须携带本人身份证、法定代表人身份证明等原件；</w:t>
            </w:r>
          </w:p>
          <w:p>
            <w:pPr>
              <w:spacing w:line="360" w:lineRule="auto"/>
              <w:rPr>
                <w:rFonts w:hint="eastAsia"/>
              </w:rPr>
            </w:pPr>
            <w:r>
              <w:rPr>
                <w:rFonts w:hint="eastAsia"/>
              </w:rPr>
              <w:t>②委托代理人参加开标会须携带本人身份证、法定代表人身份证明及授权委托书等原件参加开标会。</w:t>
            </w:r>
          </w:p>
          <w:p>
            <w:pPr>
              <w:adjustRightInd w:val="0"/>
              <w:spacing w:line="360" w:lineRule="auto"/>
              <w:ind w:left="210" w:hanging="210" w:hangingChars="100"/>
              <w:textAlignment w:val="baseline"/>
              <w:rPr>
                <w:rFonts w:ascii="宋体" w:hAnsi="宋体"/>
              </w:rPr>
            </w:pPr>
            <w:r>
              <w:rPr>
                <w:rFonts w:hint="eastAsia"/>
                <w:b/>
              </w:rPr>
              <w:t>注：法定代表人身份证明和授权委托书开标现场单独提交一份。</w:t>
            </w:r>
          </w:p>
        </w:tc>
      </w:tr>
      <w:tr>
        <w:tblPrEx>
          <w:tblW w:w="8755" w:type="dxa"/>
          <w:tblInd w:w="0" w:type="dxa"/>
          <w:tblLayout w:type="fixed"/>
          <w:tblCellMar>
            <w:top w:w="0" w:type="dxa"/>
            <w:left w:w="108" w:type="dxa"/>
            <w:bottom w:w="0" w:type="dxa"/>
            <w:right w:w="108" w:type="dxa"/>
          </w:tblCellMar>
        </w:tblPrEx>
        <w:trPr>
          <w:trHeight w:val="880"/>
        </w:trPr>
        <w:tc>
          <w:tcPr>
            <w:tcW w:w="1116" w:type="dxa"/>
            <w:tcBorders>
              <w:top w:val="single" w:sz="4" w:space="0" w:color="auto"/>
              <w:left w:val="single" w:sz="4" w:space="0" w:color="auto"/>
              <w:bottom w:val="nil"/>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7.1</w:t>
            </w:r>
          </w:p>
        </w:tc>
        <w:tc>
          <w:tcPr>
            <w:tcW w:w="2181" w:type="dxa"/>
            <w:gridSpan w:val="2"/>
            <w:tcBorders>
              <w:top w:val="single" w:sz="4" w:space="0" w:color="auto"/>
              <w:left w:val="single" w:sz="4" w:space="0" w:color="auto"/>
              <w:bottom w:val="nil"/>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是否授权评标委员会确定中标人</w:t>
            </w:r>
          </w:p>
        </w:tc>
        <w:tc>
          <w:tcPr>
            <w:tcW w:w="5458" w:type="dxa"/>
            <w:tcBorders>
              <w:top w:val="single" w:sz="4" w:space="0" w:color="auto"/>
              <w:left w:val="single" w:sz="4" w:space="0" w:color="auto"/>
              <w:bottom w:val="nil"/>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□是</w:t>
            </w:r>
          </w:p>
          <w:p>
            <w:pPr>
              <w:adjustRightInd w:val="0"/>
              <w:spacing w:line="360" w:lineRule="auto"/>
              <w:textAlignment w:val="baseline"/>
              <w:rPr>
                <w:rFonts w:ascii="宋体" w:hAnsi="宋体"/>
              </w:rPr>
            </w:pPr>
            <w:r>
              <w:rPr>
                <w:rFonts w:ascii="MS Gothic" w:eastAsia="MS Gothic" w:hAnsi="MS Gothic" w:cs="MS Gothic" w:hint="eastAsia"/>
                <w:sz w:val="18"/>
                <w:szCs w:val="18"/>
              </w:rPr>
              <w:t>☑</w:t>
            </w:r>
            <w:r>
              <w:rPr>
                <w:rFonts w:ascii="宋体" w:hAnsi="宋体" w:hint="eastAsia"/>
              </w:rPr>
              <w:t xml:space="preserve">否，推荐的中标候选人数：  </w:t>
            </w:r>
            <w:r>
              <w:rPr>
                <w:rFonts w:ascii="宋体" w:hAnsi="宋体" w:cs="宋体"/>
                <w:b/>
                <w:bCs/>
                <w:color w:val="000000" w:themeColor="text1"/>
                <w:sz w:val="22"/>
                <w:szCs w:val="22"/>
                <w14:textFill>
                  <w14:solidFill>
                    <w14:schemeClr w14:val="tx1"/>
                  </w14:solidFill>
                </w14:textFill>
              </w:rPr>
              <w:t>1</w:t>
            </w:r>
            <w:r>
              <w:rPr>
                <w:rFonts w:ascii="宋体" w:hAnsi="宋体"/>
                <w:b/>
                <w:bCs/>
                <w:color w:val="000000" w:themeColor="text1"/>
                <w:sz w:val="22"/>
                <w:szCs w:val="22"/>
                <w14:textFill>
                  <w14:solidFill>
                    <w14:schemeClr w14:val="tx1"/>
                  </w14:solidFill>
                </w14:textFill>
              </w:rPr>
              <w:t>—</w:t>
            </w:r>
            <w:r>
              <w:rPr>
                <w:rFonts w:ascii="宋体" w:hAnsi="宋体" w:cs="宋体"/>
                <w:b/>
                <w:bCs/>
                <w:color w:val="000000" w:themeColor="text1"/>
                <w:sz w:val="22"/>
                <w:szCs w:val="22"/>
                <w14:textFill>
                  <w14:solidFill>
                    <w14:schemeClr w14:val="tx1"/>
                  </w14:solidFill>
                </w14:textFill>
              </w:rPr>
              <w:t>3</w:t>
            </w:r>
            <w:r>
              <w:rPr>
                <w:rFonts w:ascii="宋体" w:hAnsi="宋体" w:cs="宋体" w:hint="eastAsia"/>
                <w:b/>
                <w:bCs/>
                <w:color w:val="000000" w:themeColor="text1"/>
                <w:sz w:val="22"/>
                <w:szCs w:val="22"/>
                <w14:textFill>
                  <w14:solidFill>
                    <w14:schemeClr w14:val="tx1"/>
                  </w14:solidFill>
                </w14:textFill>
              </w:rPr>
              <w:t xml:space="preserve"> 名</w:t>
            </w:r>
            <w:r>
              <w:rPr>
                <w:rFonts w:ascii="宋体" w:hAnsi="宋体" w:hint="eastAsia"/>
              </w:rPr>
              <w:t xml:space="preserve">                </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7.2.2</w:t>
            </w:r>
          </w:p>
        </w:tc>
        <w:tc>
          <w:tcPr>
            <w:tcW w:w="2181" w:type="dxa"/>
            <w:gridSpan w:val="2"/>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cs="宋体" w:hint="eastAsia"/>
                <w:bCs/>
              </w:rPr>
              <w:t>考</w:t>
            </w:r>
            <w:r>
              <w:rPr>
                <w:rFonts w:ascii="宋体" w:hAnsi="宋体" w:cs="宋体"/>
                <w:bCs/>
              </w:rPr>
              <w:t xml:space="preserve">  </w:t>
            </w:r>
            <w:r>
              <w:rPr>
                <w:rFonts w:ascii="宋体" w:hAnsi="宋体" w:cs="宋体" w:hint="eastAsia"/>
                <w:bCs/>
              </w:rPr>
              <w:t>察</w:t>
            </w:r>
          </w:p>
        </w:tc>
        <w:tc>
          <w:tcPr>
            <w:tcW w:w="5458" w:type="dxa"/>
            <w:tcBorders>
              <w:top w:val="single" w:sz="4" w:space="0" w:color="auto"/>
              <w:left w:val="single" w:sz="4" w:space="0" w:color="auto"/>
              <w:bottom w:val="single" w:sz="4" w:space="0" w:color="auto"/>
              <w:right w:val="single" w:sz="4" w:space="0" w:color="auto"/>
            </w:tcBorders>
            <w:vAlign w:val="center"/>
          </w:tcPr>
          <w:p>
            <w:pPr>
              <w:adjustRightInd w:val="0"/>
              <w:spacing w:line="560" w:lineRule="exact"/>
              <w:textAlignment w:val="baseline"/>
              <w:rPr>
                <w:rFonts w:ascii="宋体" w:hAnsi="宋体"/>
              </w:rPr>
            </w:pPr>
            <w:r>
              <w:rPr>
                <w:rFonts w:ascii="宋体" w:hAnsi="宋体" w:hint="eastAsia"/>
              </w:rPr>
              <w:t>招标人根据需要确定</w:t>
            </w:r>
          </w:p>
        </w:tc>
      </w:tr>
      <w:tr>
        <w:tblPrEx>
          <w:tblW w:w="8755" w:type="dxa"/>
          <w:tblInd w:w="0" w:type="dxa"/>
          <w:tblLayout w:type="fixed"/>
          <w:tblCellMar>
            <w:top w:w="0" w:type="dxa"/>
            <w:left w:w="108" w:type="dxa"/>
            <w:bottom w:w="0" w:type="dxa"/>
            <w:right w:w="108" w:type="dxa"/>
          </w:tblCellMar>
        </w:tblPrEx>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b/>
              </w:rPr>
            </w:pPr>
            <w:r>
              <w:rPr>
                <w:rFonts w:ascii="宋体" w:hAnsi="宋体" w:hint="eastAsia"/>
                <w:b/>
              </w:rPr>
              <w:t>10</w:t>
            </w:r>
          </w:p>
        </w:tc>
        <w:tc>
          <w:tcPr>
            <w:tcW w:w="7639" w:type="dxa"/>
            <w:gridSpan w:val="3"/>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b/>
              </w:rPr>
            </w:pPr>
            <w:r>
              <w:rPr>
                <w:rFonts w:ascii="宋体" w:hAnsi="宋体" w:hint="eastAsia"/>
                <w:b/>
              </w:rPr>
              <w:t>需要补充的其他内容</w:t>
            </w:r>
          </w:p>
        </w:tc>
      </w:tr>
      <w:tr>
        <w:tblPrEx>
          <w:tblW w:w="8755" w:type="dxa"/>
          <w:tblInd w:w="0" w:type="dxa"/>
          <w:tblLayout w:type="fixed"/>
          <w:tblCellMar>
            <w:top w:w="0" w:type="dxa"/>
            <w:left w:w="108" w:type="dxa"/>
            <w:bottom w:w="0" w:type="dxa"/>
            <w:right w:w="108" w:type="dxa"/>
          </w:tblCellMar>
        </w:tblPrEx>
        <w:trPr>
          <w:trHeight w:val="660"/>
        </w:trPr>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10.2</w:t>
            </w:r>
          </w:p>
        </w:tc>
        <w:tc>
          <w:tcPr>
            <w:tcW w:w="1912"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最高投标限价</w:t>
            </w:r>
          </w:p>
        </w:tc>
        <w:tc>
          <w:tcPr>
            <w:tcW w:w="5727" w:type="dxa"/>
            <w:gridSpan w:val="2"/>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cs="宋体"/>
                <w:b/>
                <w:u w:val="single"/>
              </w:rPr>
            </w:pPr>
            <w:r>
              <w:rPr>
                <w:rFonts w:ascii="宋体" w:hAnsi="宋体" w:cs="宋体"/>
                <w:b/>
                <w:color w:val="000000" w:themeColor="text1"/>
                <w:u w:val="none"/>
                <w14:textFill>
                  <w14:solidFill>
                    <w14:schemeClr w14:val="tx1"/>
                  </w14:solidFill>
                </w14:textFill>
              </w:rPr>
              <w:t>本</w:t>
            </w:r>
            <w:r>
              <w:rPr>
                <w:rFonts w:ascii="宋体" w:hAnsi="宋体" w:cs="宋体" w:hint="eastAsia"/>
                <w:b/>
                <w:color w:val="000000" w:themeColor="text1"/>
                <w:u w:val="none"/>
                <w14:textFill>
                  <w14:solidFill>
                    <w14:schemeClr w14:val="tx1"/>
                  </w14:solidFill>
                </w14:textFill>
              </w:rPr>
              <w:t>项目最高投标限价价为</w:t>
            </w:r>
            <w:r>
              <w:rPr>
                <w:rFonts w:ascii="宋体" w:hAnsi="宋体" w:cs="宋体" w:hint="eastAsia"/>
                <w:b/>
                <w:color w:val="000000" w:themeColor="text1"/>
                <w:u w:val="none"/>
                <w:lang w:val="en-US" w:eastAsia="zh-CN"/>
                <w14:textFill>
                  <w14:solidFill>
                    <w14:schemeClr w14:val="tx1"/>
                  </w14:solidFill>
                </w14:textFill>
              </w:rPr>
              <w:t>2356355.04</w:t>
            </w:r>
            <w:r>
              <w:rPr>
                <w:rFonts w:ascii="宋体" w:hAnsi="宋体" w:cs="宋体" w:hint="eastAsia"/>
                <w:b/>
                <w:color w:val="000000" w:themeColor="text1"/>
                <w:u w:val="none"/>
                <w14:textFill>
                  <w14:solidFill>
                    <w14:schemeClr w14:val="tx1"/>
                  </w14:solidFill>
                </w14:textFill>
              </w:rPr>
              <w:t>元，投标人投标报价大于或等于最高投标限价的，否决其投标。</w:t>
            </w:r>
          </w:p>
        </w:tc>
      </w:tr>
      <w:tr>
        <w:tblPrEx>
          <w:tblW w:w="8755" w:type="dxa"/>
          <w:tblInd w:w="0" w:type="dxa"/>
          <w:tblLayout w:type="fixed"/>
          <w:tblCellMar>
            <w:top w:w="0" w:type="dxa"/>
            <w:left w:w="108" w:type="dxa"/>
            <w:bottom w:w="0" w:type="dxa"/>
            <w:right w:w="108" w:type="dxa"/>
          </w:tblCellMar>
        </w:tblPrEx>
        <w:trPr>
          <w:trHeight w:val="247"/>
        </w:trPr>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10.6</w:t>
            </w:r>
          </w:p>
        </w:tc>
        <w:tc>
          <w:tcPr>
            <w:tcW w:w="1912"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中标通知书发出的形式</w:t>
            </w:r>
          </w:p>
        </w:tc>
        <w:tc>
          <w:tcPr>
            <w:tcW w:w="5727" w:type="dxa"/>
            <w:gridSpan w:val="2"/>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MS Gothic" w:eastAsia="MS Gothic" w:hAnsi="MS Gothic" w:cs="MS Gothic" w:hint="eastAsia"/>
              </w:rPr>
              <w:t>☑</w:t>
            </w:r>
            <w:r>
              <w:rPr>
                <w:rFonts w:ascii="MS Gothic" w:eastAsia="宋体" w:hAnsi="MS Gothic" w:cs="MS Gothic" w:hint="eastAsia"/>
                <w:lang w:val="en-US" w:eastAsia="zh-CN"/>
              </w:rPr>
              <w:t>电子版</w:t>
            </w:r>
            <w:r>
              <w:rPr>
                <w:rFonts w:ascii="宋体" w:hAnsi="宋体" w:hint="eastAsia"/>
              </w:rPr>
              <w:t xml:space="preserve">  </w:t>
            </w:r>
          </w:p>
        </w:tc>
      </w:tr>
    </w:tbl>
    <w:p>
      <w:pPr>
        <w:sectPr>
          <w:type w:val="nextPage"/>
          <w:pgSz w:w="11910" w:h="16840"/>
          <w:pgMar w:top="1380" w:right="1440" w:bottom="1580" w:left="1580" w:header="890" w:footer="1363" w:gutter="0"/>
          <w:pgNumType w:start="8"/>
          <w:cols w:num="1" w:space="720"/>
          <w:titlePg w:val="0"/>
        </w:sectPr>
      </w:pPr>
    </w:p>
    <w:tbl>
      <w:tblPr>
        <w:tblStyle w:val="TableNormal"/>
        <w:tblW w:w="8755" w:type="dxa"/>
        <w:tblInd w:w="0" w:type="dxa"/>
        <w:tblLayout w:type="fixed"/>
        <w:tblCellMar>
          <w:top w:w="0" w:type="dxa"/>
          <w:left w:w="108" w:type="dxa"/>
          <w:bottom w:w="0" w:type="dxa"/>
          <w:right w:w="108" w:type="dxa"/>
        </w:tblCellMar>
      </w:tblPr>
      <w:tblGrid>
        <w:gridCol w:w="1116"/>
        <w:gridCol w:w="1912"/>
        <w:gridCol w:w="5727"/>
      </w:tblGrid>
      <w:tr>
        <w:tblPrEx>
          <w:tblW w:w="8755" w:type="dxa"/>
          <w:tblInd w:w="0" w:type="dxa"/>
          <w:tblLayout w:type="fixed"/>
          <w:tblCellMar>
            <w:top w:w="0" w:type="dxa"/>
            <w:left w:w="108" w:type="dxa"/>
            <w:bottom w:w="0" w:type="dxa"/>
            <w:right w:w="108" w:type="dxa"/>
          </w:tblCellMar>
        </w:tblPrEx>
        <w:trPr>
          <w:trHeight w:val="10245"/>
        </w:trPr>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10.8</w:t>
            </w:r>
          </w:p>
        </w:tc>
        <w:tc>
          <w:tcPr>
            <w:tcW w:w="1912"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合同价款的方式</w:t>
            </w:r>
          </w:p>
        </w:tc>
        <w:tc>
          <w:tcPr>
            <w:tcW w:w="5727"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before="48" w:beforeLines="20" w:after="48" w:afterLines="20" w:line="360" w:lineRule="auto"/>
              <w:ind w:left="149" w:firstLine="420" w:leftChars="71" w:firstLineChars="200"/>
              <w:rPr>
                <w:rFonts w:ascii="宋体" w:hAnsi="宋体" w:cs="宋体"/>
              </w:rPr>
            </w:pPr>
            <w:r>
              <w:rPr>
                <w:rFonts w:ascii="Wingdings 2" w:eastAsia="宋体" w:hAnsi="Wingdings 2" w:cs="MS Gothic"/>
                <w:lang w:eastAsia="zh-CN"/>
              </w:rPr>
              <w:t>R</w:t>
            </w:r>
            <w:r>
              <w:rPr>
                <w:rFonts w:ascii="宋体" w:hAnsi="宋体" w:cs="宋体" w:hint="eastAsia"/>
                <w:lang w:val="en-US" w:eastAsia="zh-CN"/>
              </w:rPr>
              <w:t>总</w:t>
            </w:r>
            <w:r>
              <w:rPr>
                <w:rFonts w:ascii="宋体" w:eastAsia="宋体" w:hAnsi="宋体" w:cs="宋体" w:hint="eastAsia"/>
                <w:lang w:eastAsia="zh-CN"/>
              </w:rPr>
              <w:t>价</w:t>
            </w:r>
            <w:r>
              <w:rPr>
                <w:rFonts w:ascii="宋体" w:hAnsi="宋体" w:cs="宋体" w:hint="eastAsia"/>
              </w:rPr>
              <w:t>合同</w:t>
            </w:r>
          </w:p>
          <w:p>
            <w:pPr>
              <w:adjustRightInd w:val="0"/>
              <w:snapToGrid w:val="0"/>
              <w:spacing w:before="48" w:beforeLines="20" w:after="48" w:afterLines="20" w:line="360" w:lineRule="auto"/>
              <w:ind w:left="149" w:firstLine="420" w:leftChars="71" w:firstLineChars="200"/>
              <w:rPr>
                <w:rFonts w:cs="仿宋"/>
                <w:kern w:val="0"/>
              </w:rPr>
            </w:pPr>
            <w:r>
              <w:rPr>
                <w:rFonts w:ascii="宋体" w:hAnsi="宋体" w:cs="宋体" w:hint="eastAsia"/>
                <w:kern w:val="0"/>
              </w:rPr>
              <w:t>投标人投标时采用</w:t>
            </w:r>
            <w:r>
              <w:rPr>
                <w:rFonts w:ascii="宋体" w:hAnsi="宋体" w:cs="宋体" w:hint="eastAsia"/>
                <w:kern w:val="0"/>
                <w:lang w:eastAsia="zh-CN"/>
              </w:rPr>
              <w:t>固定单价</w:t>
            </w:r>
            <w:r>
              <w:rPr>
                <w:rFonts w:ascii="宋体" w:hAnsi="宋体" w:cs="宋体" w:hint="eastAsia"/>
                <w:kern w:val="0"/>
              </w:rPr>
              <w:t>报价方式，投标人不再对清单进行</w:t>
            </w:r>
            <w:r>
              <w:rPr>
                <w:rFonts w:ascii="宋体" w:hAnsi="宋体" w:cs="宋体" w:hint="eastAsia"/>
                <w:b/>
                <w:kern w:val="0"/>
              </w:rPr>
              <w:t>分项报价。</w:t>
            </w:r>
            <w:r>
              <w:rPr>
                <w:rFonts w:cs="仿宋" w:hint="eastAsia"/>
                <w:b/>
                <w:kern w:val="0"/>
              </w:rPr>
              <w:t>投标报价</w:t>
            </w:r>
            <w:r>
              <w:rPr>
                <w:rFonts w:cs="仿宋" w:hint="eastAsia"/>
                <w:kern w:val="0"/>
              </w:rPr>
              <w:t>浮动率</w:t>
            </w:r>
            <w:r>
              <w:rPr>
                <w:rFonts w:cs="仿宋"/>
                <w:kern w:val="0"/>
              </w:rPr>
              <w:t xml:space="preserve"> =</w:t>
            </w:r>
            <w:r>
              <w:rPr>
                <w:rFonts w:cs="仿宋" w:hint="eastAsia"/>
                <w:kern w:val="0"/>
              </w:rPr>
              <w:t>【投标报价</w:t>
            </w:r>
            <w:r>
              <w:rPr>
                <w:rFonts w:cs="仿宋"/>
                <w:kern w:val="0"/>
              </w:rPr>
              <w:t>-</w:t>
            </w:r>
            <w:r>
              <w:rPr>
                <w:rFonts w:cs="仿宋" w:hint="eastAsia"/>
                <w:kern w:val="0"/>
              </w:rPr>
              <w:t>（</w:t>
            </w:r>
            <w:r>
              <w:rPr>
                <w:rFonts w:cs="仿宋"/>
                <w:kern w:val="0"/>
              </w:rPr>
              <w:t xml:space="preserve"> </w:t>
            </w:r>
            <w:r>
              <w:rPr>
                <w:rFonts w:cs="仿宋" w:hint="eastAsia"/>
                <w:kern w:val="0"/>
              </w:rPr>
              <w:t>暂估价、暂列金额）】</w:t>
            </w:r>
            <w:r>
              <w:rPr>
                <w:rFonts w:cs="仿宋"/>
                <w:kern w:val="0"/>
              </w:rPr>
              <w:t>/</w:t>
            </w:r>
            <w:r>
              <w:rPr>
                <w:rFonts w:cs="仿宋" w:hint="eastAsia"/>
                <w:kern w:val="0"/>
              </w:rPr>
              <w:t>【最高投标限价</w:t>
            </w:r>
            <w:r>
              <w:rPr>
                <w:rFonts w:cs="仿宋"/>
                <w:kern w:val="0"/>
              </w:rPr>
              <w:t>-</w:t>
            </w:r>
            <w:r>
              <w:rPr>
                <w:rFonts w:cs="仿宋" w:hint="eastAsia"/>
                <w:kern w:val="0"/>
              </w:rPr>
              <w:t>（暂估价、暂列金额）】</w:t>
            </w:r>
            <w:r>
              <w:rPr>
                <w:rFonts w:cs="仿宋"/>
                <w:kern w:val="0"/>
              </w:rPr>
              <w:t>*100%</w:t>
            </w:r>
            <w:r>
              <w:rPr>
                <w:rFonts w:cs="仿宋" w:hint="eastAsia"/>
                <w:kern w:val="0"/>
              </w:rPr>
              <w:t>（</w:t>
            </w:r>
            <w:r>
              <w:rPr>
                <w:rFonts w:hint="eastAsia"/>
                <w:b/>
                <w:bCs/>
              </w:rPr>
              <w:t>保留两位小数，小数点后第三位四舍五入</w:t>
            </w:r>
            <w:r>
              <w:rPr>
                <w:rFonts w:cs="仿宋" w:hint="eastAsia"/>
                <w:kern w:val="0"/>
              </w:rPr>
              <w:t>）</w:t>
            </w:r>
            <w:r>
              <w:rPr>
                <w:rFonts w:ascii="宋体" w:hAnsi="宋体" w:cs="宋体" w:hint="eastAsia"/>
                <w:kern w:val="0"/>
              </w:rPr>
              <w:t xml:space="preserve">。 </w:t>
            </w:r>
          </w:p>
          <w:p>
            <w:pPr>
              <w:spacing w:line="360" w:lineRule="auto"/>
              <w:ind w:firstLine="420" w:firstLineChars="200"/>
              <w:rPr>
                <w:rFonts w:ascii="宋体" w:hAnsi="宋体" w:cs="宋体"/>
              </w:rPr>
            </w:pPr>
            <w:r>
              <w:rPr>
                <w:rFonts w:ascii="宋体" w:hAnsi="宋体" w:cs="宋体" w:hint="eastAsia"/>
              </w:rPr>
              <w:t>工程量清单及最高投标限价的确认：招标人编制的工程量清单及最高投</w:t>
            </w:r>
            <w:r>
              <w:rPr>
                <w:rFonts w:ascii="宋体" w:hAnsi="宋体" w:cs="宋体" w:hint="eastAsia"/>
                <w:b/>
              </w:rPr>
              <w:t>标限价作为本次投标报</w:t>
            </w:r>
            <w:r>
              <w:rPr>
                <w:rFonts w:ascii="宋体" w:hAnsi="宋体" w:cs="宋体" w:hint="eastAsia"/>
              </w:rPr>
              <w:t>价的基础依据，投标人应在投标答疑截止时间前根据施工图对招标人提供的工程量清单及最高投标限价组价进行核算并提出异议，分项</w:t>
            </w:r>
            <w:r>
              <w:rPr>
                <w:rFonts w:ascii="宋体" w:hAnsi="宋体" w:cs="宋体" w:hint="eastAsia"/>
                <w:b/>
              </w:rPr>
              <w:t>工程量误差在正负3%之内的不予调整。若投标人在规定的期限内提出异议，并提供相应的工程量计算书</w:t>
            </w:r>
            <w:r>
              <w:rPr>
                <w:rFonts w:ascii="宋体" w:hAnsi="宋体" w:cs="宋体" w:hint="eastAsia"/>
              </w:rPr>
              <w:t>，</w:t>
            </w:r>
            <w:r>
              <w:rPr>
                <w:rFonts w:ascii="宋体" w:hAnsi="宋体" w:cs="宋体" w:hint="eastAsia"/>
                <w:b/>
              </w:rPr>
              <w:t>以便招标</w:t>
            </w:r>
            <w:r>
              <w:rPr>
                <w:rFonts w:ascii="宋体" w:hAnsi="宋体" w:cs="宋体" w:hint="eastAsia"/>
              </w:rPr>
              <w:t>人及时核对，并以招标人重新确定</w:t>
            </w:r>
            <w:r>
              <w:rPr>
                <w:rFonts w:ascii="宋体" w:hAnsi="宋体" w:cs="宋体" w:hint="eastAsia"/>
                <w:b/>
              </w:rPr>
              <w:t>的工程量清单作</w:t>
            </w:r>
            <w:r>
              <w:rPr>
                <w:rFonts w:ascii="宋体" w:hAnsi="宋体" w:cs="宋体" w:hint="eastAsia"/>
              </w:rPr>
              <w:t>为报价依据，开标后</w:t>
            </w:r>
            <w:r>
              <w:rPr>
                <w:rFonts w:ascii="宋体" w:hAnsi="宋体" w:cs="宋体" w:hint="eastAsia"/>
                <w:b/>
              </w:rPr>
              <w:t>工程量清单</w:t>
            </w:r>
            <w:r>
              <w:rPr>
                <w:rFonts w:ascii="宋体" w:hAnsi="宋体" w:cs="宋体" w:hint="eastAsia"/>
              </w:rPr>
              <w:t xml:space="preserve">及最高投标限价组价一律不予调整（设计变更、经济签证、工程联系单等除外）。 </w:t>
            </w:r>
          </w:p>
          <w:p>
            <w:pPr>
              <w:spacing w:line="360" w:lineRule="auto"/>
              <w:ind w:firstLine="420" w:firstLineChars="200"/>
              <w:rPr>
                <w:rFonts w:ascii="宋体" w:hAnsi="宋体" w:cs="宋体"/>
              </w:rPr>
            </w:pPr>
            <w:r>
              <w:rPr>
                <w:rFonts w:ascii="宋体" w:hAnsi="宋体" w:cs="宋体" w:hint="eastAsia"/>
              </w:rPr>
              <w:t>技术规范要求的费用应包括在投标报价中。在设计图</w:t>
            </w:r>
            <w:r>
              <w:rPr>
                <w:rFonts w:ascii="宋体" w:hAnsi="宋体" w:cs="宋体" w:hint="eastAsia"/>
                <w:b/>
              </w:rPr>
              <w:t>中如无图示或未表达明确的</w:t>
            </w:r>
            <w:r>
              <w:rPr>
                <w:rFonts w:ascii="宋体" w:hAnsi="宋体" w:cs="宋体" w:hint="eastAsia"/>
              </w:rPr>
              <w:t>，且各投标单位没在规定期限内提出异议，决算时不得调整造价，视为该项费用已包括在投标总价内。</w:t>
            </w:r>
          </w:p>
          <w:p>
            <w:pPr>
              <w:spacing w:line="360" w:lineRule="auto"/>
              <w:rPr>
                <w:rFonts w:ascii="宋体" w:hAnsi="宋体"/>
              </w:rPr>
            </w:pPr>
            <w:r>
              <w:rPr>
                <w:rFonts w:ascii="宋体" w:hAnsi="宋体" w:hint="eastAsia"/>
              </w:rPr>
              <w:t xml:space="preserve">    后期结算过程中利用招标人发布的工程量清单及分项组价作为结算依据。为规范工程结算管理， 发布招标文件时， 最高投标限价、工程量清单及工程项目最高投标限价汇总表、单项工程组价汇总表、单位工程组价汇总表、分部分项工程量清单计价表、措施项目清单计价表、其他项目清单计价汇总表、规费、税金项目清单计价表、主要材料价格表等一同发布，以利于后期作为结算的依据。</w:t>
            </w:r>
          </w:p>
          <w:p>
            <w:pPr>
              <w:spacing w:line="360" w:lineRule="auto"/>
              <w:rPr>
                <w:rFonts w:ascii="宋体" w:hAnsi="宋体"/>
              </w:rPr>
            </w:pPr>
          </w:p>
        </w:tc>
      </w:tr>
      <w:tr>
        <w:tblPrEx>
          <w:tblW w:w="8755" w:type="dxa"/>
          <w:tblInd w:w="0" w:type="dxa"/>
          <w:tblLayout w:type="fixed"/>
          <w:tblCellMar>
            <w:top w:w="0" w:type="dxa"/>
            <w:left w:w="108" w:type="dxa"/>
            <w:bottom w:w="0" w:type="dxa"/>
            <w:right w:w="108" w:type="dxa"/>
          </w:tblCellMar>
        </w:tblPrEx>
        <w:trPr>
          <w:trHeight w:val="744"/>
        </w:trPr>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10.9</w:t>
            </w:r>
          </w:p>
        </w:tc>
        <w:tc>
          <w:tcPr>
            <w:tcW w:w="1912"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Style w:val="NormalCharacter"/>
                <w:rFonts w:ascii="宋体" w:hAnsi="宋体" w:cs="宋体"/>
                <w:bCs/>
              </w:rPr>
              <w:t>质疑和投诉的处理</w:t>
            </w:r>
          </w:p>
        </w:tc>
        <w:tc>
          <w:tcPr>
            <w:tcW w:w="5727"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ind w:firstLine="105" w:firstLineChars="50"/>
              <w:jc w:val="left"/>
              <w:textAlignment w:val="baseline"/>
              <w:rPr>
                <w:rFonts w:ascii="宋体" w:hAnsi="宋体"/>
                <w:strike/>
              </w:rPr>
            </w:pPr>
            <w:r>
              <w:rPr>
                <w:rStyle w:val="NormalCharacter"/>
                <w:rFonts w:ascii="宋体" w:hAnsi="宋体" w:cs="宋体"/>
                <w:bCs/>
              </w:rPr>
              <w:t>该项目非集中采购项目，质疑和投诉由招标人负责处理。</w:t>
            </w:r>
          </w:p>
        </w:tc>
      </w:tr>
      <w:tr>
        <w:tblPrEx>
          <w:tblW w:w="8755" w:type="dxa"/>
          <w:tblInd w:w="0" w:type="dxa"/>
          <w:tblLayout w:type="fixed"/>
          <w:tblCellMar>
            <w:top w:w="0" w:type="dxa"/>
            <w:left w:w="108" w:type="dxa"/>
            <w:bottom w:w="0" w:type="dxa"/>
            <w:right w:w="108" w:type="dxa"/>
          </w:tblCellMar>
        </w:tblPrEx>
        <w:trPr>
          <w:trHeight w:val="345"/>
        </w:trPr>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10.10</w:t>
            </w:r>
          </w:p>
        </w:tc>
        <w:tc>
          <w:tcPr>
            <w:tcW w:w="1912"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同义词语</w:t>
            </w:r>
          </w:p>
        </w:tc>
        <w:tc>
          <w:tcPr>
            <w:tcW w:w="5727"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left"/>
              <w:textAlignment w:val="baseline"/>
              <w:rPr>
                <w:rFonts w:ascii="宋体" w:hAnsi="宋体" w:cs="宋体"/>
              </w:rPr>
            </w:pPr>
            <w:r>
              <w:rPr>
                <w:rFonts w:ascii="宋体" w:hAnsi="宋体" w:cs="宋体" w:hint="eastAsia"/>
              </w:rPr>
              <w:t>构成招标文件组成部分的“通用合同条款”、“专用合同条款”、“技术标准和要求”和“工程量清单”等章节中出现的措辞 “发包人”和“承包人”，在招标投标阶段应当分别按“招标人”和“投标人”进行理解。</w:t>
            </w:r>
          </w:p>
        </w:tc>
      </w:tr>
      <w:tr>
        <w:tblPrEx>
          <w:tblW w:w="8755" w:type="dxa"/>
          <w:tblInd w:w="0" w:type="dxa"/>
          <w:tblLayout w:type="fixed"/>
          <w:tblCellMar>
            <w:top w:w="0" w:type="dxa"/>
            <w:left w:w="108" w:type="dxa"/>
            <w:bottom w:w="0" w:type="dxa"/>
            <w:right w:w="108" w:type="dxa"/>
          </w:tblCellMar>
        </w:tblPrEx>
        <w:trPr>
          <w:trHeight w:val="375"/>
        </w:trPr>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10.11</w:t>
            </w:r>
          </w:p>
        </w:tc>
        <w:tc>
          <w:tcPr>
            <w:tcW w:w="1912"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招标文件解释权</w:t>
            </w:r>
          </w:p>
        </w:tc>
        <w:tc>
          <w:tcPr>
            <w:tcW w:w="5727" w:type="dxa"/>
            <w:tcBorders>
              <w:top w:val="single" w:sz="4" w:space="0" w:color="auto"/>
              <w:left w:val="single" w:sz="4" w:space="0" w:color="auto"/>
              <w:bottom w:val="single" w:sz="4" w:space="0" w:color="auto"/>
              <w:right w:val="single" w:sz="4" w:space="0" w:color="auto"/>
            </w:tcBorders>
            <w:vAlign w:val="center"/>
          </w:tcPr>
          <w:p>
            <w:pPr>
              <w:adjustRightInd w:val="0"/>
              <w:spacing w:after="0" w:line="360" w:lineRule="auto"/>
              <w:jc w:val="left"/>
              <w:textAlignment w:val="baseline"/>
              <w:rPr>
                <w:rFonts w:ascii="宋体" w:hAnsi="宋体" w:cs="宋体"/>
              </w:rPr>
            </w:pPr>
          </w:p>
        </w:tc>
      </w:tr>
    </w:tbl>
    <w:p>
      <w:pPr>
        <w:sectPr>
          <w:type w:val="nextPage"/>
          <w:pgSz w:w="11910" w:h="16840"/>
          <w:pgMar w:top="1380" w:right="1440" w:bottom="1580" w:left="1580" w:header="890" w:footer="1363" w:gutter="0"/>
          <w:pgNumType w:start="9"/>
          <w:cols w:num="1" w:space="720"/>
          <w:titlePg w:val="0"/>
        </w:sectPr>
      </w:pPr>
    </w:p>
    <w:tbl>
      <w:tblPr>
        <w:tblStyle w:val="TableNormal"/>
        <w:tblW w:w="8755" w:type="dxa"/>
        <w:tblInd w:w="0" w:type="dxa"/>
        <w:tblLayout w:type="fixed"/>
        <w:tblCellMar>
          <w:top w:w="0" w:type="dxa"/>
          <w:left w:w="108" w:type="dxa"/>
          <w:bottom w:w="0" w:type="dxa"/>
          <w:right w:w="108" w:type="dxa"/>
        </w:tblCellMar>
      </w:tblPr>
      <w:tblGrid>
        <w:gridCol w:w="1116"/>
        <w:gridCol w:w="1912"/>
        <w:gridCol w:w="5727"/>
      </w:tblGrid>
      <w:tr>
        <w:tblPrEx>
          <w:tblW w:w="8755" w:type="dxa"/>
          <w:tblInd w:w="0" w:type="dxa"/>
          <w:tblLayout w:type="fixed"/>
          <w:tblCellMar>
            <w:top w:w="0" w:type="dxa"/>
            <w:left w:w="108" w:type="dxa"/>
            <w:bottom w:w="0" w:type="dxa"/>
            <w:right w:w="108" w:type="dxa"/>
          </w:tblCellMar>
        </w:tblPrEx>
        <w:trPr>
          <w:trHeight w:val="375"/>
        </w:trPr>
        <w:tc>
          <w:tcPr>
            <w:tcW w:w="1116" w:type="dxa"/>
            <w:tcBorders>
              <w:top w:val="single" w:sz="4" w:space="0" w:color="auto"/>
              <w:left w:val="single" w:sz="4" w:space="0" w:color="auto"/>
              <w:bottom w:val="single" w:sz="4" w:space="0" w:color="auto"/>
              <w:right w:val="single" w:sz="4" w:space="0" w:color="auto"/>
            </w:tcBorders>
            <w:vAlign w:val="center"/>
          </w:tcPr>
          <w:p/>
        </w:tc>
        <w:tc>
          <w:tcPr>
            <w:tcW w:w="1912" w:type="dxa"/>
            <w:tcBorders>
              <w:top w:val="single" w:sz="4" w:space="0" w:color="auto"/>
              <w:left w:val="single" w:sz="4" w:space="0" w:color="auto"/>
              <w:bottom w:val="single" w:sz="4" w:space="0" w:color="auto"/>
              <w:right w:val="single" w:sz="4" w:space="0" w:color="auto"/>
            </w:tcBorders>
            <w:vAlign w:val="center"/>
          </w:tcPr>
          <w:p/>
        </w:tc>
        <w:tc>
          <w:tcPr>
            <w:tcW w:w="5727" w:type="dxa"/>
            <w:tcBorders>
              <w:top w:val="single" w:sz="4" w:space="0" w:color="auto"/>
              <w:left w:val="single" w:sz="4" w:space="0" w:color="auto"/>
              <w:bottom w:val="single" w:sz="4" w:space="0" w:color="auto"/>
              <w:right w:val="single" w:sz="4" w:space="0" w:color="auto"/>
            </w:tcBorders>
            <w:vAlign w:val="center"/>
          </w:tcPr>
          <w:p>
            <w:pPr>
              <w:adjustRightInd w:val="0"/>
              <w:spacing w:before="0" w:line="360" w:lineRule="auto"/>
              <w:jc w:val="left"/>
              <w:textAlignment w:val="baseline"/>
              <w:rPr>
                <w:rFonts w:ascii="宋体" w:hAnsi="宋体" w:cs="宋体"/>
              </w:rPr>
            </w:pPr>
            <w:r>
              <w:rPr>
                <w:rFonts w:ascii="宋体" w:hAnsi="宋体" w:cs="宋体" w:hint="eastAsia"/>
              </w:rPr>
              <w:t>构成本招标文件的各个组成文件应互为解释，互为说明；如有不明确或不一致，构成合同文件组成内容，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r>
              <w:t>本项目不属于依法必须招标的项目，也不属于政府采购项目，不受《中华人民共和国招标投标法》和《中华人民共和国政府采购法》约束，仅以企业的规章制度或项目采购文件为依据。</w:t>
            </w:r>
          </w:p>
        </w:tc>
      </w:tr>
      <w:tr>
        <w:tblPrEx>
          <w:tblW w:w="8755" w:type="dxa"/>
          <w:tblInd w:w="0" w:type="dxa"/>
          <w:tblLayout w:type="fixed"/>
          <w:tblCellMar>
            <w:top w:w="0" w:type="dxa"/>
            <w:left w:w="108" w:type="dxa"/>
            <w:bottom w:w="0" w:type="dxa"/>
            <w:right w:w="108" w:type="dxa"/>
          </w:tblCellMar>
        </w:tblPrEx>
        <w:trPr>
          <w:trHeight w:val="2427"/>
        </w:trPr>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10.13</w:t>
            </w:r>
          </w:p>
        </w:tc>
        <w:tc>
          <w:tcPr>
            <w:tcW w:w="1912"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hint="default"/>
              </w:rPr>
            </w:pPr>
            <w:r>
              <w:rPr>
                <w:rStyle w:val="NormalCharacter"/>
                <w:rFonts w:ascii="宋体" w:hAnsi="宋体" w:cs="宋体" w:hint="eastAsia"/>
                <w:bCs/>
                <w:lang w:val="en-US" w:eastAsia="zh-CN"/>
              </w:rPr>
              <w:t>项目班组</w:t>
            </w:r>
          </w:p>
        </w:tc>
        <w:tc>
          <w:tcPr>
            <w:tcW w:w="5727" w:type="dxa"/>
            <w:tcBorders>
              <w:top w:val="single" w:sz="4" w:space="0" w:color="auto"/>
              <w:left w:val="single" w:sz="4" w:space="0" w:color="auto"/>
              <w:bottom w:val="single" w:sz="4" w:space="0" w:color="auto"/>
              <w:right w:val="single" w:sz="4" w:space="0" w:color="auto"/>
            </w:tcBorders>
            <w:vAlign w:val="center"/>
          </w:tcPr>
          <w:p>
            <w:pPr>
              <w:numPr>
                <w:ilvl w:val="0"/>
                <w:numId w:val="1"/>
              </w:numPr>
              <w:spacing w:line="360" w:lineRule="auto"/>
              <w:rPr>
                <w:rStyle w:val="NormalCharacter"/>
                <w:rFonts w:ascii="宋体" w:eastAsiaTheme="minorEastAsia" w:hAnsiTheme="minorHAnsi" w:cs="宋体" w:hint="eastAsia"/>
                <w:bCs/>
                <w:color w:val="000000"/>
              </w:rPr>
            </w:pPr>
            <w:r>
              <w:rPr>
                <w:rStyle w:val="NormalCharacter"/>
                <w:rFonts w:ascii="宋体" w:eastAsiaTheme="minorEastAsia" w:hAnsiTheme="minorHAnsi" w:cs="宋体" w:hint="eastAsia"/>
                <w:bCs/>
                <w:color w:val="000000"/>
                <w:lang w:val="en-US" w:eastAsia="zh-CN"/>
              </w:rPr>
              <w:t>项目人员要求：（1）</w:t>
            </w:r>
            <w:r>
              <w:rPr>
                <w:rFonts w:hint="eastAsia"/>
                <w:lang w:val="en-US" w:eastAsia="zh-CN"/>
              </w:rPr>
              <w:t>项目经理1人（可由</w:t>
            </w:r>
            <w:r>
              <w:rPr>
                <w:rFonts w:hint="eastAsia"/>
              </w:rPr>
              <w:t>项目负责人</w:t>
            </w:r>
            <w:r>
              <w:rPr>
                <w:rFonts w:hint="eastAsia"/>
                <w:lang w:val="en-US" w:eastAsia="zh-CN"/>
              </w:rPr>
              <w:t>兼任） 1人；</w:t>
            </w:r>
            <w:r>
              <w:rPr>
                <w:rStyle w:val="NormalCharacter"/>
                <w:rFonts w:ascii="宋体" w:eastAsiaTheme="minorEastAsia" w:hAnsiTheme="minorHAnsi" w:cs="宋体" w:hint="eastAsia"/>
                <w:bCs/>
                <w:color w:val="000000"/>
                <w:lang w:val="en-US" w:eastAsia="zh-CN"/>
              </w:rPr>
              <w:t>（2）</w:t>
            </w:r>
            <w:r>
              <w:rPr>
                <w:rStyle w:val="NormalCharacter"/>
                <w:rFonts w:ascii="宋体" w:eastAsiaTheme="minorEastAsia" w:hAnsiTheme="minorHAnsi" w:cs="宋体" w:hint="eastAsia"/>
                <w:bCs/>
                <w:color w:val="000000"/>
              </w:rPr>
              <w:t>技术负责人1人</w:t>
            </w:r>
            <w:r>
              <w:rPr>
                <w:rStyle w:val="NormalCharacter"/>
                <w:rFonts w:ascii="宋体" w:eastAsiaTheme="minorEastAsia" w:hAnsiTheme="minorHAnsi" w:cs="宋体" w:hint="eastAsia"/>
                <w:bCs/>
                <w:color w:val="000000"/>
                <w:lang w:val="en-US" w:eastAsia="zh-CN"/>
              </w:rPr>
              <w:t>具有</w:t>
            </w:r>
            <w:r>
              <w:rPr>
                <w:rStyle w:val="NormalCharacter"/>
                <w:rFonts w:ascii="宋体" w:cs="宋体" w:hint="eastAsia"/>
                <w:bCs/>
                <w:color w:val="000000"/>
              </w:rPr>
              <w:t>中级及以上技术职称</w:t>
            </w:r>
            <w:r>
              <w:rPr>
                <w:rStyle w:val="NormalCharacter"/>
                <w:rFonts w:ascii="宋体" w:eastAsiaTheme="minorEastAsia" w:hAnsiTheme="minorHAnsi" w:cs="宋体" w:hint="eastAsia"/>
                <w:bCs/>
                <w:color w:val="000000"/>
              </w:rPr>
              <w:t>，</w:t>
            </w:r>
            <w:r>
              <w:rPr>
                <w:rStyle w:val="NormalCharacter"/>
                <w:rFonts w:ascii="宋体" w:eastAsiaTheme="minorEastAsia" w:hAnsiTheme="minorHAnsi" w:cs="宋体" w:hint="eastAsia"/>
                <w:bCs/>
                <w:color w:val="000000"/>
                <w:lang w:eastAsia="zh-CN"/>
              </w:rPr>
              <w:t>（</w:t>
            </w:r>
            <w:r>
              <w:rPr>
                <w:rStyle w:val="NormalCharacter"/>
                <w:rFonts w:ascii="宋体" w:eastAsiaTheme="minorEastAsia" w:hAnsiTheme="minorHAnsi" w:cs="宋体" w:hint="eastAsia"/>
                <w:bCs/>
                <w:color w:val="000000"/>
                <w:lang w:val="en-US" w:eastAsia="zh-CN"/>
              </w:rPr>
              <w:t>3</w:t>
            </w:r>
            <w:r>
              <w:rPr>
                <w:rStyle w:val="NormalCharacter"/>
                <w:rFonts w:ascii="宋体" w:eastAsiaTheme="minorEastAsia" w:hAnsiTheme="minorHAnsi" w:cs="宋体" w:hint="eastAsia"/>
                <w:bCs/>
                <w:color w:val="000000"/>
                <w:lang w:eastAsia="zh-CN"/>
              </w:rPr>
              <w:t>）</w:t>
            </w:r>
            <w:r>
              <w:rPr>
                <w:rStyle w:val="NormalCharacter"/>
                <w:rFonts w:ascii="宋体" w:eastAsiaTheme="minorEastAsia" w:hAnsiTheme="minorHAnsi" w:cs="宋体" w:hint="eastAsia"/>
                <w:bCs/>
                <w:color w:val="000000"/>
                <w:lang w:val="en-US" w:eastAsia="zh-CN"/>
              </w:rPr>
              <w:t>其他人员：</w:t>
            </w:r>
            <w:r>
              <w:rPr>
                <w:rStyle w:val="NormalCharacter"/>
                <w:rFonts w:ascii="宋体" w:eastAsiaTheme="minorEastAsia" w:hAnsiTheme="minorHAnsi" w:cs="宋体" w:hint="eastAsia"/>
                <w:bCs/>
                <w:color w:val="000000"/>
              </w:rPr>
              <w:t>质检员</w:t>
            </w:r>
            <w:r>
              <w:rPr>
                <w:rStyle w:val="NormalCharacter"/>
                <w:rFonts w:ascii="宋体" w:eastAsiaTheme="minorEastAsia" w:hAnsiTheme="minorHAnsi" w:cs="宋体" w:hint="eastAsia"/>
                <w:bCs/>
                <w:color w:val="000000"/>
                <w:lang w:val="en-US" w:eastAsia="zh-CN"/>
              </w:rPr>
              <w:t>1</w:t>
            </w:r>
            <w:r>
              <w:rPr>
                <w:rStyle w:val="NormalCharacter"/>
                <w:rFonts w:ascii="宋体" w:eastAsiaTheme="minorEastAsia" w:hAnsiTheme="minorHAnsi" w:cs="宋体" w:hint="eastAsia"/>
                <w:bCs/>
                <w:color w:val="000000"/>
              </w:rPr>
              <w:t>人、安全员</w:t>
            </w:r>
            <w:r>
              <w:rPr>
                <w:rStyle w:val="NormalCharacter"/>
                <w:rFonts w:ascii="宋体" w:eastAsiaTheme="minorEastAsia" w:hAnsiTheme="minorHAnsi" w:cs="宋体" w:hint="eastAsia"/>
                <w:bCs/>
                <w:color w:val="000000"/>
                <w:lang w:val="en-US" w:eastAsia="zh-CN"/>
              </w:rPr>
              <w:t>1</w:t>
            </w:r>
            <w:r>
              <w:rPr>
                <w:rStyle w:val="NormalCharacter"/>
                <w:rFonts w:ascii="宋体" w:eastAsiaTheme="minorEastAsia" w:hAnsiTheme="minorHAnsi" w:cs="宋体" w:hint="eastAsia"/>
                <w:bCs/>
                <w:color w:val="000000"/>
              </w:rPr>
              <w:t>人、施工员</w:t>
            </w:r>
            <w:r>
              <w:rPr>
                <w:rStyle w:val="NormalCharacter"/>
                <w:rFonts w:ascii="宋体" w:eastAsiaTheme="minorEastAsia" w:hAnsiTheme="minorHAnsi" w:cs="宋体" w:hint="eastAsia"/>
                <w:bCs/>
                <w:color w:val="000000"/>
                <w:lang w:val="en-US" w:eastAsia="zh-CN"/>
              </w:rPr>
              <w:t>1</w:t>
            </w:r>
            <w:r>
              <w:rPr>
                <w:rStyle w:val="NormalCharacter"/>
                <w:rFonts w:ascii="宋体" w:eastAsiaTheme="minorEastAsia" w:hAnsiTheme="minorHAnsi" w:cs="宋体" w:hint="eastAsia"/>
                <w:bCs/>
                <w:color w:val="000000"/>
              </w:rPr>
              <w:t>人、材料员</w:t>
            </w:r>
            <w:r>
              <w:rPr>
                <w:rStyle w:val="NormalCharacter"/>
                <w:rFonts w:ascii="宋体" w:eastAsiaTheme="minorEastAsia" w:hAnsiTheme="minorHAnsi" w:cs="宋体" w:hint="eastAsia"/>
                <w:bCs/>
                <w:color w:val="000000"/>
                <w:lang w:val="en-US" w:eastAsia="zh-CN"/>
              </w:rPr>
              <w:t>1</w:t>
            </w:r>
            <w:r>
              <w:rPr>
                <w:rStyle w:val="NormalCharacter"/>
                <w:rFonts w:ascii="宋体" w:eastAsiaTheme="minorEastAsia" w:hAnsiTheme="minorHAnsi" w:cs="宋体" w:hint="eastAsia"/>
                <w:bCs/>
                <w:color w:val="000000"/>
              </w:rPr>
              <w:t>人、资料员1人</w:t>
            </w:r>
            <w:r>
              <w:rPr>
                <w:rStyle w:val="NormalCharacter"/>
                <w:rFonts w:ascii="宋体" w:eastAsiaTheme="minorEastAsia" w:hAnsiTheme="minorHAnsi" w:cs="宋体" w:hint="eastAsia"/>
                <w:bCs/>
                <w:color w:val="000000"/>
                <w:lang w:eastAsia="zh-CN"/>
              </w:rPr>
              <w:t>；</w:t>
            </w:r>
            <w:r>
              <w:rPr>
                <w:rStyle w:val="NormalCharacter"/>
                <w:rFonts w:ascii="宋体" w:eastAsiaTheme="minorEastAsia" w:hAnsiTheme="minorHAnsi" w:cs="宋体" w:hint="eastAsia"/>
                <w:bCs/>
                <w:color w:val="000000"/>
                <w:lang w:val="en-US" w:eastAsia="zh-CN"/>
              </w:rPr>
              <w:t>以上其他人员无需提供岗位证书</w:t>
            </w:r>
            <w:r>
              <w:rPr>
                <w:rStyle w:val="NormalCharacter"/>
                <w:rFonts w:ascii="宋体" w:eastAsiaTheme="minorEastAsia" w:hAnsiTheme="minorHAnsi" w:cs="宋体" w:hint="eastAsia"/>
                <w:bCs/>
                <w:color w:val="000000"/>
                <w:lang w:eastAsia="zh-CN"/>
              </w:rPr>
              <w:t>。</w:t>
            </w:r>
          </w:p>
          <w:p>
            <w:pPr>
              <w:spacing w:line="360" w:lineRule="auto"/>
              <w:rPr>
                <w:rStyle w:val="NormalCharacter"/>
                <w:rFonts w:ascii="宋体" w:eastAsiaTheme="minorEastAsia" w:hAnsiTheme="minorHAnsi" w:cs="宋体" w:hint="eastAsia"/>
                <w:bCs/>
                <w:color w:val="000000"/>
              </w:rPr>
            </w:pPr>
            <w:r>
              <w:rPr>
                <w:rStyle w:val="NormalCharacter"/>
                <w:rFonts w:ascii="宋体" w:cs="宋体" w:hint="eastAsia"/>
                <w:bCs/>
                <w:color w:val="000000"/>
              </w:rPr>
              <w:t>2</w:t>
            </w:r>
            <w:r>
              <w:rPr>
                <w:rStyle w:val="NormalCharacter"/>
                <w:rFonts w:ascii="宋体" w:eastAsiaTheme="minorEastAsia" w:hAnsiTheme="minorHAnsi" w:cs="宋体" w:hint="eastAsia"/>
                <w:bCs/>
                <w:color w:val="000000"/>
                <w:lang w:val="en-US" w:eastAsia="zh-CN"/>
              </w:rPr>
              <w:t>、劳务作业人员应满足现场实际施工需求，当劳务作业人员不能满足现场施工需求时，投标人无条件增加劳务作业人员，且合同价格不作调整。</w:t>
            </w:r>
          </w:p>
        </w:tc>
      </w:tr>
      <w:tr>
        <w:tblPrEx>
          <w:tblW w:w="8755" w:type="dxa"/>
          <w:tblInd w:w="0" w:type="dxa"/>
          <w:tblLayout w:type="fixed"/>
          <w:tblCellMar>
            <w:top w:w="0" w:type="dxa"/>
            <w:left w:w="108" w:type="dxa"/>
            <w:bottom w:w="0" w:type="dxa"/>
            <w:right w:w="108" w:type="dxa"/>
          </w:tblCellMar>
        </w:tblPrEx>
        <w:trPr>
          <w:trHeight w:val="249"/>
        </w:trPr>
        <w:tc>
          <w:tcPr>
            <w:tcW w:w="1116"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textAlignment w:val="baseline"/>
              <w:rPr>
                <w:rFonts w:ascii="宋体" w:hAnsi="宋体"/>
              </w:rPr>
            </w:pPr>
            <w:r>
              <w:rPr>
                <w:rFonts w:ascii="宋体" w:hAnsi="宋体" w:hint="eastAsia"/>
              </w:rPr>
              <w:t>10.14</w:t>
            </w:r>
          </w:p>
        </w:tc>
        <w:tc>
          <w:tcPr>
            <w:tcW w:w="1912"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jc w:val="center"/>
              <w:textAlignment w:val="baseline"/>
              <w:rPr>
                <w:rFonts w:ascii="宋体" w:hAnsi="宋体"/>
              </w:rPr>
            </w:pPr>
            <w:r>
              <w:rPr>
                <w:rFonts w:ascii="宋体" w:hAnsi="宋体" w:hint="eastAsia"/>
              </w:rPr>
              <w:t>其他</w:t>
            </w:r>
          </w:p>
        </w:tc>
        <w:tc>
          <w:tcPr>
            <w:tcW w:w="5727" w:type="dxa"/>
            <w:tcBorders>
              <w:top w:val="single" w:sz="4" w:space="0" w:color="auto"/>
              <w:left w:val="single" w:sz="4" w:space="0" w:color="auto"/>
              <w:bottom w:val="single" w:sz="4" w:space="0" w:color="auto"/>
              <w:right w:val="single" w:sz="4" w:space="0" w:color="auto"/>
            </w:tcBorders>
            <w:vAlign w:val="center"/>
          </w:tcPr>
          <w:p>
            <w:pPr>
              <w:spacing w:line="440" w:lineRule="exact"/>
              <w:rPr>
                <w:rFonts w:ascii="宋体" w:hAnsi="宋体" w:cs="宋体"/>
                <w:color w:val="000000"/>
                <w:kern w:val="0"/>
                <w:sz w:val="24"/>
                <w:szCs w:val="18"/>
              </w:rPr>
            </w:pPr>
            <w:r>
              <w:rPr>
                <w:rStyle w:val="NormalCharacter"/>
                <w:rFonts w:ascii="宋体" w:eastAsiaTheme="minorEastAsia" w:hAnsiTheme="minorHAnsi" w:cs="宋体" w:hint="eastAsia"/>
                <w:bCs/>
                <w:color w:val="000000"/>
                <w:lang w:val="en-US" w:eastAsia="zh-CN"/>
              </w:rPr>
              <w:t>本工程的合同价款，除设计变更外，均为一次包死，不再作调整，投标人自行考虑。</w:t>
            </w:r>
          </w:p>
        </w:tc>
      </w:tr>
    </w:tbl>
    <w:p>
      <w:pPr>
        <w:sectPr>
          <w:type w:val="nextPage"/>
          <w:pgSz w:w="11910" w:h="16840"/>
          <w:pgMar w:top="1380" w:right="1440" w:bottom="1580" w:left="1580" w:header="890" w:footer="1363" w:gutter="0"/>
          <w:pgNumType w:start="10"/>
          <w:cols w:num="1" w:space="720"/>
          <w:titlePg w:val="0"/>
        </w:sectPr>
      </w:pPr>
    </w:p>
    <w:bookmarkEnd w:id="38"/>
    <w:bookmarkEnd w:id="39"/>
    <w:bookmarkEnd w:id="40"/>
    <w:bookmarkEnd w:id="41"/>
    <w:bookmarkEnd w:id="42"/>
    <w:bookmarkEnd w:id="43"/>
    <w:p>
      <w:pPr>
        <w:jc w:val="center"/>
        <w:rPr>
          <w:rStyle w:val="NormalCharacter"/>
          <w:rFonts w:ascii="宋体"/>
          <w:b/>
        </w:rPr>
      </w:pPr>
      <w:r>
        <w:rPr>
          <w:rStyle w:val="NormalCharacter"/>
          <w:rFonts w:ascii="宋体" w:hAnsi="宋体"/>
          <w:b/>
          <w:sz w:val="28"/>
          <w:szCs w:val="28"/>
        </w:rPr>
        <w:t>投标人须知</w:t>
      </w:r>
    </w:p>
    <w:p>
      <w:pPr>
        <w:pStyle w:val="UserStyle15"/>
        <w:spacing w:line="360" w:lineRule="auto"/>
        <w:rPr>
          <w:rStyle w:val="NormalCharacter"/>
          <w:rFonts w:ascii="宋体" w:eastAsia="宋体" w:hAnsi="宋体"/>
          <w:b/>
          <w:sz w:val="21"/>
          <w:szCs w:val="21"/>
        </w:rPr>
      </w:pPr>
      <w:r>
        <w:rPr>
          <w:rStyle w:val="NormalCharacter"/>
          <w:rFonts w:ascii="宋体" w:eastAsia="宋体" w:hAnsi="宋体"/>
          <w:b/>
          <w:sz w:val="21"/>
          <w:szCs w:val="21"/>
        </w:rPr>
        <w:t>1. 总则</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1.1 项目概况</w:t>
      </w:r>
    </w:p>
    <w:p>
      <w:pPr>
        <w:spacing w:line="360" w:lineRule="auto"/>
        <w:ind w:firstLine="420" w:firstLineChars="200"/>
        <w:rPr>
          <w:rStyle w:val="NormalCharacter"/>
          <w:rFonts w:ascii="宋体" w:cs="宋体"/>
          <w:bCs/>
        </w:rPr>
      </w:pPr>
      <w:r>
        <w:rPr>
          <w:rStyle w:val="NormalCharacter"/>
          <w:rFonts w:ascii="宋体" w:hAnsi="宋体" w:cs="宋体"/>
          <w:bCs/>
        </w:rPr>
        <w:t>1.1.1</w:t>
      </w:r>
      <w:r>
        <w:t>本项目不属于依法必须招标的项目，也不属于政府采购项目，以企业的规章制度或项目采购文件为依据</w:t>
      </w:r>
      <w:r>
        <w:rPr>
          <w:rStyle w:val="NormalCharacter"/>
          <w:rFonts w:ascii="宋体" w:hAnsi="宋体" w:cs="宋体"/>
          <w:bCs/>
        </w:rPr>
        <w:t>。</w:t>
      </w:r>
    </w:p>
    <w:p>
      <w:pPr>
        <w:spacing w:line="360" w:lineRule="auto"/>
        <w:ind w:firstLine="420" w:firstLineChars="200"/>
        <w:rPr>
          <w:rStyle w:val="NormalCharacter"/>
          <w:rFonts w:ascii="宋体" w:cs="宋体"/>
          <w:bCs/>
        </w:rPr>
      </w:pPr>
      <w:r>
        <w:rPr>
          <w:rStyle w:val="NormalCharacter"/>
          <w:rFonts w:ascii="宋体" w:hAnsi="宋体" w:cs="宋体"/>
          <w:bCs/>
        </w:rPr>
        <w:t>1.1.2 本招标项目招标人：见投标人须知前附表。</w:t>
      </w:r>
    </w:p>
    <w:p>
      <w:pPr>
        <w:spacing w:line="360" w:lineRule="auto"/>
        <w:ind w:firstLine="420" w:firstLineChars="200"/>
        <w:rPr>
          <w:rStyle w:val="NormalCharacter"/>
          <w:rFonts w:ascii="宋体" w:cs="宋体"/>
          <w:bCs/>
        </w:rPr>
      </w:pPr>
      <w:r>
        <w:rPr>
          <w:rStyle w:val="NormalCharacter"/>
          <w:rFonts w:ascii="宋体" w:hAnsi="宋体" w:cs="宋体"/>
          <w:bCs/>
        </w:rPr>
        <w:t>1.1.</w:t>
      </w:r>
      <w:r>
        <w:rPr>
          <w:rStyle w:val="NormalCharacter"/>
          <w:rFonts w:ascii="宋体" w:hAnsi="宋体" w:cs="宋体" w:hint="eastAsia"/>
          <w:bCs/>
          <w:lang w:val="en-US" w:eastAsia="zh-CN"/>
        </w:rPr>
        <w:t>3</w:t>
      </w:r>
      <w:r>
        <w:rPr>
          <w:rStyle w:val="NormalCharacter"/>
          <w:rFonts w:ascii="宋体" w:hAnsi="宋体" w:cs="宋体"/>
          <w:bCs/>
        </w:rPr>
        <w:t xml:space="preserve"> 本招标项目名称：见投标人须知前附表。</w:t>
      </w:r>
    </w:p>
    <w:p>
      <w:pPr>
        <w:spacing w:line="360" w:lineRule="auto"/>
        <w:ind w:firstLine="420" w:firstLineChars="200"/>
        <w:rPr>
          <w:rStyle w:val="NormalCharacter"/>
          <w:rFonts w:ascii="宋体" w:cs="宋体"/>
          <w:bCs/>
        </w:rPr>
      </w:pPr>
      <w:r>
        <w:rPr>
          <w:rStyle w:val="NormalCharacter"/>
          <w:rFonts w:ascii="宋体" w:hAnsi="宋体" w:cs="宋体"/>
          <w:bCs/>
        </w:rPr>
        <w:t>1.1.</w:t>
      </w:r>
      <w:r>
        <w:rPr>
          <w:rStyle w:val="NormalCharacter"/>
          <w:rFonts w:ascii="宋体" w:hAnsi="宋体" w:cs="宋体" w:hint="eastAsia"/>
          <w:bCs/>
          <w:lang w:val="en-US" w:eastAsia="zh-CN"/>
        </w:rPr>
        <w:t>4</w:t>
      </w:r>
      <w:r>
        <w:rPr>
          <w:rStyle w:val="NormalCharacter"/>
          <w:rFonts w:ascii="宋体" w:hAnsi="宋体" w:cs="宋体"/>
          <w:bCs/>
        </w:rPr>
        <w:t xml:space="preserve"> 本标段建设地点：见投标人须知前附表。</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1.2 资金来源和落实情况</w:t>
      </w:r>
    </w:p>
    <w:p>
      <w:pPr>
        <w:spacing w:line="360" w:lineRule="auto"/>
        <w:ind w:firstLine="420" w:firstLineChars="200"/>
        <w:rPr>
          <w:rStyle w:val="NormalCharacter"/>
          <w:rFonts w:ascii="宋体" w:cs="宋体"/>
          <w:bCs/>
        </w:rPr>
      </w:pPr>
      <w:r>
        <w:rPr>
          <w:rStyle w:val="NormalCharacter"/>
          <w:rFonts w:ascii="宋体" w:hAnsi="宋体" w:cs="宋体"/>
          <w:bCs/>
        </w:rPr>
        <w:t>1.2.1 本招标项目的资金来源：见投标人须知前附表。</w:t>
      </w:r>
    </w:p>
    <w:p>
      <w:pPr>
        <w:spacing w:line="360" w:lineRule="auto"/>
        <w:ind w:firstLine="420" w:firstLineChars="200"/>
        <w:rPr>
          <w:rStyle w:val="NormalCharacter"/>
          <w:rFonts w:ascii="宋体" w:cs="宋体"/>
          <w:bCs/>
        </w:rPr>
      </w:pPr>
      <w:r>
        <w:rPr>
          <w:rStyle w:val="NormalCharacter"/>
          <w:rFonts w:ascii="宋体" w:hAnsi="宋体" w:cs="宋体"/>
          <w:bCs/>
        </w:rPr>
        <w:t>1.2.2 本招标项目的出资比例：见投标人须知前附表。</w:t>
      </w:r>
    </w:p>
    <w:p>
      <w:pPr>
        <w:spacing w:line="360" w:lineRule="auto"/>
        <w:ind w:firstLine="420" w:firstLineChars="200"/>
        <w:rPr>
          <w:rStyle w:val="NormalCharacter"/>
          <w:rFonts w:ascii="宋体" w:cs="宋体"/>
          <w:bCs/>
        </w:rPr>
      </w:pPr>
      <w:r>
        <w:rPr>
          <w:rStyle w:val="NormalCharacter"/>
          <w:rFonts w:ascii="宋体" w:hAnsi="宋体" w:cs="宋体"/>
          <w:bCs/>
        </w:rPr>
        <w:t>1.2.3 本招标项目的资金落实情况：见投标人须知前附表。</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1.3 招标范围、工期和质量标准</w:t>
      </w:r>
    </w:p>
    <w:p>
      <w:pPr>
        <w:spacing w:line="360" w:lineRule="auto"/>
        <w:ind w:firstLine="420" w:firstLineChars="200"/>
        <w:rPr>
          <w:rStyle w:val="NormalCharacter"/>
          <w:rFonts w:ascii="宋体" w:cs="宋体"/>
          <w:bCs/>
        </w:rPr>
      </w:pPr>
      <w:r>
        <w:rPr>
          <w:rStyle w:val="NormalCharacter"/>
          <w:rFonts w:ascii="宋体" w:hAnsi="宋体" w:cs="宋体"/>
          <w:bCs/>
        </w:rPr>
        <w:t>1.3.1 本次招标范围：见投标人须知前附表。</w:t>
      </w:r>
    </w:p>
    <w:p>
      <w:pPr>
        <w:spacing w:line="360" w:lineRule="auto"/>
        <w:ind w:firstLine="420" w:firstLineChars="200"/>
        <w:rPr>
          <w:rStyle w:val="NormalCharacter"/>
          <w:rFonts w:ascii="宋体" w:cs="宋体"/>
          <w:bCs/>
        </w:rPr>
      </w:pPr>
      <w:r>
        <w:rPr>
          <w:rStyle w:val="NormalCharacter"/>
          <w:rFonts w:ascii="宋体" w:hAnsi="宋体" w:cs="宋体"/>
          <w:bCs/>
        </w:rPr>
        <w:t>1.3.2 本标段的工期：见投标人须知前附表。</w:t>
      </w:r>
    </w:p>
    <w:p>
      <w:pPr>
        <w:spacing w:line="360" w:lineRule="auto"/>
        <w:ind w:firstLine="420" w:firstLineChars="200"/>
        <w:rPr>
          <w:rStyle w:val="NormalCharacter"/>
          <w:rFonts w:ascii="宋体" w:cs="宋体"/>
          <w:bCs/>
        </w:rPr>
      </w:pPr>
      <w:r>
        <w:rPr>
          <w:rStyle w:val="NormalCharacter"/>
          <w:rFonts w:ascii="宋体" w:hAnsi="宋体" w:cs="宋体"/>
          <w:bCs/>
        </w:rPr>
        <w:t>1.3.3 本项目的质量标准：见投标人须知前附表。</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1.4 投标人资格要求</w:t>
      </w:r>
    </w:p>
    <w:p>
      <w:pPr>
        <w:spacing w:line="360" w:lineRule="auto"/>
        <w:ind w:firstLine="420" w:firstLineChars="200"/>
        <w:rPr>
          <w:rStyle w:val="NormalCharacter"/>
          <w:rFonts w:ascii="宋体" w:cs="宋体"/>
          <w:bCs/>
        </w:rPr>
      </w:pPr>
      <w:r>
        <w:rPr>
          <w:rStyle w:val="NormalCharacter"/>
          <w:rFonts w:ascii="宋体" w:hAnsi="宋体" w:cs="宋体"/>
          <w:bCs/>
        </w:rPr>
        <w:t>1.4.1投标人应具备承担本标段施工资质条件、能力和信誉。</w:t>
      </w:r>
    </w:p>
    <w:p>
      <w:pPr>
        <w:spacing w:line="360" w:lineRule="auto"/>
        <w:ind w:firstLine="420" w:firstLineChars="200"/>
        <w:rPr>
          <w:rStyle w:val="NormalCharacter"/>
          <w:rFonts w:ascii="宋体" w:cs="宋体"/>
          <w:bCs/>
        </w:rPr>
      </w:pPr>
      <w:r>
        <w:rPr>
          <w:rStyle w:val="NormalCharacter"/>
          <w:rFonts w:ascii="宋体" w:hAnsi="宋体" w:cs="宋体"/>
          <w:bCs/>
        </w:rPr>
        <w:t>（1）资质条件：见投标人须知前附表；</w:t>
      </w:r>
    </w:p>
    <w:p>
      <w:pPr>
        <w:spacing w:line="360" w:lineRule="auto"/>
        <w:ind w:firstLine="420" w:firstLineChars="200"/>
        <w:rPr>
          <w:rStyle w:val="NormalCharacter"/>
          <w:rFonts w:ascii="宋体" w:cs="宋体"/>
          <w:bCs/>
        </w:rPr>
      </w:pPr>
      <w:r>
        <w:rPr>
          <w:rStyle w:val="NormalCharacter"/>
          <w:rFonts w:ascii="宋体" w:hAnsi="宋体" w:cs="宋体"/>
          <w:bCs/>
        </w:rPr>
        <w:t>（2）投标人业绩要求：见投标人须知前附表；</w:t>
      </w:r>
    </w:p>
    <w:p>
      <w:pPr>
        <w:spacing w:line="360" w:lineRule="auto"/>
        <w:ind w:firstLine="420" w:firstLineChars="200"/>
        <w:rPr>
          <w:rStyle w:val="NormalCharacter"/>
          <w:rFonts w:ascii="宋体" w:cs="宋体"/>
          <w:bCs/>
        </w:rPr>
      </w:pPr>
      <w:r>
        <w:rPr>
          <w:rStyle w:val="NormalCharacter"/>
          <w:rFonts w:ascii="宋体" w:hAnsi="宋体" w:cs="宋体"/>
          <w:bCs/>
        </w:rPr>
        <w:t>（3）项目负责人资格要求：见投标人须知前附表；</w:t>
      </w:r>
    </w:p>
    <w:p>
      <w:pPr>
        <w:spacing w:line="360" w:lineRule="auto"/>
        <w:ind w:firstLine="420" w:firstLineChars="200"/>
        <w:rPr>
          <w:rStyle w:val="NormalCharacter"/>
          <w:rFonts w:ascii="宋体" w:cs="宋体"/>
          <w:bCs/>
        </w:rPr>
      </w:pPr>
      <w:r>
        <w:rPr>
          <w:rStyle w:val="NormalCharacter"/>
          <w:rFonts w:ascii="宋体" w:hAnsi="宋体" w:cs="宋体"/>
          <w:bCs/>
        </w:rPr>
        <w:t>（4）其他要求：见投标人须知前附表。</w:t>
      </w:r>
    </w:p>
    <w:p>
      <w:pPr>
        <w:spacing w:line="360" w:lineRule="auto"/>
        <w:ind w:firstLine="420" w:firstLineChars="200"/>
        <w:rPr>
          <w:rStyle w:val="NormalCharacter"/>
          <w:rFonts w:ascii="宋体" w:cs="宋体"/>
          <w:bCs/>
        </w:rPr>
      </w:pPr>
      <w:r>
        <w:rPr>
          <w:rStyle w:val="NormalCharacter"/>
          <w:rFonts w:ascii="宋体" w:hAnsi="宋体" w:cs="宋体"/>
          <w:bCs/>
        </w:rPr>
        <w:t xml:space="preserve">1.4.2 投标人须知前附表规定接受联合体投标的，除应符合本章第1.4.1项和投标人须知前附表的要求外，还应遵守以下规定： </w:t>
      </w:r>
    </w:p>
    <w:p>
      <w:pPr>
        <w:spacing w:line="360" w:lineRule="auto"/>
        <w:ind w:firstLine="315" w:firstLineChars="150"/>
        <w:rPr>
          <w:rStyle w:val="NormalCharacter"/>
          <w:rFonts w:ascii="宋体" w:cs="宋体"/>
          <w:bCs/>
        </w:rPr>
      </w:pPr>
      <w:r>
        <w:rPr>
          <w:rStyle w:val="NormalCharacter"/>
          <w:rFonts w:ascii="宋体" w:hAnsi="宋体" w:cs="宋体"/>
          <w:bCs/>
        </w:rPr>
        <w:t>（1）联合体各方应按招标文件提供的格式签订联合体协议书，明确联合体牵头人和各方权利义务；</w:t>
      </w:r>
    </w:p>
    <w:p>
      <w:pPr>
        <w:spacing w:line="360" w:lineRule="auto"/>
        <w:ind w:firstLine="315" w:firstLineChars="150"/>
        <w:rPr>
          <w:rStyle w:val="NormalCharacter"/>
          <w:rFonts w:ascii="宋体" w:cs="宋体"/>
          <w:bCs/>
        </w:rPr>
      </w:pPr>
      <w:r>
        <w:rPr>
          <w:rStyle w:val="NormalCharacter"/>
          <w:rFonts w:ascii="宋体" w:hAnsi="宋体" w:cs="宋体"/>
          <w:bCs/>
        </w:rPr>
        <w:t xml:space="preserve">（2）由同一专业的单位组成的联合体，按照资质等级较低的单位确定资质等级； </w:t>
      </w:r>
    </w:p>
    <w:p>
      <w:pPr>
        <w:spacing w:line="360" w:lineRule="auto"/>
        <w:ind w:firstLine="315" w:firstLineChars="150"/>
        <w:rPr>
          <w:rStyle w:val="NormalCharacter"/>
          <w:rFonts w:ascii="宋体" w:cs="宋体"/>
          <w:bCs/>
        </w:rPr>
      </w:pPr>
      <w:r>
        <w:rPr>
          <w:rStyle w:val="NormalCharacter"/>
          <w:rFonts w:ascii="宋体" w:hAnsi="宋体" w:cs="宋体"/>
          <w:bCs/>
        </w:rPr>
        <w:t>（3）联合体各方不得再以自己名义单独或参加其他联合体在同一项目中投标。</w:t>
      </w:r>
    </w:p>
    <w:p>
      <w:pPr>
        <w:spacing w:line="360" w:lineRule="auto"/>
        <w:ind w:firstLine="420" w:firstLineChars="200"/>
        <w:rPr>
          <w:rStyle w:val="NormalCharacter"/>
          <w:rFonts w:ascii="宋体" w:cs="宋体"/>
          <w:bCs/>
        </w:rPr>
      </w:pPr>
      <w:r>
        <w:rPr>
          <w:rStyle w:val="NormalCharacter"/>
          <w:rFonts w:ascii="宋体" w:hAnsi="宋体" w:cs="宋体"/>
          <w:bCs/>
        </w:rPr>
        <w:t>1.4.3投标人不得存在下列情形之一：</w:t>
      </w:r>
    </w:p>
    <w:p>
      <w:pPr>
        <w:spacing w:line="360" w:lineRule="auto"/>
        <w:ind w:firstLine="315" w:firstLineChars="150"/>
        <w:rPr>
          <w:rStyle w:val="NormalCharacter"/>
          <w:rFonts w:ascii="宋体" w:cs="宋体"/>
          <w:bCs/>
        </w:rPr>
      </w:pPr>
      <w:r>
        <w:rPr>
          <w:rStyle w:val="NormalCharacter"/>
          <w:rFonts w:ascii="宋体" w:hAnsi="宋体" w:cs="宋体"/>
          <w:bCs/>
        </w:rPr>
        <w:t xml:space="preserve">（1）为招标人不具有独立法人资格的附属机构（单位）；  </w:t>
      </w:r>
    </w:p>
    <w:p>
      <w:pPr>
        <w:spacing w:line="360" w:lineRule="auto"/>
        <w:ind w:firstLine="315" w:firstLineChars="150"/>
        <w:rPr>
          <w:rStyle w:val="NormalCharacter"/>
          <w:rFonts w:ascii="宋体" w:cs="宋体"/>
          <w:bCs/>
        </w:rPr>
      </w:pPr>
      <w:r>
        <w:rPr>
          <w:rStyle w:val="NormalCharacter"/>
          <w:rFonts w:ascii="宋体" w:hAnsi="宋体" w:cs="宋体"/>
          <w:bCs/>
        </w:rPr>
        <w:t xml:space="preserve">（2）为本标段提供招标服务的； </w:t>
      </w:r>
    </w:p>
    <w:p>
      <w:pPr>
        <w:spacing w:line="360" w:lineRule="auto"/>
        <w:ind w:firstLine="315" w:firstLineChars="150"/>
        <w:rPr>
          <w:rStyle w:val="NormalCharacter"/>
          <w:rFonts w:ascii="宋体" w:cs="宋体"/>
          <w:bCs/>
        </w:rPr>
      </w:pPr>
      <w:r>
        <w:rPr>
          <w:rStyle w:val="NormalCharacter"/>
          <w:rFonts w:ascii="宋体" w:hAnsi="宋体" w:cs="宋体"/>
          <w:bCs/>
        </w:rPr>
        <w:t>（3）与本标段招标机构同为一个法定代表人的；</w:t>
      </w:r>
    </w:p>
    <w:p>
      <w:pPr>
        <w:spacing w:line="360" w:lineRule="auto"/>
        <w:ind w:firstLine="315" w:firstLineChars="150"/>
        <w:rPr>
          <w:rStyle w:val="NormalCharacter"/>
          <w:rFonts w:ascii="宋体" w:cs="宋体"/>
          <w:bCs/>
        </w:rPr>
      </w:pPr>
      <w:r>
        <w:rPr>
          <w:rStyle w:val="NormalCharacter"/>
          <w:rFonts w:ascii="宋体" w:hAnsi="宋体" w:cs="宋体"/>
          <w:bCs/>
        </w:rPr>
        <w:t>（4）与本标段招标机构相互控股或参股的；</w:t>
      </w:r>
    </w:p>
    <w:p>
      <w:pPr>
        <w:spacing w:line="360" w:lineRule="auto"/>
        <w:ind w:firstLine="315" w:firstLineChars="150"/>
        <w:rPr>
          <w:rStyle w:val="NormalCharacter"/>
          <w:rFonts w:ascii="宋体" w:cs="宋体"/>
          <w:bCs/>
        </w:rPr>
        <w:sectPr>
          <w:type w:val="nextPage"/>
          <w:pgSz w:w="11910" w:h="16840"/>
          <w:pgMar w:top="1380" w:right="1440" w:bottom="1580" w:left="1580" w:header="890" w:footer="1363" w:gutter="0"/>
          <w:pgNumType w:start="11"/>
          <w:cols w:num="1" w:space="720"/>
          <w:titlePg w:val="0"/>
        </w:sectPr>
      </w:pPr>
      <w:r>
        <w:rPr>
          <w:rStyle w:val="NormalCharacter"/>
          <w:rFonts w:ascii="宋体" w:hAnsi="宋体" w:cs="宋体"/>
          <w:bCs/>
        </w:rPr>
        <w:t>（5）与本标段招标机构相互任职或工作的；</w:t>
      </w:r>
    </w:p>
    <w:p>
      <w:pPr>
        <w:spacing w:line="360" w:lineRule="auto"/>
        <w:ind w:firstLine="315" w:firstLineChars="150"/>
        <w:rPr>
          <w:rStyle w:val="NormalCharacter"/>
          <w:rFonts w:ascii="宋体" w:cs="宋体"/>
          <w:bCs/>
        </w:rPr>
      </w:pPr>
      <w:r>
        <w:rPr>
          <w:rStyle w:val="NormalCharacter"/>
          <w:rFonts w:ascii="宋体" w:hAnsi="宋体" w:cs="宋体"/>
          <w:bCs/>
        </w:rPr>
        <w:t xml:space="preserve">（6）被责令停业的； </w:t>
      </w:r>
    </w:p>
    <w:p>
      <w:pPr>
        <w:spacing w:line="360" w:lineRule="auto"/>
        <w:ind w:firstLine="315" w:firstLineChars="150"/>
        <w:rPr>
          <w:rStyle w:val="NormalCharacter"/>
          <w:rFonts w:ascii="宋体" w:cs="宋体"/>
          <w:bCs/>
        </w:rPr>
      </w:pPr>
      <w:r>
        <w:rPr>
          <w:rStyle w:val="NormalCharacter"/>
          <w:rFonts w:ascii="宋体" w:hAnsi="宋体" w:cs="宋体"/>
          <w:bCs/>
        </w:rPr>
        <w:t xml:space="preserve">（7）被暂停或取消投标资格的； </w:t>
      </w:r>
    </w:p>
    <w:p>
      <w:pPr>
        <w:spacing w:line="360" w:lineRule="auto"/>
        <w:ind w:firstLine="315" w:firstLineChars="150"/>
        <w:rPr>
          <w:rStyle w:val="NormalCharacter"/>
          <w:rFonts w:ascii="宋体" w:cs="宋体"/>
          <w:bCs/>
        </w:rPr>
      </w:pPr>
      <w:r>
        <w:rPr>
          <w:rStyle w:val="NormalCharacter"/>
          <w:rFonts w:ascii="宋体" w:hAnsi="宋体" w:cs="宋体"/>
          <w:bCs/>
        </w:rPr>
        <w:t>（8）财产被接管或冻结的；</w:t>
      </w:r>
    </w:p>
    <w:p>
      <w:pPr>
        <w:spacing w:line="360" w:lineRule="auto"/>
        <w:ind w:firstLine="315" w:firstLineChars="150"/>
        <w:rPr>
          <w:rStyle w:val="NormalCharacter"/>
          <w:rFonts w:ascii="宋体" w:cs="宋体"/>
          <w:bCs/>
        </w:rPr>
      </w:pPr>
      <w:r>
        <w:rPr>
          <w:rStyle w:val="NormalCharacter"/>
          <w:rFonts w:ascii="宋体" w:hAnsi="宋体" w:cs="宋体"/>
          <w:bCs/>
        </w:rPr>
        <w:t>（9）在最近三年内有骗取中标或严重违约或重大工程质量问题的。</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1.5 费用承担</w:t>
      </w:r>
    </w:p>
    <w:p>
      <w:pPr>
        <w:spacing w:line="360" w:lineRule="auto"/>
        <w:ind w:firstLine="420" w:firstLineChars="200"/>
        <w:rPr>
          <w:rStyle w:val="NormalCharacter"/>
          <w:rFonts w:ascii="宋体" w:cs="宋体"/>
          <w:bCs/>
        </w:rPr>
      </w:pPr>
      <w:r>
        <w:rPr>
          <w:rStyle w:val="NormalCharacter"/>
          <w:rFonts w:ascii="宋体" w:hAnsi="宋体" w:cs="宋体"/>
          <w:bCs/>
        </w:rPr>
        <w:t>1.5.1 投标人准备和参加投标活动发生的费用自理。</w:t>
      </w:r>
    </w:p>
    <w:p>
      <w:pPr>
        <w:spacing w:line="360" w:lineRule="auto"/>
        <w:ind w:firstLine="420" w:firstLineChars="200"/>
        <w:rPr>
          <w:rStyle w:val="NormalCharacter"/>
          <w:rFonts w:ascii="宋体" w:cs="宋体"/>
          <w:bCs/>
        </w:rPr>
      </w:pPr>
      <w:r>
        <w:rPr>
          <w:rStyle w:val="NormalCharacter"/>
          <w:rFonts w:ascii="宋体" w:hAnsi="宋体" w:cs="宋体"/>
          <w:bCs/>
        </w:rPr>
        <w:t>以上费用不单独列出，投标人自行考虑。中标人在领取中标通知书前支付以上费用。</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1.6 保密</w:t>
      </w:r>
    </w:p>
    <w:p>
      <w:pPr>
        <w:spacing w:line="360" w:lineRule="auto"/>
        <w:ind w:firstLine="420" w:firstLineChars="200"/>
        <w:rPr>
          <w:rStyle w:val="NormalCharacter"/>
          <w:rFonts w:ascii="宋体" w:cs="宋体"/>
          <w:bCs/>
        </w:rPr>
      </w:pPr>
      <w:r>
        <w:rPr>
          <w:rStyle w:val="NormalCharacter"/>
          <w:rFonts w:ascii="宋体" w:hAnsi="宋体" w:cs="宋体"/>
          <w:bCs/>
        </w:rPr>
        <w:t xml:space="preserve">参与招标投标活动的各方应对招标文件和投标文件中的商业和技术等秘密保密，违者应对由此造成的后果承担法律责任。 </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1.7 语言文字</w:t>
      </w:r>
    </w:p>
    <w:p>
      <w:pPr>
        <w:spacing w:line="360" w:lineRule="auto"/>
        <w:ind w:firstLine="420" w:firstLineChars="200"/>
        <w:rPr>
          <w:rStyle w:val="NormalCharacter"/>
          <w:rFonts w:ascii="宋体" w:cs="宋体"/>
          <w:bCs/>
        </w:rPr>
      </w:pPr>
      <w:r>
        <w:rPr>
          <w:rStyle w:val="NormalCharacter"/>
          <w:rFonts w:ascii="宋体" w:hAnsi="宋体" w:cs="宋体"/>
          <w:bCs/>
        </w:rPr>
        <w:t>除专用术语外，与招标投标有关的语言均使用中文。必要时专用术语应附有中文注释。</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1.8 计量单位</w:t>
      </w:r>
    </w:p>
    <w:p>
      <w:pPr>
        <w:spacing w:line="360" w:lineRule="auto"/>
        <w:ind w:firstLine="420" w:firstLineChars="200"/>
        <w:rPr>
          <w:rStyle w:val="NormalCharacter"/>
          <w:rFonts w:ascii="宋体" w:cs="宋体"/>
          <w:bCs/>
        </w:rPr>
      </w:pPr>
      <w:r>
        <w:rPr>
          <w:rStyle w:val="NormalCharacter"/>
          <w:rFonts w:ascii="宋体" w:hAnsi="宋体" w:cs="宋体"/>
          <w:bCs/>
        </w:rPr>
        <w:t>所有计量均采用中华人民共和国法定计量单位。</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1.9 踏勘现场</w:t>
      </w:r>
    </w:p>
    <w:p>
      <w:pPr>
        <w:spacing w:line="360" w:lineRule="auto"/>
        <w:ind w:firstLine="420" w:firstLineChars="200"/>
        <w:rPr>
          <w:rStyle w:val="NormalCharacter"/>
          <w:rFonts w:ascii="宋体" w:cs="宋体"/>
          <w:bCs/>
        </w:rPr>
      </w:pPr>
      <w:r>
        <w:rPr>
          <w:rStyle w:val="NormalCharacter"/>
          <w:rFonts w:ascii="宋体" w:hAnsi="宋体" w:cs="宋体"/>
          <w:bCs/>
        </w:rPr>
        <w:t xml:space="preserve">1.9.1 投标人须知前附表规定组织踏勘现场的，招标人按投标人须知前附表规定的时间、地点组织投标人踏勘项目现场。 </w:t>
      </w:r>
    </w:p>
    <w:p>
      <w:pPr>
        <w:spacing w:line="360" w:lineRule="auto"/>
        <w:ind w:firstLine="420" w:firstLineChars="200"/>
        <w:rPr>
          <w:rStyle w:val="NormalCharacter"/>
          <w:rFonts w:ascii="宋体" w:cs="宋体"/>
          <w:bCs/>
        </w:rPr>
      </w:pPr>
      <w:r>
        <w:rPr>
          <w:rStyle w:val="NormalCharacter"/>
          <w:rFonts w:ascii="宋体" w:hAnsi="宋体" w:cs="宋体"/>
          <w:bCs/>
        </w:rPr>
        <w:t>1.9.2 投标人踏勘现场发生的费用自理。</w:t>
      </w:r>
    </w:p>
    <w:p>
      <w:pPr>
        <w:spacing w:line="360" w:lineRule="auto"/>
        <w:ind w:firstLine="420" w:firstLineChars="200"/>
        <w:rPr>
          <w:rStyle w:val="NormalCharacter"/>
          <w:rFonts w:ascii="宋体" w:cs="宋体"/>
          <w:bCs/>
        </w:rPr>
      </w:pPr>
      <w:r>
        <w:rPr>
          <w:rStyle w:val="NormalCharacter"/>
          <w:rFonts w:ascii="宋体" w:hAnsi="宋体" w:cs="宋体"/>
          <w:bCs/>
        </w:rPr>
        <w:t>1.9.3 除招标人的原因外，投标人自行负责在踏勘现场中所发生的人员伤亡和财产损失等。</w:t>
      </w:r>
    </w:p>
    <w:p>
      <w:pPr>
        <w:spacing w:line="360" w:lineRule="auto"/>
        <w:ind w:firstLine="420" w:firstLineChars="200"/>
        <w:rPr>
          <w:rStyle w:val="NormalCharacter"/>
          <w:rFonts w:ascii="宋体" w:cs="宋体"/>
          <w:bCs/>
        </w:rPr>
      </w:pPr>
      <w:r>
        <w:rPr>
          <w:rStyle w:val="NormalCharacter"/>
          <w:rFonts w:ascii="宋体" w:hAnsi="宋体" w:cs="宋体"/>
          <w:bCs/>
        </w:rPr>
        <w:t>1.9.4 招标人在踏勘现场中介绍的工程场地和相关的周边环境情况，供投标人在编制投标文件时参考，招标人不对投标人据此作出的判断和决策负责。</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1.10 投标预备会</w:t>
      </w:r>
    </w:p>
    <w:p>
      <w:pPr>
        <w:spacing w:line="360" w:lineRule="auto"/>
        <w:ind w:firstLine="420" w:firstLineChars="200"/>
        <w:rPr>
          <w:rStyle w:val="NormalCharacter"/>
          <w:rFonts w:ascii="宋体" w:cs="宋体"/>
          <w:bCs/>
        </w:rPr>
      </w:pPr>
      <w:r>
        <w:rPr>
          <w:rStyle w:val="NormalCharacter"/>
          <w:rFonts w:ascii="宋体" w:hAnsi="宋体" w:cs="宋体"/>
          <w:bCs/>
        </w:rPr>
        <w:t>1.10.1 投标人须知前附表规定召开投标预备会的，招标人按投标人须知前附表规定的时间和地点召开投标预备会，澄清投标人提出的问题。</w:t>
      </w:r>
    </w:p>
    <w:p>
      <w:pPr>
        <w:spacing w:line="360" w:lineRule="auto"/>
        <w:ind w:firstLine="420" w:firstLineChars="200"/>
        <w:rPr>
          <w:rStyle w:val="NormalCharacter"/>
          <w:rFonts w:ascii="宋体" w:cs="宋体"/>
          <w:bCs/>
        </w:rPr>
      </w:pPr>
      <w:r>
        <w:rPr>
          <w:rStyle w:val="NormalCharacter"/>
          <w:rFonts w:ascii="宋体" w:hAnsi="宋体" w:cs="宋体"/>
          <w:bCs/>
        </w:rPr>
        <w:t>1.10.2 投标人应在投标人须知前附表第2.2.1项规定的时间前，以书面形式将提出的问题送达招标人，以便招标人在会议期间澄清。</w:t>
      </w:r>
    </w:p>
    <w:p>
      <w:pPr>
        <w:spacing w:line="360" w:lineRule="auto"/>
        <w:ind w:firstLine="420" w:firstLineChars="200"/>
        <w:rPr>
          <w:rStyle w:val="NormalCharacter"/>
          <w:rFonts w:ascii="宋体" w:cs="宋体"/>
          <w:bCs/>
        </w:rPr>
      </w:pPr>
      <w:r>
        <w:rPr>
          <w:rStyle w:val="NormalCharacter"/>
          <w:rFonts w:ascii="宋体" w:hAnsi="宋体" w:cs="宋体"/>
          <w:bCs/>
        </w:rPr>
        <w:t>1.10.3 投标预备会后，招标人在投标人须知前附表第2.2.2项规定的时间内，将对投标人所提问题的澄清，以书面方式通知所有购买招标文件的投标人。该澄清内容为招标文件的组成部分。</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1.11 分包</w:t>
      </w:r>
    </w:p>
    <w:p>
      <w:pPr>
        <w:pStyle w:val="UserStyle13"/>
        <w:spacing w:line="360" w:lineRule="auto"/>
        <w:ind w:firstLine="420" w:firstLineChars="200"/>
        <w:rPr>
          <w:rStyle w:val="NormalCharacter"/>
          <w:rFonts w:ascii="宋体" w:eastAsia="宋体" w:hAnsi="宋体" w:cs="宋体"/>
          <w:bCs/>
          <w:sz w:val="21"/>
          <w:szCs w:val="21"/>
        </w:rPr>
      </w:pPr>
      <w:r>
        <w:rPr>
          <w:rStyle w:val="NormalCharacter"/>
          <w:rFonts w:ascii="宋体" w:eastAsia="宋体" w:hAnsi="宋体" w:cs="宋体" w:hint="eastAsia"/>
          <w:bCs/>
          <w:sz w:val="21"/>
          <w:szCs w:val="21"/>
        </w:rPr>
        <w:t>不允许分包</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1.12 偏离</w:t>
      </w:r>
    </w:p>
    <w:p>
      <w:pPr>
        <w:spacing w:line="360" w:lineRule="auto"/>
        <w:ind w:firstLine="359" w:firstLineChars="171"/>
        <w:rPr>
          <w:rStyle w:val="NormalCharacter"/>
          <w:rFonts w:ascii="宋体" w:cs="宋体"/>
          <w:bCs/>
        </w:rPr>
        <w:sectPr>
          <w:type w:val="nextPage"/>
          <w:pgSz w:w="11910" w:h="16840"/>
          <w:pgMar w:top="1380" w:right="1440" w:bottom="1580" w:left="1580" w:header="890" w:footer="1363" w:gutter="0"/>
          <w:pgNumType w:start="12"/>
          <w:cols w:num="1" w:space="720"/>
          <w:titlePg w:val="0"/>
        </w:sectPr>
      </w:pPr>
      <w:r>
        <w:rPr>
          <w:rStyle w:val="NormalCharacter"/>
          <w:rFonts w:ascii="宋体" w:hAnsi="宋体" w:cs="宋体"/>
          <w:bCs/>
        </w:rPr>
        <w:t>投标人须知前附表允许投标文件偏离招标文件某些要求的，偏离应当符合招标文件规定的偏离范围和幅度。</w:t>
      </w:r>
    </w:p>
    <w:p>
      <w:pPr>
        <w:pStyle w:val="UserStyle15"/>
        <w:spacing w:line="360" w:lineRule="auto"/>
        <w:rPr>
          <w:rStyle w:val="NormalCharacter"/>
          <w:rFonts w:ascii="宋体" w:eastAsia="宋体" w:hAnsi="宋体"/>
          <w:b/>
          <w:sz w:val="21"/>
          <w:szCs w:val="21"/>
        </w:rPr>
      </w:pPr>
      <w:r>
        <w:rPr>
          <w:rStyle w:val="NormalCharacter"/>
          <w:rFonts w:ascii="宋体" w:eastAsia="宋体" w:hAnsi="宋体"/>
          <w:b/>
          <w:sz w:val="21"/>
          <w:szCs w:val="21"/>
        </w:rPr>
        <w:t>2. 招标文件</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2.1 招标文件的组成</w:t>
      </w:r>
    </w:p>
    <w:p>
      <w:pPr>
        <w:spacing w:line="360" w:lineRule="auto"/>
        <w:rPr>
          <w:rStyle w:val="NormalCharacter"/>
          <w:rFonts w:ascii="宋体" w:cs="宋体"/>
          <w:bCs/>
        </w:rPr>
      </w:pPr>
      <w:r>
        <w:rPr>
          <w:rStyle w:val="NormalCharacter"/>
          <w:rFonts w:ascii="宋体" w:hAnsi="宋体" w:cs="宋体"/>
          <w:bCs/>
        </w:rPr>
        <w:t>　　本招标文件包括：</w:t>
      </w:r>
    </w:p>
    <w:p>
      <w:pPr>
        <w:spacing w:line="360" w:lineRule="auto"/>
        <w:ind w:firstLine="359" w:firstLineChars="171"/>
        <w:rPr>
          <w:rStyle w:val="NormalCharacter"/>
          <w:rFonts w:ascii="宋体" w:cs="宋体"/>
          <w:bCs/>
        </w:rPr>
      </w:pPr>
      <w:r>
        <w:rPr>
          <w:rStyle w:val="NormalCharacter"/>
          <w:rFonts w:ascii="宋体" w:hAnsi="宋体" w:cs="宋体"/>
          <w:bCs/>
        </w:rPr>
        <w:t>（1）招标公告；</w:t>
      </w:r>
    </w:p>
    <w:p>
      <w:pPr>
        <w:spacing w:line="360" w:lineRule="auto"/>
        <w:ind w:firstLine="359" w:firstLineChars="171"/>
        <w:rPr>
          <w:rStyle w:val="NormalCharacter"/>
          <w:rFonts w:ascii="宋体" w:cs="宋体"/>
          <w:bCs/>
        </w:rPr>
      </w:pPr>
      <w:r>
        <w:rPr>
          <w:rStyle w:val="NormalCharacter"/>
          <w:rFonts w:ascii="宋体" w:hAnsi="宋体" w:cs="宋体"/>
          <w:bCs/>
        </w:rPr>
        <w:t>（2）投标人须知；</w:t>
      </w:r>
    </w:p>
    <w:p>
      <w:pPr>
        <w:spacing w:line="360" w:lineRule="auto"/>
        <w:ind w:firstLine="359" w:firstLineChars="171"/>
        <w:rPr>
          <w:rStyle w:val="NormalCharacter"/>
          <w:rFonts w:ascii="宋体" w:cs="宋体"/>
          <w:bCs/>
        </w:rPr>
      </w:pPr>
      <w:r>
        <w:rPr>
          <w:rStyle w:val="NormalCharacter"/>
          <w:rFonts w:ascii="宋体" w:hAnsi="宋体" w:cs="宋体"/>
          <w:bCs/>
        </w:rPr>
        <w:t>（3）评标办法；</w:t>
      </w:r>
    </w:p>
    <w:p>
      <w:pPr>
        <w:spacing w:line="360" w:lineRule="auto"/>
        <w:ind w:firstLine="359" w:firstLineChars="171"/>
        <w:rPr>
          <w:rStyle w:val="NormalCharacter"/>
          <w:rFonts w:ascii="宋体" w:cs="宋体"/>
          <w:bCs/>
        </w:rPr>
      </w:pPr>
      <w:r>
        <w:rPr>
          <w:rStyle w:val="NormalCharacter"/>
          <w:rFonts w:ascii="宋体" w:hAnsi="宋体" w:cs="宋体"/>
          <w:bCs/>
        </w:rPr>
        <w:t>（4）合同条款及格式；</w:t>
      </w:r>
    </w:p>
    <w:p>
      <w:pPr>
        <w:spacing w:line="360" w:lineRule="auto"/>
        <w:ind w:firstLine="359" w:firstLineChars="171"/>
        <w:rPr>
          <w:rStyle w:val="NormalCharacter"/>
          <w:rFonts w:ascii="宋体" w:cs="宋体"/>
          <w:bCs/>
        </w:rPr>
      </w:pPr>
      <w:r>
        <w:rPr>
          <w:rStyle w:val="NormalCharacter"/>
          <w:rFonts w:ascii="宋体" w:hAnsi="宋体" w:cs="宋体"/>
          <w:bCs/>
        </w:rPr>
        <w:t xml:space="preserve">（5）技术标准和要求； </w:t>
      </w:r>
    </w:p>
    <w:p>
      <w:pPr>
        <w:spacing w:line="360" w:lineRule="auto"/>
        <w:ind w:firstLine="359" w:firstLineChars="171"/>
        <w:rPr>
          <w:rStyle w:val="NormalCharacter"/>
          <w:rFonts w:ascii="宋体" w:cs="宋体"/>
          <w:bCs/>
        </w:rPr>
      </w:pPr>
      <w:r>
        <w:rPr>
          <w:rStyle w:val="NormalCharacter"/>
          <w:rFonts w:ascii="宋体" w:hAnsi="宋体" w:cs="宋体"/>
          <w:bCs/>
        </w:rPr>
        <w:t>（6）投标文件格式；</w:t>
      </w:r>
    </w:p>
    <w:p>
      <w:pPr>
        <w:spacing w:line="360" w:lineRule="auto"/>
        <w:ind w:firstLine="420" w:firstLineChars="200"/>
        <w:rPr>
          <w:rStyle w:val="NormalCharacter"/>
          <w:rFonts w:ascii="宋体" w:cs="宋体"/>
          <w:bCs/>
        </w:rPr>
      </w:pPr>
      <w:r>
        <w:rPr>
          <w:rStyle w:val="NormalCharacter"/>
          <w:rFonts w:ascii="宋体" w:hAnsi="宋体" w:cs="宋体"/>
          <w:bCs/>
        </w:rPr>
        <w:t>根据本章第2.2款、第2.3款是对招标文件所作的澄清、修改及答疑，构成招标文件的组成部分</w:t>
      </w:r>
      <w:r>
        <w:rPr>
          <w:rStyle w:val="NormalCharacter"/>
          <w:rFonts w:ascii="宋体" w:cs="宋体"/>
          <w:bCs/>
        </w:rPr>
        <w:t>,</w:t>
      </w:r>
      <w:r>
        <w:rPr>
          <w:rStyle w:val="NormalCharacter"/>
          <w:rFonts w:ascii="宋体" w:hAnsi="宋体" w:cs="宋体"/>
          <w:bCs/>
        </w:rPr>
        <w:t>招标文件及招标文件的澄清、修改及答疑前后不一致的，以最后时间发出的为准。</w:t>
      </w:r>
    </w:p>
    <w:p>
      <w:pPr>
        <w:pStyle w:val="UserStyle13"/>
        <w:spacing w:line="360" w:lineRule="auto"/>
        <w:ind w:firstLine="422"/>
        <w:rPr>
          <w:rStyle w:val="NormalCharacter"/>
          <w:rFonts w:ascii="宋体" w:eastAsia="宋体" w:hAnsi="宋体"/>
          <w:b/>
          <w:sz w:val="21"/>
          <w:szCs w:val="21"/>
        </w:rPr>
      </w:pPr>
      <w:r>
        <w:rPr>
          <w:rStyle w:val="NormalCharacter"/>
          <w:rFonts w:ascii="宋体" w:eastAsia="宋体" w:hAnsi="宋体"/>
          <w:b/>
          <w:sz w:val="21"/>
          <w:szCs w:val="21"/>
        </w:rPr>
        <w:t>2.2 招标文件的答疑</w:t>
      </w:r>
    </w:p>
    <w:p>
      <w:pPr>
        <w:spacing w:line="360" w:lineRule="auto"/>
        <w:ind w:firstLine="420" w:firstLineChars="200"/>
        <w:rPr>
          <w:rStyle w:val="NormalCharacter"/>
          <w:rFonts w:ascii="宋体" w:cs="宋体"/>
          <w:bCs/>
        </w:rPr>
      </w:pPr>
      <w:r>
        <w:rPr>
          <w:rStyle w:val="NormalCharacter"/>
          <w:rFonts w:ascii="宋体" w:hAnsi="宋体" w:cs="宋体"/>
          <w:bCs/>
        </w:rPr>
        <w:t>2.2.1投标人应仔细阅读和检查招标文件的全部内容。如发现缺页或附件不全，应及时向招标人提出，以便补齐。如有异议，应在投标人须知前附表规定的时间前以电子邮件形式要求招标人对招标文件予以回复，提出异议时须注明项目名称及项目编号，不得署名。</w:t>
      </w:r>
    </w:p>
    <w:p>
      <w:pPr>
        <w:spacing w:line="360" w:lineRule="auto"/>
        <w:ind w:firstLine="420" w:firstLineChars="200"/>
        <w:rPr>
          <w:rStyle w:val="NormalCharacter"/>
          <w:rFonts w:ascii="宋体" w:cs="宋体"/>
          <w:bCs/>
        </w:rPr>
      </w:pPr>
      <w:r>
        <w:rPr>
          <w:rStyle w:val="NormalCharacter"/>
          <w:rFonts w:ascii="宋体" w:hAnsi="宋体" w:cs="宋体"/>
          <w:bCs/>
        </w:rPr>
        <w:t>2.2.2招标人对投标人提出异议的答复将</w:t>
      </w:r>
      <w:r>
        <w:rPr>
          <w:rStyle w:val="NormalCharacter"/>
          <w:rFonts w:ascii="宋体" w:hAnsi="宋体"/>
          <w:spacing w:val="-6"/>
        </w:rPr>
        <w:t>在</w:t>
      </w:r>
      <w:r>
        <w:rPr>
          <w:rStyle w:val="NormalCharacter"/>
          <w:rFonts w:ascii="宋体" w:hAnsi="宋体" w:hint="eastAsia"/>
          <w:bCs/>
          <w:color w:val="000000"/>
        </w:rPr>
        <w:t>安徽慎邑建设投资控股集团有限公司http://www.ahsykgjt.com/</w:t>
      </w:r>
      <w:r>
        <w:rPr>
          <w:rStyle w:val="NormalCharacter"/>
          <w:rFonts w:ascii="宋体" w:hAnsi="宋体"/>
        </w:rPr>
        <w:t>上发布</w:t>
      </w:r>
      <w:r>
        <w:rPr>
          <w:rStyle w:val="NormalCharacter"/>
          <w:rFonts w:ascii="宋体" w:hAnsi="宋体" w:cs="宋体"/>
          <w:bCs/>
        </w:rPr>
        <w:t>，但不指明澄清问题的来源。</w:t>
      </w:r>
    </w:p>
    <w:p>
      <w:pPr>
        <w:spacing w:line="360" w:lineRule="auto"/>
        <w:ind w:firstLine="420" w:firstLineChars="200"/>
        <w:rPr>
          <w:rStyle w:val="NormalCharacter"/>
          <w:rFonts w:ascii="宋体" w:cs="宋体"/>
          <w:bCs/>
        </w:rPr>
      </w:pPr>
      <w:r>
        <w:rPr>
          <w:rStyle w:val="NormalCharacter"/>
          <w:rFonts w:ascii="宋体" w:hAnsi="宋体" w:cs="宋体"/>
          <w:bCs/>
        </w:rPr>
        <w:t>2.2.3 投标人自行</w:t>
      </w:r>
      <w:r>
        <w:rPr>
          <w:rStyle w:val="NormalCharacter"/>
          <w:rFonts w:ascii="宋体" w:hAnsi="宋体"/>
          <w:spacing w:val="-6"/>
        </w:rPr>
        <w:t>在</w:t>
      </w:r>
      <w:r>
        <w:rPr>
          <w:rStyle w:val="NormalCharacter"/>
          <w:rFonts w:ascii="宋体" w:hAnsi="宋体" w:hint="eastAsia"/>
          <w:bCs/>
          <w:color w:val="1E1C11" w:themeColor="background2" w:themeShade="1A"/>
        </w:rPr>
        <w:t>安徽慎邑建设投资控股集团有限公司</w:t>
      </w:r>
      <w:hyperlink r:id="rId6" w:history="1">
        <w:r>
          <w:rPr>
            <w:rFonts w:ascii="宋体" w:hAnsi="宋体" w:hint="eastAsia"/>
            <w:bCs/>
            <w:u w:val="single"/>
          </w:rPr>
          <w:t>http://www.ahsykgjt.com/</w:t>
        </w:r>
      </w:hyperlink>
      <w:r>
        <w:rPr>
          <w:rStyle w:val="NormalCharacter"/>
        </w:rPr>
        <w:t>上</w:t>
      </w:r>
      <w:r>
        <w:rPr>
          <w:rStyle w:val="NormalCharacter"/>
          <w:rFonts w:ascii="宋体" w:hAnsi="宋体" w:cs="宋体"/>
          <w:bCs/>
        </w:rPr>
        <w:t>查询，无需确认。</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2.3 招标文件的澄清或者修</w:t>
      </w:r>
    </w:p>
    <w:p>
      <w:pPr>
        <w:spacing w:line="360" w:lineRule="auto"/>
        <w:ind w:firstLine="420" w:firstLineChars="200"/>
        <w:rPr>
          <w:rStyle w:val="NormalCharacter"/>
          <w:rFonts w:ascii="宋体" w:cs="宋体"/>
          <w:bCs/>
        </w:rPr>
      </w:pPr>
      <w:r>
        <w:rPr>
          <w:rStyle w:val="NormalCharacter"/>
          <w:rFonts w:ascii="宋体" w:hAnsi="宋体" w:cs="宋体"/>
          <w:bCs/>
        </w:rPr>
        <w:t>2.3.1 招标人对已发出的招标文件进行的必要澄清或者修改的内容可能影响投标文件编制的应在投标截止时间</w:t>
      </w:r>
      <w:r>
        <w:rPr>
          <w:rStyle w:val="NormalCharacter"/>
          <w:rFonts w:ascii="宋体" w:hAnsi="宋体" w:cs="宋体" w:hint="eastAsia"/>
          <w:bCs/>
        </w:rPr>
        <w:t>3</w:t>
      </w:r>
      <w:r>
        <w:rPr>
          <w:rStyle w:val="NormalCharacter"/>
          <w:rFonts w:ascii="宋体" w:hAnsi="宋体" w:cs="宋体"/>
          <w:bCs/>
        </w:rPr>
        <w:t>天前，</w:t>
      </w:r>
      <w:r>
        <w:rPr>
          <w:rStyle w:val="NormalCharacter"/>
        </w:rPr>
        <w:t>在</w:t>
      </w:r>
      <w:r>
        <w:rPr>
          <w:rStyle w:val="NormalCharacter"/>
          <w:rFonts w:ascii="宋体" w:hAnsi="宋体" w:hint="eastAsia"/>
          <w:bCs/>
          <w:color w:val="1E1C11" w:themeColor="background2" w:themeShade="1A"/>
        </w:rPr>
        <w:t>安徽慎邑建设投资控股集团有限公司</w:t>
      </w:r>
      <w:hyperlink r:id="rId6" w:history="1">
        <w:r>
          <w:rPr>
            <w:rFonts w:ascii="宋体" w:hAnsi="宋体" w:hint="eastAsia"/>
            <w:bCs/>
            <w:u w:val="single"/>
          </w:rPr>
          <w:t>http://www.ahsykgjt.com/</w:t>
        </w:r>
      </w:hyperlink>
      <w:r>
        <w:rPr>
          <w:rStyle w:val="NormalCharacter"/>
          <w:rFonts w:ascii="宋体" w:hAnsi="宋体"/>
        </w:rPr>
        <w:t>上发布</w:t>
      </w:r>
      <w:r>
        <w:rPr>
          <w:rStyle w:val="NormalCharacter"/>
          <w:rFonts w:ascii="宋体" w:hAnsi="宋体" w:cs="宋体"/>
          <w:bCs/>
        </w:rPr>
        <w:t>，距投标截止时间不足</w:t>
      </w:r>
      <w:r>
        <w:rPr>
          <w:rStyle w:val="NormalCharacter"/>
          <w:rFonts w:ascii="宋体" w:hAnsi="宋体" w:cs="宋体" w:hint="eastAsia"/>
          <w:bCs/>
        </w:rPr>
        <w:t>3</w:t>
      </w:r>
      <w:r>
        <w:rPr>
          <w:rStyle w:val="NormalCharacter"/>
          <w:rFonts w:ascii="宋体" w:hAnsi="宋体" w:cs="宋体"/>
          <w:bCs/>
        </w:rPr>
        <w:t xml:space="preserve">天，相应延长投标截止时间。 </w:t>
      </w:r>
    </w:p>
    <w:p>
      <w:pPr>
        <w:spacing w:line="360" w:lineRule="auto"/>
        <w:ind w:firstLine="420" w:firstLineChars="200"/>
        <w:rPr>
          <w:rStyle w:val="NormalCharacter"/>
          <w:rFonts w:ascii="宋体" w:cs="宋体"/>
          <w:bCs/>
        </w:rPr>
      </w:pPr>
      <w:r>
        <w:rPr>
          <w:rStyle w:val="NormalCharacter"/>
          <w:rFonts w:ascii="宋体" w:hAnsi="宋体" w:cs="宋体"/>
          <w:bCs/>
        </w:rPr>
        <w:t>2.3.2投标人自行</w:t>
      </w:r>
      <w:r>
        <w:rPr>
          <w:rStyle w:val="NormalCharacter"/>
        </w:rPr>
        <w:t>在</w:t>
      </w:r>
      <w:r>
        <w:rPr>
          <w:rStyle w:val="NormalCharacter"/>
          <w:rFonts w:ascii="宋体" w:hAnsi="宋体" w:hint="eastAsia"/>
          <w:bCs/>
          <w:color w:val="1E1C11" w:themeColor="background2" w:themeShade="1A"/>
        </w:rPr>
        <w:t>安徽慎邑建设投资控股集团有限公司</w:t>
      </w:r>
      <w:hyperlink r:id="rId6" w:history="1">
        <w:r>
          <w:rPr>
            <w:rFonts w:ascii="宋体" w:hAnsi="宋体" w:hint="eastAsia"/>
            <w:bCs/>
            <w:u w:val="single"/>
          </w:rPr>
          <w:t>http://www.ahsykgjt.com/</w:t>
        </w:r>
      </w:hyperlink>
      <w:r>
        <w:rPr>
          <w:rStyle w:val="NormalCharacter"/>
          <w:rFonts w:ascii="宋体" w:hAnsi="宋体"/>
        </w:rPr>
        <w:t>上</w:t>
      </w:r>
      <w:r>
        <w:rPr>
          <w:rStyle w:val="NormalCharacter"/>
          <w:rFonts w:ascii="宋体" w:hAnsi="宋体" w:cs="宋体"/>
          <w:bCs/>
        </w:rPr>
        <w:t>查询，无需确认。</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3. 投标文件</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3.1投标文件的组成</w:t>
      </w:r>
    </w:p>
    <w:p>
      <w:pPr>
        <w:pStyle w:val="UserStyle13"/>
        <w:spacing w:line="360" w:lineRule="auto"/>
        <w:rPr>
          <w:rStyle w:val="NormalCharacter"/>
          <w:rFonts w:ascii="宋体" w:eastAsia="宋体" w:hAnsi="宋体" w:cs="宋体"/>
          <w:bCs/>
          <w:sz w:val="21"/>
          <w:szCs w:val="21"/>
        </w:rPr>
      </w:pPr>
      <w:r>
        <w:rPr>
          <w:rStyle w:val="NormalCharacter"/>
          <w:rFonts w:ascii="宋体" w:eastAsia="宋体" w:hAnsi="宋体" w:cs="宋体" w:hint="eastAsia"/>
          <w:bCs/>
          <w:sz w:val="21"/>
          <w:szCs w:val="21"/>
        </w:rPr>
        <w:t>投标函（含投标人诚信承诺书、农民工工资承诺）、法定代表人身份证明或授权委托书（如有授权）、投标保证金、投标报价书、已标价工程量清单、作业班组、资格审查资料、投标人须知前附表规定的其它材料。</w:t>
      </w:r>
    </w:p>
    <w:p>
      <w:pPr>
        <w:pStyle w:val="UserStyle13"/>
        <w:spacing w:line="360" w:lineRule="auto"/>
        <w:rPr>
          <w:rStyle w:val="NormalCharacter"/>
          <w:rFonts w:ascii="宋体" w:eastAsia="宋体" w:hAnsi="宋体"/>
        </w:rPr>
      </w:pPr>
      <w:r>
        <w:rPr>
          <w:rStyle w:val="NormalCharacter"/>
          <w:rFonts w:ascii="宋体" w:eastAsia="宋体" w:hAnsi="宋体"/>
          <w:b/>
          <w:sz w:val="21"/>
          <w:szCs w:val="21"/>
        </w:rPr>
        <w:t>3.2 投标报价</w:t>
      </w:r>
    </w:p>
    <w:p>
      <w:pPr>
        <w:spacing w:line="360" w:lineRule="auto"/>
        <w:ind w:firstLine="420" w:firstLineChars="200"/>
        <w:rPr>
          <w:rFonts w:ascii="宋体" w:hAnsi="宋体"/>
        </w:rPr>
      </w:pPr>
      <w:r>
        <w:rPr>
          <w:rFonts w:ascii="宋体" w:hAnsi="宋体"/>
        </w:rPr>
        <w:t xml:space="preserve">3.2.1 </w:t>
      </w:r>
      <w:r>
        <w:rPr>
          <w:rFonts w:ascii="宋体" w:hAnsi="宋体" w:hint="eastAsia"/>
        </w:rPr>
        <w:t>投标报价应包括国家规定的增值税税金，除投标人须知前附表另有规定外，增值税税金按一般计税方法计算。投标人应按投标人须知前附表规定的方式填写工程量清单。</w:t>
      </w:r>
    </w:p>
    <w:p>
      <w:pPr>
        <w:spacing w:line="360" w:lineRule="auto"/>
        <w:ind w:firstLine="420" w:firstLineChars="200"/>
        <w:rPr>
          <w:rFonts w:ascii="宋体" w:hAnsi="宋体"/>
        </w:rPr>
        <w:sectPr>
          <w:type w:val="nextPage"/>
          <w:pgSz w:w="11910" w:h="16840"/>
          <w:pgMar w:top="1380" w:right="1440" w:bottom="1580" w:left="1580" w:header="890" w:footer="1363" w:gutter="0"/>
          <w:pgNumType w:start="13"/>
          <w:cols w:num="1" w:space="720"/>
          <w:titlePg w:val="0"/>
        </w:sectPr>
      </w:pPr>
    </w:p>
    <w:p>
      <w:pPr>
        <w:spacing w:line="360" w:lineRule="auto"/>
        <w:ind w:firstLine="420" w:firstLineChars="200"/>
        <w:rPr>
          <w:rFonts w:ascii="宋体" w:hAnsi="宋体"/>
        </w:rPr>
      </w:pPr>
      <w:r>
        <w:rPr>
          <w:rFonts w:ascii="宋体" w:hAnsi="宋体" w:hint="eastAsia"/>
        </w:rPr>
        <w:t>本项目招标由招标人提供工程量清单，由投标人按照招标人提供的工程量清单填写本合同各工程子目的单价、合价和总额价。评标委员会将按照第三章“评标办法”规定对投标价进行算术性错误修正及其他错误修正。</w:t>
      </w:r>
    </w:p>
    <w:p>
      <w:pPr>
        <w:spacing w:line="360" w:lineRule="auto"/>
        <w:ind w:firstLine="420" w:firstLineChars="200"/>
        <w:rPr>
          <w:rFonts w:ascii="宋体" w:hAnsi="宋体"/>
        </w:rPr>
      </w:pPr>
      <w:r>
        <w:rPr>
          <w:rFonts w:ascii="宋体" w:hAnsi="宋体" w:hint="eastAsia"/>
        </w:rPr>
        <w:t xml:space="preserve">3.2.2 </w:t>
      </w:r>
      <w:r>
        <w:rPr>
          <w:rFonts w:ascii="宋体" w:hAnsi="宋体"/>
        </w:rPr>
        <w:t>投标人应充分了解本项目的总体情况以及影响投标报价的其他要素。</w:t>
      </w:r>
    </w:p>
    <w:p>
      <w:pPr>
        <w:spacing w:line="360" w:lineRule="auto"/>
        <w:ind w:firstLine="420" w:firstLineChars="200"/>
        <w:rPr>
          <w:rFonts w:ascii="宋体" w:hAnsi="宋体"/>
        </w:rPr>
      </w:pPr>
      <w:r>
        <w:rPr>
          <w:rFonts w:ascii="宋体" w:hAnsi="宋体" w:hint="eastAsia"/>
        </w:rPr>
        <w:t>3.2.3 本项</w:t>
      </w:r>
      <w:r>
        <w:rPr>
          <w:rFonts w:ascii="宋体" w:hAnsi="宋体"/>
        </w:rPr>
        <w:t>目的报价方式见投标人须知前附表。投标人在投标截止时间前修改投标函中的投标总报价，应同时修改投标文件“已标价工程量清单”中的相应报价。此修改须符合本章第 4.3 款的有关要求。</w:t>
      </w:r>
    </w:p>
    <w:p>
      <w:pPr>
        <w:spacing w:line="360" w:lineRule="auto"/>
        <w:ind w:firstLine="420" w:firstLineChars="200"/>
        <w:rPr>
          <w:rFonts w:ascii="宋体" w:hAnsi="宋体"/>
        </w:rPr>
      </w:pPr>
      <w:r>
        <w:rPr>
          <w:rFonts w:ascii="宋体" w:hAnsi="宋体" w:hint="eastAsia"/>
        </w:rPr>
        <w:t>3.2.4</w:t>
      </w:r>
      <w:r>
        <w:rPr>
          <w:rFonts w:ascii="宋体" w:hAnsi="宋体"/>
        </w:rPr>
        <w:t>投标人如果发现工程量清单中的数量与图纸中数量不一致时，应立即通知招标人核查，除非招标人以书面方式予以更正，否则，应以工程量清单中列出的数量为准。</w:t>
      </w:r>
    </w:p>
    <w:p>
      <w:pPr>
        <w:spacing w:line="360" w:lineRule="auto"/>
        <w:ind w:firstLine="420" w:firstLineChars="200"/>
        <w:rPr>
          <w:rFonts w:ascii="宋体" w:hAnsi="宋体"/>
        </w:rPr>
      </w:pPr>
      <w:r>
        <w:rPr>
          <w:rFonts w:ascii="宋体" w:hAnsi="宋体" w:hint="eastAsia"/>
        </w:rPr>
        <w:t xml:space="preserve">3.2.8 </w:t>
      </w:r>
      <w:r>
        <w:rPr>
          <w:rFonts w:ascii="宋体" w:hAnsi="宋体"/>
        </w:rPr>
        <w:t>招标人设有最高投标限价的，投标人的投标报价不得超过最高投标限价，最高投标限价在投标人须知前附表中载明。</w:t>
      </w:r>
    </w:p>
    <w:p>
      <w:pPr>
        <w:spacing w:line="360" w:lineRule="auto"/>
        <w:ind w:firstLine="420" w:firstLineChars="200"/>
        <w:rPr>
          <w:rFonts w:ascii="宋体" w:hAnsi="宋体"/>
        </w:rPr>
      </w:pPr>
      <w:r>
        <w:rPr>
          <w:rFonts w:ascii="宋体" w:hAnsi="宋体" w:hint="eastAsia"/>
        </w:rPr>
        <w:t xml:space="preserve">3.2.9 </w:t>
      </w:r>
      <w:r>
        <w:rPr>
          <w:rFonts w:ascii="宋体" w:hAnsi="宋体"/>
        </w:rPr>
        <w:t>投标报价的其他要求见投标人须知前附表。</w:t>
      </w:r>
    </w:p>
    <w:p>
      <w:pPr>
        <w:adjustRightInd w:val="0"/>
        <w:snapToGrid w:val="0"/>
        <w:spacing w:line="360" w:lineRule="auto"/>
        <w:ind w:firstLine="407" w:firstLineChars="194"/>
        <w:jc w:val="left"/>
        <w:rPr>
          <w:rFonts w:ascii="宋体" w:hAnsi="宋体"/>
        </w:rPr>
      </w:pPr>
      <w:r>
        <w:rPr>
          <w:rFonts w:ascii="宋体" w:hAnsi="宋体" w:hint="eastAsia"/>
        </w:rPr>
        <w:t>3.2.10</w:t>
      </w:r>
      <w:r>
        <w:rPr>
          <w:rFonts w:ascii="宋体" w:hAnsi="宋体" w:cs="宋体" w:hint="eastAsia"/>
          <w:color w:val="000000"/>
        </w:rPr>
        <w:t xml:space="preserve">投标文件报价出现前后不一致的，按照下列规定修正： </w:t>
      </w:r>
    </w:p>
    <w:p>
      <w:pPr>
        <w:adjustRightInd w:val="0"/>
        <w:snapToGrid w:val="0"/>
        <w:spacing w:line="360" w:lineRule="auto"/>
        <w:ind w:firstLine="304" w:firstLineChars="145"/>
        <w:jc w:val="left"/>
        <w:rPr>
          <w:rFonts w:ascii="宋体" w:hAnsi="宋体"/>
        </w:rPr>
      </w:pPr>
      <w:r>
        <w:rPr>
          <w:rFonts w:ascii="宋体" w:hAnsi="宋体" w:cs="宋体" w:hint="eastAsia"/>
          <w:color w:val="000000"/>
        </w:rPr>
        <w:t xml:space="preserve">（1） 投标文件中投标函内容与投标文件中相应内容不一致的，以投标函为准； </w:t>
      </w:r>
    </w:p>
    <w:p>
      <w:pPr>
        <w:adjustRightInd w:val="0"/>
        <w:snapToGrid w:val="0"/>
        <w:spacing w:line="360" w:lineRule="auto"/>
        <w:ind w:firstLine="304" w:firstLineChars="145"/>
        <w:jc w:val="left"/>
        <w:rPr>
          <w:rFonts w:ascii="宋体" w:hAnsi="宋体"/>
        </w:rPr>
      </w:pPr>
      <w:r>
        <w:rPr>
          <w:rFonts w:ascii="宋体" w:hAnsi="宋体" w:cs="宋体" w:hint="eastAsia"/>
          <w:color w:val="000000"/>
        </w:rPr>
        <w:t xml:space="preserve">（2）大写金额和小写金额不一致的，以大写金额为准； </w:t>
      </w:r>
    </w:p>
    <w:p>
      <w:pPr>
        <w:adjustRightInd w:val="0"/>
        <w:snapToGrid w:val="0"/>
        <w:spacing w:line="360" w:lineRule="auto"/>
        <w:ind w:firstLine="304" w:firstLineChars="145"/>
        <w:jc w:val="left"/>
        <w:rPr>
          <w:rFonts w:ascii="宋体" w:hAnsi="宋体"/>
        </w:rPr>
      </w:pPr>
      <w:r>
        <w:rPr>
          <w:rFonts w:ascii="宋体" w:hAnsi="宋体" w:cs="宋体" w:hint="eastAsia"/>
          <w:color w:val="000000"/>
        </w:rPr>
        <w:t xml:space="preserve">（3）单价金额小数点或者百分比有明显错位的，以投标函的总价为准，并修改单价； </w:t>
      </w:r>
    </w:p>
    <w:p>
      <w:pPr>
        <w:adjustRightInd w:val="0"/>
        <w:snapToGrid w:val="0"/>
        <w:spacing w:line="360" w:lineRule="auto"/>
        <w:ind w:firstLine="304" w:firstLineChars="145"/>
        <w:jc w:val="left"/>
        <w:rPr>
          <w:rFonts w:ascii="宋体" w:hAnsi="宋体"/>
        </w:rPr>
      </w:pPr>
      <w:r>
        <w:rPr>
          <w:rFonts w:ascii="宋体" w:hAnsi="宋体" w:cs="宋体" w:hint="eastAsia"/>
          <w:color w:val="000000"/>
        </w:rPr>
        <w:t xml:space="preserve">（4）总价金额与按单价汇总金额不一致的，以单价金额计算结果为准。 </w:t>
      </w:r>
    </w:p>
    <w:p>
      <w:pPr>
        <w:adjustRightInd w:val="0"/>
        <w:snapToGrid w:val="0"/>
        <w:spacing w:line="360" w:lineRule="auto"/>
        <w:ind w:firstLine="407" w:firstLineChars="194"/>
        <w:jc w:val="left"/>
        <w:rPr>
          <w:rFonts w:ascii="宋体" w:hAnsi="宋体"/>
        </w:rPr>
      </w:pPr>
      <w:r>
        <w:rPr>
          <w:rFonts w:ascii="宋体" w:hAnsi="宋体" w:cs="宋体" w:hint="eastAsia"/>
          <w:color w:val="000000"/>
        </w:rPr>
        <w:t xml:space="preserve">同时出现两种以上不一致的，按照前款规定的顺序修正。修正后的报价经投标人确认后产生约束力，投标人不确认的，其投标将被认定为投标无效。 对不同文字文本投标文件的解释发生异议的，以中文文本为准。 </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3.3 投标有效期</w:t>
      </w:r>
    </w:p>
    <w:p>
      <w:pPr>
        <w:spacing w:line="360" w:lineRule="auto"/>
        <w:ind w:firstLine="420" w:firstLineChars="200"/>
        <w:rPr>
          <w:rStyle w:val="NormalCharacter"/>
          <w:rFonts w:ascii="宋体" w:cs="宋体"/>
          <w:bCs/>
        </w:rPr>
      </w:pPr>
      <w:r>
        <w:rPr>
          <w:rStyle w:val="NormalCharacter"/>
          <w:rFonts w:ascii="宋体" w:hAnsi="宋体" w:cs="宋体"/>
          <w:bCs/>
        </w:rPr>
        <w:t>3.3.1 在投标人须知前附表规定的投标有效期内，投标人不得要求撤销或修改其投标文件。</w:t>
      </w:r>
    </w:p>
    <w:p>
      <w:pPr>
        <w:spacing w:line="360" w:lineRule="auto"/>
        <w:ind w:firstLine="420" w:firstLineChars="200"/>
        <w:rPr>
          <w:rStyle w:val="NormalCharacter"/>
          <w:rFonts w:ascii="宋体" w:cs="宋体"/>
          <w:bCs/>
        </w:rPr>
      </w:pPr>
      <w:r>
        <w:rPr>
          <w:rStyle w:val="NormalCharacter"/>
          <w:rFonts w:ascii="宋体" w:hAnsi="宋体" w:cs="宋体"/>
          <w:bCs/>
        </w:rPr>
        <w:t xml:space="preserve">3.3.2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 </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3.4 投标保证金</w:t>
      </w:r>
    </w:p>
    <w:p>
      <w:pPr>
        <w:spacing w:line="360" w:lineRule="auto"/>
        <w:ind w:firstLine="420" w:firstLineChars="200"/>
        <w:rPr>
          <w:rStyle w:val="NormalCharacter"/>
          <w:rFonts w:ascii="宋体" w:cs="宋体"/>
          <w:bCs/>
        </w:rPr>
      </w:pPr>
      <w:r>
        <w:rPr>
          <w:rStyle w:val="NormalCharacter"/>
          <w:rFonts w:ascii="宋体" w:hAnsi="宋体" w:cs="宋体"/>
          <w:bCs/>
        </w:rPr>
        <w:t>3.4.1投标人在递交投标文件的同时，投标保证金作为其投标文件的组成部分。联合体投标的，其投标保证金由牵头人递交，并应符合投标人须知前附表的规定。</w:t>
      </w:r>
    </w:p>
    <w:p>
      <w:pPr>
        <w:spacing w:line="360" w:lineRule="auto"/>
        <w:ind w:firstLine="420" w:firstLineChars="200"/>
        <w:rPr>
          <w:rStyle w:val="NormalCharacter"/>
          <w:rFonts w:ascii="宋体" w:cs="宋体"/>
          <w:bCs/>
        </w:rPr>
      </w:pPr>
      <w:r>
        <w:rPr>
          <w:rStyle w:val="NormalCharacter"/>
          <w:rFonts w:ascii="宋体" w:hAnsi="宋体" w:cs="宋体"/>
          <w:bCs/>
        </w:rPr>
        <w:t>3.4.2 投标人不按本章第3.4.1项要求提交投标保证金的，将否决其投标。</w:t>
      </w:r>
    </w:p>
    <w:p>
      <w:pPr>
        <w:spacing w:line="360" w:lineRule="auto"/>
        <w:ind w:firstLine="420" w:firstLineChars="200"/>
        <w:rPr>
          <w:rStyle w:val="NormalCharacter"/>
          <w:rFonts w:ascii="宋体" w:cs="宋体"/>
          <w:bCs/>
        </w:rPr>
      </w:pPr>
      <w:r>
        <w:rPr>
          <w:rStyle w:val="NormalCharacter"/>
          <w:rFonts w:ascii="宋体" w:hAnsi="宋体" w:cs="宋体"/>
          <w:bCs/>
        </w:rPr>
        <w:t xml:space="preserve">3.4.3 有下列情形之一的，投标保证金将不予退还： </w:t>
      </w:r>
    </w:p>
    <w:p>
      <w:pPr>
        <w:spacing w:line="360" w:lineRule="auto"/>
        <w:ind w:firstLine="420" w:firstLineChars="200"/>
        <w:rPr>
          <w:rStyle w:val="NormalCharacter"/>
          <w:rFonts w:ascii="宋体" w:cs="宋体"/>
          <w:bCs/>
        </w:rPr>
      </w:pPr>
      <w:r>
        <w:rPr>
          <w:rStyle w:val="NormalCharacter"/>
          <w:rFonts w:ascii="宋体" w:hAnsi="宋体" w:cs="宋体"/>
          <w:bCs/>
        </w:rPr>
        <w:t>（1）中标人无故放弃中标资格的。</w:t>
      </w:r>
    </w:p>
    <w:p>
      <w:pPr>
        <w:spacing w:line="360" w:lineRule="auto"/>
        <w:ind w:firstLine="420" w:firstLineChars="200"/>
        <w:rPr>
          <w:rStyle w:val="NormalCharacter"/>
          <w:rFonts w:ascii="宋体" w:cs="宋体"/>
          <w:bCs/>
        </w:rPr>
      </w:pPr>
      <w:r>
        <w:rPr>
          <w:rStyle w:val="NormalCharacter"/>
          <w:rFonts w:ascii="宋体" w:hAnsi="宋体" w:cs="宋体"/>
          <w:bCs/>
        </w:rPr>
        <w:t>（2）在签订合同时向招标人提出附加条件或者更改合同实质性内容的。</w:t>
      </w:r>
    </w:p>
    <w:p>
      <w:pPr>
        <w:spacing w:line="360" w:lineRule="auto"/>
        <w:ind w:firstLine="420" w:firstLineChars="200"/>
        <w:rPr>
          <w:rStyle w:val="NormalCharacter"/>
          <w:rFonts w:ascii="宋体" w:cs="宋体"/>
          <w:bCs/>
        </w:rPr>
      </w:pPr>
      <w:r>
        <w:rPr>
          <w:rStyle w:val="NormalCharacter"/>
          <w:rFonts w:ascii="宋体" w:hAnsi="宋体" w:cs="宋体"/>
          <w:bCs/>
        </w:rPr>
        <w:t xml:space="preserve">（3）在招标投标活动中串通投标、围标串标、弄虚作假、以他人名义投标。 </w:t>
      </w:r>
    </w:p>
    <w:p>
      <w:pPr>
        <w:spacing w:line="360" w:lineRule="auto"/>
        <w:ind w:firstLine="420" w:firstLineChars="200"/>
        <w:rPr>
          <w:rStyle w:val="NormalCharacter"/>
          <w:rFonts w:ascii="宋体" w:cs="宋体"/>
          <w:bCs/>
        </w:rPr>
      </w:pPr>
      <w:r>
        <w:rPr>
          <w:rStyle w:val="NormalCharacter"/>
          <w:rFonts w:ascii="宋体" w:hAnsi="宋体" w:cs="宋体"/>
          <w:bCs/>
        </w:rPr>
        <w:t xml:space="preserve"> (4）投标人在规定的投标有效期内撤销或修改其投标文件。</w:t>
      </w:r>
    </w:p>
    <w:p>
      <w:pPr>
        <w:spacing w:line="360" w:lineRule="auto"/>
        <w:ind w:firstLine="420" w:firstLineChars="200"/>
        <w:rPr>
          <w:rStyle w:val="NormalCharacter"/>
          <w:rFonts w:ascii="宋体" w:cs="宋体"/>
          <w:bCs/>
        </w:rPr>
        <w:sectPr>
          <w:type w:val="nextPage"/>
          <w:pgSz w:w="11910" w:h="16840"/>
          <w:pgMar w:top="1380" w:right="1440" w:bottom="1580" w:left="1580" w:header="890" w:footer="1363" w:gutter="0"/>
          <w:pgNumType w:start="14"/>
          <w:cols w:num="1" w:space="720"/>
          <w:titlePg w:val="0"/>
        </w:sectPr>
      </w:pPr>
    </w:p>
    <w:p>
      <w:pPr>
        <w:spacing w:line="360" w:lineRule="auto"/>
        <w:ind w:firstLine="420" w:firstLineChars="200"/>
        <w:rPr>
          <w:rStyle w:val="NormalCharacter"/>
          <w:rFonts w:ascii="宋体" w:cs="宋体"/>
          <w:bCs/>
        </w:rPr>
      </w:pPr>
      <w:r>
        <w:rPr>
          <w:rStyle w:val="NormalCharacter"/>
          <w:rFonts w:ascii="宋体" w:hAnsi="宋体" w:cs="宋体"/>
          <w:bCs/>
        </w:rPr>
        <w:t>（5）中标候选人放弃中标候选资格的或以他人名义投标或者以其他方式弄虚作假，骗取中标，经查证属实的。</w:t>
      </w:r>
    </w:p>
    <w:p>
      <w:pPr>
        <w:spacing w:line="360" w:lineRule="auto"/>
        <w:ind w:firstLine="525" w:firstLineChars="250"/>
        <w:rPr>
          <w:rStyle w:val="NormalCharacter"/>
          <w:rFonts w:ascii="宋体" w:cs="宋体"/>
          <w:bCs/>
        </w:rPr>
      </w:pPr>
      <w:r>
        <w:rPr>
          <w:rStyle w:val="NormalCharacter"/>
          <w:rFonts w:ascii="宋体" w:hAnsi="宋体" w:cs="宋体"/>
          <w:bCs/>
        </w:rPr>
        <w:t>(6）中标人无正当理由拒签合同协议书或未按招标文件规定提交履约担保。</w:t>
      </w:r>
    </w:p>
    <w:p>
      <w:pPr>
        <w:spacing w:line="360" w:lineRule="auto"/>
        <w:rPr>
          <w:rStyle w:val="NormalCharacter"/>
          <w:rFonts w:ascii="宋体" w:cs="宋体"/>
          <w:bCs/>
        </w:rPr>
      </w:pPr>
      <w:r>
        <w:rPr>
          <w:rStyle w:val="NormalCharacter"/>
          <w:rFonts w:ascii="宋体" w:hAnsi="宋体" w:cs="宋体"/>
          <w:bCs/>
        </w:rPr>
        <w:t xml:space="preserve">    （7）投标人以投诉为名排挤竞争对手，进行虚假、恶意投诉，阻碍招标投标活动的正常进行的。</w:t>
      </w:r>
    </w:p>
    <w:p>
      <w:pPr>
        <w:spacing w:line="360" w:lineRule="auto"/>
        <w:ind w:firstLine="420" w:firstLineChars="200"/>
        <w:rPr>
          <w:rStyle w:val="NormalCharacter"/>
          <w:rFonts w:ascii="宋体" w:cs="宋体"/>
          <w:bCs/>
        </w:rPr>
      </w:pPr>
      <w:r>
        <w:rPr>
          <w:rStyle w:val="NormalCharacter"/>
          <w:rFonts w:ascii="宋体" w:hAnsi="宋体" w:cs="宋体"/>
          <w:bCs/>
        </w:rPr>
        <w:t>（8）投标人使用虚假或伪（变）造证件参加投标，经举报查证属实的。</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3.5 资格审查资料</w:t>
      </w:r>
    </w:p>
    <w:p>
      <w:pPr>
        <w:spacing w:line="360" w:lineRule="auto"/>
        <w:rPr>
          <w:rStyle w:val="NormalCharacter"/>
          <w:rFonts w:ascii="宋体" w:cs="宋体"/>
          <w:bCs/>
        </w:rPr>
      </w:pPr>
      <w:r>
        <w:rPr>
          <w:rStyle w:val="NormalCharacter"/>
          <w:rFonts w:ascii="宋体" w:hAnsi="宋体" w:cs="宋体"/>
          <w:bCs/>
        </w:rPr>
        <w:t>3.5.1 本项目采用资格后审，投标人须提供以下资料审查：</w:t>
      </w:r>
    </w:p>
    <w:p>
      <w:pPr>
        <w:spacing w:line="360" w:lineRule="auto"/>
        <w:rPr>
          <w:rStyle w:val="NormalCharacter"/>
        </w:rPr>
      </w:pPr>
      <w:r>
        <w:rPr>
          <w:rStyle w:val="NormalCharacter"/>
          <w:rFonts w:ascii="宋体" w:hAnsi="宋体" w:cs="宋体"/>
          <w:bCs/>
        </w:rPr>
        <w:t xml:space="preserve">    （1）身份证明；</w:t>
      </w:r>
    </w:p>
    <w:p>
      <w:pPr>
        <w:spacing w:line="360" w:lineRule="auto"/>
        <w:ind w:firstLine="420" w:firstLineChars="200"/>
        <w:rPr>
          <w:rStyle w:val="NormalCharacter"/>
          <w:rFonts w:ascii="宋体" w:cs="宋体"/>
          <w:bCs/>
        </w:rPr>
      </w:pPr>
      <w:r>
        <w:rPr>
          <w:rStyle w:val="NormalCharacter"/>
          <w:rFonts w:ascii="宋体" w:hAnsi="宋体" w:cs="宋体"/>
          <w:bCs/>
        </w:rPr>
        <w:t>（2）营业执照副本；</w:t>
      </w:r>
    </w:p>
    <w:p>
      <w:pPr>
        <w:spacing w:line="360" w:lineRule="auto"/>
        <w:ind w:firstLine="420" w:firstLineChars="200"/>
        <w:rPr>
          <w:rStyle w:val="NormalCharacter"/>
          <w:rFonts w:ascii="宋体" w:cs="宋体"/>
          <w:bCs/>
        </w:rPr>
      </w:pPr>
      <w:r>
        <w:rPr>
          <w:rStyle w:val="NormalCharacter"/>
          <w:rFonts w:ascii="宋体" w:hAnsi="宋体" w:cs="宋体"/>
          <w:bCs/>
        </w:rPr>
        <w:t>（3）安全生产许可证；</w:t>
      </w:r>
    </w:p>
    <w:p>
      <w:pPr>
        <w:spacing w:line="360" w:lineRule="auto"/>
        <w:ind w:firstLine="420" w:firstLineChars="200"/>
        <w:rPr>
          <w:rStyle w:val="NormalCharacter"/>
          <w:rFonts w:ascii="宋体" w:cs="宋体"/>
          <w:bCs/>
        </w:rPr>
      </w:pPr>
      <w:r>
        <w:rPr>
          <w:rStyle w:val="NormalCharacter"/>
          <w:rFonts w:ascii="宋体" w:hAnsi="宋体" w:cs="宋体"/>
          <w:bCs/>
        </w:rPr>
        <w:t>（4）基本账户开户许可证；</w:t>
      </w:r>
    </w:p>
    <w:p>
      <w:pPr>
        <w:spacing w:line="360" w:lineRule="auto"/>
        <w:ind w:firstLine="420" w:firstLineChars="200"/>
        <w:rPr>
          <w:rStyle w:val="NormalCharacter"/>
          <w:rFonts w:ascii="宋体" w:cs="宋体"/>
          <w:bCs/>
        </w:rPr>
      </w:pPr>
      <w:r>
        <w:rPr>
          <w:rStyle w:val="NormalCharacter"/>
          <w:rFonts w:ascii="宋体" w:hAnsi="宋体" w:cs="宋体"/>
          <w:bCs/>
        </w:rPr>
        <w:t>（5）须提供的其他材料。</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3.6 备选投标方案</w:t>
      </w:r>
    </w:p>
    <w:p>
      <w:pPr>
        <w:spacing w:line="360" w:lineRule="auto"/>
        <w:ind w:firstLine="420" w:firstLineChars="200"/>
        <w:rPr>
          <w:rStyle w:val="NormalCharacter"/>
          <w:rFonts w:ascii="宋体" w:cs="宋体"/>
          <w:bCs/>
        </w:rPr>
      </w:pPr>
      <w:r>
        <w:rPr>
          <w:rStyle w:val="NormalCharacter"/>
          <w:rFonts w:ascii="宋体" w:hAnsi="宋体" w:cs="宋体"/>
          <w:bCs/>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3.7 投标文件的编制</w:t>
      </w:r>
    </w:p>
    <w:p>
      <w:pPr>
        <w:spacing w:line="360" w:lineRule="auto"/>
        <w:ind w:firstLine="420" w:firstLineChars="200"/>
        <w:rPr>
          <w:rStyle w:val="NormalCharacter"/>
          <w:rFonts w:ascii="宋体" w:cs="宋体"/>
          <w:bCs/>
        </w:rPr>
      </w:pPr>
      <w:r>
        <w:rPr>
          <w:rStyle w:val="NormalCharacter"/>
          <w:rFonts w:ascii="宋体" w:hAnsi="宋体" w:cs="宋体"/>
          <w:bCs/>
        </w:rPr>
        <w:t>3.7.1投标文件应按第六章“投标文件格式”进行编写，如有必要，可以增加附页，作为投标文件的组成部分。</w:t>
      </w:r>
    </w:p>
    <w:p>
      <w:pPr>
        <w:spacing w:line="360" w:lineRule="auto"/>
        <w:ind w:firstLine="420" w:firstLineChars="200"/>
        <w:rPr>
          <w:rStyle w:val="NormalCharacter"/>
          <w:rFonts w:ascii="宋体" w:cs="宋体"/>
          <w:bCs/>
        </w:rPr>
      </w:pPr>
      <w:r>
        <w:rPr>
          <w:rStyle w:val="NormalCharacter"/>
          <w:rFonts w:ascii="宋体" w:hAnsi="宋体" w:cs="宋体"/>
          <w:bCs/>
        </w:rPr>
        <w:t>3.7.2 投标文件应当对招标文件工期、投标有效期、技术标准和要求、招标范围等实质性内容作出响应。</w:t>
      </w:r>
    </w:p>
    <w:p>
      <w:pPr>
        <w:spacing w:line="360" w:lineRule="auto"/>
        <w:ind w:firstLine="420" w:firstLineChars="200"/>
        <w:rPr>
          <w:rStyle w:val="NormalCharacter"/>
          <w:rFonts w:ascii="宋体" w:cs="宋体"/>
          <w:bCs/>
        </w:rPr>
      </w:pPr>
      <w:r>
        <w:rPr>
          <w:rStyle w:val="NormalCharacter"/>
          <w:rFonts w:ascii="宋体" w:hAnsi="宋体" w:cs="宋体"/>
          <w:bCs/>
        </w:rPr>
        <w:t>3.7.3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w:t>
      </w:r>
    </w:p>
    <w:p>
      <w:pPr>
        <w:pStyle w:val="UserStyle15"/>
        <w:spacing w:line="360" w:lineRule="auto"/>
        <w:rPr>
          <w:rStyle w:val="NormalCharacter"/>
          <w:rFonts w:ascii="宋体" w:eastAsia="宋体" w:hAnsi="宋体"/>
          <w:b/>
          <w:sz w:val="21"/>
          <w:szCs w:val="21"/>
        </w:rPr>
      </w:pPr>
      <w:r>
        <w:rPr>
          <w:rStyle w:val="NormalCharacter"/>
          <w:rFonts w:ascii="宋体" w:eastAsia="宋体" w:hAnsi="宋体"/>
          <w:b/>
          <w:sz w:val="21"/>
          <w:szCs w:val="21"/>
        </w:rPr>
        <w:t>4. 投标</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4.1 投标文件的密封和标记</w:t>
      </w:r>
    </w:p>
    <w:p>
      <w:pPr>
        <w:spacing w:line="360" w:lineRule="auto"/>
        <w:ind w:firstLine="420" w:firstLineChars="200"/>
        <w:rPr>
          <w:rStyle w:val="NormalCharacter"/>
          <w:rFonts w:ascii="宋体" w:cs="宋体"/>
          <w:bCs/>
        </w:rPr>
      </w:pPr>
      <w:r>
        <w:rPr>
          <w:rStyle w:val="NormalCharacter"/>
          <w:rFonts w:ascii="宋体" w:hAnsi="宋体" w:cs="宋体"/>
          <w:bCs/>
        </w:rPr>
        <w:t>4.1.1投标文件正本一份、副本</w:t>
      </w:r>
      <w:r>
        <w:rPr>
          <w:rStyle w:val="NormalCharacter"/>
          <w:rFonts w:ascii="宋体" w:hAnsi="宋体" w:cs="宋体" w:hint="eastAsia"/>
          <w:bCs/>
          <w:lang w:val="en-US" w:eastAsia="zh-CN"/>
        </w:rPr>
        <w:t>一</w:t>
      </w:r>
      <w:r>
        <w:rPr>
          <w:rStyle w:val="NormalCharacter"/>
          <w:rFonts w:ascii="宋体" w:hAnsi="宋体" w:cs="宋体"/>
          <w:bCs/>
        </w:rPr>
        <w:t>份</w:t>
      </w:r>
      <w:r>
        <w:rPr>
          <w:rFonts w:asciiTheme="minorEastAsia" w:eastAsiaTheme="minorEastAsia" w:hAnsiTheme="minorEastAsia" w:cstheme="minorEastAsia" w:hint="eastAsia"/>
        </w:rPr>
        <w:t>，</w:t>
      </w:r>
      <w:r>
        <w:rPr>
          <w:rStyle w:val="NormalCharacter"/>
          <w:rFonts w:ascii="宋体" w:hAnsi="宋体" w:cs="宋体"/>
          <w:bCs/>
        </w:rPr>
        <w:t>正本与副本应集中包装。封套的封口处加贴封条，并在封套的封口处加盖投标人单位章，当 “副本”与“正本”不一致时，以“正本”为准。</w:t>
      </w:r>
    </w:p>
    <w:p>
      <w:pPr>
        <w:spacing w:line="360" w:lineRule="auto"/>
        <w:ind w:firstLine="420" w:firstLineChars="200"/>
        <w:rPr>
          <w:rStyle w:val="NormalCharacter"/>
          <w:rFonts w:ascii="宋体" w:cs="宋体"/>
          <w:bCs/>
        </w:rPr>
      </w:pPr>
      <w:r>
        <w:rPr>
          <w:rStyle w:val="NormalCharacter"/>
          <w:rFonts w:ascii="宋体" w:hAnsi="宋体" w:cs="宋体"/>
          <w:bCs/>
        </w:rPr>
        <w:t>4.1.2 投标文件的封套上应写明的其他内容见投标人须知前附表。</w:t>
      </w:r>
    </w:p>
    <w:p>
      <w:pPr>
        <w:spacing w:line="360" w:lineRule="auto"/>
        <w:ind w:firstLine="315" w:firstLineChars="150"/>
        <w:rPr>
          <w:rStyle w:val="NormalCharacter"/>
          <w:rFonts w:ascii="宋体" w:cs="宋体"/>
          <w:bCs/>
        </w:rPr>
      </w:pPr>
      <w:r>
        <w:rPr>
          <w:rStyle w:val="NormalCharacter"/>
          <w:rFonts w:ascii="宋体" w:hAnsi="宋体" w:cs="宋体"/>
          <w:bCs/>
        </w:rPr>
        <w:t xml:space="preserve"> 4.1.3 未按本章第4.1.1项或第4.1.2项要求密封和加写标记的投标文件，招标人应予拒收。</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4.2 投标文件的递交</w:t>
      </w:r>
    </w:p>
    <w:p>
      <w:pPr>
        <w:spacing w:line="360" w:lineRule="auto"/>
        <w:ind w:firstLine="420" w:firstLineChars="200"/>
        <w:rPr>
          <w:rStyle w:val="NormalCharacter"/>
          <w:rFonts w:ascii="宋体" w:cs="宋体"/>
          <w:bCs/>
        </w:rPr>
      </w:pPr>
      <w:r>
        <w:rPr>
          <w:rStyle w:val="NormalCharacter"/>
          <w:rFonts w:ascii="宋体" w:hAnsi="宋体" w:cs="宋体"/>
          <w:bCs/>
        </w:rPr>
        <w:t>4.2.1投标人递交投标文件截止时间：见投标人须知前附表。</w:t>
      </w:r>
    </w:p>
    <w:p>
      <w:pPr>
        <w:spacing w:line="360" w:lineRule="auto"/>
        <w:ind w:firstLine="420" w:firstLineChars="200"/>
        <w:rPr>
          <w:rStyle w:val="NormalCharacter"/>
          <w:rFonts w:ascii="宋体" w:cs="宋体"/>
          <w:bCs/>
        </w:rPr>
        <w:sectPr>
          <w:type w:val="nextPage"/>
          <w:pgSz w:w="11910" w:h="16840"/>
          <w:pgMar w:top="1380" w:right="1440" w:bottom="1580" w:left="1580" w:header="890" w:footer="1363" w:gutter="0"/>
          <w:pgNumType w:start="15"/>
          <w:cols w:num="1" w:space="720"/>
          <w:titlePg w:val="0"/>
        </w:sectPr>
      </w:pPr>
      <w:r>
        <w:rPr>
          <w:rStyle w:val="NormalCharacter"/>
          <w:rFonts w:ascii="宋体" w:hAnsi="宋体" w:cs="宋体"/>
          <w:bCs/>
        </w:rPr>
        <w:t>4.2.2 投标人递交投标文件的地点：见投标人须知前附表。</w:t>
      </w:r>
    </w:p>
    <w:p>
      <w:pPr>
        <w:spacing w:line="360" w:lineRule="auto"/>
        <w:ind w:firstLine="420" w:firstLineChars="200"/>
        <w:rPr>
          <w:rStyle w:val="NormalCharacter"/>
          <w:rFonts w:ascii="宋体" w:cs="宋体"/>
          <w:bCs/>
        </w:rPr>
      </w:pPr>
      <w:r>
        <w:rPr>
          <w:rStyle w:val="NormalCharacter"/>
          <w:rFonts w:ascii="宋体" w:hAnsi="宋体" w:cs="宋体"/>
          <w:bCs/>
        </w:rPr>
        <w:t>4.2.3 除投标人须知前附表另有规定外，投标人所递交的投标文件不予退还。</w:t>
      </w:r>
    </w:p>
    <w:p>
      <w:pPr>
        <w:spacing w:line="360" w:lineRule="auto"/>
        <w:ind w:firstLine="420" w:firstLineChars="200"/>
        <w:rPr>
          <w:rStyle w:val="NormalCharacter"/>
          <w:rFonts w:ascii="宋体" w:cs="宋体"/>
          <w:bCs/>
        </w:rPr>
      </w:pPr>
      <w:r>
        <w:rPr>
          <w:rStyle w:val="NormalCharacter"/>
          <w:rFonts w:ascii="宋体" w:hAnsi="宋体" w:cs="宋体"/>
          <w:bCs/>
        </w:rPr>
        <w:t>4.2.4投标人递交投标文件后，由该项目的法定代表人或其委托代理人在投标文件递交确认书上签字确认。</w:t>
      </w:r>
    </w:p>
    <w:p>
      <w:pPr>
        <w:spacing w:line="360" w:lineRule="auto"/>
        <w:ind w:firstLine="420" w:firstLineChars="200"/>
        <w:rPr>
          <w:rStyle w:val="NormalCharacter"/>
          <w:rFonts w:ascii="宋体" w:cs="宋体"/>
          <w:bCs/>
        </w:rPr>
      </w:pPr>
      <w:r>
        <w:rPr>
          <w:rStyle w:val="NormalCharacter"/>
          <w:rFonts w:ascii="宋体" w:hAnsi="宋体" w:cs="宋体"/>
          <w:bCs/>
        </w:rPr>
        <w:t>4.2.5 逾期送达的或者未按招标文件密封的投标文件，招标人不予受理。</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4.3 投标文件的修改与撤回</w:t>
      </w:r>
    </w:p>
    <w:p>
      <w:pPr>
        <w:spacing w:line="360" w:lineRule="auto"/>
        <w:ind w:firstLine="420" w:firstLineChars="200"/>
        <w:rPr>
          <w:rStyle w:val="NormalCharacter"/>
          <w:rFonts w:ascii="宋体" w:cs="宋体"/>
          <w:bCs/>
        </w:rPr>
      </w:pPr>
      <w:r>
        <w:rPr>
          <w:rStyle w:val="NormalCharacter"/>
          <w:rFonts w:ascii="宋体" w:hAnsi="宋体" w:cs="宋体"/>
          <w:bCs/>
        </w:rPr>
        <w:t>4.3.1 在本章第4.2.1项规定的投标截止时间前，投标人可以修改或撤回已递交的投标文件，但应以书面形式通知招标人。</w:t>
      </w:r>
    </w:p>
    <w:p>
      <w:pPr>
        <w:spacing w:line="360" w:lineRule="auto"/>
        <w:ind w:firstLine="420" w:firstLineChars="200"/>
        <w:rPr>
          <w:rStyle w:val="NormalCharacter"/>
          <w:rFonts w:ascii="宋体" w:cs="宋体"/>
          <w:bCs/>
        </w:rPr>
      </w:pPr>
      <w:r>
        <w:rPr>
          <w:rStyle w:val="NormalCharacter"/>
          <w:rFonts w:ascii="宋体" w:hAnsi="宋体" w:cs="宋体"/>
          <w:bCs/>
        </w:rPr>
        <w:t>4.3.2 投标人修改或撤回已递交投标文件的书面通知应按照本章第3.7.3项的要求签字或盖章。由该项目的法定代表人或其委托代理人在投标文件递交确认书上签字确认。</w:t>
      </w:r>
    </w:p>
    <w:p>
      <w:pPr>
        <w:spacing w:line="360" w:lineRule="auto"/>
        <w:ind w:firstLine="420" w:firstLineChars="200"/>
        <w:rPr>
          <w:rStyle w:val="NormalCharacter"/>
          <w:rFonts w:ascii="宋体" w:cs="宋体"/>
          <w:bCs/>
        </w:rPr>
      </w:pPr>
      <w:r>
        <w:rPr>
          <w:rStyle w:val="NormalCharacter"/>
          <w:rFonts w:ascii="宋体" w:hAnsi="宋体" w:cs="宋体"/>
          <w:bCs/>
        </w:rPr>
        <w:t>4.3.3 修改的内容为投标文件的组成部分。修改的投标文件应按照本章第3.7款、第4.1款、第4.2款规定进行编制、密封、标记和递交，并标明“修改”字样。</w:t>
      </w:r>
    </w:p>
    <w:p>
      <w:pPr>
        <w:pStyle w:val="UserStyle15"/>
        <w:rPr>
          <w:rStyle w:val="NormalCharacter"/>
          <w:rFonts w:ascii="宋体" w:eastAsia="宋体" w:hAnsi="宋体"/>
          <w:b/>
          <w:sz w:val="21"/>
          <w:szCs w:val="21"/>
        </w:rPr>
      </w:pPr>
      <w:r>
        <w:rPr>
          <w:rStyle w:val="NormalCharacter"/>
          <w:rFonts w:ascii="宋体" w:eastAsia="宋体" w:hAnsi="宋体"/>
          <w:b/>
          <w:sz w:val="21"/>
          <w:szCs w:val="21"/>
        </w:rPr>
        <w:t>5. 开标</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5.1 开标时间和地点</w:t>
      </w:r>
    </w:p>
    <w:p>
      <w:pPr>
        <w:spacing w:line="360" w:lineRule="auto"/>
        <w:ind w:firstLine="420" w:firstLineChars="200"/>
        <w:rPr>
          <w:rStyle w:val="NormalCharacter"/>
          <w:rFonts w:ascii="宋体" w:cs="宋体"/>
          <w:bCs/>
        </w:rPr>
      </w:pPr>
      <w:r>
        <w:rPr>
          <w:rStyle w:val="NormalCharacter"/>
          <w:rFonts w:ascii="宋体" w:hAnsi="宋体" w:cs="宋体"/>
          <w:bCs/>
        </w:rPr>
        <w:t>招标人在本章第4.2.1项规定的投标截止时间（开标时间）和投标人须知前附表规定的地点开标，并邀请所有投标人的法定代表人或其委托代理人准时参加。招标人在投标截止时间前收到的投标文件不少于3家，应按时开标。</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5.2 开标程序</w:t>
      </w:r>
    </w:p>
    <w:p>
      <w:pPr>
        <w:spacing w:line="360" w:lineRule="auto"/>
        <w:ind w:firstLine="420" w:firstLineChars="200"/>
        <w:rPr>
          <w:rStyle w:val="NormalCharacter"/>
          <w:rFonts w:ascii="宋体"/>
          <w:b/>
        </w:rPr>
      </w:pPr>
      <w:r>
        <w:rPr>
          <w:rStyle w:val="NormalCharacter"/>
          <w:rFonts w:ascii="宋体" w:hAnsi="宋体"/>
          <w:b/>
        </w:rPr>
        <w:t>5.2.1主持人按下列程序进行开标：</w:t>
      </w:r>
    </w:p>
    <w:p>
      <w:pPr>
        <w:spacing w:line="360" w:lineRule="auto"/>
        <w:ind w:firstLine="420" w:firstLineChars="200"/>
        <w:rPr>
          <w:rStyle w:val="NormalCharacter"/>
          <w:rFonts w:ascii="宋体" w:cs="宋体"/>
          <w:bCs/>
        </w:rPr>
      </w:pPr>
      <w:r>
        <w:rPr>
          <w:rStyle w:val="NormalCharacter"/>
          <w:rFonts w:ascii="宋体" w:hAnsi="宋体" w:cs="宋体"/>
          <w:bCs/>
        </w:rPr>
        <w:t xml:space="preserve"> 主持人按下列程序进行开标：</w:t>
      </w:r>
    </w:p>
    <w:p>
      <w:pPr>
        <w:spacing w:line="360" w:lineRule="auto"/>
        <w:ind w:firstLine="420" w:firstLineChars="200"/>
        <w:rPr>
          <w:rStyle w:val="NormalCharacter"/>
          <w:rFonts w:ascii="宋体" w:cs="宋体"/>
          <w:bCs/>
        </w:rPr>
      </w:pPr>
      <w:r>
        <w:rPr>
          <w:rStyle w:val="NormalCharacter"/>
          <w:rFonts w:ascii="宋体" w:hAnsi="宋体" w:cs="宋体"/>
          <w:bCs/>
        </w:rPr>
        <w:t>(l）公布在投标截止时间前递交投标文件的投标人名称。</w:t>
      </w:r>
    </w:p>
    <w:p>
      <w:pPr>
        <w:spacing w:line="360" w:lineRule="auto"/>
        <w:rPr>
          <w:rStyle w:val="NormalCharacter"/>
          <w:rFonts w:ascii="宋体" w:cs="宋体"/>
          <w:bCs/>
        </w:rPr>
      </w:pPr>
      <w:r>
        <w:rPr>
          <w:rStyle w:val="NormalCharacter"/>
          <w:rFonts w:ascii="宋体" w:hAnsi="宋体" w:cs="宋体"/>
          <w:bCs/>
        </w:rPr>
        <w:t xml:space="preserve">   （2）宣布开标纪律。</w:t>
      </w:r>
    </w:p>
    <w:p>
      <w:pPr>
        <w:spacing w:line="360" w:lineRule="auto"/>
        <w:rPr>
          <w:rStyle w:val="NormalCharacter"/>
          <w:rFonts w:ascii="宋体" w:cs="宋体"/>
          <w:bCs/>
        </w:rPr>
      </w:pPr>
      <w:r>
        <w:rPr>
          <w:rStyle w:val="NormalCharacter"/>
          <w:rFonts w:ascii="宋体" w:hAnsi="宋体" w:cs="宋体"/>
          <w:bCs/>
        </w:rPr>
        <w:t xml:space="preserve">   （3）宣布招标人等有关人员。</w:t>
      </w:r>
    </w:p>
    <w:p>
      <w:pPr>
        <w:spacing w:line="360" w:lineRule="auto"/>
        <w:rPr>
          <w:rStyle w:val="NormalCharacter"/>
          <w:rFonts w:ascii="宋体" w:cs="宋体"/>
          <w:bCs/>
        </w:rPr>
      </w:pPr>
      <w:r>
        <w:rPr>
          <w:rStyle w:val="NormalCharacter"/>
          <w:rFonts w:ascii="宋体" w:hAnsi="宋体" w:cs="宋体"/>
          <w:bCs/>
        </w:rPr>
        <w:t xml:space="preserve">   （4）按照投标人须知规定检查投标文件的密封情况。</w:t>
      </w:r>
    </w:p>
    <w:p>
      <w:pPr>
        <w:spacing w:line="360" w:lineRule="auto"/>
        <w:ind w:firstLine="420" w:firstLineChars="200"/>
        <w:rPr>
          <w:rStyle w:val="NormalCharacter"/>
          <w:rFonts w:ascii="宋体" w:cs="宋体"/>
          <w:bCs/>
        </w:rPr>
      </w:pPr>
      <w:r>
        <w:rPr>
          <w:rStyle w:val="NormalCharacter"/>
          <w:rFonts w:ascii="宋体" w:hAnsi="宋体" w:cs="宋体"/>
          <w:bCs/>
        </w:rPr>
        <w:t>(5）按照投标文件递交时间的逆顺序当众开标，公布投标人名称、投标报价、工期、质量标准、项目经理等投标函主要内容，并现场记录。</w:t>
      </w:r>
    </w:p>
    <w:p>
      <w:pPr>
        <w:spacing w:line="360" w:lineRule="auto"/>
        <w:ind w:firstLine="420" w:firstLineChars="200"/>
        <w:rPr>
          <w:rStyle w:val="NormalCharacter"/>
          <w:rFonts w:ascii="宋体" w:cs="宋体"/>
          <w:bCs/>
        </w:rPr>
      </w:pPr>
      <w:r>
        <w:rPr>
          <w:rStyle w:val="NormalCharacter"/>
          <w:rFonts w:ascii="宋体" w:hAnsi="宋体" w:cs="宋体"/>
          <w:bCs/>
        </w:rPr>
        <w:t>(6）投标人代表、招标人等有关人员在开标记录上签字确认。</w:t>
      </w:r>
    </w:p>
    <w:p>
      <w:pPr>
        <w:spacing w:line="360" w:lineRule="auto"/>
        <w:rPr>
          <w:rStyle w:val="NormalCharacter"/>
          <w:rFonts w:ascii="宋体" w:cs="宋体"/>
          <w:bCs/>
        </w:rPr>
      </w:pPr>
      <w:r>
        <w:rPr>
          <w:rStyle w:val="NormalCharacter"/>
          <w:rFonts w:ascii="宋体" w:hAnsi="宋体" w:cs="宋体"/>
          <w:bCs/>
        </w:rPr>
        <w:t xml:space="preserve">   （7）征询各投标人对开标过程有无异议，如有异议可现场书面（授权委托人签字）提出，如无异议，则后期针对开标过程的异议和投诉不予受理。</w:t>
      </w:r>
    </w:p>
    <w:p>
      <w:pPr>
        <w:spacing w:line="360" w:lineRule="auto"/>
        <w:rPr>
          <w:rStyle w:val="NormalCharacter"/>
          <w:rFonts w:ascii="宋体" w:cs="宋体"/>
          <w:bCs/>
        </w:rPr>
      </w:pPr>
      <w:r>
        <w:rPr>
          <w:rStyle w:val="NormalCharacter"/>
          <w:rFonts w:ascii="宋体" w:hAnsi="宋体" w:cs="宋体"/>
          <w:bCs/>
        </w:rPr>
        <w:t xml:space="preserve">   （8）开标结束。   </w:t>
      </w:r>
    </w:p>
    <w:p>
      <w:pPr>
        <w:spacing w:line="360" w:lineRule="auto"/>
        <w:ind w:firstLine="412" w:firstLineChars="196"/>
        <w:rPr>
          <w:rStyle w:val="NormalCharacter"/>
          <w:rFonts w:ascii="宋体" w:cs="宋体"/>
          <w:bCs/>
        </w:rPr>
      </w:pPr>
      <w:r>
        <w:rPr>
          <w:rStyle w:val="NormalCharacter"/>
          <w:rFonts w:ascii="宋体" w:hAnsi="宋体" w:cs="宋体"/>
          <w:bCs/>
        </w:rPr>
        <w:t>5.2.2投标人参加开标会的要求</w:t>
      </w:r>
      <w:r>
        <w:rPr>
          <w:rStyle w:val="NormalCharacter"/>
          <w:rFonts w:ascii="宋体" w:cs="宋体"/>
          <w:bCs/>
        </w:rPr>
        <w:t>,</w:t>
      </w:r>
      <w:r>
        <w:rPr>
          <w:rStyle w:val="NormalCharacter"/>
          <w:rFonts w:ascii="宋体" w:hAnsi="宋体" w:cs="宋体"/>
          <w:bCs/>
        </w:rPr>
        <w:t>见投标人须知前附表。</w:t>
      </w:r>
    </w:p>
    <w:p>
      <w:pPr>
        <w:pStyle w:val="UserStyle15"/>
        <w:rPr>
          <w:rStyle w:val="NormalCharacter"/>
          <w:rFonts w:ascii="宋体" w:eastAsia="宋体" w:hAnsi="宋体"/>
          <w:b/>
          <w:sz w:val="21"/>
          <w:szCs w:val="21"/>
        </w:rPr>
      </w:pPr>
      <w:r>
        <w:rPr>
          <w:rStyle w:val="NormalCharacter"/>
          <w:rFonts w:ascii="宋体" w:eastAsia="宋体" w:hAnsi="宋体"/>
          <w:b/>
          <w:sz w:val="21"/>
          <w:szCs w:val="21"/>
        </w:rPr>
        <w:t>6. 评标</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6.1 评标委员会</w:t>
      </w:r>
    </w:p>
    <w:p>
      <w:pPr>
        <w:spacing w:line="360" w:lineRule="auto"/>
        <w:ind w:firstLine="420" w:firstLineChars="200"/>
        <w:rPr>
          <w:rStyle w:val="NormalCharacter"/>
          <w:rFonts w:ascii="宋体" w:cs="宋体"/>
          <w:bCs/>
        </w:rPr>
        <w:sectPr>
          <w:type w:val="nextPage"/>
          <w:pgSz w:w="11910" w:h="16840"/>
          <w:pgMar w:top="1380" w:right="1440" w:bottom="1580" w:left="1580" w:header="890" w:footer="1363" w:gutter="0"/>
          <w:pgNumType w:start="16"/>
          <w:cols w:num="1" w:space="720"/>
          <w:titlePg w:val="0"/>
        </w:sectPr>
      </w:pPr>
      <w:r>
        <w:rPr>
          <w:rStyle w:val="NormalCharacter"/>
          <w:rFonts w:ascii="宋体" w:hAnsi="宋体" w:cs="宋体"/>
          <w:bCs/>
        </w:rPr>
        <w:t>6.1.1评标由招标人依法组建的评标委员会负责。</w:t>
      </w:r>
    </w:p>
    <w:p>
      <w:pPr>
        <w:spacing w:line="360" w:lineRule="auto"/>
        <w:ind w:firstLine="420" w:firstLineChars="200"/>
        <w:rPr>
          <w:rStyle w:val="NormalCharacter"/>
          <w:rFonts w:ascii="宋体" w:cs="宋体"/>
          <w:bCs/>
        </w:rPr>
      </w:pPr>
      <w:r>
        <w:rPr>
          <w:rStyle w:val="NormalCharacter"/>
          <w:rFonts w:ascii="宋体" w:hAnsi="宋体" w:cs="宋体"/>
          <w:bCs/>
        </w:rPr>
        <w:t>6.1.2 评标委员会成员有下列情形之一的，应当回避：</w:t>
      </w:r>
    </w:p>
    <w:p>
      <w:pPr>
        <w:spacing w:line="360" w:lineRule="auto"/>
        <w:ind w:firstLine="420" w:firstLineChars="200"/>
        <w:rPr>
          <w:rStyle w:val="NormalCharacter"/>
          <w:rFonts w:ascii="宋体" w:cs="宋体"/>
          <w:bCs/>
        </w:rPr>
      </w:pPr>
      <w:r>
        <w:rPr>
          <w:rStyle w:val="NormalCharacter"/>
          <w:rFonts w:ascii="宋体" w:hAnsi="宋体" w:cs="宋体"/>
          <w:bCs/>
        </w:rPr>
        <w:t>（1）招标人或投标人的主要负责人的近亲属；</w:t>
      </w:r>
    </w:p>
    <w:p>
      <w:pPr>
        <w:spacing w:line="360" w:lineRule="auto"/>
        <w:ind w:firstLine="420" w:firstLineChars="200"/>
        <w:rPr>
          <w:rStyle w:val="NormalCharacter"/>
          <w:rFonts w:ascii="宋体" w:cs="宋体"/>
          <w:bCs/>
        </w:rPr>
      </w:pPr>
      <w:r>
        <w:rPr>
          <w:rStyle w:val="NormalCharacter"/>
          <w:rFonts w:ascii="宋体" w:hAnsi="宋体" w:cs="宋体"/>
          <w:bCs/>
        </w:rPr>
        <w:t>（3）与投标人有经济利益关系，可能影响对投标公正评审的；</w:t>
      </w:r>
    </w:p>
    <w:p>
      <w:pPr>
        <w:spacing w:line="360" w:lineRule="auto"/>
        <w:ind w:firstLine="420" w:firstLineChars="200"/>
        <w:rPr>
          <w:rStyle w:val="NormalCharacter"/>
          <w:rFonts w:ascii="宋体" w:cs="宋体"/>
          <w:bCs/>
        </w:rPr>
      </w:pPr>
      <w:r>
        <w:rPr>
          <w:rStyle w:val="NormalCharacter"/>
          <w:rFonts w:ascii="宋体" w:hAnsi="宋体" w:cs="宋体"/>
          <w:bCs/>
        </w:rPr>
        <w:t>（4）曾因在招标、评标以及其他与招标投标有关活动中从事违法行为而受过行政处罚或刑事处罚的。</w:t>
      </w:r>
    </w:p>
    <w:p>
      <w:pPr>
        <w:pStyle w:val="UserStyle13"/>
        <w:tabs>
          <w:tab w:val="left" w:pos="2620"/>
        </w:tabs>
        <w:spacing w:line="360" w:lineRule="auto"/>
        <w:rPr>
          <w:rStyle w:val="NormalCharacter"/>
          <w:rFonts w:ascii="宋体" w:eastAsia="宋体" w:hAnsi="宋体" w:cs="宋体"/>
          <w:bCs/>
          <w:sz w:val="21"/>
          <w:szCs w:val="21"/>
        </w:rPr>
      </w:pPr>
      <w:r>
        <w:rPr>
          <w:rStyle w:val="NormalCharacter"/>
          <w:rFonts w:ascii="宋体" w:eastAsia="宋体" w:hAnsi="宋体"/>
          <w:b/>
          <w:sz w:val="21"/>
          <w:szCs w:val="21"/>
        </w:rPr>
        <w:t>6.2 评标原则</w:t>
      </w:r>
      <w:r>
        <w:rPr>
          <w:rStyle w:val="NormalCharacter"/>
          <w:rFonts w:ascii="宋体" w:eastAsia="宋体" w:hAnsi="宋体" w:cs="宋体"/>
          <w:bCs/>
          <w:sz w:val="21"/>
          <w:szCs w:val="21"/>
        </w:rPr>
        <w:tab/>
      </w:r>
    </w:p>
    <w:p>
      <w:pPr>
        <w:spacing w:line="360" w:lineRule="auto"/>
        <w:ind w:firstLine="420" w:firstLineChars="200"/>
        <w:rPr>
          <w:rStyle w:val="NormalCharacter"/>
          <w:rFonts w:ascii="宋体" w:cs="宋体"/>
          <w:bCs/>
        </w:rPr>
      </w:pPr>
      <w:r>
        <w:rPr>
          <w:rStyle w:val="NormalCharacter"/>
          <w:rFonts w:ascii="宋体" w:hAnsi="宋体" w:cs="宋体"/>
          <w:bCs/>
        </w:rPr>
        <w:t>评标活动遵循公平、公正、科学和择优的原则。</w:t>
      </w:r>
    </w:p>
    <w:p>
      <w:pPr>
        <w:pStyle w:val="UserStyle13"/>
        <w:tabs>
          <w:tab w:val="left" w:pos="2620"/>
        </w:tabs>
        <w:spacing w:line="360" w:lineRule="auto"/>
        <w:rPr>
          <w:rStyle w:val="NormalCharacter"/>
          <w:rFonts w:ascii="宋体" w:eastAsia="宋体" w:hAnsi="宋体"/>
          <w:b/>
          <w:sz w:val="21"/>
          <w:szCs w:val="21"/>
        </w:rPr>
      </w:pPr>
      <w:r>
        <w:rPr>
          <w:rStyle w:val="NormalCharacter"/>
          <w:rFonts w:ascii="宋体" w:eastAsia="宋体" w:hAnsi="宋体"/>
          <w:b/>
          <w:sz w:val="21"/>
          <w:szCs w:val="21"/>
        </w:rPr>
        <w:t>6.3 评标</w:t>
      </w:r>
    </w:p>
    <w:p>
      <w:pPr>
        <w:spacing w:line="360" w:lineRule="auto"/>
        <w:ind w:firstLine="420" w:firstLineChars="200"/>
        <w:rPr>
          <w:rStyle w:val="NormalCharacter"/>
          <w:rFonts w:ascii="宋体" w:cs="宋体"/>
          <w:bCs/>
        </w:rPr>
      </w:pPr>
      <w:r>
        <w:rPr>
          <w:rStyle w:val="NormalCharacter"/>
          <w:rFonts w:ascii="宋体" w:hAnsi="宋体" w:cs="宋体"/>
          <w:bCs/>
        </w:rPr>
        <w:t>评标委员会按照第三章“评标办法”规定的方法、评审因素、标准和程序对投标文件进行评审。第三章“评标办法”没有规定的方法、评审因素和标准，不作为评标依据。</w:t>
      </w:r>
    </w:p>
    <w:p>
      <w:pPr>
        <w:pStyle w:val="UserStyle15"/>
        <w:spacing w:line="360" w:lineRule="auto"/>
        <w:rPr>
          <w:rStyle w:val="NormalCharacter"/>
          <w:rFonts w:ascii="宋体" w:eastAsia="宋体" w:hAnsi="宋体"/>
          <w:b/>
          <w:sz w:val="21"/>
          <w:szCs w:val="21"/>
        </w:rPr>
      </w:pPr>
      <w:r>
        <w:rPr>
          <w:rStyle w:val="NormalCharacter"/>
          <w:rFonts w:ascii="宋体" w:eastAsia="宋体" w:hAnsi="宋体"/>
          <w:b/>
          <w:sz w:val="21"/>
          <w:szCs w:val="21"/>
        </w:rPr>
        <w:t>7. 合同授予</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7.1 定标方式</w:t>
      </w:r>
    </w:p>
    <w:p>
      <w:pPr>
        <w:spacing w:line="360" w:lineRule="auto"/>
        <w:ind w:firstLine="420" w:firstLineChars="200"/>
        <w:rPr>
          <w:rStyle w:val="NormalCharacter"/>
          <w:rFonts w:ascii="宋体" w:cs="宋体"/>
          <w:bCs/>
        </w:rPr>
      </w:pPr>
      <w:r>
        <w:rPr>
          <w:rStyle w:val="NormalCharacter"/>
          <w:rFonts w:ascii="宋体" w:hAnsi="宋体" w:cs="宋体"/>
          <w:bCs/>
        </w:rPr>
        <w:t>除投标人须知前附表规定评标委员会直接确定中标人外，招标人依据评标委员会推荐的中标候选人确定中标人，原则上第一中标候选人即为最终中标人，第一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w:t>
      </w:r>
      <w:r>
        <w:rPr>
          <w:rStyle w:val="NormalCharacter"/>
          <w:rFonts w:ascii="宋体" w:cs="宋体"/>
          <w:bCs/>
        </w:rPr>
        <w:t>,</w:t>
      </w:r>
      <w:r>
        <w:rPr>
          <w:rStyle w:val="NormalCharacter"/>
          <w:rFonts w:ascii="宋体" w:hAnsi="宋体" w:cs="宋体"/>
          <w:bCs/>
        </w:rPr>
        <w:t>也可以重新招标。评标委员会推荐中标候选人的人数见投标人须知前附表。</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7.2中标候选人公示、中标通知</w:t>
      </w:r>
    </w:p>
    <w:p>
      <w:pPr>
        <w:spacing w:line="360" w:lineRule="auto"/>
        <w:ind w:firstLine="420" w:firstLineChars="200"/>
        <w:rPr>
          <w:rStyle w:val="NormalCharacter"/>
          <w:rFonts w:ascii="宋体" w:cs="宋体"/>
          <w:bCs/>
        </w:rPr>
      </w:pPr>
      <w:r>
        <w:rPr>
          <w:rStyle w:val="NormalCharacter"/>
          <w:rFonts w:ascii="宋体" w:hAnsi="宋体" w:cs="宋体"/>
          <w:bCs/>
        </w:rPr>
        <w:t>7.2.1 招标人在投标人须知前附表规定的媒介公示中标候选人，公示时间不少</w:t>
      </w:r>
      <w:r>
        <w:rPr>
          <w:rStyle w:val="NormalCharacter"/>
          <w:rFonts w:ascii="宋体" w:hAnsi="宋体" w:cs="宋体" w:hint="eastAsia"/>
          <w:bCs/>
        </w:rPr>
        <w:t>3</w:t>
      </w:r>
      <w:r>
        <w:rPr>
          <w:rStyle w:val="NormalCharacter"/>
          <w:rFonts w:ascii="宋体" w:hAnsi="宋体" w:cs="宋体"/>
          <w:bCs/>
        </w:rPr>
        <w:t>日。</w:t>
      </w:r>
    </w:p>
    <w:p>
      <w:pPr>
        <w:spacing w:line="360" w:lineRule="auto"/>
        <w:ind w:firstLine="420" w:firstLineChars="200"/>
        <w:rPr>
          <w:rStyle w:val="NormalCharacter"/>
          <w:rFonts w:ascii="宋体" w:cs="宋体"/>
          <w:bCs/>
        </w:rPr>
      </w:pPr>
      <w:r>
        <w:rPr>
          <w:rStyle w:val="NormalCharacter"/>
          <w:rFonts w:ascii="宋体" w:hAnsi="宋体" w:cs="宋体"/>
          <w:bCs/>
        </w:rPr>
        <w:t>7.2.2 招标人是否组织有关部门对中标候选人履约能力等情况进行考察见投标人须知前附表。</w:t>
      </w:r>
    </w:p>
    <w:p>
      <w:pPr>
        <w:spacing w:line="360" w:lineRule="auto"/>
        <w:ind w:firstLine="420" w:firstLineChars="200"/>
        <w:rPr>
          <w:rStyle w:val="NormalCharacter"/>
          <w:rFonts w:ascii="宋体" w:cs="宋体"/>
          <w:bCs/>
        </w:rPr>
      </w:pPr>
      <w:r>
        <w:rPr>
          <w:rStyle w:val="NormalCharacter"/>
          <w:rFonts w:ascii="宋体" w:hAnsi="宋体" w:cs="宋体"/>
          <w:bCs/>
        </w:rPr>
        <w:t>7.2.3 在本章第3.3款规定的投标有效期内，招标人以书面形式向中标人发出中标通知书。</w:t>
      </w:r>
    </w:p>
    <w:p>
      <w:pPr>
        <w:spacing w:line="360" w:lineRule="auto"/>
        <w:rPr>
          <w:rStyle w:val="NormalCharacter"/>
          <w:rFonts w:ascii="宋体"/>
          <w:b/>
        </w:rPr>
      </w:pPr>
      <w:r>
        <w:rPr>
          <w:rStyle w:val="NormalCharacter"/>
          <w:rFonts w:ascii="宋体" w:hAnsi="宋体"/>
          <w:b/>
        </w:rPr>
        <w:t>7.3 履约担保</w:t>
      </w:r>
    </w:p>
    <w:p>
      <w:pPr>
        <w:spacing w:line="360" w:lineRule="auto"/>
        <w:ind w:firstLine="420" w:firstLineChars="200"/>
        <w:rPr>
          <w:rStyle w:val="NormalCharacter"/>
          <w:rFonts w:ascii="宋体" w:cs="宋体"/>
          <w:bCs/>
        </w:rPr>
      </w:pPr>
      <w:r>
        <w:rPr>
          <w:rStyle w:val="NormalCharacter"/>
          <w:rFonts w:ascii="宋体" w:hAnsi="宋体" w:cs="宋体"/>
          <w:bCs/>
        </w:rPr>
        <w:t>7.3.1在签订合同前，中标人应按投标人须知前附表规定的担保形式和招标文件第四章“合同条款及格式”规定的或者事先经过招标人书面认可的担保格式向招标人提交。联合体中标的，其担保由牵头人递交，并应符合投标人须知前附表规定的金额、担保形式和招标文件第四章“合同条款及格式”规定的担保格式要求。</w:t>
      </w:r>
    </w:p>
    <w:p>
      <w:pPr>
        <w:spacing w:line="360" w:lineRule="auto"/>
        <w:ind w:firstLine="420" w:firstLineChars="200"/>
        <w:rPr>
          <w:rStyle w:val="NormalCharacter"/>
          <w:rFonts w:ascii="宋体" w:cs="宋体"/>
          <w:bCs/>
        </w:rPr>
      </w:pPr>
      <w:r>
        <w:rPr>
          <w:rStyle w:val="NormalCharacter"/>
          <w:rFonts w:ascii="宋体" w:hAnsi="宋体" w:cs="宋体"/>
          <w:bCs/>
        </w:rPr>
        <w:t>7.3.2 中标人不能按本章第7.3.1项要求提交担保的，视为放弃中标，其投标保证金不予退还，给招标人造成的损失超过投标保证金数额的，中标人还应当对超过部分予以赔偿。</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7.4 签订合同</w:t>
      </w:r>
    </w:p>
    <w:p>
      <w:pPr>
        <w:spacing w:line="360" w:lineRule="auto"/>
        <w:ind w:firstLine="420" w:firstLineChars="200"/>
        <w:rPr>
          <w:rStyle w:val="NormalCharacter"/>
          <w:rFonts w:ascii="宋体" w:cs="宋体"/>
          <w:bCs/>
        </w:rPr>
      </w:pPr>
      <w:r>
        <w:rPr>
          <w:rStyle w:val="NormalCharacter"/>
          <w:rFonts w:ascii="宋体" w:hAnsi="宋体" w:cs="宋体"/>
          <w:bCs/>
        </w:rPr>
        <w:t xml:space="preserve">7.4.1招标人和中标人应当自中标通知书发出之日起30天内，根据招标文件和中标人的投标文件订立书面合同。中标人无正当理由拒签合同的，招标人取消其中标资格，其投标投标保证金不予退还；给招标人造成的损失超过投标保证金数额的，中标人还应当对超过部分予以赔偿。 </w:t>
      </w:r>
    </w:p>
    <w:p>
      <w:pPr>
        <w:spacing w:line="360" w:lineRule="auto"/>
        <w:ind w:firstLine="420" w:firstLineChars="200"/>
        <w:rPr>
          <w:rStyle w:val="NormalCharacter"/>
          <w:rFonts w:ascii="宋体" w:cs="宋体"/>
          <w:bCs/>
        </w:rPr>
        <w:sectPr>
          <w:type w:val="nextPage"/>
          <w:pgSz w:w="11910" w:h="16840"/>
          <w:pgMar w:top="1380" w:right="1440" w:bottom="1580" w:left="1580" w:header="890" w:footer="1363" w:gutter="0"/>
          <w:pgNumType w:start="17"/>
          <w:cols w:num="1" w:space="720"/>
          <w:titlePg w:val="0"/>
        </w:sectPr>
      </w:pPr>
      <w:r>
        <w:rPr>
          <w:rStyle w:val="NormalCharacter"/>
          <w:rFonts w:ascii="宋体" w:hAnsi="宋体" w:cs="宋体"/>
          <w:bCs/>
        </w:rPr>
        <w:t>7.4.2</w:t>
      </w:r>
    </w:p>
    <w:p>
      <w:pPr>
        <w:spacing w:line="360" w:lineRule="auto"/>
        <w:ind w:firstLine="420" w:firstLineChars="200"/>
        <w:rPr>
          <w:rStyle w:val="NormalCharacter"/>
          <w:rFonts w:ascii="宋体" w:cs="宋体"/>
          <w:bCs/>
        </w:rPr>
      </w:pPr>
      <w:r>
        <w:rPr>
          <w:rStyle w:val="NormalCharacter"/>
          <w:rFonts w:ascii="宋体" w:hAnsi="宋体" w:cs="宋体"/>
          <w:bCs/>
        </w:rPr>
        <w:t xml:space="preserve"> 发出中标通知书后，招标人无正当理由拒签合同的，招标人向中标人退还投标保证金；给中标人造成损失的，还应当赔偿损失。</w:t>
      </w:r>
      <w:r>
        <w:rPr>
          <w:rStyle w:val="NormalCharacter"/>
          <w:rFonts w:ascii="宋体" w:hAnsi="宋体" w:cs="宋体"/>
          <w:bCs/>
        </w:rPr>
        <w:t xml:space="preserve"> </w:t>
      </w:r>
    </w:p>
    <w:p>
      <w:pPr>
        <w:pStyle w:val="UserStyle15"/>
        <w:spacing w:line="360" w:lineRule="auto"/>
        <w:rPr>
          <w:rStyle w:val="NormalCharacter"/>
          <w:rFonts w:ascii="宋体" w:eastAsia="宋体" w:hAnsi="宋体"/>
          <w:b/>
          <w:sz w:val="21"/>
          <w:szCs w:val="21"/>
        </w:rPr>
      </w:pPr>
      <w:r>
        <w:rPr>
          <w:rStyle w:val="NormalCharacter"/>
          <w:rFonts w:ascii="宋体" w:eastAsia="宋体" w:hAnsi="宋体"/>
          <w:b/>
          <w:sz w:val="21"/>
          <w:szCs w:val="21"/>
        </w:rPr>
        <w:t>8. 重新招标</w:t>
      </w:r>
    </w:p>
    <w:p>
      <w:pPr>
        <w:spacing w:line="360" w:lineRule="auto"/>
        <w:ind w:firstLine="420" w:firstLineChars="200"/>
        <w:rPr>
          <w:rStyle w:val="NormalCharacter"/>
          <w:rFonts w:ascii="宋体" w:cs="宋体"/>
          <w:bCs/>
        </w:rPr>
      </w:pPr>
      <w:r>
        <w:rPr>
          <w:rStyle w:val="NormalCharacter"/>
          <w:rFonts w:ascii="宋体" w:hAnsi="宋体" w:cs="宋体"/>
          <w:bCs/>
        </w:rPr>
        <w:t>有下列情形之一的，招标人将重新招标：</w:t>
      </w:r>
    </w:p>
    <w:p>
      <w:pPr>
        <w:spacing w:line="360" w:lineRule="auto"/>
        <w:ind w:firstLine="359" w:firstLineChars="171"/>
        <w:rPr>
          <w:rStyle w:val="NormalCharacter"/>
          <w:rFonts w:ascii="宋体" w:cs="宋体"/>
          <w:bCs/>
        </w:rPr>
      </w:pPr>
      <w:r>
        <w:rPr>
          <w:rStyle w:val="NormalCharacter"/>
          <w:rFonts w:ascii="宋体" w:hAnsi="宋体" w:cs="宋体"/>
          <w:bCs/>
        </w:rPr>
        <w:t>（1）投标截止时间止，投标人少于3个的；</w:t>
      </w:r>
    </w:p>
    <w:p>
      <w:pPr>
        <w:spacing w:line="360" w:lineRule="auto"/>
        <w:ind w:firstLine="359" w:firstLineChars="171"/>
        <w:rPr>
          <w:rStyle w:val="NormalCharacter"/>
          <w:rFonts w:ascii="宋体" w:cs="宋体"/>
          <w:bCs/>
        </w:rPr>
      </w:pPr>
      <w:r>
        <w:rPr>
          <w:rStyle w:val="NormalCharacter"/>
          <w:rFonts w:ascii="宋体" w:hAnsi="宋体" w:cs="宋体"/>
          <w:bCs/>
        </w:rPr>
        <w:t>（2）经评标委员会评审后否决所有投标的；</w:t>
      </w:r>
    </w:p>
    <w:p>
      <w:pPr>
        <w:pStyle w:val="UserStyle15"/>
        <w:spacing w:line="360" w:lineRule="auto"/>
        <w:rPr>
          <w:rStyle w:val="NormalCharacter"/>
          <w:rFonts w:ascii="宋体" w:eastAsia="宋体" w:hAnsi="宋体"/>
          <w:b/>
          <w:sz w:val="21"/>
          <w:szCs w:val="21"/>
        </w:rPr>
      </w:pPr>
      <w:r>
        <w:rPr>
          <w:rStyle w:val="NormalCharacter"/>
          <w:rFonts w:ascii="宋体" w:eastAsia="宋体" w:hAnsi="宋体"/>
          <w:b/>
          <w:sz w:val="21"/>
          <w:szCs w:val="21"/>
        </w:rPr>
        <w:t>9. 纪律和监督</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9.1 对招标人的纪律要求</w:t>
      </w:r>
    </w:p>
    <w:p>
      <w:pPr>
        <w:spacing w:line="360" w:lineRule="auto"/>
        <w:ind w:firstLine="420" w:firstLineChars="200"/>
        <w:rPr>
          <w:rStyle w:val="NormalCharacter"/>
          <w:rFonts w:ascii="宋体" w:cs="宋体"/>
          <w:bCs/>
        </w:rPr>
      </w:pPr>
      <w:r>
        <w:rPr>
          <w:rStyle w:val="NormalCharacter"/>
          <w:rFonts w:ascii="宋体" w:hAnsi="宋体" w:cs="宋体"/>
          <w:bCs/>
        </w:rPr>
        <w:t>招标人不得泄漏招标投标活动中应当保密的情况和资料，不得与投标人串通损害国家利益、社会公共利益或者他人合法权益。</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9.2 对投标人的纪律要求</w:t>
      </w:r>
    </w:p>
    <w:p>
      <w:pPr>
        <w:spacing w:line="360" w:lineRule="auto"/>
        <w:ind w:firstLine="420" w:firstLineChars="200"/>
        <w:rPr>
          <w:rStyle w:val="NormalCharacter"/>
          <w:rFonts w:ascii="宋体" w:cs="宋体"/>
          <w:bCs/>
        </w:rPr>
      </w:pPr>
      <w:r>
        <w:rPr>
          <w:rStyle w:val="NormalCharacter"/>
          <w:rFonts w:ascii="宋体" w:hAnsi="宋体" w:cs="宋体"/>
          <w:bCs/>
        </w:rPr>
        <w:t>投标人不得相互串通投标或者与招标人串通投标，不得向招标人或者评标委员会成员行贿谋取中标，不得以他人名义投标或者以其他方式弄虚作假骗取中标；投标人不得以任何方式干扰、影响评标工作。如投标人存在围标、串标、以他人名义投标、弄虚作假、恶意投诉、虚假投诉等行为的、经查证属实的，其提交的投标保证金不予退还，并记入诚信档案，三年内不得参与安徽舜泰建筑工程有限公司投标。</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9.3 对评标委员会成员的纪律要求</w:t>
      </w:r>
    </w:p>
    <w:p>
      <w:pPr>
        <w:spacing w:line="360" w:lineRule="auto"/>
        <w:ind w:firstLine="420" w:firstLineChars="200"/>
        <w:rPr>
          <w:rStyle w:val="NormalCharacter"/>
          <w:rFonts w:ascii="宋体" w:cs="宋体"/>
          <w:bCs/>
        </w:rPr>
      </w:pPr>
      <w:r>
        <w:rPr>
          <w:rStyle w:val="NormalCharacter"/>
          <w:rFonts w:ascii="宋体" w:hAnsi="宋体" w:cs="宋体"/>
          <w:bCs/>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pPr>
        <w:pStyle w:val="UserStyle13"/>
        <w:spacing w:line="360" w:lineRule="auto"/>
        <w:rPr>
          <w:rStyle w:val="NormalCharacter"/>
          <w:rFonts w:ascii="宋体" w:eastAsia="宋体" w:hAnsi="宋体"/>
          <w:b/>
          <w:sz w:val="21"/>
          <w:szCs w:val="21"/>
        </w:rPr>
      </w:pPr>
      <w:r>
        <w:rPr>
          <w:rStyle w:val="NormalCharacter"/>
          <w:rFonts w:ascii="宋体" w:eastAsia="宋体" w:hAnsi="宋体"/>
          <w:b/>
          <w:sz w:val="21"/>
          <w:szCs w:val="21"/>
        </w:rPr>
        <w:t>9.4 对与评标活动有关的工作人员的纪律要求</w:t>
      </w:r>
    </w:p>
    <w:p>
      <w:pPr>
        <w:spacing w:line="360" w:lineRule="auto"/>
        <w:ind w:firstLine="420" w:firstLineChars="200"/>
        <w:rPr>
          <w:rStyle w:val="NormalCharacter"/>
          <w:rFonts w:ascii="宋体" w:hAnsi="宋体" w:cs="宋体"/>
          <w:bCs/>
        </w:rPr>
      </w:pPr>
      <w:r>
        <w:rPr>
          <w:rStyle w:val="NormalCharacter"/>
          <w:rFonts w:ascii="宋体" w:hAnsi="宋体" w:cs="宋体"/>
          <w:bCs/>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spacing w:line="420" w:lineRule="exact"/>
        <w:rPr>
          <w:rStyle w:val="NormalCharacter"/>
          <w:rFonts w:ascii="宋体" w:hAnsi="宋体"/>
          <w:b/>
        </w:rPr>
      </w:pPr>
      <w:r>
        <w:rPr>
          <w:rStyle w:val="NormalCharacter"/>
          <w:rFonts w:ascii="宋体" w:hAnsi="宋体"/>
          <w:b/>
        </w:rPr>
        <w:t>9.5异议、投诉</w:t>
      </w:r>
    </w:p>
    <w:p>
      <w:pPr>
        <w:pStyle w:val="UserStyle15"/>
        <w:spacing w:line="360" w:lineRule="auto"/>
        <w:ind w:firstLine="420" w:firstLineChars="200"/>
        <w:rPr>
          <w:rStyle w:val="NormalCharacter"/>
          <w:rFonts w:ascii="宋体" w:eastAsia="宋体" w:hAnsi="宋体" w:cs="宋体"/>
          <w:bCs/>
          <w:sz w:val="21"/>
          <w:szCs w:val="21"/>
        </w:rPr>
      </w:pPr>
      <w:r>
        <w:rPr>
          <w:rStyle w:val="NormalCharacter"/>
          <w:rFonts w:ascii="宋体" w:eastAsia="宋体" w:hAnsi="宋体" w:cs="宋体" w:hint="eastAsia"/>
          <w:bCs/>
          <w:sz w:val="21"/>
          <w:szCs w:val="21"/>
        </w:rPr>
        <w:t>该项目非集中采购项目，质疑和投诉由招标人负责处理。</w:t>
      </w:r>
    </w:p>
    <w:p>
      <w:pPr>
        <w:pStyle w:val="UserStyle15"/>
        <w:spacing w:line="360" w:lineRule="auto"/>
        <w:rPr>
          <w:rStyle w:val="NormalCharacter"/>
          <w:rFonts w:ascii="宋体" w:eastAsia="宋体" w:hAnsi="宋体"/>
          <w:b/>
          <w:sz w:val="21"/>
          <w:szCs w:val="21"/>
        </w:rPr>
      </w:pPr>
      <w:r>
        <w:rPr>
          <w:rStyle w:val="NormalCharacter"/>
          <w:rFonts w:ascii="宋体" w:eastAsia="宋体" w:hAnsi="宋体"/>
          <w:b/>
          <w:sz w:val="21"/>
          <w:szCs w:val="21"/>
        </w:rPr>
        <w:t>10. 需要补充的其他内容</w:t>
      </w:r>
    </w:p>
    <w:p>
      <w:pPr>
        <w:pStyle w:val="UserStyle15"/>
        <w:spacing w:line="360" w:lineRule="auto"/>
        <w:ind w:firstLine="420" w:firstLineChars="200"/>
        <w:rPr>
          <w:rStyle w:val="NormalCharacter"/>
          <w:rFonts w:ascii="宋体" w:eastAsia="宋体" w:hAnsi="宋体" w:cs="宋体"/>
          <w:bCs/>
          <w:sz w:val="21"/>
          <w:szCs w:val="21"/>
        </w:rPr>
      </w:pPr>
      <w:r>
        <w:rPr>
          <w:rStyle w:val="NormalCharacter"/>
          <w:rFonts w:ascii="宋体" w:eastAsia="宋体" w:hAnsi="宋体" w:cs="宋体"/>
          <w:bCs/>
          <w:sz w:val="21"/>
          <w:szCs w:val="21"/>
        </w:rPr>
        <w:t>详见投标人须知前附表</w:t>
      </w:r>
    </w:p>
    <w:p>
      <w:pPr>
        <w:spacing w:line="360" w:lineRule="auto"/>
        <w:rPr>
          <w:rStyle w:val="NormalCharacter"/>
          <w:rFonts w:ascii="宋体" w:hAnsi="宋体"/>
          <w:b/>
        </w:rPr>
      </w:pPr>
      <w:r>
        <w:rPr>
          <w:rStyle w:val="NormalCharacter"/>
          <w:rFonts w:ascii="宋体" w:hAnsi="宋体"/>
          <w:b/>
        </w:rPr>
        <w:t>11、本招标文件解释权</w:t>
      </w:r>
    </w:p>
    <w:p>
      <w:pPr>
        <w:spacing w:line="360" w:lineRule="auto"/>
        <w:ind w:firstLine="420" w:firstLineChars="200"/>
        <w:rPr>
          <w:rStyle w:val="NormalCharacter"/>
          <w:rFonts w:ascii="宋体" w:hAnsi="宋体"/>
        </w:rPr>
      </w:pPr>
      <w:r>
        <w:rPr>
          <w:rStyle w:val="NormalCharacter"/>
          <w:rFonts w:ascii="宋体" w:hAnsi="宋体"/>
        </w:rPr>
        <w:t>本招标文件的解释权归招标人所有。</w:t>
      </w:r>
    </w:p>
    <w:p>
      <w:pPr>
        <w:spacing w:line="360" w:lineRule="auto"/>
        <w:jc w:val="center"/>
        <w:rPr>
          <w:sz w:val="36"/>
          <w:szCs w:val="36"/>
          <w:u w:val="single"/>
        </w:rPr>
        <w:sectPr>
          <w:type w:val="nextPage"/>
          <w:pgSz w:w="11910" w:h="16840"/>
          <w:pgMar w:top="1380" w:right="1440" w:bottom="1580" w:left="1580" w:header="890" w:footer="1363" w:gutter="0"/>
          <w:pgNumType w:start="18"/>
          <w:cols w:num="1" w:space="720"/>
          <w:titlePg w:val="0"/>
        </w:sectPr>
      </w:pPr>
    </w:p>
    <w:p>
      <w:pPr>
        <w:widowControl/>
        <w:jc w:val="left"/>
        <w:rPr>
          <w:rFonts w:ascii="黑体" w:eastAsia="黑体" w:hAnsi="黑体" w:cs="黑体"/>
          <w:b/>
          <w:bCs/>
          <w:kern w:val="44"/>
          <w:sz w:val="44"/>
          <w:szCs w:val="44"/>
        </w:rPr>
      </w:pPr>
      <w:bookmarkStart w:id="44" w:name="_Toc523399848"/>
      <w:bookmarkStart w:id="45" w:name="_Toc523400017"/>
      <w:bookmarkStart w:id="46" w:name="_Toc523399750"/>
    </w:p>
    <w:p>
      <w:pPr>
        <w:jc w:val="center"/>
        <w:outlineLvl w:val="0"/>
        <w:rPr>
          <w:rFonts w:cs="黑体"/>
          <w:b/>
          <w:sz w:val="32"/>
          <w:szCs w:val="32"/>
        </w:rPr>
      </w:pPr>
      <w:r>
        <w:rPr>
          <w:rFonts w:ascii="黑体" w:eastAsia="黑体" w:hAnsi="黑体" w:cs="黑体" w:hint="eastAsia"/>
          <w:b/>
          <w:bCs/>
          <w:kern w:val="44"/>
          <w:sz w:val="44"/>
          <w:szCs w:val="44"/>
        </w:rPr>
        <w:t>第三章  评标办法</w:t>
      </w:r>
      <w:bookmarkEnd w:id="44"/>
      <w:bookmarkEnd w:id="45"/>
      <w:bookmarkEnd w:id="46"/>
    </w:p>
    <w:p>
      <w:pPr>
        <w:rPr>
          <w:rFonts w:ascii="宋体" w:hAnsi="宋体" w:cs="楷体_GB2312"/>
          <w:b/>
        </w:rPr>
      </w:pPr>
    </w:p>
    <w:p>
      <w:pPr>
        <w:spacing w:line="360" w:lineRule="auto"/>
        <w:jc w:val="center"/>
        <w:rPr>
          <w:rFonts w:ascii="宋体" w:hAnsi="宋体" w:cs="宋体"/>
        </w:rPr>
      </w:pPr>
    </w:p>
    <w:p>
      <w:pPr>
        <w:spacing w:line="360" w:lineRule="auto"/>
        <w:jc w:val="center"/>
        <w:rPr>
          <w:rFonts w:ascii="宋体" w:cs="宋体"/>
          <w:b/>
          <w:bCs/>
          <w:sz w:val="24"/>
        </w:rPr>
      </w:pPr>
      <w:r>
        <w:rPr>
          <w:rFonts w:ascii="宋体" w:hAnsi="宋体" w:cs="宋体" w:hint="eastAsia"/>
          <w:b/>
          <w:sz w:val="24"/>
        </w:rPr>
        <w:t>评标委员会否决投标文件的条款</w:t>
      </w:r>
    </w:p>
    <w:p>
      <w:pPr>
        <w:spacing w:line="360" w:lineRule="auto"/>
        <w:ind w:firstLine="420" w:firstLineChars="200"/>
        <w:rPr>
          <w:rFonts w:ascii="宋体" w:cs="宋体"/>
          <w:color w:val="000000"/>
        </w:rPr>
      </w:pPr>
      <w:r>
        <w:rPr>
          <w:rFonts w:ascii="宋体" w:hAnsi="宋体" w:cs="宋体" w:hint="eastAsia"/>
          <w:color w:val="000000"/>
        </w:rPr>
        <w:t>1、不符合评标办法前附表要求条件的。</w:t>
      </w:r>
    </w:p>
    <w:p>
      <w:pPr>
        <w:spacing w:line="360" w:lineRule="auto"/>
        <w:ind w:firstLine="420" w:firstLineChars="200"/>
        <w:rPr>
          <w:rFonts w:ascii="宋体" w:cs="宋体"/>
          <w:color w:val="000000"/>
        </w:rPr>
      </w:pPr>
      <w:r>
        <w:rPr>
          <w:rFonts w:ascii="宋体" w:hAnsi="宋体" w:cs="宋体" w:hint="eastAsia"/>
          <w:color w:val="000000"/>
        </w:rPr>
        <w:t>2、投标人有串通投标或弄虚作假或有其他违法行为的。</w:t>
      </w:r>
    </w:p>
    <w:p>
      <w:pPr>
        <w:spacing w:line="360" w:lineRule="auto"/>
        <w:ind w:firstLine="525" w:firstLineChars="250"/>
        <w:rPr>
          <w:rFonts w:ascii="宋体" w:hAnsi="宋体" w:cs="宋体"/>
          <w:color w:val="000000"/>
        </w:rPr>
      </w:pPr>
      <w:r>
        <w:rPr>
          <w:rFonts w:ascii="宋体" w:hAnsi="宋体" w:cs="宋体" w:hint="eastAsia"/>
          <w:color w:val="000000"/>
        </w:rPr>
        <w:t>串通投标行为是指：</w:t>
      </w:r>
    </w:p>
    <w:p>
      <w:pPr>
        <w:spacing w:line="360" w:lineRule="auto"/>
        <w:ind w:firstLine="420" w:firstLineChars="200"/>
        <w:rPr>
          <w:rFonts w:ascii="宋体" w:cs="宋体"/>
          <w:color w:val="000000"/>
        </w:rPr>
      </w:pPr>
      <w:r>
        <w:rPr>
          <w:rFonts w:ascii="宋体" w:cs="宋体" w:hint="eastAsia"/>
          <w:color w:val="000000"/>
        </w:rPr>
        <w:t>（1）不同投标人的投标文件由同一单位或者个人编制；</w:t>
      </w:r>
    </w:p>
    <w:p>
      <w:pPr>
        <w:spacing w:line="360" w:lineRule="auto"/>
        <w:ind w:firstLine="420" w:firstLineChars="200"/>
        <w:rPr>
          <w:rFonts w:ascii="宋体" w:cs="宋体"/>
          <w:color w:val="000000"/>
        </w:rPr>
      </w:pPr>
      <w:r>
        <w:rPr>
          <w:rFonts w:ascii="宋体" w:cs="宋体" w:hint="eastAsia"/>
          <w:color w:val="000000"/>
        </w:rPr>
        <w:t>（2）不同投标人委托同一单位或者个人办理投标事宜；</w:t>
      </w:r>
    </w:p>
    <w:p>
      <w:pPr>
        <w:spacing w:line="360" w:lineRule="auto"/>
        <w:ind w:firstLine="420" w:firstLineChars="200"/>
        <w:rPr>
          <w:rFonts w:ascii="宋体" w:cs="宋体"/>
          <w:color w:val="000000"/>
        </w:rPr>
      </w:pPr>
      <w:r>
        <w:rPr>
          <w:rFonts w:ascii="宋体" w:cs="宋体" w:hint="eastAsia"/>
          <w:color w:val="000000"/>
        </w:rPr>
        <w:t>（3）不同投标人的投标文件载明的项目管理成员为同一人；</w:t>
      </w:r>
    </w:p>
    <w:p>
      <w:pPr>
        <w:spacing w:line="360" w:lineRule="auto"/>
        <w:ind w:firstLine="420" w:firstLineChars="200"/>
        <w:rPr>
          <w:rFonts w:ascii="宋体" w:cs="宋体"/>
          <w:color w:val="000000"/>
        </w:rPr>
      </w:pPr>
      <w:r>
        <w:rPr>
          <w:rFonts w:ascii="宋体" w:cs="宋体" w:hint="eastAsia"/>
          <w:color w:val="000000"/>
        </w:rPr>
        <w:t>（4）不同投标人的投标文件异常一致或者投标报价呈规律性差异；</w:t>
      </w:r>
    </w:p>
    <w:p>
      <w:pPr>
        <w:spacing w:line="360" w:lineRule="auto"/>
        <w:ind w:firstLine="420" w:firstLineChars="200"/>
        <w:rPr>
          <w:rFonts w:ascii="宋体" w:cs="宋体"/>
          <w:color w:val="000000"/>
        </w:rPr>
      </w:pPr>
      <w:r>
        <w:rPr>
          <w:rFonts w:ascii="宋体" w:cs="宋体" w:hint="eastAsia"/>
          <w:color w:val="000000"/>
        </w:rPr>
        <w:t>（5）不同投标人的投标文件相互混装；</w:t>
      </w:r>
    </w:p>
    <w:p>
      <w:pPr>
        <w:spacing w:line="360" w:lineRule="auto"/>
        <w:ind w:firstLine="420" w:firstLineChars="200"/>
        <w:rPr>
          <w:rFonts w:ascii="宋体" w:cs="宋体"/>
          <w:color w:val="000000"/>
        </w:rPr>
      </w:pPr>
      <w:r>
        <w:rPr>
          <w:rFonts w:ascii="宋体" w:cs="宋体" w:hint="eastAsia"/>
          <w:color w:val="000000"/>
        </w:rPr>
        <w:t>（6）不同投标人的投标保证金从同一单位或者个人的账户转出；</w:t>
      </w:r>
    </w:p>
    <w:p>
      <w:pPr>
        <w:spacing w:line="360" w:lineRule="auto"/>
        <w:ind w:firstLine="420" w:firstLineChars="200"/>
        <w:rPr>
          <w:rFonts w:ascii="宋体" w:cs="宋体"/>
          <w:color w:val="000000"/>
        </w:rPr>
      </w:pPr>
      <w:r>
        <w:rPr>
          <w:rFonts w:ascii="宋体" w:cs="宋体" w:hint="eastAsia"/>
          <w:color w:val="000000"/>
        </w:rPr>
        <w:t>（7）不同投标人聘请同一人或同一中介机构为其投标提供技术或经济咨询服务的；</w:t>
      </w:r>
    </w:p>
    <w:p>
      <w:pPr>
        <w:tabs>
          <w:tab w:val="left" w:pos="360"/>
        </w:tabs>
        <w:spacing w:line="360" w:lineRule="auto"/>
        <w:ind w:firstLine="420" w:firstLineChars="200"/>
        <w:rPr>
          <w:rFonts w:ascii="宋体" w:hAnsi="宋体" w:cs="宋体"/>
          <w:b/>
          <w:color w:val="000000"/>
        </w:rPr>
      </w:pPr>
      <w:r>
        <w:rPr>
          <w:rFonts w:ascii="宋体" w:hAnsi="宋体" w:cs="宋体" w:hint="eastAsia"/>
          <w:b/>
          <w:color w:val="000000"/>
          <w:u w:val="none"/>
        </w:rPr>
        <w:t>（8）</w:t>
      </w:r>
      <w:r>
        <w:rPr>
          <w:rFonts w:ascii="宋体" w:cs="宋体" w:hint="eastAsia"/>
          <w:b/>
          <w:color w:val="000000"/>
        </w:rPr>
        <w:t>投标人的投标报价明显低于或高于其他投标人投标报价，使其投标报价可能存在帮助其他投标人中标或参与围标、串标的，投标人不能合理书面说明或提供相应证明材料的。</w:t>
      </w:r>
    </w:p>
    <w:p>
      <w:pPr>
        <w:shd w:val="clear" w:color="auto" w:fill="FFFFFF"/>
        <w:snapToGrid w:val="0"/>
        <w:spacing w:line="360" w:lineRule="auto"/>
        <w:ind w:firstLine="420" w:firstLineChars="200"/>
        <w:rPr>
          <w:rFonts w:ascii="宋体" w:cs="宋体"/>
          <w:color w:val="000000"/>
        </w:rPr>
      </w:pPr>
      <w:r>
        <w:rPr>
          <w:rFonts w:ascii="宋体" w:hAnsi="宋体" w:cs="宋体" w:hint="eastAsia"/>
          <w:color w:val="000000"/>
        </w:rPr>
        <w:t>3、不符合招标文件第五章“投标文件格式”要求的，实质性内容不全或关键字迹模糊、无法辨认的。（注：如果以此条为由应当否决投标的，评标委员会在准备否决前应先报该项目招标人进行核实后再做决定。）</w:t>
      </w:r>
    </w:p>
    <w:p>
      <w:pPr>
        <w:shd w:val="clear" w:color="auto" w:fill="FFFFFF"/>
        <w:snapToGrid w:val="0"/>
        <w:spacing w:line="360" w:lineRule="auto"/>
        <w:ind w:firstLine="420" w:firstLineChars="200"/>
        <w:rPr>
          <w:rFonts w:ascii="宋体" w:cs="宋体"/>
          <w:color w:val="000000"/>
        </w:rPr>
      </w:pPr>
      <w:r>
        <w:rPr>
          <w:rFonts w:ascii="宋体" w:hAnsi="宋体" w:cs="宋体" w:hint="eastAsia"/>
          <w:color w:val="000000"/>
        </w:rPr>
        <w:t>4、投标人递交两份或多份内容不同的投标文件，投标文件中对同一招标项目报有两个或多个报价，且未声明哪一个有效的。按招标文件规定提交备选投标方案的除外。</w:t>
      </w:r>
    </w:p>
    <w:p>
      <w:pPr>
        <w:shd w:val="clear" w:color="auto" w:fill="FFFFFF"/>
        <w:snapToGrid w:val="0"/>
        <w:spacing w:line="360" w:lineRule="auto"/>
        <w:ind w:firstLine="420" w:firstLineChars="200"/>
        <w:rPr>
          <w:rFonts w:ascii="宋体" w:hAnsi="宋体" w:cs="宋体"/>
          <w:color w:val="000000"/>
        </w:rPr>
      </w:pPr>
      <w:r>
        <w:rPr>
          <w:rFonts w:ascii="宋体" w:hAnsi="宋体" w:cs="宋体" w:hint="eastAsia"/>
          <w:color w:val="000000"/>
        </w:rPr>
        <w:t>5、投标报价高于或等于最高投标限价的。</w:t>
      </w:r>
    </w:p>
    <w:p>
      <w:pPr>
        <w:shd w:val="clear" w:color="auto" w:fill="FFFFFF"/>
        <w:snapToGrid w:val="0"/>
        <w:spacing w:line="360" w:lineRule="auto"/>
        <w:ind w:firstLine="420" w:firstLineChars="200"/>
        <w:rPr>
          <w:rFonts w:ascii="宋体" w:cs="宋体"/>
          <w:b/>
          <w:color w:val="000000"/>
        </w:rPr>
      </w:pPr>
      <w:r>
        <w:rPr>
          <w:rFonts w:ascii="宋体" w:hAnsi="宋体" w:cs="宋体" w:hint="eastAsia"/>
          <w:color w:val="000000"/>
        </w:rPr>
        <w:t>6、</w:t>
      </w:r>
      <w:r>
        <w:rPr>
          <w:rFonts w:ascii="宋体" w:cs="宋体" w:hint="eastAsia"/>
          <w:color w:val="000000"/>
        </w:rPr>
        <w:t>联合体投标人没有提交</w:t>
      </w:r>
      <w:r>
        <w:rPr>
          <w:rFonts w:ascii="宋体" w:cs="宋体" w:hint="eastAsia"/>
          <w:b/>
          <w:color w:val="000000"/>
        </w:rPr>
        <w:t>联合体协议书。</w:t>
      </w:r>
    </w:p>
    <w:p>
      <w:pPr>
        <w:shd w:val="clear" w:color="auto" w:fill="FFFFFF"/>
        <w:tabs>
          <w:tab w:val="left" w:pos="527"/>
        </w:tabs>
        <w:snapToGrid w:val="0"/>
        <w:spacing w:line="360" w:lineRule="auto"/>
        <w:ind w:firstLine="420" w:firstLineChars="200"/>
        <w:rPr>
          <w:rFonts w:ascii="宋体" w:cs="宋体"/>
          <w:color w:val="000000"/>
        </w:rPr>
      </w:pPr>
      <w:r>
        <w:rPr>
          <w:rFonts w:ascii="宋体" w:hAnsi="宋体" w:cs="宋体" w:hint="eastAsia"/>
          <w:color w:val="000000"/>
        </w:rPr>
        <w:t>7、联合体各方再以自己名义单独或参加其他联合体在同一项目中投标。</w:t>
      </w:r>
    </w:p>
    <w:p>
      <w:pPr>
        <w:spacing w:line="360" w:lineRule="auto"/>
        <w:ind w:firstLine="420" w:firstLineChars="200"/>
        <w:rPr>
          <w:rFonts w:ascii="宋体" w:cs="宋体"/>
          <w:color w:val="000000"/>
        </w:rPr>
      </w:pPr>
      <w:r>
        <w:rPr>
          <w:rFonts w:ascii="宋体" w:hAnsi="宋体" w:cs="宋体" w:hint="eastAsia"/>
          <w:color w:val="000000"/>
        </w:rPr>
        <w:t xml:space="preserve">8、投标人存在投标人须知1.4.3所列情形的。   </w:t>
      </w:r>
    </w:p>
    <w:p>
      <w:pPr>
        <w:spacing w:line="360" w:lineRule="auto"/>
        <w:ind w:firstLine="420" w:firstLineChars="200"/>
        <w:rPr>
          <w:rFonts w:ascii="宋体" w:cs="宋体"/>
          <w:color w:val="000000"/>
        </w:rPr>
      </w:pPr>
      <w:r>
        <w:rPr>
          <w:rFonts w:ascii="宋体" w:hAnsi="宋体" w:cs="宋体" w:hint="eastAsia"/>
          <w:color w:val="000000"/>
        </w:rPr>
        <w:t>9、投标人不按投标人须知前附表第3.4.1项要求提交投标保证金的。</w:t>
      </w:r>
    </w:p>
    <w:p>
      <w:pPr>
        <w:spacing w:line="360" w:lineRule="auto"/>
        <w:ind w:firstLine="420" w:firstLineChars="200"/>
        <w:rPr>
          <w:rFonts w:ascii="宋体" w:hAnsi="宋体" w:cs="宋体"/>
          <w:color w:val="000000"/>
        </w:rPr>
      </w:pPr>
      <w:r>
        <w:rPr>
          <w:rFonts w:ascii="宋体" w:hAnsi="宋体" w:cs="宋体" w:hint="eastAsia"/>
          <w:color w:val="000000"/>
        </w:rPr>
        <w:t>10、改变投标人诚信承诺书内容约定的。</w:t>
      </w:r>
    </w:p>
    <w:p>
      <w:pPr>
        <w:spacing w:line="360" w:lineRule="auto"/>
        <w:ind w:firstLine="420" w:firstLineChars="200"/>
        <w:rPr>
          <w:rFonts w:ascii="宋体" w:cs="宋体"/>
          <w:color w:val="000000"/>
        </w:rPr>
      </w:pPr>
      <w:r>
        <w:rPr>
          <w:rFonts w:ascii="宋体" w:hAnsi="宋体" w:cs="宋体" w:hint="eastAsia"/>
          <w:color w:val="000000"/>
        </w:rPr>
        <w:t xml:space="preserve">11、本项目评标办法约定的其他否决投标情形。 </w:t>
      </w:r>
    </w:p>
    <w:p>
      <w:pPr>
        <w:spacing w:line="360" w:lineRule="auto"/>
        <w:ind w:firstLine="420" w:firstLineChars="200"/>
        <w:jc w:val="left"/>
        <w:rPr>
          <w:rFonts w:ascii="宋体" w:cs="宋体"/>
          <w:color w:val="000000"/>
        </w:rPr>
      </w:pPr>
      <w:r>
        <w:rPr>
          <w:rFonts w:ascii="宋体" w:hAnsi="宋体" w:cs="宋体" w:hint="eastAsia"/>
          <w:color w:val="000000"/>
        </w:rPr>
        <w:t>除以上情形和《评标办法》约定的否决投标情形外，不得否决投标。</w:t>
      </w:r>
      <w:r>
        <w:rPr>
          <w:rFonts w:ascii="宋体" w:hAnsi="宋体" w:cs="宋体" w:hint="eastAsia"/>
          <w:b/>
          <w:color w:val="000000"/>
        </w:rPr>
        <w:t>否决投标的情形，要在评标报告如实记载，未被否决投标的投标人为有效投标。</w:t>
      </w:r>
    </w:p>
    <w:p>
      <w:pPr>
        <w:spacing w:line="360" w:lineRule="auto"/>
        <w:ind w:firstLine="420" w:firstLineChars="200"/>
        <w:jc w:val="left"/>
        <w:rPr>
          <w:rFonts w:ascii="黑体" w:eastAsia="黑体" w:hAnsi="黑体" w:cs="黑体" w:hint="eastAsia"/>
          <w:b/>
          <w:sz w:val="32"/>
          <w:szCs w:val="32"/>
        </w:rPr>
        <w:sectPr>
          <w:type w:val="nextPage"/>
          <w:pgSz w:w="11910" w:h="16840"/>
          <w:pgMar w:top="1380" w:right="1440" w:bottom="1580" w:left="1580" w:header="890" w:footer="1363" w:gutter="0"/>
          <w:pgNumType w:start="19"/>
          <w:cols w:num="1" w:space="720"/>
          <w:titlePg w:val="0"/>
        </w:sectPr>
      </w:pPr>
      <w:r>
        <w:rPr>
          <w:rFonts w:ascii="宋体" w:hAnsi="宋体" w:cs="宋体" w:hint="eastAsia"/>
          <w:color w:val="000000"/>
        </w:rPr>
        <w:t>评标委员会认为需要否决全部投标的，在否决投标前应告知该项目招标人否决投标的理由并写入评标报告。</w:t>
      </w:r>
    </w:p>
    <w:p>
      <w:pPr>
        <w:spacing w:line="360" w:lineRule="auto"/>
        <w:jc w:val="center"/>
        <w:outlineLvl w:val="1"/>
        <w:rPr>
          <w:rFonts w:ascii="黑体" w:eastAsia="黑体" w:hAnsi="黑体" w:cs="黑体"/>
          <w:b/>
          <w:sz w:val="32"/>
          <w:szCs w:val="32"/>
        </w:rPr>
      </w:pPr>
      <w:r>
        <w:rPr>
          <w:rFonts w:ascii="黑体" w:eastAsia="黑体" w:hAnsi="黑体" w:cs="黑体" w:hint="eastAsia"/>
          <w:b/>
          <w:sz w:val="32"/>
          <w:szCs w:val="32"/>
        </w:rPr>
        <w:t>评标办法前附表</w:t>
      </w:r>
    </w:p>
    <w:tbl>
      <w:tblPr>
        <w:tblStyle w:val="TableNormal"/>
        <w:tblW w:w="9272"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1220"/>
        <w:gridCol w:w="2231"/>
        <w:gridCol w:w="5821"/>
      </w:tblGrid>
      <w:tr>
        <w:tblPrEx>
          <w:tblW w:w="9272"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502"/>
          <w:jc w:val="center"/>
        </w:trPr>
        <w:tc>
          <w:tcPr>
            <w:tcW w:w="1220"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jc w:val="center"/>
              <w:rPr>
                <w:rFonts w:ascii="宋体" w:hAnsi="宋体"/>
              </w:rPr>
            </w:pPr>
            <w:r>
              <w:rPr>
                <w:rFonts w:ascii="宋体" w:hAnsi="宋体" w:cs="宋体" w:hint="eastAsia"/>
              </w:rPr>
              <w:t>评审内容</w:t>
            </w:r>
          </w:p>
        </w:tc>
        <w:tc>
          <w:tcPr>
            <w:tcW w:w="223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jc w:val="center"/>
              <w:rPr>
                <w:rFonts w:ascii="宋体" w:hAnsi="宋体"/>
              </w:rPr>
            </w:pPr>
            <w:r>
              <w:rPr>
                <w:rFonts w:ascii="宋体" w:hAnsi="宋体" w:cs="宋体" w:hint="eastAsia"/>
              </w:rPr>
              <w:t>评审因素</w:t>
            </w:r>
          </w:p>
        </w:tc>
        <w:tc>
          <w:tcPr>
            <w:tcW w:w="582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jc w:val="center"/>
              <w:rPr>
                <w:rFonts w:ascii="宋体" w:hAnsi="宋体"/>
              </w:rPr>
            </w:pPr>
            <w:r>
              <w:rPr>
                <w:rFonts w:ascii="宋体" w:hAnsi="宋体" w:cs="宋体" w:hint="eastAsia"/>
              </w:rPr>
              <w:t>评审标准</w:t>
            </w:r>
          </w:p>
        </w:tc>
      </w:tr>
      <w:tr>
        <w:tblPrEx>
          <w:tblW w:w="9272" w:type="dxa"/>
          <w:jc w:val="center"/>
          <w:tblLayout w:type="fixed"/>
          <w:tblCellMar>
            <w:top w:w="0" w:type="dxa"/>
            <w:left w:w="108" w:type="dxa"/>
            <w:bottom w:w="0" w:type="dxa"/>
            <w:right w:w="108" w:type="dxa"/>
          </w:tblCellMar>
        </w:tblPrEx>
        <w:trPr>
          <w:trHeight w:val="22"/>
          <w:jc w:val="center"/>
        </w:trPr>
        <w:tc>
          <w:tcPr>
            <w:tcW w:w="1220" w:type="dxa"/>
            <w:vMerge w:val="restart"/>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jc w:val="center"/>
              <w:rPr>
                <w:rFonts w:ascii="宋体" w:hAnsi="宋体"/>
              </w:rPr>
            </w:pPr>
            <w:r>
              <w:rPr>
                <w:rFonts w:ascii="宋体" w:hAnsi="宋体" w:cs="宋体" w:hint="eastAsia"/>
              </w:rPr>
              <w:t>资格评审</w:t>
            </w:r>
          </w:p>
        </w:tc>
        <w:tc>
          <w:tcPr>
            <w:tcW w:w="223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jc w:val="center"/>
              <w:rPr>
                <w:rFonts w:ascii="宋体" w:hAnsi="宋体"/>
              </w:rPr>
            </w:pPr>
            <w:r>
              <w:rPr>
                <w:rFonts w:ascii="宋体" w:hAnsi="宋体" w:cs="宋体" w:hint="eastAsia"/>
              </w:rPr>
              <w:t>营业执照</w:t>
            </w:r>
          </w:p>
        </w:tc>
        <w:tc>
          <w:tcPr>
            <w:tcW w:w="582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rPr>
                <w:rFonts w:ascii="宋体" w:hAnsi="宋体"/>
              </w:rPr>
            </w:pPr>
            <w:r>
              <w:rPr>
                <w:rFonts w:ascii="宋体" w:hAnsi="宋体" w:cs="宋体" w:hint="eastAsia"/>
              </w:rPr>
              <w:t xml:space="preserve">具备有效的营业执照 </w:t>
            </w:r>
          </w:p>
        </w:tc>
      </w:tr>
      <w:tr>
        <w:tblPrEx>
          <w:tblW w:w="9272" w:type="dxa"/>
          <w:jc w:val="center"/>
          <w:tblLayout w:type="fixed"/>
          <w:tblCellMar>
            <w:top w:w="0" w:type="dxa"/>
            <w:left w:w="108" w:type="dxa"/>
            <w:bottom w:w="0" w:type="dxa"/>
            <w:right w:w="108" w:type="dxa"/>
          </w:tblCellMar>
        </w:tblPrEx>
        <w:trPr>
          <w:trHeight w:val="22"/>
          <w:jc w:val="center"/>
        </w:trPr>
        <w:tc>
          <w:tcPr>
            <w:tcW w:w="1220" w:type="dxa"/>
            <w:vMerge/>
            <w:tcBorders>
              <w:top w:val="single" w:sz="4" w:space="0" w:color="auto"/>
              <w:left w:val="single" w:sz="4" w:space="0" w:color="auto"/>
              <w:bottom w:val="single" w:sz="4" w:space="0" w:color="auto"/>
              <w:right w:val="single" w:sz="4" w:space="0" w:color="auto"/>
            </w:tcBorders>
            <w:vAlign w:val="center"/>
          </w:tcPr>
          <w:p>
            <w:pPr>
              <w:widowControl/>
              <w:jc w:val="left"/>
              <w:rPr>
                <w:rFonts w:ascii="宋体" w:hAnsi="宋体"/>
              </w:rPr>
            </w:pPr>
          </w:p>
        </w:tc>
        <w:tc>
          <w:tcPr>
            <w:tcW w:w="223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jc w:val="center"/>
              <w:rPr>
                <w:rFonts w:ascii="宋体" w:hAnsi="宋体" w:cs="宋体"/>
              </w:rPr>
            </w:pPr>
            <w:r>
              <w:rPr>
                <w:rFonts w:ascii="宋体" w:hAnsi="宋体" w:cs="宋体" w:hint="eastAsia"/>
              </w:rPr>
              <w:t>企业基本账户开户许可证</w:t>
            </w:r>
          </w:p>
        </w:tc>
        <w:tc>
          <w:tcPr>
            <w:tcW w:w="582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rPr>
                <w:rFonts w:ascii="宋体" w:hAnsi="宋体" w:cs="宋体"/>
              </w:rPr>
            </w:pPr>
            <w:r>
              <w:rPr>
                <w:rFonts w:ascii="宋体" w:hAnsi="宋体" w:cs="宋体" w:hint="eastAsia"/>
              </w:rPr>
              <w:t xml:space="preserve">如企业基本开户许可证按照国家有关文件取消的，需提供相关文件，按照文件要求提供相当于企业基本账户许可证的基本户证明。 </w:t>
            </w:r>
          </w:p>
        </w:tc>
      </w:tr>
      <w:tr>
        <w:tblPrEx>
          <w:tblW w:w="9272" w:type="dxa"/>
          <w:jc w:val="center"/>
          <w:tblLayout w:type="fixed"/>
          <w:tblCellMar>
            <w:top w:w="0" w:type="dxa"/>
            <w:left w:w="108" w:type="dxa"/>
            <w:bottom w:w="0" w:type="dxa"/>
            <w:right w:w="108" w:type="dxa"/>
          </w:tblCellMar>
        </w:tblPrEx>
        <w:trPr>
          <w:trHeight w:val="22"/>
          <w:jc w:val="center"/>
        </w:trPr>
        <w:tc>
          <w:tcPr>
            <w:tcW w:w="1220" w:type="dxa"/>
            <w:vMerge w:val="restart"/>
            <w:tcBorders>
              <w:top w:val="single" w:sz="4" w:space="0" w:color="auto"/>
              <w:left w:val="single" w:sz="4" w:space="0" w:color="auto"/>
              <w:right w:val="single" w:sz="4" w:space="0" w:color="auto"/>
            </w:tcBorders>
            <w:vAlign w:val="center"/>
          </w:tcPr>
          <w:p>
            <w:pPr>
              <w:spacing w:line="360" w:lineRule="auto"/>
              <w:jc w:val="center"/>
              <w:rPr>
                <w:rFonts w:ascii="宋体" w:hAnsi="宋体"/>
              </w:rPr>
            </w:pPr>
            <w:r>
              <w:rPr>
                <w:rFonts w:ascii="宋体" w:hAnsi="宋体" w:cs="宋体" w:hint="eastAsia"/>
              </w:rPr>
              <w:t>符合性评审</w:t>
            </w:r>
          </w:p>
        </w:tc>
        <w:tc>
          <w:tcPr>
            <w:tcW w:w="223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jc w:val="center"/>
              <w:rPr>
                <w:rFonts w:ascii="宋体" w:hAnsi="宋体" w:cs="宋体"/>
              </w:rPr>
            </w:pPr>
            <w:r>
              <w:rPr>
                <w:rFonts w:ascii="宋体" w:hAnsi="宋体" w:cs="宋体" w:hint="eastAsia"/>
              </w:rPr>
              <w:t>投标人名称</w:t>
            </w:r>
          </w:p>
        </w:tc>
        <w:tc>
          <w:tcPr>
            <w:tcW w:w="582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rPr>
                <w:rFonts w:ascii="宋体" w:hAnsi="宋体" w:cs="宋体"/>
              </w:rPr>
            </w:pPr>
            <w:r>
              <w:rPr>
                <w:rFonts w:ascii="宋体" w:hAnsi="宋体" w:cs="宋体" w:hint="eastAsia"/>
              </w:rPr>
              <w:t>与营业执照</w:t>
            </w:r>
            <w:r>
              <w:rPr>
                <w:rFonts w:ascii="宋体" w:hAnsi="宋体" w:cs="宋体" w:hint="eastAsia"/>
                <w:lang w:eastAsia="zh-CN"/>
              </w:rPr>
              <w:t>、</w:t>
            </w:r>
            <w:r>
              <w:rPr>
                <w:rFonts w:ascii="宋体" w:hAnsi="宋体" w:cs="宋体" w:hint="eastAsia"/>
              </w:rPr>
              <w:t>投标人基本账户开户许可证一致。</w:t>
            </w:r>
          </w:p>
        </w:tc>
      </w:tr>
      <w:tr>
        <w:tblPrEx>
          <w:tblW w:w="9272" w:type="dxa"/>
          <w:jc w:val="center"/>
          <w:tblLayout w:type="fixed"/>
          <w:tblCellMar>
            <w:top w:w="0" w:type="dxa"/>
            <w:left w:w="108" w:type="dxa"/>
            <w:bottom w:w="0" w:type="dxa"/>
            <w:right w:w="108" w:type="dxa"/>
          </w:tblCellMar>
        </w:tblPrEx>
        <w:trPr>
          <w:trHeight w:val="22"/>
          <w:jc w:val="center"/>
        </w:trPr>
        <w:tc>
          <w:tcPr>
            <w:tcW w:w="1220" w:type="dxa"/>
            <w:vMerge/>
            <w:tcBorders>
              <w:left w:val="single" w:sz="4" w:space="0" w:color="auto"/>
              <w:right w:val="single" w:sz="4" w:space="0" w:color="auto"/>
            </w:tcBorders>
            <w:vAlign w:val="center"/>
          </w:tcPr>
          <w:p>
            <w:pPr>
              <w:widowControl/>
              <w:jc w:val="left"/>
              <w:rPr>
                <w:rFonts w:ascii="宋体" w:hAnsi="宋体"/>
              </w:rPr>
            </w:pPr>
          </w:p>
        </w:tc>
        <w:tc>
          <w:tcPr>
            <w:tcW w:w="223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jc w:val="center"/>
              <w:rPr>
                <w:rFonts w:ascii="宋体" w:hAnsi="宋体" w:cs="宋体"/>
              </w:rPr>
            </w:pPr>
            <w:r>
              <w:rPr>
                <w:rFonts w:ascii="宋体" w:hAnsi="宋体" w:cs="宋体" w:hint="eastAsia"/>
              </w:rPr>
              <w:t>投标函签字或盖章</w:t>
            </w:r>
          </w:p>
        </w:tc>
        <w:tc>
          <w:tcPr>
            <w:tcW w:w="582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rPr>
                <w:rFonts w:ascii="宋体" w:hAnsi="宋体" w:cs="宋体"/>
              </w:rPr>
            </w:pPr>
            <w:r>
              <w:rPr>
                <w:rFonts w:ascii="宋体" w:hAnsi="宋体" w:cs="宋体" w:hint="eastAsia"/>
              </w:rPr>
              <w:t>符合“投标函”格式和签字或盖章要求，内容清晰完整。</w:t>
            </w:r>
          </w:p>
        </w:tc>
      </w:tr>
      <w:tr>
        <w:tblPrEx>
          <w:tblW w:w="9272" w:type="dxa"/>
          <w:jc w:val="center"/>
          <w:tblLayout w:type="fixed"/>
          <w:tblCellMar>
            <w:top w:w="0" w:type="dxa"/>
            <w:left w:w="108" w:type="dxa"/>
            <w:bottom w:w="0" w:type="dxa"/>
            <w:right w:w="108" w:type="dxa"/>
          </w:tblCellMar>
        </w:tblPrEx>
        <w:trPr>
          <w:trHeight w:val="22"/>
          <w:jc w:val="center"/>
        </w:trPr>
        <w:tc>
          <w:tcPr>
            <w:tcW w:w="1220" w:type="dxa"/>
            <w:vMerge/>
            <w:tcBorders>
              <w:left w:val="single" w:sz="4" w:space="0" w:color="auto"/>
              <w:right w:val="single" w:sz="4" w:space="0" w:color="auto"/>
            </w:tcBorders>
            <w:vAlign w:val="center"/>
          </w:tcPr>
          <w:p>
            <w:pPr>
              <w:widowControl/>
              <w:jc w:val="left"/>
              <w:rPr>
                <w:rFonts w:ascii="宋体" w:hAnsi="宋体"/>
              </w:rPr>
            </w:pPr>
          </w:p>
        </w:tc>
        <w:tc>
          <w:tcPr>
            <w:tcW w:w="223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jc w:val="center"/>
              <w:rPr>
                <w:rFonts w:ascii="宋体" w:hAnsi="宋体" w:cs="宋体"/>
              </w:rPr>
            </w:pPr>
            <w:r>
              <w:rPr>
                <w:rFonts w:ascii="宋体" w:hAnsi="宋体" w:cs="宋体" w:hint="eastAsia"/>
              </w:rPr>
              <w:t>报价唯一</w:t>
            </w:r>
          </w:p>
        </w:tc>
        <w:tc>
          <w:tcPr>
            <w:tcW w:w="582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ind w:left="0" w:hanging="15" w:leftChars="-7" w:hangingChars="7"/>
              <w:rPr>
                <w:rFonts w:ascii="宋体" w:hAnsi="宋体" w:cs="宋体"/>
              </w:rPr>
            </w:pPr>
            <w:r>
              <w:rPr>
                <w:rFonts w:ascii="宋体" w:hAnsi="宋体" w:cs="宋体" w:hint="eastAsia"/>
              </w:rPr>
              <w:t>符合第二章“投标人须知前附表”第10.2项规定</w:t>
            </w:r>
          </w:p>
        </w:tc>
      </w:tr>
      <w:tr>
        <w:tblPrEx>
          <w:tblW w:w="9272" w:type="dxa"/>
          <w:jc w:val="center"/>
          <w:tblLayout w:type="fixed"/>
          <w:tblCellMar>
            <w:top w:w="0" w:type="dxa"/>
            <w:left w:w="108" w:type="dxa"/>
            <w:bottom w:w="0" w:type="dxa"/>
            <w:right w:w="108" w:type="dxa"/>
          </w:tblCellMar>
        </w:tblPrEx>
        <w:trPr>
          <w:trHeight w:val="22"/>
          <w:jc w:val="center"/>
        </w:trPr>
        <w:tc>
          <w:tcPr>
            <w:tcW w:w="1220" w:type="dxa"/>
            <w:vMerge/>
            <w:tcBorders>
              <w:left w:val="single" w:sz="4" w:space="0" w:color="auto"/>
              <w:right w:val="single" w:sz="4" w:space="0" w:color="auto"/>
            </w:tcBorders>
            <w:vAlign w:val="center"/>
          </w:tcPr>
          <w:p>
            <w:pPr>
              <w:widowControl/>
              <w:jc w:val="left"/>
              <w:rPr>
                <w:rFonts w:ascii="宋体" w:hAnsi="宋体"/>
              </w:rPr>
            </w:pPr>
          </w:p>
        </w:tc>
        <w:tc>
          <w:tcPr>
            <w:tcW w:w="223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jc w:val="center"/>
              <w:rPr>
                <w:rFonts w:ascii="宋体" w:hAnsi="宋体" w:cs="宋体"/>
              </w:rPr>
            </w:pPr>
            <w:r>
              <w:rPr>
                <w:rFonts w:ascii="宋体" w:hAnsi="宋体" w:cs="宋体" w:hint="eastAsia"/>
              </w:rPr>
              <w:t>工期</w:t>
            </w:r>
          </w:p>
        </w:tc>
        <w:tc>
          <w:tcPr>
            <w:tcW w:w="582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rPr>
                <w:rFonts w:ascii="宋体" w:hAnsi="宋体" w:cs="宋体"/>
              </w:rPr>
            </w:pPr>
            <w:r>
              <w:rPr>
                <w:rFonts w:ascii="宋体" w:hAnsi="宋体" w:cs="宋体" w:hint="eastAsia"/>
              </w:rPr>
              <w:t>符合第二章“投标人须知前附表”第1.3.2项规定</w:t>
            </w:r>
          </w:p>
        </w:tc>
      </w:tr>
      <w:tr>
        <w:tblPrEx>
          <w:tblW w:w="9272" w:type="dxa"/>
          <w:jc w:val="center"/>
          <w:tblLayout w:type="fixed"/>
          <w:tblCellMar>
            <w:top w:w="0" w:type="dxa"/>
            <w:left w:w="108" w:type="dxa"/>
            <w:bottom w:w="0" w:type="dxa"/>
            <w:right w:w="108" w:type="dxa"/>
          </w:tblCellMar>
        </w:tblPrEx>
        <w:trPr>
          <w:trHeight w:val="22"/>
          <w:jc w:val="center"/>
        </w:trPr>
        <w:tc>
          <w:tcPr>
            <w:tcW w:w="1220" w:type="dxa"/>
            <w:vMerge/>
            <w:tcBorders>
              <w:left w:val="single" w:sz="4" w:space="0" w:color="auto"/>
              <w:right w:val="single" w:sz="4" w:space="0" w:color="auto"/>
            </w:tcBorders>
            <w:vAlign w:val="center"/>
          </w:tcPr>
          <w:p>
            <w:pPr>
              <w:widowControl/>
              <w:jc w:val="left"/>
              <w:rPr>
                <w:rFonts w:ascii="宋体" w:hAnsi="宋体"/>
              </w:rPr>
            </w:pPr>
          </w:p>
        </w:tc>
        <w:tc>
          <w:tcPr>
            <w:tcW w:w="223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jc w:val="center"/>
              <w:rPr>
                <w:rFonts w:ascii="宋体" w:hAnsi="宋体" w:cs="宋体"/>
              </w:rPr>
            </w:pPr>
            <w:r>
              <w:rPr>
                <w:rFonts w:ascii="宋体" w:hAnsi="宋体" w:cs="宋体" w:hint="eastAsia"/>
              </w:rPr>
              <w:t>质量</w:t>
            </w:r>
          </w:p>
        </w:tc>
        <w:tc>
          <w:tcPr>
            <w:tcW w:w="582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rPr>
                <w:rFonts w:ascii="宋体" w:hAnsi="宋体" w:cs="宋体"/>
              </w:rPr>
            </w:pPr>
            <w:r>
              <w:rPr>
                <w:rFonts w:ascii="宋体" w:hAnsi="宋体" w:cs="宋体" w:hint="eastAsia"/>
              </w:rPr>
              <w:t>符合第二章“投标人须知前附表”第1.3.3项规定</w:t>
            </w:r>
          </w:p>
        </w:tc>
      </w:tr>
      <w:tr>
        <w:tblPrEx>
          <w:tblW w:w="9272" w:type="dxa"/>
          <w:jc w:val="center"/>
          <w:tblLayout w:type="fixed"/>
          <w:tblCellMar>
            <w:top w:w="0" w:type="dxa"/>
            <w:left w:w="108" w:type="dxa"/>
            <w:bottom w:w="0" w:type="dxa"/>
            <w:right w:w="108" w:type="dxa"/>
          </w:tblCellMar>
        </w:tblPrEx>
        <w:trPr>
          <w:trHeight w:val="22"/>
          <w:jc w:val="center"/>
        </w:trPr>
        <w:tc>
          <w:tcPr>
            <w:tcW w:w="1220" w:type="dxa"/>
            <w:vMerge/>
            <w:tcBorders>
              <w:left w:val="single" w:sz="4" w:space="0" w:color="auto"/>
              <w:right w:val="single" w:sz="4" w:space="0" w:color="auto"/>
            </w:tcBorders>
            <w:vAlign w:val="center"/>
          </w:tcPr>
          <w:p>
            <w:pPr>
              <w:spacing w:line="360" w:lineRule="auto"/>
              <w:rPr>
                <w:rFonts w:ascii="宋体" w:hAnsi="宋体"/>
              </w:rPr>
            </w:pPr>
          </w:p>
        </w:tc>
        <w:tc>
          <w:tcPr>
            <w:tcW w:w="223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jc w:val="center"/>
              <w:rPr>
                <w:rFonts w:ascii="宋体" w:hAnsi="宋体" w:cs="宋体"/>
              </w:rPr>
            </w:pPr>
            <w:r>
              <w:rPr>
                <w:rFonts w:ascii="宋体" w:hAnsi="宋体" w:cs="宋体" w:hint="eastAsia"/>
                <w:lang w:val="en-US" w:eastAsia="zh-CN"/>
              </w:rPr>
              <w:t>项目</w:t>
            </w:r>
            <w:r>
              <w:rPr>
                <w:rFonts w:ascii="宋体" w:hAnsi="宋体" w:cs="宋体" w:hint="eastAsia"/>
              </w:rPr>
              <w:t>班组</w:t>
            </w:r>
          </w:p>
        </w:tc>
        <w:tc>
          <w:tcPr>
            <w:tcW w:w="5821" w:type="dxa"/>
            <w:tcBorders>
              <w:top w:val="single" w:sz="4" w:space="0" w:color="auto"/>
              <w:left w:val="single" w:sz="4" w:space="0" w:color="auto"/>
              <w:bottom w:val="single" w:sz="4" w:space="0" w:color="auto"/>
              <w:right w:val="single" w:sz="4" w:space="0" w:color="auto"/>
            </w:tcBorders>
            <w:vAlign w:val="center"/>
          </w:tcPr>
          <w:p>
            <w:pPr>
              <w:spacing w:before="100" w:beforeAutospacing="1" w:after="100" w:afterAutospacing="1" w:line="360" w:lineRule="auto"/>
              <w:rPr>
                <w:rFonts w:ascii="宋体" w:hAnsi="宋体" w:cs="宋体"/>
              </w:rPr>
            </w:pPr>
            <w:r>
              <w:rPr>
                <w:rFonts w:ascii="宋体" w:hAnsi="宋体" w:cs="宋体" w:hint="eastAsia"/>
              </w:rPr>
              <w:t>符合招标文件要求</w:t>
            </w:r>
          </w:p>
        </w:tc>
      </w:tr>
    </w:tbl>
    <w:p>
      <w:pPr>
        <w:spacing w:line="360" w:lineRule="auto"/>
        <w:rPr>
          <w:rStyle w:val="NormalCharacter"/>
          <w:rFonts w:ascii="宋体" w:hAnsi="宋体"/>
          <w:color w:val="000000"/>
        </w:rPr>
      </w:pPr>
      <w:r>
        <w:rPr>
          <w:rStyle w:val="NormalCharacter"/>
          <w:rFonts w:ascii="宋体" w:hAnsi="宋体"/>
          <w:color w:val="000000"/>
        </w:rPr>
        <w:t>以上参与评审的证书、证件包括综合评审打分表中包含的人员资格、证书、证件</w:t>
      </w:r>
      <w:r>
        <w:rPr>
          <w:rStyle w:val="NormalCharacter"/>
          <w:rFonts w:ascii="宋体" w:hAnsi="宋体" w:hint="eastAsia"/>
          <w:color w:val="000000"/>
          <w:lang w:eastAsia="zh-CN"/>
        </w:rPr>
        <w:t>、</w:t>
      </w:r>
      <w:r>
        <w:rPr>
          <w:rStyle w:val="NormalCharacter"/>
          <w:rFonts w:ascii="宋体" w:hAnsi="宋体" w:hint="eastAsia"/>
          <w:color w:val="000000"/>
          <w:lang w:val="en-US" w:eastAsia="zh-CN"/>
        </w:rPr>
        <w:t>信誉</w:t>
      </w:r>
      <w:r>
        <w:rPr>
          <w:rStyle w:val="NormalCharacter"/>
          <w:rFonts w:ascii="宋体" w:hAnsi="宋体"/>
          <w:color w:val="000000"/>
        </w:rPr>
        <w:t>等资料提供复印件即可，无需提供原件。</w:t>
      </w:r>
    </w:p>
    <w:p>
      <w:pPr>
        <w:spacing w:line="360" w:lineRule="auto"/>
        <w:rPr>
          <w:rStyle w:val="NormalCharacter"/>
          <w:rFonts w:ascii="宋体" w:hAnsi="宋体"/>
          <w:color w:val="000000"/>
        </w:rPr>
      </w:pPr>
    </w:p>
    <w:p>
      <w:pPr>
        <w:spacing w:line="360" w:lineRule="auto"/>
        <w:rPr>
          <w:rFonts w:ascii="宋体" w:hAnsi="宋体" w:cs="宋体" w:hint="default"/>
          <w:b/>
          <w:bCs/>
          <w:kern w:val="0"/>
          <w:lang w:bidi="zh-CN"/>
        </w:rPr>
      </w:pPr>
      <w:r>
        <w:rPr>
          <w:rFonts w:ascii="宋体" w:eastAsia="宋体" w:hAnsi="宋体" w:cs="宋体" w:hint="eastAsia"/>
          <w:b/>
          <w:bCs/>
          <w:kern w:val="0"/>
          <w:sz w:val="21"/>
          <w:szCs w:val="21"/>
          <w:lang w:val="zh-CN" w:eastAsia="zh-CN" w:bidi="zh-CN"/>
        </w:rPr>
        <w:t xml:space="preserve"> </w:t>
      </w:r>
      <w:r>
        <w:rPr>
          <w:rFonts w:ascii="宋体" w:hAnsi="宋体" w:cs="宋体" w:hint="eastAsia"/>
          <w:b/>
          <w:bCs/>
          <w:kern w:val="0"/>
          <w:sz w:val="21"/>
          <w:szCs w:val="21"/>
          <w:lang w:val="en-US" w:eastAsia="zh-CN" w:bidi="zh-CN"/>
        </w:rPr>
        <w:t>1.1</w:t>
      </w:r>
      <w:r>
        <w:rPr>
          <w:rFonts w:ascii="宋体" w:eastAsia="宋体" w:hAnsi="宋体" w:cs="宋体" w:hint="eastAsia"/>
          <w:b/>
          <w:bCs/>
          <w:kern w:val="0"/>
          <w:sz w:val="21"/>
          <w:szCs w:val="21"/>
          <w:lang w:val="zh-CN" w:eastAsia="zh-CN" w:bidi="zh-CN"/>
        </w:rPr>
        <w:t>价格评分</w:t>
      </w:r>
      <w:r>
        <w:rPr>
          <w:rFonts w:ascii="宋体" w:hAnsi="宋体" w:cs="宋体" w:hint="eastAsia"/>
          <w:b/>
          <w:bCs/>
          <w:kern w:val="0"/>
          <w:sz w:val="21"/>
          <w:szCs w:val="21"/>
          <w:lang w:val="en-US" w:eastAsia="zh-CN" w:bidi="zh-CN"/>
        </w:rPr>
        <w:t>：</w:t>
      </w:r>
    </w:p>
    <w:p>
      <w:pPr>
        <w:spacing w:line="360" w:lineRule="auto"/>
        <w:rPr>
          <w:rFonts w:ascii="宋体" w:hAnsi="宋体" w:cs="宋体" w:hint="eastAsia"/>
          <w:kern w:val="0"/>
          <w:lang w:val="zh-CN" w:bidi="zh-CN"/>
        </w:rPr>
      </w:pPr>
      <w:r>
        <w:rPr>
          <w:rFonts w:ascii="宋体" w:eastAsia="宋体" w:hAnsi="宋体" w:cs="宋体" w:hint="eastAsia"/>
          <w:kern w:val="0"/>
          <w:sz w:val="21"/>
          <w:szCs w:val="21"/>
          <w:lang w:val="zh-CN" w:eastAsia="zh-CN" w:bidi="zh-CN"/>
        </w:rPr>
        <w:t>谈判小组按照下表对进入综合评分的所有供应商的响应文件进行价格评分，满分为100分</w:t>
      </w:r>
    </w:p>
    <w:p>
      <w:pPr>
        <w:spacing w:line="360" w:lineRule="auto"/>
        <w:rPr>
          <w:rFonts w:ascii="宋体" w:hAnsi="宋体" w:cs="宋体" w:hint="eastAsia"/>
          <w:kern w:val="0"/>
          <w:lang w:val="zh-CN" w:bidi="zh-CN"/>
        </w:rPr>
      </w:pPr>
      <w:r>
        <w:rPr>
          <w:rFonts w:ascii="宋体" w:hAnsi="宋体" w:cs="宋体" w:hint="eastAsia"/>
          <w:b/>
          <w:bCs/>
          <w:kern w:val="0"/>
          <w:sz w:val="21"/>
          <w:szCs w:val="21"/>
          <w:lang w:val="en-US" w:eastAsia="zh-CN" w:bidi="zh-CN"/>
        </w:rPr>
        <w:t>1.2</w:t>
      </w:r>
      <w:r>
        <w:rPr>
          <w:rFonts w:ascii="宋体" w:eastAsia="宋体" w:hAnsi="宋体" w:cs="宋体" w:hint="eastAsia"/>
          <w:b/>
          <w:bCs/>
          <w:kern w:val="0"/>
          <w:sz w:val="21"/>
          <w:szCs w:val="21"/>
          <w:lang w:val="zh-CN" w:eastAsia="zh-CN" w:bidi="zh-CN"/>
        </w:rPr>
        <w:t>具体评分细则如下:</w:t>
      </w:r>
    </w:p>
    <w:p>
      <w:pPr>
        <w:spacing w:line="360" w:lineRule="auto"/>
        <w:rPr>
          <w:rFonts w:ascii="宋体" w:hAnsi="宋体" w:cs="宋体" w:hint="eastAsia"/>
          <w:kern w:val="0"/>
          <w:lang w:val="zh-CN" w:bidi="zh-CN"/>
        </w:rPr>
      </w:pPr>
      <w:r>
        <w:rPr>
          <w:rFonts w:ascii="宋体" w:eastAsia="宋体" w:hAnsi="宋体" w:cs="宋体" w:hint="eastAsia"/>
          <w:kern w:val="0"/>
          <w:sz w:val="21"/>
          <w:szCs w:val="21"/>
          <w:lang w:val="zh-CN" w:eastAsia="zh-CN" w:bidi="zh-CN"/>
        </w:rPr>
        <w:t>评审小组确定一个评标基准值，报价每高评标基准值1%，从价格分中扣2分(保留两位小数)、每低评标基准值1%，从价格分中扣1分(保留两位小数)，等于评标基准值得满分，其价格分最低 0分，最高 100分。</w:t>
      </w:r>
    </w:p>
    <w:p>
      <w:pPr>
        <w:spacing w:line="360" w:lineRule="auto"/>
        <w:rPr>
          <w:rFonts w:ascii="宋体" w:hAnsi="宋体" w:cs="宋体" w:hint="eastAsia"/>
          <w:kern w:val="0"/>
          <w:lang w:val="zh-CN" w:bidi="zh-CN"/>
        </w:rPr>
      </w:pPr>
      <w:r>
        <w:rPr>
          <w:rFonts w:ascii="宋体" w:eastAsia="宋体" w:hAnsi="宋体" w:cs="宋体" w:hint="eastAsia"/>
          <w:kern w:val="0"/>
          <w:sz w:val="21"/>
          <w:szCs w:val="21"/>
          <w:lang w:val="zh-CN" w:eastAsia="zh-CN" w:bidi="zh-CN"/>
        </w:rPr>
        <w:t>评标基准值计算规则:有效投标人的报价的平均值为评标基准值(计算结果保留小数点后两位，小数点后第三位“四舍五入”，即为</w:t>
      </w:r>
      <w:r>
        <w:rPr>
          <w:rFonts w:ascii="宋体" w:eastAsia="宋体" w:hAnsi="宋体" w:cs="宋体" w:hint="eastAsia"/>
          <w:kern w:val="0"/>
          <w:sz w:val="21"/>
          <w:szCs w:val="21"/>
          <w:lang w:val="en-US" w:eastAsia="zh-CN" w:bidi="zh-CN"/>
        </w:rPr>
        <w:t>*.*</w:t>
      </w:r>
      <w:r>
        <w:rPr>
          <w:rFonts w:ascii="宋体" w:eastAsia="宋体" w:hAnsi="宋体" w:cs="宋体" w:hint="eastAsia"/>
          <w:kern w:val="0"/>
          <w:sz w:val="21"/>
          <w:szCs w:val="21"/>
          <w:lang w:val="zh-CN" w:eastAsia="zh-CN" w:bidi="zh-CN"/>
        </w:rPr>
        <w:t>*%。)</w:t>
      </w:r>
    </w:p>
    <w:p>
      <w:pPr>
        <w:spacing w:line="360" w:lineRule="auto"/>
        <w:rPr>
          <w:rStyle w:val="NormalCharacter"/>
          <w:rFonts w:ascii="宋体"/>
        </w:rPr>
      </w:pPr>
      <w:r>
        <w:rPr>
          <w:rFonts w:ascii="宋体" w:eastAsia="宋体" w:hAnsi="宋体" w:cs="宋体" w:hint="eastAsia"/>
          <w:kern w:val="0"/>
          <w:sz w:val="21"/>
          <w:szCs w:val="21"/>
          <w:lang w:val="zh-CN" w:eastAsia="zh-CN" w:bidi="zh-CN"/>
        </w:rPr>
        <w:t>按照价格分由高到低的顺序推荐三位成交候选</w:t>
      </w:r>
      <w:r>
        <w:rPr>
          <w:rStyle w:val="NormalCharacter"/>
          <w:rFonts w:ascii="宋体" w:hint="eastAsia"/>
          <w:lang w:val="en-US" w:eastAsia="zh-CN"/>
        </w:rPr>
        <w:t>人，</w:t>
      </w:r>
      <w:r>
        <w:rPr>
          <w:rStyle w:val="NormalCharacter"/>
          <w:rFonts w:ascii="宋体"/>
        </w:rPr>
        <w:t>评标委员会完成评标后，应当向招标人提交书面评标报告。</w:t>
      </w:r>
    </w:p>
    <w:p>
      <w:pPr>
        <w:spacing w:line="360" w:lineRule="auto"/>
        <w:rPr>
          <w:rFonts w:ascii="宋体" w:hAnsi="宋体" w:cs="宋体"/>
          <w:kern w:val="0"/>
          <w:lang w:val="zh-CN" w:bidi="zh-CN"/>
        </w:rPr>
        <w:sectPr>
          <w:type w:val="nextPage"/>
          <w:pgSz w:w="11910" w:h="16840"/>
          <w:pgMar w:top="1380" w:right="1440" w:bottom="1580" w:left="1580" w:header="890" w:footer="1363" w:gutter="0"/>
          <w:pgNumType w:start="20"/>
          <w:cols w:num="1" w:space="720"/>
          <w:titlePg w:val="0"/>
        </w:sectPr>
      </w:pPr>
    </w:p>
    <w:p>
      <w:pPr>
        <w:spacing w:line="360" w:lineRule="auto"/>
        <w:jc w:val="both"/>
        <w:outlineLvl w:val="0"/>
        <w:rPr>
          <w:rFonts w:ascii="黑体" w:eastAsia="黑体" w:hAnsi="黑体" w:cs="黑体" w:hint="eastAsia"/>
          <w:b/>
          <w:bCs/>
          <w:kern w:val="44"/>
          <w:sz w:val="44"/>
          <w:szCs w:val="44"/>
        </w:rPr>
      </w:pPr>
      <w:bookmarkStart w:id="47" w:name="_Toc246996252"/>
      <w:bookmarkStart w:id="48" w:name="_Toc246996995"/>
      <w:bookmarkStart w:id="49" w:name="_Toc144974577"/>
      <w:bookmarkStart w:id="50" w:name="_Toc152045609"/>
      <w:bookmarkStart w:id="51" w:name="_Toc247085767"/>
      <w:bookmarkStart w:id="52" w:name="_Toc179632627"/>
      <w:bookmarkStart w:id="53" w:name="_Toc296602497"/>
      <w:bookmarkStart w:id="54" w:name="_Toc152042387"/>
      <w:bookmarkStart w:id="55" w:name="_Toc523400018"/>
      <w:bookmarkStart w:id="56" w:name="_Toc523399849"/>
      <w:bookmarkStart w:id="57" w:name="_Toc368985790"/>
      <w:bookmarkStart w:id="58" w:name="_Toc523399751"/>
      <w:bookmarkStart w:id="59" w:name="_Toc2789"/>
    </w:p>
    <w:p>
      <w:pPr>
        <w:numPr>
          <w:ilvl w:val="0"/>
          <w:numId w:val="2"/>
        </w:numPr>
        <w:spacing w:line="360" w:lineRule="auto"/>
        <w:jc w:val="center"/>
        <w:outlineLvl w:val="0"/>
        <w:rPr>
          <w:rFonts w:ascii="黑体" w:eastAsia="黑体" w:hAnsi="黑体" w:cs="黑体" w:hint="eastAsia"/>
          <w:b/>
          <w:bCs/>
          <w:kern w:val="44"/>
          <w:sz w:val="44"/>
          <w:szCs w:val="44"/>
        </w:rPr>
      </w:pPr>
      <w:r>
        <w:rPr>
          <w:rFonts w:ascii="黑体" w:eastAsia="黑体" w:hAnsi="黑体" w:cs="黑体" w:hint="eastAsia"/>
          <w:b/>
          <w:bCs/>
          <w:kern w:val="44"/>
          <w:sz w:val="44"/>
          <w:szCs w:val="44"/>
        </w:rPr>
        <w:t xml:space="preserve"> </w:t>
      </w:r>
      <w:r>
        <w:rPr>
          <w:rFonts w:ascii="黑体" w:eastAsia="黑体" w:hAnsi="黑体" w:cs="黑体" w:hint="eastAsia"/>
          <w:b/>
          <w:bCs/>
          <w:kern w:val="44"/>
          <w:sz w:val="44"/>
          <w:szCs w:val="44"/>
          <w:lang w:val="en-US" w:eastAsia="zh-CN"/>
        </w:rPr>
        <w:t>清单控制价</w:t>
      </w:r>
    </w:p>
    <w:p>
      <w:pPr>
        <w:pStyle w:val="BodyTextFirstIndent2"/>
        <w:numPr>
          <w:ilvl w:val="0"/>
          <w:numId w:val="0"/>
        </w:numPr>
        <w:ind w:left="840" w:firstLine="2100" w:leftChars="400" w:firstLineChars="1000"/>
        <w:rPr>
          <w:rFonts w:hint="default"/>
          <w:lang w:val="en-US" w:eastAsia="zh-CN"/>
        </w:rPr>
      </w:pPr>
      <w:r>
        <w:rPr>
          <w:rFonts w:hint="eastAsia"/>
          <w:lang w:val="en-US" w:eastAsia="zh-CN"/>
        </w:rPr>
        <w:t>（具体详见清单控制价）</w:t>
      </w:r>
    </w:p>
    <w:p>
      <w:pPr>
        <w:spacing w:line="360" w:lineRule="auto"/>
        <w:jc w:val="center"/>
        <w:outlineLvl w:val="0"/>
        <w:rPr>
          <w:rFonts w:ascii="黑体" w:eastAsia="黑体" w:hAnsi="黑体" w:cs="黑体" w:hint="eastAsia"/>
          <w:b/>
          <w:bCs/>
          <w:kern w:val="44"/>
          <w:sz w:val="44"/>
          <w:szCs w:val="44"/>
        </w:rPr>
      </w:pPr>
    </w:p>
    <w:p>
      <w:pPr>
        <w:spacing w:line="360" w:lineRule="auto"/>
        <w:jc w:val="center"/>
        <w:outlineLvl w:val="0"/>
        <w:rPr>
          <w:rFonts w:ascii="黑体" w:eastAsia="黑体" w:hAnsi="黑体" w:cs="黑体" w:hint="eastAsia"/>
          <w:b/>
          <w:bCs/>
          <w:kern w:val="44"/>
          <w:sz w:val="44"/>
          <w:szCs w:val="44"/>
        </w:rPr>
      </w:pPr>
    </w:p>
    <w:p>
      <w:pPr>
        <w:spacing w:line="360" w:lineRule="auto"/>
        <w:jc w:val="center"/>
        <w:outlineLvl w:val="0"/>
        <w:rPr>
          <w:rFonts w:ascii="黑体" w:eastAsia="黑体" w:hAnsi="黑体" w:cs="黑体" w:hint="eastAsia"/>
          <w:b/>
          <w:bCs/>
          <w:kern w:val="44"/>
          <w:sz w:val="44"/>
          <w:szCs w:val="44"/>
        </w:rPr>
      </w:pPr>
    </w:p>
    <w:p>
      <w:pPr>
        <w:spacing w:line="360" w:lineRule="auto"/>
        <w:jc w:val="center"/>
        <w:outlineLvl w:val="0"/>
        <w:rPr>
          <w:rFonts w:ascii="黑体" w:eastAsia="黑体" w:hAnsi="黑体" w:cs="黑体" w:hint="eastAsia"/>
          <w:b/>
          <w:bCs/>
          <w:kern w:val="44"/>
          <w:sz w:val="44"/>
          <w:szCs w:val="44"/>
        </w:rPr>
      </w:pPr>
    </w:p>
    <w:p>
      <w:pPr>
        <w:spacing w:line="360" w:lineRule="auto"/>
        <w:jc w:val="center"/>
        <w:outlineLvl w:val="0"/>
        <w:rPr>
          <w:rFonts w:ascii="黑体" w:eastAsia="黑体" w:hAnsi="黑体" w:cs="黑体" w:hint="eastAsia"/>
          <w:b/>
          <w:bCs/>
          <w:kern w:val="44"/>
          <w:sz w:val="44"/>
          <w:szCs w:val="44"/>
        </w:rPr>
      </w:pPr>
    </w:p>
    <w:p>
      <w:pPr>
        <w:spacing w:line="360" w:lineRule="auto"/>
        <w:jc w:val="center"/>
        <w:outlineLvl w:val="0"/>
        <w:rPr>
          <w:rFonts w:ascii="黑体" w:eastAsia="黑体" w:hAnsi="黑体" w:cs="黑体" w:hint="eastAsia"/>
          <w:b/>
          <w:bCs/>
          <w:kern w:val="44"/>
          <w:sz w:val="44"/>
          <w:szCs w:val="44"/>
        </w:rPr>
      </w:pPr>
    </w:p>
    <w:p>
      <w:pPr>
        <w:spacing w:line="360" w:lineRule="auto"/>
        <w:jc w:val="center"/>
        <w:outlineLvl w:val="0"/>
        <w:rPr>
          <w:rFonts w:ascii="黑体" w:eastAsia="黑体" w:hAnsi="黑体" w:cs="黑体" w:hint="eastAsia"/>
          <w:b/>
          <w:bCs/>
          <w:kern w:val="44"/>
          <w:sz w:val="44"/>
          <w:szCs w:val="44"/>
        </w:rPr>
      </w:pPr>
    </w:p>
    <w:p>
      <w:pPr>
        <w:spacing w:line="360" w:lineRule="auto"/>
        <w:jc w:val="center"/>
        <w:outlineLvl w:val="0"/>
        <w:rPr>
          <w:rFonts w:ascii="黑体" w:eastAsia="黑体" w:hAnsi="黑体" w:cs="黑体" w:hint="eastAsia"/>
          <w:b/>
          <w:bCs/>
          <w:kern w:val="44"/>
          <w:sz w:val="44"/>
          <w:szCs w:val="44"/>
        </w:rPr>
      </w:pPr>
    </w:p>
    <w:p>
      <w:pPr>
        <w:spacing w:line="360" w:lineRule="auto"/>
        <w:jc w:val="center"/>
        <w:outlineLvl w:val="0"/>
        <w:rPr>
          <w:rFonts w:ascii="黑体" w:eastAsia="黑体" w:hAnsi="黑体" w:cs="黑体" w:hint="eastAsia"/>
          <w:b/>
          <w:bCs/>
          <w:kern w:val="44"/>
          <w:sz w:val="44"/>
          <w:szCs w:val="44"/>
        </w:rPr>
      </w:pPr>
    </w:p>
    <w:p>
      <w:pPr>
        <w:spacing w:line="360" w:lineRule="auto"/>
        <w:jc w:val="center"/>
        <w:outlineLvl w:val="0"/>
        <w:rPr>
          <w:rFonts w:ascii="黑体" w:eastAsia="黑体" w:hAnsi="黑体" w:cs="黑体" w:hint="eastAsia"/>
          <w:b/>
          <w:bCs/>
          <w:kern w:val="44"/>
          <w:sz w:val="44"/>
          <w:szCs w:val="44"/>
        </w:rPr>
      </w:pPr>
    </w:p>
    <w:p>
      <w:pPr>
        <w:spacing w:line="360" w:lineRule="auto"/>
        <w:jc w:val="center"/>
        <w:outlineLvl w:val="0"/>
        <w:rPr>
          <w:rFonts w:ascii="黑体" w:eastAsia="黑体" w:hAnsi="黑体" w:cs="黑体" w:hint="eastAsia"/>
          <w:b/>
          <w:bCs/>
          <w:kern w:val="44"/>
          <w:sz w:val="44"/>
          <w:szCs w:val="44"/>
        </w:rPr>
      </w:pPr>
    </w:p>
    <w:p>
      <w:pPr>
        <w:spacing w:line="360" w:lineRule="auto"/>
        <w:jc w:val="center"/>
        <w:outlineLvl w:val="0"/>
        <w:rPr>
          <w:rFonts w:ascii="黑体" w:eastAsia="黑体" w:hAnsi="黑体" w:cs="黑体" w:hint="eastAsia"/>
          <w:b/>
          <w:bCs/>
          <w:kern w:val="44"/>
          <w:sz w:val="44"/>
          <w:szCs w:val="44"/>
        </w:rPr>
      </w:pPr>
    </w:p>
    <w:p>
      <w:pPr>
        <w:spacing w:line="360" w:lineRule="auto"/>
        <w:jc w:val="center"/>
        <w:outlineLvl w:val="0"/>
        <w:rPr>
          <w:rFonts w:ascii="黑体" w:eastAsia="黑体" w:hAnsi="黑体" w:cs="黑体" w:hint="eastAsia"/>
          <w:b/>
          <w:bCs/>
          <w:kern w:val="44"/>
          <w:sz w:val="44"/>
          <w:szCs w:val="44"/>
        </w:rPr>
      </w:pPr>
    </w:p>
    <w:p>
      <w:pPr>
        <w:spacing w:line="360" w:lineRule="auto"/>
        <w:jc w:val="both"/>
        <w:outlineLvl w:val="0"/>
        <w:rPr>
          <w:rFonts w:ascii="黑体" w:eastAsia="黑体" w:hAnsi="黑体" w:cs="黑体" w:hint="eastAsia"/>
          <w:b/>
          <w:bCs/>
          <w:kern w:val="44"/>
          <w:sz w:val="44"/>
          <w:szCs w:val="44"/>
        </w:rPr>
        <w:sectPr>
          <w:footerReference w:type="default" r:id="rId7"/>
          <w:pgSz w:w="11906" w:h="16838"/>
          <w:pgMar w:top="1440" w:right="1800" w:bottom="1440" w:left="1800" w:header="851" w:footer="992" w:gutter="0"/>
          <w:pgNumType w:start="21"/>
          <w:cols w:num="1" w:space="425"/>
          <w:docGrid w:linePitch="312" w:charSpace="0"/>
        </w:sectPr>
      </w:pPr>
    </w:p>
    <w:p>
      <w:pPr>
        <w:spacing w:line="360" w:lineRule="auto"/>
        <w:jc w:val="center"/>
        <w:outlineLvl w:val="0"/>
        <w:rPr>
          <w:rFonts w:ascii="黑体" w:eastAsia="黑体" w:hAnsi="黑体" w:cs="黑体"/>
          <w:b/>
          <w:bCs/>
          <w:kern w:val="44"/>
          <w:sz w:val="32"/>
          <w:szCs w:val="32"/>
        </w:rPr>
      </w:pPr>
      <w:r>
        <w:rPr>
          <w:rFonts w:ascii="黑体" w:eastAsia="黑体" w:hAnsi="黑体" w:cs="黑体" w:hint="eastAsia"/>
          <w:b/>
          <w:bCs/>
          <w:kern w:val="44"/>
          <w:sz w:val="44"/>
          <w:szCs w:val="44"/>
        </w:rPr>
        <w:t>第</w:t>
      </w:r>
      <w:r>
        <w:rPr>
          <w:rFonts w:ascii="黑体" w:eastAsia="黑体" w:hAnsi="黑体" w:cs="黑体" w:hint="eastAsia"/>
          <w:b/>
          <w:bCs/>
          <w:kern w:val="44"/>
          <w:sz w:val="44"/>
          <w:szCs w:val="44"/>
          <w:lang w:val="en-US" w:eastAsia="zh-CN"/>
        </w:rPr>
        <w:t>五</w:t>
      </w:r>
      <w:r>
        <w:rPr>
          <w:rFonts w:ascii="黑体" w:eastAsia="黑体" w:hAnsi="黑体" w:cs="黑体" w:hint="eastAsia"/>
          <w:b/>
          <w:bCs/>
          <w:kern w:val="44"/>
          <w:sz w:val="44"/>
          <w:szCs w:val="44"/>
        </w:rPr>
        <w:t>章  合同条款及格</w:t>
      </w:r>
      <w:bookmarkEnd w:id="47"/>
      <w:bookmarkEnd w:id="48"/>
      <w:bookmarkEnd w:id="49"/>
      <w:bookmarkEnd w:id="50"/>
      <w:bookmarkEnd w:id="51"/>
      <w:bookmarkEnd w:id="52"/>
      <w:bookmarkEnd w:id="53"/>
      <w:bookmarkEnd w:id="54"/>
      <w:r>
        <w:rPr>
          <w:rFonts w:ascii="黑体" w:eastAsia="黑体" w:hAnsi="黑体" w:cs="黑体" w:hint="eastAsia"/>
          <w:b/>
          <w:bCs/>
          <w:kern w:val="44"/>
          <w:sz w:val="44"/>
          <w:szCs w:val="44"/>
        </w:rPr>
        <w:t>式</w:t>
      </w:r>
      <w:bookmarkEnd w:id="55"/>
      <w:bookmarkEnd w:id="56"/>
      <w:bookmarkEnd w:id="57"/>
      <w:bookmarkEnd w:id="58"/>
      <w:bookmarkEnd w:id="59"/>
      <w:r>
        <w:rPr>
          <w:rFonts w:ascii="黑体" w:eastAsia="黑体" w:hAnsi="黑体" w:cs="黑体" w:hint="eastAsia"/>
          <w:b/>
          <w:bCs/>
          <w:kern w:val="44"/>
          <w:sz w:val="44"/>
          <w:szCs w:val="44"/>
        </w:rPr>
        <w:t xml:space="preserve"> </w:t>
      </w:r>
    </w:p>
    <w:p>
      <w:pPr>
        <w:rPr>
          <w:rStyle w:val="NormalCharacter"/>
          <w:rFonts w:ascii="宋体" w:hAnsi="宋体"/>
          <w:color w:val="000000"/>
        </w:rPr>
      </w:pPr>
      <w:r>
        <w:rPr>
          <w:sz w:val="24"/>
        </w:rPr>
        <w:t xml:space="preserve">   </w:t>
      </w:r>
    </w:p>
    <w:p>
      <w:pPr>
        <w:keepNext w:val="0"/>
        <w:keepLines w:val="0"/>
        <w:widowControl/>
        <w:suppressLineNumbers w:val="0"/>
        <w:jc w:val="center"/>
        <w:rPr>
          <w:sz w:val="16"/>
          <w:szCs w:val="16"/>
        </w:rPr>
      </w:pPr>
      <w:r>
        <w:rPr>
          <w:rFonts w:ascii="宋体" w:eastAsia="宋体" w:hAnsi="宋体" w:cs="宋体" w:hint="eastAsia"/>
          <w:b/>
          <w:color w:val="000000"/>
          <w:kern w:val="0"/>
          <w:sz w:val="32"/>
          <w:szCs w:val="32"/>
          <w:lang w:val="en-US" w:eastAsia="zh-CN" w:bidi="ar"/>
        </w:rPr>
        <w:t>建设工程劳务分包合同</w:t>
      </w:r>
    </w:p>
    <w:p>
      <w:pPr>
        <w:keepNext w:val="0"/>
        <w:keepLines w:val="0"/>
        <w:widowControl/>
        <w:suppressLineNumbers w:val="0"/>
        <w:ind w:firstLine="5040" w:firstLineChars="2100"/>
        <w:jc w:val="left"/>
        <w:rPr>
          <w:rFonts w:ascii="微软雅黑" w:eastAsia="微软雅黑" w:hAnsi="微软雅黑" w:cs="微软雅黑" w:hint="eastAsia"/>
          <w:sz w:val="24"/>
          <w:szCs w:val="24"/>
        </w:rPr>
      </w:pPr>
      <w:r>
        <w:rPr>
          <w:rFonts w:ascii="微软雅黑" w:eastAsia="微软雅黑" w:hAnsi="微软雅黑" w:cs="微软雅黑" w:hint="eastAsia"/>
          <w:color w:val="000000"/>
          <w:kern w:val="0"/>
          <w:sz w:val="24"/>
          <w:szCs w:val="24"/>
          <w:lang w:val="en-US" w:eastAsia="zh-CN" w:bidi="ar"/>
        </w:rPr>
        <w:t xml:space="preserve">（合同编号：       号） </w:t>
      </w:r>
    </w:p>
    <w:p>
      <w:pPr>
        <w:keepNext w:val="0"/>
        <w:keepLines w:val="0"/>
        <w:widowControl/>
        <w:suppressLineNumbers w:val="0"/>
        <w:jc w:val="left"/>
        <w:rPr>
          <w:rFonts w:ascii="微软雅黑" w:eastAsia="微软雅黑" w:hAnsi="微软雅黑" w:cs="微软雅黑" w:hint="eastAsia"/>
          <w:color w:val="000000"/>
          <w:kern w:val="0"/>
          <w:sz w:val="24"/>
          <w:szCs w:val="24"/>
          <w:u w:val="single"/>
          <w:lang w:bidi="ar"/>
        </w:rPr>
      </w:pPr>
      <w:r>
        <w:rPr>
          <w:rFonts w:ascii="微软雅黑" w:eastAsia="微软雅黑" w:hAnsi="微软雅黑" w:cs="微软雅黑" w:hint="eastAsia"/>
          <w:color w:val="000000"/>
          <w:kern w:val="0"/>
          <w:sz w:val="24"/>
          <w:szCs w:val="24"/>
          <w:lang w:val="en-US" w:eastAsia="zh-CN" w:bidi="ar"/>
        </w:rPr>
        <w:t>甲方：</w:t>
      </w:r>
      <w:r>
        <w:rPr>
          <w:rFonts w:ascii="微软雅黑" w:eastAsia="微软雅黑" w:hAnsi="微软雅黑" w:cs="微软雅黑" w:hint="eastAsia"/>
          <w:color w:val="000000"/>
          <w:kern w:val="0"/>
          <w:sz w:val="24"/>
          <w:szCs w:val="24"/>
          <w:u w:val="single"/>
          <w:lang w:val="en-US" w:eastAsia="zh-CN" w:bidi="ar"/>
        </w:rPr>
        <w:t xml:space="preserve">                           </w:t>
      </w:r>
    </w:p>
    <w:p>
      <w:pPr>
        <w:keepNext w:val="0"/>
        <w:keepLines w:val="0"/>
        <w:widowControl/>
        <w:suppressLineNumbers w:val="0"/>
        <w:jc w:val="left"/>
        <w:rPr>
          <w:rFonts w:ascii="微软雅黑" w:eastAsia="微软雅黑" w:hAnsi="微软雅黑" w:cs="微软雅黑" w:hint="default"/>
          <w:sz w:val="24"/>
          <w:szCs w:val="24"/>
          <w:u w:val="single"/>
        </w:rPr>
      </w:pPr>
      <w:r>
        <w:rPr>
          <w:rFonts w:ascii="微软雅黑" w:eastAsia="微软雅黑" w:hAnsi="微软雅黑" w:cs="微软雅黑" w:hint="eastAsia"/>
          <w:color w:val="000000"/>
          <w:kern w:val="0"/>
          <w:sz w:val="24"/>
          <w:szCs w:val="24"/>
          <w:lang w:val="en-US" w:eastAsia="zh-CN" w:bidi="ar"/>
        </w:rPr>
        <w:t>乙方：</w:t>
      </w:r>
      <w:r>
        <w:rPr>
          <w:rFonts w:ascii="微软雅黑" w:eastAsia="微软雅黑" w:hAnsi="微软雅黑" w:cs="微软雅黑" w:hint="eastAsia"/>
          <w:color w:val="000000"/>
          <w:kern w:val="0"/>
          <w:sz w:val="24"/>
          <w:szCs w:val="24"/>
          <w:u w:val="single"/>
          <w:lang w:val="en-US" w:eastAsia="zh-CN" w:bidi="ar"/>
        </w:rPr>
        <w:t xml:space="preserve">                           </w:t>
      </w:r>
    </w:p>
    <w:p>
      <w:pPr>
        <w:keepNext w:val="0"/>
        <w:keepLines w:val="0"/>
        <w:widowControl/>
        <w:suppressLineNumbers w:val="0"/>
        <w:ind w:firstLine="480" w:firstLineChars="200"/>
        <w:jc w:val="left"/>
        <w:rPr>
          <w:rFonts w:ascii="微软雅黑" w:eastAsia="微软雅黑" w:hAnsi="微软雅黑" w:cs="微软雅黑" w:hint="eastAsia"/>
          <w:sz w:val="24"/>
          <w:szCs w:val="24"/>
        </w:rPr>
      </w:pPr>
      <w:r>
        <w:rPr>
          <w:rFonts w:ascii="微软雅黑" w:eastAsia="微软雅黑" w:hAnsi="微软雅黑" w:cs="微软雅黑" w:hint="eastAsia"/>
          <w:color w:val="000000"/>
          <w:kern w:val="0"/>
          <w:sz w:val="24"/>
          <w:szCs w:val="24"/>
          <w:lang w:val="en-US" w:eastAsia="zh-CN" w:bidi="ar"/>
        </w:rPr>
        <w:t xml:space="preserve">依照《中华人民共和国民法典》、《中华人民共和国建筑法》及其它有关法 </w:t>
      </w:r>
    </w:p>
    <w:p>
      <w:pPr>
        <w:keepNext w:val="0"/>
        <w:keepLines w:val="0"/>
        <w:widowControl/>
        <w:suppressLineNumbers w:val="0"/>
        <w:jc w:val="left"/>
        <w:rPr>
          <w:rFonts w:ascii="微软雅黑" w:eastAsia="微软雅黑" w:hAnsi="微软雅黑" w:cs="微软雅黑" w:hint="eastAsia"/>
          <w:sz w:val="24"/>
          <w:szCs w:val="24"/>
        </w:rPr>
      </w:pPr>
      <w:r>
        <w:rPr>
          <w:rFonts w:ascii="微软雅黑" w:eastAsia="微软雅黑" w:hAnsi="微软雅黑" w:cs="微软雅黑" w:hint="eastAsia"/>
          <w:color w:val="000000"/>
          <w:kern w:val="0"/>
          <w:sz w:val="24"/>
          <w:szCs w:val="24"/>
          <w:lang w:val="en-US" w:eastAsia="zh-CN" w:bidi="ar"/>
        </w:rPr>
        <w:t>律、行政法规，经招投标，甲方选定乙方为甲方总包工程的劳务分包方，为确保优质、高效、按期完成工程施工任务，明确甲乙双方在施工过程中的责任、权利、义务，双方根据甲方与建设单位签订的施工总承包合同（以下简称为“总包合同”），遵循平等、自愿、公平和诚实信用的原则，就</w:t>
      </w:r>
      <w:r>
        <w:rPr>
          <w:rFonts w:ascii="微软雅黑" w:eastAsia="微软雅黑" w:hAnsi="微软雅黑" w:cs="微软雅黑" w:hint="eastAsia"/>
          <w:color w:val="000000"/>
          <w:kern w:val="0"/>
          <w:sz w:val="24"/>
          <w:szCs w:val="24"/>
          <w:u w:val="single"/>
          <w:lang w:val="en-US" w:eastAsia="zh-CN" w:bidi="ar"/>
        </w:rPr>
        <w:t xml:space="preserve">                    </w:t>
      </w:r>
      <w:r>
        <w:rPr>
          <w:rFonts w:ascii="微软雅黑" w:eastAsia="微软雅黑" w:hAnsi="微软雅黑" w:cs="微软雅黑" w:hint="eastAsia"/>
          <w:color w:val="000000"/>
          <w:kern w:val="0"/>
          <w:sz w:val="24"/>
          <w:szCs w:val="24"/>
          <w:lang w:val="en-US" w:eastAsia="zh-CN" w:bidi="ar"/>
        </w:rPr>
        <w:t xml:space="preserve">劳务分包事项协商达成一致，订立本合同。 </w:t>
      </w:r>
    </w:p>
    <w:p>
      <w:pPr>
        <w:keepNext w:val="0"/>
        <w:keepLines w:val="0"/>
        <w:widowControl/>
        <w:suppressLineNumbers w:val="0"/>
        <w:jc w:val="left"/>
        <w:rPr>
          <w:rFonts w:ascii="微软雅黑" w:eastAsia="微软雅黑" w:hAnsi="微软雅黑" w:cs="微软雅黑" w:hint="eastAsia"/>
          <w:sz w:val="24"/>
          <w:szCs w:val="24"/>
        </w:rPr>
      </w:pPr>
      <w:r>
        <w:rPr>
          <w:rFonts w:ascii="微软雅黑" w:eastAsia="微软雅黑" w:hAnsi="微软雅黑" w:cs="微软雅黑" w:hint="eastAsia"/>
          <w:b/>
          <w:color w:val="000000"/>
          <w:kern w:val="0"/>
          <w:sz w:val="24"/>
          <w:szCs w:val="24"/>
          <w:lang w:val="en-US" w:eastAsia="zh-CN" w:bidi="ar"/>
        </w:rPr>
        <w:t xml:space="preserve">第一条 劳务分包工程概况 </w:t>
      </w:r>
    </w:p>
    <w:p>
      <w:pPr>
        <w:keepNext w:val="0"/>
        <w:keepLines w:val="0"/>
        <w:widowControl/>
        <w:suppressLineNumbers w:val="0"/>
        <w:jc w:val="left"/>
        <w:rPr>
          <w:rFonts w:ascii="微软雅黑" w:eastAsia="微软雅黑" w:hAnsi="微软雅黑" w:cs="微软雅黑" w:hint="eastAsia"/>
          <w:color w:val="000000"/>
          <w:kern w:val="0"/>
          <w:sz w:val="24"/>
          <w:szCs w:val="24"/>
          <w:u w:val="single"/>
          <w:lang w:bidi="ar"/>
        </w:rPr>
      </w:pPr>
      <w:r>
        <w:rPr>
          <w:rFonts w:ascii="微软雅黑" w:eastAsia="微软雅黑" w:hAnsi="微软雅黑" w:cs="微软雅黑" w:hint="eastAsia"/>
          <w:color w:val="000000"/>
          <w:kern w:val="0"/>
          <w:sz w:val="24"/>
          <w:szCs w:val="24"/>
          <w:lang w:val="en-US" w:eastAsia="zh-CN" w:bidi="ar"/>
        </w:rPr>
        <w:t>1、工程名称：</w:t>
      </w:r>
      <w:r>
        <w:rPr>
          <w:rFonts w:ascii="微软雅黑" w:eastAsia="微软雅黑" w:hAnsi="微软雅黑" w:cs="微软雅黑" w:hint="eastAsia"/>
          <w:color w:val="000000"/>
          <w:kern w:val="0"/>
          <w:sz w:val="24"/>
          <w:szCs w:val="24"/>
          <w:u w:val="single"/>
          <w:lang w:val="en-US" w:eastAsia="zh-CN" w:bidi="ar"/>
        </w:rPr>
        <w:t xml:space="preserve">                           </w:t>
      </w:r>
    </w:p>
    <w:p>
      <w:pPr>
        <w:keepNext w:val="0"/>
        <w:keepLines w:val="0"/>
        <w:widowControl/>
        <w:suppressLineNumbers w:val="0"/>
        <w:jc w:val="left"/>
        <w:rPr>
          <w:rFonts w:ascii="微软雅黑" w:eastAsia="微软雅黑" w:hAnsi="微软雅黑" w:cs="微软雅黑" w:hint="default"/>
          <w:color w:val="000000"/>
          <w:kern w:val="0"/>
          <w:sz w:val="24"/>
          <w:szCs w:val="24"/>
          <w:lang w:bidi="ar"/>
        </w:rPr>
      </w:pPr>
      <w:r>
        <w:rPr>
          <w:rFonts w:ascii="微软雅黑" w:eastAsia="微软雅黑" w:hAnsi="微软雅黑" w:cs="微软雅黑" w:hint="eastAsia"/>
          <w:color w:val="000000"/>
          <w:kern w:val="0"/>
          <w:sz w:val="24"/>
          <w:szCs w:val="24"/>
          <w:lang w:val="en-US" w:eastAsia="zh-CN" w:bidi="ar"/>
        </w:rPr>
        <w:t>2、劳务作业地点：</w:t>
      </w:r>
      <w:r>
        <w:rPr>
          <w:rFonts w:ascii="微软雅黑" w:eastAsia="微软雅黑" w:hAnsi="微软雅黑" w:cs="微软雅黑" w:hint="eastAsia"/>
          <w:color w:val="000000"/>
          <w:kern w:val="0"/>
          <w:sz w:val="24"/>
          <w:szCs w:val="24"/>
          <w:u w:val="single"/>
          <w:lang w:val="en-US" w:eastAsia="zh-CN" w:bidi="ar"/>
        </w:rPr>
        <w:t xml:space="preserve">                       </w:t>
      </w:r>
    </w:p>
    <w:p>
      <w:pPr>
        <w:keepNext w:val="0"/>
        <w:keepLines w:val="0"/>
        <w:widowControl/>
        <w:suppressLineNumbers w:val="0"/>
        <w:jc w:val="left"/>
        <w:rPr>
          <w:rFonts w:ascii="微软雅黑" w:eastAsia="微软雅黑" w:hAnsi="微软雅黑" w:cs="微软雅黑" w:hint="eastAsia"/>
          <w:sz w:val="24"/>
          <w:szCs w:val="24"/>
        </w:rPr>
      </w:pPr>
      <w:r>
        <w:rPr>
          <w:rFonts w:ascii="微软雅黑" w:eastAsia="微软雅黑" w:hAnsi="微软雅黑" w:cs="微软雅黑" w:hint="eastAsia"/>
          <w:color w:val="000000"/>
          <w:kern w:val="0"/>
          <w:sz w:val="24"/>
          <w:szCs w:val="24"/>
          <w:lang w:val="en-US" w:eastAsia="zh-CN" w:bidi="ar"/>
        </w:rPr>
        <w:t>3、劳务分包内容：</w:t>
      </w:r>
      <w:r>
        <w:rPr>
          <w:rFonts w:ascii="微软雅黑" w:eastAsia="微软雅黑" w:hAnsi="微软雅黑" w:cs="微软雅黑" w:hint="eastAsia"/>
          <w:color w:val="000000"/>
          <w:kern w:val="0"/>
          <w:sz w:val="24"/>
          <w:szCs w:val="24"/>
          <w:u w:val="single"/>
          <w:lang w:val="en-US" w:eastAsia="zh-CN" w:bidi="ar"/>
        </w:rPr>
        <w:t xml:space="preserve">                       </w:t>
      </w:r>
    </w:p>
    <w:p>
      <w:pPr>
        <w:keepNext w:val="0"/>
        <w:keepLines w:val="0"/>
        <w:widowControl/>
        <w:suppressLineNumbers w:val="0"/>
        <w:jc w:val="left"/>
        <w:rPr>
          <w:rFonts w:ascii="微软雅黑" w:eastAsia="微软雅黑" w:hAnsi="微软雅黑" w:cs="微软雅黑" w:hint="eastAsia"/>
          <w:color w:val="FF0000"/>
          <w:kern w:val="0"/>
          <w:sz w:val="24"/>
          <w:szCs w:val="24"/>
          <w:u w:val="single"/>
          <w:lang w:bidi="ar"/>
        </w:rPr>
      </w:pPr>
      <w:r>
        <w:rPr>
          <w:rFonts w:ascii="微软雅黑" w:eastAsia="微软雅黑" w:hAnsi="微软雅黑" w:cs="微软雅黑" w:hint="eastAsia"/>
          <w:color w:val="000000"/>
          <w:kern w:val="0"/>
          <w:sz w:val="24"/>
          <w:szCs w:val="24"/>
          <w:lang w:val="en-US" w:eastAsia="zh-CN" w:bidi="ar"/>
        </w:rPr>
        <w:t>4、工程承包范围：</w:t>
      </w:r>
      <w:r>
        <w:rPr>
          <w:rFonts w:ascii="微软雅黑" w:eastAsia="微软雅黑" w:hAnsi="微软雅黑" w:cs="微软雅黑" w:hint="eastAsia"/>
          <w:color w:val="000000"/>
          <w:kern w:val="0"/>
          <w:sz w:val="24"/>
          <w:szCs w:val="24"/>
          <w:u w:val="single"/>
          <w:lang w:val="en-US" w:eastAsia="zh-CN" w:bidi="ar"/>
        </w:rPr>
        <w:t xml:space="preserve">                       </w:t>
      </w:r>
    </w:p>
    <w:p>
      <w:pPr>
        <w:keepNext w:val="0"/>
        <w:keepLines w:val="0"/>
        <w:widowControl/>
        <w:suppressLineNumbers w:val="0"/>
        <w:jc w:val="left"/>
        <w:rPr>
          <w:rFonts w:ascii="微软雅黑" w:eastAsia="微软雅黑" w:hAnsi="微软雅黑" w:cs="微软雅黑" w:hint="default"/>
          <w:sz w:val="24"/>
          <w:szCs w:val="24"/>
          <w:u w:val="single"/>
        </w:rPr>
      </w:pPr>
      <w:r>
        <w:rPr>
          <w:rFonts w:ascii="微软雅黑" w:eastAsia="微软雅黑" w:hAnsi="微软雅黑" w:cs="微软雅黑" w:hint="eastAsia"/>
          <w:color w:val="000000"/>
          <w:kern w:val="0"/>
          <w:sz w:val="24"/>
          <w:szCs w:val="24"/>
          <w:lang w:val="en-US" w:eastAsia="zh-CN" w:bidi="ar"/>
        </w:rPr>
        <w:t>5、劳务分包方式：</w:t>
      </w:r>
      <w:r>
        <w:rPr>
          <w:rFonts w:ascii="微软雅黑" w:eastAsia="微软雅黑" w:hAnsi="微软雅黑" w:cs="微软雅黑" w:hint="eastAsia"/>
          <w:color w:val="000000"/>
          <w:kern w:val="0"/>
          <w:sz w:val="24"/>
          <w:szCs w:val="24"/>
          <w:u w:val="single"/>
          <w:lang w:val="en-US" w:eastAsia="zh-CN" w:bidi="ar"/>
        </w:rPr>
        <w:t xml:space="preserve">  固定总价劳务分包   </w:t>
      </w:r>
    </w:p>
    <w:p>
      <w:pPr>
        <w:keepNext w:val="0"/>
        <w:keepLines w:val="0"/>
        <w:widowControl/>
        <w:suppressLineNumbers w:val="0"/>
        <w:jc w:val="left"/>
        <w:rPr>
          <w:rFonts w:ascii="微软雅黑" w:eastAsia="微软雅黑" w:hAnsi="微软雅黑" w:cs="微软雅黑" w:hint="eastAsia"/>
          <w:sz w:val="24"/>
          <w:szCs w:val="24"/>
        </w:rPr>
      </w:pPr>
      <w:r>
        <w:rPr>
          <w:rFonts w:ascii="微软雅黑" w:eastAsia="微软雅黑" w:hAnsi="微软雅黑" w:cs="微软雅黑" w:hint="eastAsia"/>
          <w:color w:val="000000"/>
          <w:kern w:val="0"/>
          <w:sz w:val="24"/>
          <w:szCs w:val="24"/>
          <w:lang w:val="en-US" w:eastAsia="zh-CN" w:bidi="ar"/>
        </w:rPr>
        <w:t xml:space="preserve">以上工作内容仅为暂定，甲方有权根据乙方的机械设备配置、施工进度、安全质量文明、履约能力、现场管理、报价等因素综合考虑是否对分包工程做出调整，乙方必须无条件服从。 </w:t>
      </w:r>
    </w:p>
    <w:p>
      <w:pPr>
        <w:keepNext w:val="0"/>
        <w:keepLines w:val="0"/>
        <w:widowControl/>
        <w:suppressLineNumbers w:val="0"/>
        <w:jc w:val="left"/>
        <w:rPr>
          <w:rFonts w:ascii="微软雅黑" w:eastAsia="微软雅黑" w:hAnsi="微软雅黑" w:cs="微软雅黑" w:hint="eastAsia"/>
          <w:sz w:val="24"/>
          <w:szCs w:val="24"/>
        </w:rPr>
      </w:pPr>
      <w:r>
        <w:rPr>
          <w:rFonts w:ascii="微软雅黑" w:eastAsia="微软雅黑" w:hAnsi="微软雅黑" w:cs="微软雅黑" w:hint="eastAsia"/>
          <w:b/>
          <w:color w:val="000000"/>
          <w:kern w:val="0"/>
          <w:sz w:val="24"/>
          <w:szCs w:val="24"/>
          <w:lang w:val="en-US" w:eastAsia="zh-CN" w:bidi="ar"/>
        </w:rPr>
        <w:t xml:space="preserve">第二条 工期 </w:t>
      </w:r>
    </w:p>
    <w:p>
      <w:pPr>
        <w:keepNext w:val="0"/>
        <w:keepLines w:val="0"/>
        <w:widowControl/>
        <w:suppressLineNumbers w:val="0"/>
        <w:jc w:val="left"/>
        <w:rPr>
          <w:rFonts w:ascii="微软雅黑" w:eastAsia="微软雅黑" w:hAnsi="微软雅黑" w:cs="微软雅黑" w:hint="eastAsia"/>
          <w:sz w:val="24"/>
          <w:szCs w:val="24"/>
        </w:rPr>
      </w:pPr>
      <w:r>
        <w:rPr>
          <w:rFonts w:ascii="微软雅黑" w:eastAsia="微软雅黑" w:hAnsi="微软雅黑" w:cs="微软雅黑" w:hint="eastAsia"/>
          <w:color w:val="000000"/>
          <w:kern w:val="0"/>
          <w:sz w:val="24"/>
          <w:szCs w:val="24"/>
          <w:lang w:val="en-US" w:eastAsia="zh-CN" w:bidi="ar"/>
        </w:rPr>
        <w:t>1、开工日期：</w:t>
      </w:r>
      <w:r>
        <w:rPr>
          <w:rFonts w:ascii="微软雅黑" w:eastAsia="微软雅黑" w:hAnsi="微软雅黑" w:cs="微软雅黑" w:hint="eastAsia"/>
          <w:color w:val="000000"/>
          <w:kern w:val="0"/>
          <w:sz w:val="24"/>
          <w:szCs w:val="24"/>
          <w:u w:val="single"/>
          <w:lang w:val="en-US" w:eastAsia="zh-CN" w:bidi="ar"/>
        </w:rPr>
        <w:t xml:space="preserve">     </w:t>
      </w:r>
      <w:r>
        <w:rPr>
          <w:rFonts w:ascii="微软雅黑" w:eastAsia="微软雅黑" w:hAnsi="微软雅黑" w:cs="微软雅黑" w:hint="eastAsia"/>
          <w:color w:val="000000"/>
          <w:kern w:val="0"/>
          <w:sz w:val="24"/>
          <w:szCs w:val="24"/>
          <w:lang w:val="en-US" w:eastAsia="zh-CN" w:bidi="ar"/>
        </w:rPr>
        <w:t>年</w:t>
      </w:r>
      <w:r>
        <w:rPr>
          <w:rFonts w:ascii="微软雅黑" w:eastAsia="微软雅黑" w:hAnsi="微软雅黑" w:cs="微软雅黑" w:hint="eastAsia"/>
          <w:color w:val="000000"/>
          <w:kern w:val="0"/>
          <w:sz w:val="24"/>
          <w:szCs w:val="24"/>
          <w:u w:val="single"/>
          <w:lang w:val="en-US" w:eastAsia="zh-CN" w:bidi="ar"/>
        </w:rPr>
        <w:t xml:space="preserve">    </w:t>
      </w:r>
      <w:r>
        <w:rPr>
          <w:rFonts w:ascii="微软雅黑" w:eastAsia="微软雅黑" w:hAnsi="微软雅黑" w:cs="微软雅黑" w:hint="eastAsia"/>
          <w:color w:val="000000"/>
          <w:kern w:val="0"/>
          <w:sz w:val="24"/>
          <w:szCs w:val="24"/>
          <w:lang w:val="en-US" w:eastAsia="zh-CN" w:bidi="ar"/>
        </w:rPr>
        <w:t>月</w:t>
      </w:r>
      <w:r>
        <w:rPr>
          <w:rFonts w:ascii="微软雅黑" w:eastAsia="微软雅黑" w:hAnsi="微软雅黑" w:cs="微软雅黑" w:hint="eastAsia"/>
          <w:color w:val="000000"/>
          <w:kern w:val="0"/>
          <w:sz w:val="24"/>
          <w:szCs w:val="24"/>
          <w:u w:val="single"/>
          <w:lang w:val="en-US" w:eastAsia="zh-CN" w:bidi="ar"/>
        </w:rPr>
        <w:t xml:space="preserve">    </w:t>
      </w:r>
      <w:r>
        <w:rPr>
          <w:rFonts w:ascii="微软雅黑" w:eastAsia="微软雅黑" w:hAnsi="微软雅黑" w:cs="微软雅黑" w:hint="eastAsia"/>
          <w:color w:val="000000"/>
          <w:kern w:val="0"/>
          <w:sz w:val="24"/>
          <w:szCs w:val="24"/>
          <w:lang w:val="en-US" w:eastAsia="zh-CN" w:bidi="ar"/>
        </w:rPr>
        <w:t>日开工（若非实际开工日期，则以甲方书面通知为准），竣工日期：</w:t>
      </w:r>
      <w:r>
        <w:rPr>
          <w:rFonts w:ascii="微软雅黑" w:eastAsia="微软雅黑" w:hAnsi="微软雅黑" w:cs="微软雅黑" w:hint="eastAsia"/>
          <w:color w:val="000000"/>
          <w:kern w:val="0"/>
          <w:sz w:val="24"/>
          <w:szCs w:val="24"/>
          <w:u w:val="single"/>
          <w:lang w:val="en-US" w:eastAsia="zh-CN" w:bidi="ar"/>
        </w:rPr>
        <w:t xml:space="preserve">    </w:t>
      </w:r>
      <w:r>
        <w:rPr>
          <w:rFonts w:ascii="微软雅黑" w:eastAsia="微软雅黑" w:hAnsi="微软雅黑" w:cs="微软雅黑" w:hint="eastAsia"/>
          <w:color w:val="000000"/>
          <w:kern w:val="0"/>
          <w:sz w:val="24"/>
          <w:szCs w:val="24"/>
          <w:lang w:val="en-US" w:eastAsia="zh-CN" w:bidi="ar"/>
        </w:rPr>
        <w:t>年</w:t>
      </w:r>
      <w:r>
        <w:rPr>
          <w:rFonts w:ascii="微软雅黑" w:eastAsia="微软雅黑" w:hAnsi="微软雅黑" w:cs="微软雅黑" w:hint="eastAsia"/>
          <w:color w:val="000000"/>
          <w:kern w:val="0"/>
          <w:sz w:val="24"/>
          <w:szCs w:val="24"/>
          <w:u w:val="single"/>
          <w:lang w:val="en-US" w:eastAsia="zh-CN" w:bidi="ar"/>
        </w:rPr>
        <w:t xml:space="preserve">    </w:t>
      </w:r>
      <w:r>
        <w:rPr>
          <w:rFonts w:ascii="微软雅黑" w:eastAsia="微软雅黑" w:hAnsi="微软雅黑" w:cs="微软雅黑" w:hint="eastAsia"/>
          <w:color w:val="000000"/>
          <w:kern w:val="0"/>
          <w:sz w:val="24"/>
          <w:szCs w:val="24"/>
          <w:lang w:val="en-US" w:eastAsia="zh-CN" w:bidi="ar"/>
        </w:rPr>
        <w:t>月</w:t>
      </w:r>
      <w:r>
        <w:rPr>
          <w:rFonts w:ascii="微软雅黑" w:eastAsia="微软雅黑" w:hAnsi="微软雅黑" w:cs="微软雅黑" w:hint="eastAsia"/>
          <w:color w:val="000000"/>
          <w:kern w:val="0"/>
          <w:sz w:val="24"/>
          <w:szCs w:val="24"/>
          <w:u w:val="single"/>
          <w:lang w:val="en-US" w:eastAsia="zh-CN" w:bidi="ar"/>
        </w:rPr>
        <w:t xml:space="preserve">    </w:t>
      </w:r>
      <w:r>
        <w:rPr>
          <w:rFonts w:ascii="微软雅黑" w:eastAsia="微软雅黑" w:hAnsi="微软雅黑" w:cs="微软雅黑" w:hint="eastAsia"/>
          <w:color w:val="000000"/>
          <w:kern w:val="0"/>
          <w:sz w:val="24"/>
          <w:szCs w:val="24"/>
          <w:lang w:val="en-US" w:eastAsia="zh-CN" w:bidi="ar"/>
        </w:rPr>
        <w:t>日竣工，总工期：</w:t>
      </w:r>
      <w:r>
        <w:rPr>
          <w:rFonts w:ascii="微软雅黑" w:eastAsia="微软雅黑" w:hAnsi="微软雅黑" w:cs="微软雅黑" w:hint="eastAsia"/>
          <w:color w:val="000000"/>
          <w:kern w:val="0"/>
          <w:sz w:val="24"/>
          <w:szCs w:val="24"/>
          <w:u w:val="single"/>
          <w:lang w:val="en-US" w:eastAsia="zh-CN" w:bidi="ar"/>
        </w:rPr>
        <w:t xml:space="preserve">   </w:t>
      </w:r>
      <w:r>
        <w:rPr>
          <w:rFonts w:ascii="微软雅黑" w:eastAsia="微软雅黑" w:hAnsi="微软雅黑" w:cs="微软雅黑" w:hint="eastAsia"/>
          <w:color w:val="000000"/>
          <w:kern w:val="0"/>
          <w:sz w:val="24"/>
          <w:szCs w:val="24"/>
          <w:lang w:val="en-US" w:eastAsia="zh-CN" w:bidi="ar"/>
        </w:rPr>
        <w:t xml:space="preserve">日历天；乙方应按照合同约定工期组织施工，确保甲方总工期目标的实现。 </w:t>
      </w:r>
    </w:p>
    <w:p>
      <w:pPr>
        <w:keepNext w:val="0"/>
        <w:keepLines w:val="0"/>
        <w:widowControl/>
        <w:suppressLineNumbers w:val="0"/>
        <w:jc w:val="left"/>
        <w:rPr>
          <w:rFonts w:ascii="微软雅黑" w:eastAsia="微软雅黑" w:hAnsi="微软雅黑" w:cs="微软雅黑" w:hint="eastAsia"/>
          <w:sz w:val="24"/>
          <w:szCs w:val="24"/>
        </w:rPr>
      </w:pPr>
      <w:r>
        <w:rPr>
          <w:rFonts w:ascii="微软雅黑" w:eastAsia="微软雅黑" w:hAnsi="微软雅黑" w:cs="微软雅黑" w:hint="eastAsia"/>
          <w:color w:val="000000"/>
          <w:kern w:val="0"/>
          <w:sz w:val="24"/>
          <w:szCs w:val="24"/>
          <w:lang w:val="en-US" w:eastAsia="zh-CN" w:bidi="ar"/>
        </w:rPr>
        <w:t xml:space="preserve">2、阶段性工期目标：以甲方阶段施工计划为准，乙方必须服从。 </w:t>
      </w:r>
    </w:p>
    <w:p>
      <w:pPr>
        <w:keepNext w:val="0"/>
        <w:keepLines w:val="0"/>
        <w:widowControl/>
        <w:suppressLineNumbers w:val="0"/>
        <w:jc w:val="left"/>
        <w:rPr>
          <w:rFonts w:ascii="微软雅黑" w:eastAsia="微软雅黑" w:hAnsi="微软雅黑" w:cs="微软雅黑" w:hint="eastAsia"/>
          <w:color w:val="000000"/>
          <w:kern w:val="0"/>
          <w:sz w:val="24"/>
          <w:szCs w:val="24"/>
          <w:lang w:bidi="ar"/>
        </w:rPr>
      </w:pPr>
      <w:r>
        <w:rPr>
          <w:rFonts w:ascii="微软雅黑" w:eastAsia="微软雅黑" w:hAnsi="微软雅黑" w:cs="微软雅黑" w:hint="eastAsia"/>
          <w:color w:val="000000"/>
          <w:kern w:val="0"/>
          <w:sz w:val="24"/>
          <w:szCs w:val="24"/>
          <w:lang w:val="en-US" w:eastAsia="zh-CN" w:bidi="ar"/>
        </w:rPr>
        <w:t>3、乙方必须服配备足够的人员、设备、物资、资金以保证甲方施工计划的实现；因乙方设备、资金、人员、管理、物资等不足的原因造成进度计划滞后的，也不按甲方的施工要求调整力量的，甲方将追究乙方违约责任。</w:t>
      </w:r>
    </w:p>
    <w:p>
      <w:pPr>
        <w:keepNext w:val="0"/>
        <w:keepLines w:val="0"/>
        <w:widowControl/>
        <w:suppressLineNumbers w:val="0"/>
        <w:jc w:val="left"/>
        <w:rPr>
          <w:rFonts w:ascii="微软雅黑" w:eastAsia="微软雅黑" w:hAnsi="微软雅黑" w:cs="微软雅黑" w:hint="eastAsia"/>
          <w:sz w:val="24"/>
          <w:szCs w:val="24"/>
        </w:rPr>
      </w:pPr>
      <w:r>
        <w:rPr>
          <w:rFonts w:ascii="微软雅黑" w:eastAsia="微软雅黑" w:hAnsi="微软雅黑" w:cs="微软雅黑" w:hint="eastAsia"/>
          <w:color w:val="000000"/>
          <w:kern w:val="0"/>
          <w:sz w:val="24"/>
          <w:szCs w:val="24"/>
          <w:lang w:val="en-US" w:eastAsia="zh-CN" w:bidi="ar"/>
        </w:rPr>
        <w:t xml:space="preserve">4、如遇下列情形，经甲、乙双方工地代表签字，甲方项目经理部认可后，工期相应调整，乙方不得因此提出索赔：A：因不可抗力导致工期延误；B：因建设单位或甲方原因无法正常施工或调整工期；C：若不具备开工条件；D：其他非 </w:t>
      </w:r>
    </w:p>
    <w:p>
      <w:pPr>
        <w:keepNext w:val="0"/>
        <w:keepLines w:val="0"/>
        <w:widowControl/>
        <w:suppressLineNumbers w:val="0"/>
        <w:jc w:val="left"/>
        <w:rPr>
          <w:rFonts w:ascii="微软雅黑" w:eastAsia="微软雅黑" w:hAnsi="微软雅黑" w:cs="微软雅黑" w:hint="eastAsia"/>
          <w:sz w:val="24"/>
          <w:szCs w:val="24"/>
        </w:rPr>
        <w:sectPr>
          <w:footerReference w:type="default" r:id="rId8"/>
          <w:type w:val="nextPage"/>
          <w:pgSz w:w="11906" w:h="16838"/>
          <w:pgMar w:top="1440" w:right="1800" w:bottom="1440" w:left="1800" w:header="851" w:footer="992" w:gutter="0"/>
          <w:pgNumType w:start="22"/>
          <w:cols w:num="1" w:space="425"/>
          <w:titlePg w:val="0"/>
          <w:docGrid w:linePitch="312" w:charSpace="0"/>
        </w:sectPr>
      </w:pPr>
      <w:r>
        <w:rPr>
          <w:rFonts w:ascii="微软雅黑" w:eastAsia="微软雅黑" w:hAnsi="微软雅黑" w:cs="微软雅黑" w:hint="eastAsia"/>
          <w:color w:val="000000"/>
          <w:kern w:val="0"/>
          <w:sz w:val="24"/>
          <w:szCs w:val="24"/>
          <w:lang w:val="en-US" w:eastAsia="zh-CN" w:bidi="ar"/>
        </w:rPr>
        <w:t xml:space="preserve">乙方原因造成的工期延误。 </w:t>
      </w:r>
    </w:p>
    <w:p>
      <w:pPr>
        <w:keepNext w:val="0"/>
        <w:keepLines w:val="0"/>
        <w:widowControl/>
        <w:suppressLineNumbers w:val="0"/>
        <w:jc w:val="left"/>
        <w:rPr>
          <w:rFonts w:ascii="微软雅黑" w:eastAsia="微软雅黑" w:hAnsi="微软雅黑" w:cs="微软雅黑" w:hint="eastAsia"/>
          <w:sz w:val="24"/>
          <w:szCs w:val="24"/>
        </w:rPr>
      </w:pPr>
      <w:r>
        <w:rPr>
          <w:rFonts w:ascii="微软雅黑" w:eastAsia="微软雅黑" w:hAnsi="微软雅黑" w:cs="微软雅黑" w:hint="eastAsia"/>
          <w:color w:val="000000"/>
          <w:kern w:val="0"/>
          <w:sz w:val="24"/>
          <w:szCs w:val="24"/>
          <w:lang w:val="en-US" w:eastAsia="zh-CN" w:bidi="ar"/>
        </w:rPr>
        <w:t xml:space="preserve">5、乙方应在收到图纸 5 天内，根据合同要求和分阶段工期要求及现场的实际情况编制工程总体施工计划，并报甲方审核。 </w:t>
      </w:r>
    </w:p>
    <w:p>
      <w:pPr>
        <w:keepNext w:val="0"/>
        <w:keepLines w:val="0"/>
        <w:widowControl/>
        <w:suppressLineNumbers w:val="0"/>
        <w:jc w:val="left"/>
        <w:rPr>
          <w:rFonts w:ascii="微软雅黑" w:eastAsia="微软雅黑" w:hAnsi="微软雅黑" w:cs="微软雅黑" w:hint="eastAsia"/>
          <w:sz w:val="24"/>
          <w:szCs w:val="24"/>
        </w:rPr>
      </w:pPr>
      <w:r>
        <w:rPr>
          <w:rFonts w:ascii="微软雅黑" w:eastAsia="微软雅黑" w:hAnsi="微软雅黑" w:cs="微软雅黑" w:hint="eastAsia"/>
          <w:color w:val="000000"/>
          <w:kern w:val="0"/>
          <w:sz w:val="24"/>
          <w:szCs w:val="24"/>
          <w:lang w:val="en-US" w:eastAsia="zh-CN" w:bidi="ar"/>
        </w:rPr>
        <w:t>6、乙方在接到甲方下达的年度、季度施工计划 5 天内，向甲方以书面形式提出细化的施工进度计划和保证措施，并于每月 20 日前提出下一个月的工程进度计划。</w:t>
      </w:r>
    </w:p>
    <w:p>
      <w:pPr>
        <w:keepNext w:val="0"/>
        <w:keepLines w:val="0"/>
        <w:widowControl/>
        <w:suppressLineNumbers w:val="0"/>
        <w:jc w:val="left"/>
        <w:rPr>
          <w:rFonts w:ascii="微软雅黑" w:eastAsia="微软雅黑" w:hAnsi="微软雅黑" w:cs="微软雅黑" w:hint="eastAsia"/>
          <w:sz w:val="24"/>
          <w:szCs w:val="24"/>
        </w:rPr>
      </w:pPr>
      <w:r>
        <w:rPr>
          <w:rFonts w:ascii="微软雅黑" w:eastAsia="微软雅黑" w:hAnsi="微软雅黑" w:cs="微软雅黑" w:hint="eastAsia"/>
          <w:color w:val="000000"/>
          <w:kern w:val="0"/>
          <w:sz w:val="24"/>
          <w:szCs w:val="24"/>
          <w:lang w:val="en-US" w:eastAsia="zh-CN" w:bidi="ar"/>
        </w:rPr>
        <w:t>7、乙方必须按甲方下达的施工计划完成任务。</w:t>
      </w:r>
    </w:p>
    <w:p>
      <w:pPr>
        <w:keepNext w:val="0"/>
        <w:keepLines w:val="0"/>
        <w:widowControl/>
        <w:suppressLineNumbers w:val="0"/>
        <w:jc w:val="left"/>
        <w:rPr>
          <w:rFonts w:ascii="微软雅黑" w:eastAsia="微软雅黑" w:hAnsi="微软雅黑" w:cs="微软雅黑" w:hint="eastAsia"/>
          <w:sz w:val="24"/>
          <w:szCs w:val="24"/>
        </w:rPr>
      </w:pPr>
      <w:r>
        <w:rPr>
          <w:rFonts w:ascii="微软雅黑" w:eastAsia="微软雅黑" w:hAnsi="微软雅黑" w:cs="微软雅黑" w:hint="eastAsia"/>
          <w:color w:val="000000"/>
          <w:kern w:val="0"/>
          <w:sz w:val="24"/>
          <w:szCs w:val="24"/>
          <w:lang w:val="en-US" w:eastAsia="zh-CN" w:bidi="ar"/>
        </w:rPr>
        <w:t xml:space="preserve">8、乙方不能按时开工，应在开工日期前 10 天，向甲方提供延期开工理由和要求的书面报告。甲方如不同意延期开工的要求或乙方未在规定的时间内提出延 期开工的要求，竣工日期不予顺延。 </w:t>
      </w:r>
    </w:p>
    <w:p>
      <w:pPr>
        <w:keepNext w:val="0"/>
        <w:keepLines w:val="0"/>
        <w:widowControl/>
        <w:suppressLineNumbers w:val="0"/>
        <w:jc w:val="left"/>
        <w:rPr>
          <w:rFonts w:ascii="微软雅黑" w:eastAsia="微软雅黑" w:hAnsi="微软雅黑" w:cs="微软雅黑" w:hint="eastAsia"/>
          <w:sz w:val="24"/>
          <w:szCs w:val="24"/>
        </w:rPr>
      </w:pPr>
      <w:r>
        <w:rPr>
          <w:rFonts w:ascii="微软雅黑" w:eastAsia="微软雅黑" w:hAnsi="微软雅黑" w:cs="微软雅黑" w:hint="eastAsia"/>
          <w:color w:val="000000"/>
          <w:kern w:val="0"/>
          <w:sz w:val="24"/>
          <w:szCs w:val="24"/>
          <w:lang w:val="en-US" w:eastAsia="zh-CN" w:bidi="ar"/>
        </w:rPr>
        <w:t>9、在必要时，甲方可书面要求乙方暂时停止施工，乙方应按甲方要求停止施工。</w:t>
      </w:r>
    </w:p>
    <w:p>
      <w:pPr>
        <w:keepNext w:val="0"/>
        <w:keepLines w:val="0"/>
        <w:widowControl/>
        <w:suppressLineNumbers w:val="0"/>
        <w:jc w:val="left"/>
        <w:rPr>
          <w:rFonts w:ascii="微软雅黑" w:eastAsia="微软雅黑" w:hAnsi="微软雅黑" w:cs="微软雅黑" w:hint="eastAsia"/>
          <w:sz w:val="24"/>
          <w:szCs w:val="24"/>
        </w:rPr>
      </w:pPr>
      <w:r>
        <w:rPr>
          <w:rFonts w:ascii="微软雅黑" w:eastAsia="微软雅黑" w:hAnsi="微软雅黑" w:cs="微软雅黑" w:hint="eastAsia"/>
          <w:color w:val="000000"/>
          <w:kern w:val="0"/>
          <w:sz w:val="24"/>
          <w:szCs w:val="24"/>
          <w:lang w:val="en-US" w:eastAsia="zh-CN" w:bidi="ar"/>
        </w:rPr>
        <w:t xml:space="preserve">10、甲方不承担乙方任何赶工费用。 </w:t>
      </w:r>
    </w:p>
    <w:p>
      <w:pPr>
        <w:keepNext w:val="0"/>
        <w:keepLines w:val="0"/>
        <w:widowControl/>
        <w:suppressLineNumbers w:val="0"/>
        <w:jc w:val="left"/>
        <w:rPr>
          <w:rFonts w:ascii="微软雅黑" w:eastAsia="微软雅黑" w:hAnsi="微软雅黑" w:cs="微软雅黑" w:hint="eastAsia"/>
          <w:sz w:val="24"/>
          <w:szCs w:val="24"/>
        </w:rPr>
      </w:pPr>
      <w:r>
        <w:rPr>
          <w:rFonts w:ascii="微软雅黑" w:eastAsia="微软雅黑" w:hAnsi="微软雅黑" w:cs="微软雅黑" w:hint="eastAsia"/>
          <w:color w:val="000000"/>
          <w:kern w:val="0"/>
          <w:sz w:val="24"/>
          <w:szCs w:val="24"/>
          <w:lang w:val="en-US" w:eastAsia="zh-CN" w:bidi="ar"/>
        </w:rPr>
        <w:t xml:space="preserve">11、乙方不得以设计变更经济签证尚未确认为由，停止、延误变更部分的施工；如发生，应承担工期延误的违约责任。因乙方原因造成工期延误（包括但不限于乙方以亏损为由要求赔偿未得到满足进行的阻工、停工；乙方要求甲方承担或补偿的非由甲方原因引起的各种事故责任），甲方将追究乙方违约责任。 </w:t>
      </w:r>
    </w:p>
    <w:p>
      <w:pPr>
        <w:keepNext w:val="0"/>
        <w:keepLines w:val="0"/>
        <w:widowControl/>
        <w:suppressLineNumbers w:val="0"/>
        <w:jc w:val="left"/>
        <w:rPr>
          <w:rFonts w:ascii="微软雅黑" w:eastAsia="微软雅黑" w:hAnsi="微软雅黑" w:cs="微软雅黑" w:hint="eastAsia"/>
          <w:sz w:val="24"/>
          <w:szCs w:val="24"/>
        </w:rPr>
      </w:pPr>
      <w:r>
        <w:rPr>
          <w:rFonts w:ascii="微软雅黑" w:eastAsia="微软雅黑" w:hAnsi="微软雅黑" w:cs="微软雅黑" w:hint="eastAsia"/>
          <w:b/>
          <w:color w:val="000000"/>
          <w:kern w:val="0"/>
          <w:sz w:val="24"/>
          <w:szCs w:val="24"/>
          <w:lang w:val="en-US" w:eastAsia="zh-CN" w:bidi="ar"/>
        </w:rPr>
        <w:t xml:space="preserve">第三条 劳务分包工程造价 </w:t>
      </w:r>
    </w:p>
    <w:p>
      <w:pPr>
        <w:keepNext w:val="0"/>
        <w:keepLines w:val="0"/>
        <w:widowControl/>
        <w:suppressLineNumbers w:val="0"/>
        <w:jc w:val="left"/>
        <w:rPr>
          <w:rFonts w:ascii="微软雅黑" w:eastAsia="微软雅黑" w:hAnsi="微软雅黑" w:cs="微软雅黑" w:hint="eastAsia"/>
          <w:b w:val="0"/>
          <w:bCs w:val="0"/>
          <w:color w:val="000000" w:themeColor="text1"/>
          <w:kern w:val="0"/>
          <w:sz w:val="24"/>
          <w:szCs w:val="24"/>
          <w:lang w:bidi="ar"/>
          <w14:textFill>
            <w14:solidFill>
              <w14:schemeClr w14:val="tx1"/>
            </w14:solidFill>
          </w14:textFill>
        </w:rPr>
      </w:pPr>
      <w:r>
        <w:rPr>
          <w:rFonts w:ascii="微软雅黑" w:eastAsia="微软雅黑" w:hAnsi="微软雅黑" w:cs="微软雅黑" w:hint="eastAsia"/>
          <w:b w:val="0"/>
          <w:bCs w:val="0"/>
          <w:color w:val="000000" w:themeColor="text1"/>
          <w:kern w:val="0"/>
          <w:sz w:val="24"/>
          <w:szCs w:val="24"/>
          <w:lang w:val="en-US" w:eastAsia="zh-CN" w:bidi="ar"/>
          <w14:textFill>
            <w14:solidFill>
              <w14:schemeClr w14:val="tx1"/>
            </w14:solidFill>
          </w14:textFill>
        </w:rPr>
        <w:t>1、劳务分包工程造价：固定总价合同，包含（1）、图纸及招标文件要求的砌筑工程、混凝土工程、钢筋工程、金属工程（零星钢结构）、装饰装修工程（楼地面、墙柱面）、吊顶等工程劳务；（2）、包含工程所需的人工、机械、混凝土、钢筋、防水材料、部分板材（阻燃板、密度板、细木工板、防水板、矿棉吸声板、耐火石膏板）、吊顶及龙骨、钢结构、腻子、乳胶漆、防火涂料、相应工程所需的辅材等材料；（3）、不包含工程所需的部分主材，如：地砖、砌块、砖、水泥、砂、石、石材、砂浆、门窗、玻璃、柜体、6厚淡蓝色洁净板、铅板等材料；（4）、报价考虑措施费、安全文明施工费、税金、可能出现的风险因素等。以及</w:t>
      </w:r>
      <w:r>
        <w:rPr>
          <w:rFonts w:ascii="微软雅黑" w:eastAsia="微软雅黑" w:hAnsi="微软雅黑" w:cs="微软雅黑" w:hint="eastAsia"/>
          <w:color w:val="000000"/>
          <w:kern w:val="0"/>
          <w:sz w:val="24"/>
          <w:szCs w:val="24"/>
          <w:lang w:val="en-US" w:eastAsia="zh-CN" w:bidi="ar"/>
        </w:rPr>
        <w:t>施工图、工程量清单范围内的所有劳务、辅材、机械等，合同总价</w:t>
      </w:r>
      <w:r>
        <w:rPr>
          <w:rFonts w:ascii="微软雅黑" w:eastAsia="微软雅黑" w:hAnsi="微软雅黑" w:cs="微软雅黑" w:hint="eastAsia"/>
          <w:b w:val="0"/>
          <w:bCs w:val="0"/>
          <w:color w:val="000000" w:themeColor="text1"/>
          <w:kern w:val="0"/>
          <w:sz w:val="24"/>
          <w:szCs w:val="24"/>
          <w:u w:val="single"/>
          <w:lang w:val="en-US" w:eastAsia="zh-CN" w:bidi="ar"/>
          <w14:textFill>
            <w14:solidFill>
              <w14:schemeClr w14:val="tx1"/>
            </w14:solidFill>
          </w14:textFill>
        </w:rPr>
        <w:t xml:space="preserve">                           </w:t>
      </w:r>
      <w:r>
        <w:rPr>
          <w:rFonts w:ascii="微软雅黑" w:eastAsia="微软雅黑" w:hAnsi="微软雅黑" w:cs="微软雅黑" w:hint="eastAsia"/>
          <w:b w:val="0"/>
          <w:bCs w:val="0"/>
          <w:color w:val="000000" w:themeColor="text1"/>
          <w:kern w:val="0"/>
          <w:sz w:val="24"/>
          <w:szCs w:val="24"/>
          <w:u w:val="none"/>
          <w:lang w:val="en-US" w:eastAsia="zh-CN" w:bidi="ar"/>
          <w14:textFill>
            <w14:solidFill>
              <w14:schemeClr w14:val="tx1"/>
            </w14:solidFill>
          </w14:textFill>
        </w:rPr>
        <w:t xml:space="preserve">（大写）： </w:t>
      </w:r>
      <w:r>
        <w:rPr>
          <w:rFonts w:ascii="微软雅黑" w:eastAsia="微软雅黑" w:hAnsi="微软雅黑" w:cs="微软雅黑" w:hint="eastAsia"/>
          <w:b w:val="0"/>
          <w:bCs w:val="0"/>
          <w:color w:val="000000" w:themeColor="text1"/>
          <w:kern w:val="0"/>
          <w:sz w:val="24"/>
          <w:szCs w:val="24"/>
          <w:u w:val="single"/>
          <w:lang w:val="en-US" w:eastAsia="zh-CN" w:bidi="ar"/>
          <w14:textFill>
            <w14:solidFill>
              <w14:schemeClr w14:val="tx1"/>
            </w14:solidFill>
          </w14:textFill>
        </w:rPr>
        <w:t xml:space="preserve">                </w:t>
      </w:r>
      <w:r>
        <w:rPr>
          <w:rFonts w:ascii="微软雅黑" w:eastAsia="微软雅黑" w:hAnsi="微软雅黑" w:cs="微软雅黑" w:hint="eastAsia"/>
          <w:b w:val="0"/>
          <w:bCs w:val="0"/>
          <w:color w:val="000000" w:themeColor="text1"/>
          <w:kern w:val="0"/>
          <w:sz w:val="24"/>
          <w:szCs w:val="24"/>
          <w:u w:val="none"/>
          <w:lang w:val="en-US" w:eastAsia="zh-CN" w:bidi="ar"/>
          <w14:textFill>
            <w14:solidFill>
              <w14:schemeClr w14:val="tx1"/>
            </w14:solidFill>
          </w14:textFill>
        </w:rPr>
        <w:t>元（小写）：</w:t>
      </w:r>
      <w:r>
        <w:rPr>
          <w:rFonts w:ascii="微软雅黑" w:eastAsia="微软雅黑" w:hAnsi="微软雅黑" w:cs="微软雅黑" w:hint="eastAsia"/>
          <w:b w:val="0"/>
          <w:bCs w:val="0"/>
          <w:color w:val="000000" w:themeColor="text1"/>
          <w:kern w:val="0"/>
          <w:sz w:val="24"/>
          <w:szCs w:val="24"/>
          <w:u w:val="single"/>
          <w:lang w:val="en-US" w:eastAsia="zh-CN" w:bidi="ar"/>
          <w14:textFill>
            <w14:solidFill>
              <w14:schemeClr w14:val="tx1"/>
            </w14:solidFill>
          </w14:textFill>
        </w:rPr>
        <w:t xml:space="preserve">                 </w:t>
      </w:r>
      <w:r>
        <w:rPr>
          <w:rFonts w:ascii="微软雅黑" w:eastAsia="微软雅黑" w:hAnsi="微软雅黑" w:cs="微软雅黑" w:hint="eastAsia"/>
          <w:b w:val="0"/>
          <w:bCs w:val="0"/>
          <w:color w:val="000000" w:themeColor="text1"/>
          <w:kern w:val="0"/>
          <w:sz w:val="24"/>
          <w:szCs w:val="24"/>
          <w:u w:val="none"/>
          <w:lang w:val="en-US" w:eastAsia="zh-CN" w:bidi="ar"/>
          <w14:textFill>
            <w14:solidFill>
              <w14:schemeClr w14:val="tx1"/>
            </w14:solidFill>
          </w14:textFill>
        </w:rPr>
        <w:t>元</w:t>
      </w:r>
      <w:r>
        <w:rPr>
          <w:rFonts w:ascii="微软雅黑" w:eastAsia="微软雅黑" w:hAnsi="微软雅黑" w:cs="微软雅黑" w:hint="eastAsia"/>
          <w:b w:val="0"/>
          <w:bCs w:val="0"/>
          <w:color w:val="000000" w:themeColor="text1"/>
          <w:kern w:val="0"/>
          <w:sz w:val="24"/>
          <w:szCs w:val="24"/>
          <w:lang w:val="en-US" w:eastAsia="zh-CN" w:bidi="ar"/>
          <w14:textFill>
            <w14:solidFill>
              <w14:schemeClr w14:val="tx1"/>
            </w14:solidFill>
          </w14:textFill>
        </w:rPr>
        <w:t xml:space="preserve"> 。（工程变更另行结算）乙方需提供3 %增值税专用发票。（备注：除主材外，其余都是辅材。主材详见清单。）</w:t>
      </w:r>
    </w:p>
    <w:p>
      <w:pPr>
        <w:keepNext w:val="0"/>
        <w:keepLines w:val="0"/>
        <w:widowControl/>
        <w:suppressLineNumbers w:val="0"/>
        <w:jc w:val="left"/>
        <w:rPr>
          <w:rFonts w:ascii="微软雅黑" w:eastAsia="微软雅黑" w:hAnsi="微软雅黑" w:cs="微软雅黑" w:hint="eastAsia"/>
          <w:sz w:val="24"/>
          <w:szCs w:val="24"/>
        </w:rPr>
      </w:pPr>
      <w:r>
        <w:rPr>
          <w:rFonts w:ascii="微软雅黑" w:eastAsia="微软雅黑" w:hAnsi="微软雅黑" w:cs="微软雅黑" w:hint="eastAsia"/>
          <w:color w:val="000000"/>
          <w:kern w:val="0"/>
          <w:sz w:val="24"/>
          <w:szCs w:val="24"/>
          <w:lang w:val="en-US" w:eastAsia="zh-CN" w:bidi="ar"/>
        </w:rPr>
        <w:t xml:space="preserve">2、本合同为不同工作成果的计件单价合同。承包单价包含为实施和完成劳务分包工程所有工作项目的单价，工程数量增减不调整合同单价，单价一次性包死，甲乙双方不得以任何理由要求调整，作为甲、乙双方最终的唯一结算单价，包括但不限于以下内容： </w:t>
      </w:r>
      <w:r>
        <w:rPr>
          <w:rFonts w:ascii="微软雅黑" w:eastAsia="微软雅黑" w:hAnsi="微软雅黑" w:cs="微软雅黑" w:hint="eastAsia"/>
          <w:sz w:val="24"/>
          <w:szCs w:val="24"/>
        </w:rPr>
        <w:br/>
      </w:r>
      <w:r>
        <w:rPr>
          <w:rFonts w:ascii="微软雅黑" w:eastAsia="微软雅黑" w:hAnsi="微软雅黑" w:cs="微软雅黑" w:hint="eastAsia"/>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https://d.book118.com/936113000214010103</w:t>
        </w:r>
      </w:hyperlink>
    </w:p>
    <w:p>
      <w:pPr>
        <w:keepNext w:val="0"/>
        <w:keepLines w:val="0"/>
        <w:widowControl/>
        <w:suppressLineNumbers w:val="0"/>
        <w:jc w:val="left"/>
        <w:rPr>
          <w:rFonts w:ascii="微软雅黑" w:eastAsia="微软雅黑" w:hAnsi="微软雅黑" w:cs="微软雅黑" w:hint="eastAsia"/>
          <w:sz w:val="24"/>
          <w:szCs w:val="24"/>
        </w:rPr>
      </w:pPr>
    </w:p>
    <w:sectPr>
      <w:footerReference w:type="default" r:id="rId10"/>
      <w:type w:val="nextPage"/>
      <w:pgSz w:w="11906" w:h="16838"/>
      <w:pgMar w:top="1440" w:right="1800" w:bottom="1440" w:left="1800" w:header="851" w:footer="992" w:gutter="0"/>
      <w:pgNumType w:start="23"/>
      <w:cols w:num="1" w:space="425"/>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Wingdings 2">
    <w:altName w:val="Wingdings"/>
    <w:panose1 w:val="05020102010507070707"/>
    <w:charset w:val="00"/>
    <w:family w:val="auto"/>
    <w:pitch w:val="default"/>
    <w:sig w:usb0="00000000" w:usb1="00000000" w:usb2="00000000" w:usb3="00000000" w:csb0="800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78485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3816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23</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FA3307C"/>
    <w:multiLevelType w:val="singleLevel"/>
    <w:tmpl w:val="4FA3307C"/>
    <w:lvl w:ilvl="0">
      <w:start w:val="4"/>
      <w:numFmt w:val="chineseCounting"/>
      <w:suff w:val="space"/>
      <w:lvlText w:val="第%1章"/>
      <w:lvlJc w:val="left"/>
      <w:rPr>
        <w:rFonts w:hint="eastAsia"/>
      </w:rPr>
    </w:lvl>
  </w:abstractNum>
  <w:abstractNum w:abstractNumId="1">
    <w:nsid w:val="55126CAB"/>
    <w:multiLevelType w:val="singleLevel"/>
    <w:tmpl w:val="55126CAB"/>
    <w:lvl w:ilvl="0">
      <w:start w:val="1"/>
      <w:numFmt w:val="decimal"/>
      <w:suff w:val="nothing"/>
      <w:lvlText w:val="%1．"/>
      <w:lvlJc w:val="left"/>
      <w:pPr>
        <w:tabs>
          <w:tab w:val="left" w:pos="0"/>
        </w:tabs>
        <w:ind w:left="0" w:firstLine="0"/>
      </w:pPr>
      <w:rPr>
        <w:rFonts w:cs="Times New Roman"/>
      </w:rPr>
    </w:lvl>
  </w:abstractNum>
  <w:abstractNum w:abstractNumId="2">
    <w:nsid w:val="5555BC9A"/>
    <w:multiLevelType w:val="singleLevel"/>
    <w:tmpl w:val="5555BC9A"/>
    <w:lvl w:ilvl="0">
      <w:start w:val="1"/>
      <w:numFmt w:val="decimal"/>
      <w:suff w:val="nothing"/>
      <w:lvlText w:val="%1、"/>
      <w:lvlJc w:val="left"/>
    </w:lvl>
  </w:abstractNum>
  <w:num w:numId="1">
    <w:abstractNumId w:val="2"/>
  </w:num>
  <w:num w:numId="2">
    <w:abstractNumId w:val="0"/>
  </w:num>
  <w:num w:numId="3">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47A"/>
    <w:rsid w:val="00005348"/>
    <w:rsid w:val="000068BA"/>
    <w:rsid w:val="000155F8"/>
    <w:rsid w:val="00023C29"/>
    <w:rsid w:val="0002408D"/>
    <w:rsid w:val="00032273"/>
    <w:rsid w:val="000416E4"/>
    <w:rsid w:val="000802EF"/>
    <w:rsid w:val="00095312"/>
    <w:rsid w:val="000B006A"/>
    <w:rsid w:val="000D7A7A"/>
    <w:rsid w:val="000F409D"/>
    <w:rsid w:val="000F794E"/>
    <w:rsid w:val="001150B2"/>
    <w:rsid w:val="00117EAE"/>
    <w:rsid w:val="00137180"/>
    <w:rsid w:val="00142C78"/>
    <w:rsid w:val="0014621F"/>
    <w:rsid w:val="00155AEB"/>
    <w:rsid w:val="001715DE"/>
    <w:rsid w:val="00182A9D"/>
    <w:rsid w:val="00183E5E"/>
    <w:rsid w:val="001A5ED4"/>
    <w:rsid w:val="001C5C14"/>
    <w:rsid w:val="001D7C6D"/>
    <w:rsid w:val="00227586"/>
    <w:rsid w:val="00235021"/>
    <w:rsid w:val="002B4B1E"/>
    <w:rsid w:val="002B78C2"/>
    <w:rsid w:val="002C2BF6"/>
    <w:rsid w:val="002D33B1"/>
    <w:rsid w:val="002F45B4"/>
    <w:rsid w:val="003250A6"/>
    <w:rsid w:val="00332E09"/>
    <w:rsid w:val="00334AF9"/>
    <w:rsid w:val="003459A1"/>
    <w:rsid w:val="00362DFC"/>
    <w:rsid w:val="003A1819"/>
    <w:rsid w:val="003A2148"/>
    <w:rsid w:val="003B19D6"/>
    <w:rsid w:val="003C215C"/>
    <w:rsid w:val="003E26B9"/>
    <w:rsid w:val="00411B51"/>
    <w:rsid w:val="00425AC7"/>
    <w:rsid w:val="00433025"/>
    <w:rsid w:val="00444053"/>
    <w:rsid w:val="00444AF0"/>
    <w:rsid w:val="00447F55"/>
    <w:rsid w:val="004604A1"/>
    <w:rsid w:val="004723C6"/>
    <w:rsid w:val="00474E4D"/>
    <w:rsid w:val="00497D10"/>
    <w:rsid w:val="004A1997"/>
    <w:rsid w:val="004B4409"/>
    <w:rsid w:val="004B751E"/>
    <w:rsid w:val="004B777B"/>
    <w:rsid w:val="004B7C13"/>
    <w:rsid w:val="004C567B"/>
    <w:rsid w:val="004D3F88"/>
    <w:rsid w:val="004F4908"/>
    <w:rsid w:val="00515781"/>
    <w:rsid w:val="005349DA"/>
    <w:rsid w:val="00556CBD"/>
    <w:rsid w:val="00573314"/>
    <w:rsid w:val="0057714C"/>
    <w:rsid w:val="005951BC"/>
    <w:rsid w:val="005A13A7"/>
    <w:rsid w:val="005A305C"/>
    <w:rsid w:val="005B20E5"/>
    <w:rsid w:val="005E5513"/>
    <w:rsid w:val="005F7BB5"/>
    <w:rsid w:val="00672964"/>
    <w:rsid w:val="0067777E"/>
    <w:rsid w:val="00681FE4"/>
    <w:rsid w:val="006B2DDB"/>
    <w:rsid w:val="006D047A"/>
    <w:rsid w:val="006E4726"/>
    <w:rsid w:val="00706714"/>
    <w:rsid w:val="00715C4E"/>
    <w:rsid w:val="0072511E"/>
    <w:rsid w:val="007428C1"/>
    <w:rsid w:val="00746F92"/>
    <w:rsid w:val="00761383"/>
    <w:rsid w:val="00767F75"/>
    <w:rsid w:val="00785D97"/>
    <w:rsid w:val="0079767C"/>
    <w:rsid w:val="007A5BC7"/>
    <w:rsid w:val="007B44EA"/>
    <w:rsid w:val="007D7950"/>
    <w:rsid w:val="00800BAE"/>
    <w:rsid w:val="0081613A"/>
    <w:rsid w:val="00831594"/>
    <w:rsid w:val="0084601F"/>
    <w:rsid w:val="00883340"/>
    <w:rsid w:val="00883DBE"/>
    <w:rsid w:val="008950A8"/>
    <w:rsid w:val="008D607A"/>
    <w:rsid w:val="008E2BB1"/>
    <w:rsid w:val="008F1ABD"/>
    <w:rsid w:val="008F4BE3"/>
    <w:rsid w:val="008F5CA6"/>
    <w:rsid w:val="00904136"/>
    <w:rsid w:val="009152D4"/>
    <w:rsid w:val="00944129"/>
    <w:rsid w:val="0098582B"/>
    <w:rsid w:val="00991E09"/>
    <w:rsid w:val="009A50CB"/>
    <w:rsid w:val="009B6182"/>
    <w:rsid w:val="009C3189"/>
    <w:rsid w:val="00A01E9A"/>
    <w:rsid w:val="00A212F7"/>
    <w:rsid w:val="00A23D0E"/>
    <w:rsid w:val="00A71E29"/>
    <w:rsid w:val="00AD3879"/>
    <w:rsid w:val="00AF5049"/>
    <w:rsid w:val="00B215ED"/>
    <w:rsid w:val="00B454FF"/>
    <w:rsid w:val="00B462D3"/>
    <w:rsid w:val="00B50AE4"/>
    <w:rsid w:val="00B54E4F"/>
    <w:rsid w:val="00B71EBA"/>
    <w:rsid w:val="00B922DF"/>
    <w:rsid w:val="00BA0188"/>
    <w:rsid w:val="00BA5E37"/>
    <w:rsid w:val="00BC2A31"/>
    <w:rsid w:val="00BC7933"/>
    <w:rsid w:val="00BD3192"/>
    <w:rsid w:val="00BF41ED"/>
    <w:rsid w:val="00C13479"/>
    <w:rsid w:val="00C56A9F"/>
    <w:rsid w:val="00C570FC"/>
    <w:rsid w:val="00C719D2"/>
    <w:rsid w:val="00C74FFB"/>
    <w:rsid w:val="00CB40FF"/>
    <w:rsid w:val="00D161C8"/>
    <w:rsid w:val="00D411AD"/>
    <w:rsid w:val="00DA4BC8"/>
    <w:rsid w:val="00DA64EB"/>
    <w:rsid w:val="00DB2363"/>
    <w:rsid w:val="00DB5093"/>
    <w:rsid w:val="00DB7D22"/>
    <w:rsid w:val="00DD30FD"/>
    <w:rsid w:val="00DE0FB8"/>
    <w:rsid w:val="00E310AE"/>
    <w:rsid w:val="00E74F2D"/>
    <w:rsid w:val="00ED58D6"/>
    <w:rsid w:val="00F31197"/>
    <w:rsid w:val="00F32946"/>
    <w:rsid w:val="00F33E09"/>
    <w:rsid w:val="00F4753A"/>
    <w:rsid w:val="00F51960"/>
    <w:rsid w:val="00F802B8"/>
    <w:rsid w:val="00FB0F8F"/>
    <w:rsid w:val="00FC5373"/>
    <w:rsid w:val="00FD4664"/>
    <w:rsid w:val="00FD69F4"/>
    <w:rsid w:val="00FD6F58"/>
    <w:rsid w:val="00FF4EEC"/>
    <w:rsid w:val="01894785"/>
    <w:rsid w:val="01BF0F9B"/>
    <w:rsid w:val="01C378F5"/>
    <w:rsid w:val="024A3CAC"/>
    <w:rsid w:val="035107A6"/>
    <w:rsid w:val="04FA58F8"/>
    <w:rsid w:val="06636B26"/>
    <w:rsid w:val="0B4348B7"/>
    <w:rsid w:val="0D14726E"/>
    <w:rsid w:val="0ECF4488"/>
    <w:rsid w:val="10BA3C9E"/>
    <w:rsid w:val="135C3EBB"/>
    <w:rsid w:val="13784EA3"/>
    <w:rsid w:val="14733F9D"/>
    <w:rsid w:val="178F2127"/>
    <w:rsid w:val="17CF2CA2"/>
    <w:rsid w:val="18515FE8"/>
    <w:rsid w:val="18963A77"/>
    <w:rsid w:val="194D4937"/>
    <w:rsid w:val="195E05A6"/>
    <w:rsid w:val="19853F2F"/>
    <w:rsid w:val="19A21B92"/>
    <w:rsid w:val="1B961439"/>
    <w:rsid w:val="1CD76F03"/>
    <w:rsid w:val="1F2017D2"/>
    <w:rsid w:val="1F4E3335"/>
    <w:rsid w:val="1FDC57E3"/>
    <w:rsid w:val="209B2B5A"/>
    <w:rsid w:val="20D9338A"/>
    <w:rsid w:val="21093CBF"/>
    <w:rsid w:val="21755C2D"/>
    <w:rsid w:val="222E31ED"/>
    <w:rsid w:val="2432177F"/>
    <w:rsid w:val="262B7CEC"/>
    <w:rsid w:val="271C50FC"/>
    <w:rsid w:val="2B255B99"/>
    <w:rsid w:val="2F336759"/>
    <w:rsid w:val="30324F9C"/>
    <w:rsid w:val="309A623B"/>
    <w:rsid w:val="31AE14FF"/>
    <w:rsid w:val="32972450"/>
    <w:rsid w:val="32BD49D9"/>
    <w:rsid w:val="33581527"/>
    <w:rsid w:val="349E1D31"/>
    <w:rsid w:val="34F27A5D"/>
    <w:rsid w:val="34F54EA0"/>
    <w:rsid w:val="34FC05CE"/>
    <w:rsid w:val="35125F0E"/>
    <w:rsid w:val="358E240A"/>
    <w:rsid w:val="35FA0434"/>
    <w:rsid w:val="371C4690"/>
    <w:rsid w:val="372B6F19"/>
    <w:rsid w:val="385878BD"/>
    <w:rsid w:val="38F55823"/>
    <w:rsid w:val="39257A57"/>
    <w:rsid w:val="3B5D62A3"/>
    <w:rsid w:val="3C373D13"/>
    <w:rsid w:val="3CFF5348"/>
    <w:rsid w:val="3EA3753C"/>
    <w:rsid w:val="3EDE20F5"/>
    <w:rsid w:val="3F7E18C4"/>
    <w:rsid w:val="43F94CFA"/>
    <w:rsid w:val="44E361D6"/>
    <w:rsid w:val="456A0EBE"/>
    <w:rsid w:val="45883131"/>
    <w:rsid w:val="45C21642"/>
    <w:rsid w:val="47F90C7B"/>
    <w:rsid w:val="493C33C4"/>
    <w:rsid w:val="49875296"/>
    <w:rsid w:val="49B76D0F"/>
    <w:rsid w:val="4B7C315C"/>
    <w:rsid w:val="4E115985"/>
    <w:rsid w:val="4E7E1A15"/>
    <w:rsid w:val="50523ED2"/>
    <w:rsid w:val="51164AD4"/>
    <w:rsid w:val="51D32DF1"/>
    <w:rsid w:val="52871FC1"/>
    <w:rsid w:val="53DE0E25"/>
    <w:rsid w:val="550718DB"/>
    <w:rsid w:val="55694118"/>
    <w:rsid w:val="55D25648"/>
    <w:rsid w:val="55FB7373"/>
    <w:rsid w:val="562C3FF9"/>
    <w:rsid w:val="57770C7B"/>
    <w:rsid w:val="587C7B98"/>
    <w:rsid w:val="59043799"/>
    <w:rsid w:val="5918488D"/>
    <w:rsid w:val="59AC374E"/>
    <w:rsid w:val="5A101936"/>
    <w:rsid w:val="5BEC4266"/>
    <w:rsid w:val="5DE111CB"/>
    <w:rsid w:val="5E0F1C0D"/>
    <w:rsid w:val="5E1D04BF"/>
    <w:rsid w:val="5EC5591C"/>
    <w:rsid w:val="602B6968"/>
    <w:rsid w:val="603330CC"/>
    <w:rsid w:val="614E5C65"/>
    <w:rsid w:val="615E69C1"/>
    <w:rsid w:val="637F7835"/>
    <w:rsid w:val="64466F13"/>
    <w:rsid w:val="64AE6112"/>
    <w:rsid w:val="655A3744"/>
    <w:rsid w:val="65633F66"/>
    <w:rsid w:val="66A17AC3"/>
    <w:rsid w:val="678A4CEE"/>
    <w:rsid w:val="67E43E1A"/>
    <w:rsid w:val="68527BAC"/>
    <w:rsid w:val="68B73708"/>
    <w:rsid w:val="6ADE449B"/>
    <w:rsid w:val="6B3C07F7"/>
    <w:rsid w:val="6C533430"/>
    <w:rsid w:val="6D180240"/>
    <w:rsid w:val="6E164E87"/>
    <w:rsid w:val="7141612A"/>
    <w:rsid w:val="721B766C"/>
    <w:rsid w:val="73952B5F"/>
    <w:rsid w:val="74427380"/>
    <w:rsid w:val="75800EF9"/>
    <w:rsid w:val="75A10E57"/>
    <w:rsid w:val="77AD23CC"/>
    <w:rsid w:val="77BC38A7"/>
    <w:rsid w:val="781E6C6A"/>
    <w:rsid w:val="783A0968"/>
    <w:rsid w:val="784125A4"/>
    <w:rsid w:val="79187925"/>
    <w:rsid w:val="7CD94AAE"/>
    <w:rsid w:val="7E877080"/>
  </w:rsids>
  <w:docVars>
    <w:docVar w:name="commondata" w:val="eyJoZGlkIjoiNTZkMzExYzdhYzk2ZjE1Njg0ZGQzZGEyMTgxYzgxZT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qFormat="1"/>
    <w:lsdException w:name="toc 9" w:uiPriority="39"/>
    <w:lsdException w:name="Normal Indent" w:qFormat="1"/>
    <w:lsdException w:name="footnote text"/>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nhideWhenUsed="0" w:qFormat="1"/>
    <w:lsdException w:name="Closing"/>
    <w:lsdException w:name="Signature"/>
    <w:lsdException w:name="Default Paragraph Font" w:uiPriority="1" w:qFormat="1"/>
    <w:lsdException w:name="Body Text" w:qFormat="1"/>
    <w:lsdException w:name="Body Text Indent"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qFormat="1"/>
    <w:lsdException w:name="Body Text First Indent 2" w:semiHidden="0" w:qFormat="1"/>
    <w:lsdException w:name="Note Heading"/>
    <w:lsdException w:name="Body Text 2"/>
    <w:lsdException w:name="Body Text 3" w:qFormat="1"/>
    <w:lsdException w:name="Body Text Indent 2"/>
    <w:lsdException w:name="Body Text Indent 3" w:qFormat="1"/>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qFormat="1"/>
    <w:lsdException w:name="Plain Text" w:qFormat="1"/>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2"/>
    <w:qFormat/>
    <w:pPr>
      <w:widowControl w:val="0"/>
      <w:jc w:val="both"/>
    </w:pPr>
    <w:rPr>
      <w:rFonts w:ascii="Times New Roman" w:eastAsia="宋体" w:hAnsi="Times New Roman" w:cs="Times New Roman"/>
      <w:kern w:val="2"/>
      <w:sz w:val="21"/>
      <w:szCs w:val="21"/>
      <w:lang w:val="en-US" w:eastAsia="zh-CN" w:bidi="ar-SA"/>
    </w:rPr>
  </w:style>
  <w:style w:type="paragraph" w:styleId="Heading1">
    <w:name w:val="heading 1"/>
    <w:basedOn w:val="Normal"/>
    <w:next w:val="Normal"/>
    <w:link w:val="1Char"/>
    <w:uiPriority w:val="99"/>
    <w:qFormat/>
    <w:pPr>
      <w:keepNext/>
      <w:keepLines/>
      <w:spacing w:before="340" w:after="330" w:line="576" w:lineRule="auto"/>
      <w:outlineLvl w:val="0"/>
    </w:pPr>
    <w:rPr>
      <w:b/>
      <w:bCs/>
      <w:kern w:val="44"/>
      <w:sz w:val="44"/>
      <w:szCs w:val="44"/>
      <w:lang w:val="zh-CN" w:eastAsia="zh-CN"/>
    </w:rPr>
  </w:style>
  <w:style w:type="paragraph" w:styleId="Heading2">
    <w:name w:val="heading 2"/>
    <w:basedOn w:val="Normal"/>
    <w:next w:val="Normal"/>
    <w:link w:val="2Char"/>
    <w:uiPriority w:val="99"/>
    <w:semiHidden/>
    <w:unhideWhenUsed/>
    <w:qFormat/>
    <w:pPr>
      <w:keepNext/>
      <w:keepLines/>
      <w:spacing w:before="260" w:after="260" w:line="412" w:lineRule="auto"/>
      <w:outlineLvl w:val="1"/>
    </w:pPr>
    <w:rPr>
      <w:rFonts w:ascii="Arial" w:eastAsia="黑体" w:hAnsi="Arial"/>
      <w:b/>
      <w:bCs/>
      <w:kern w:val="0"/>
      <w:sz w:val="32"/>
      <w:szCs w:val="32"/>
      <w:lang w:val="zh-CN" w:eastAsia="zh-CN"/>
    </w:rPr>
  </w:style>
  <w:style w:type="paragraph" w:styleId="Heading3">
    <w:name w:val="heading 3"/>
    <w:basedOn w:val="Normal"/>
    <w:next w:val="Normal"/>
    <w:link w:val="3Char"/>
    <w:uiPriority w:val="99"/>
    <w:semiHidden/>
    <w:unhideWhenUsed/>
    <w:qFormat/>
    <w:pPr>
      <w:keepNext/>
      <w:keepLines/>
      <w:spacing w:before="260" w:after="260" w:line="412" w:lineRule="auto"/>
      <w:outlineLvl w:val="2"/>
    </w:pPr>
    <w:rPr>
      <w:b/>
      <w:bCs/>
      <w:kern w:val="0"/>
      <w:sz w:val="32"/>
      <w:szCs w:val="32"/>
      <w:lang w:val="zh-CN" w:eastAsia="zh-CN"/>
    </w:rPr>
  </w:style>
  <w:style w:type="paragraph" w:styleId="Heading4">
    <w:name w:val="heading 4"/>
    <w:basedOn w:val="Normal"/>
    <w:next w:val="Normal"/>
    <w:link w:val="4Char"/>
    <w:uiPriority w:val="99"/>
    <w:semiHidden/>
    <w:unhideWhenUsed/>
    <w:qFormat/>
    <w:pPr>
      <w:keepNext/>
      <w:keepLines/>
      <w:spacing w:before="280" w:after="290" w:line="372" w:lineRule="auto"/>
      <w:outlineLvl w:val="3"/>
    </w:pPr>
    <w:rPr>
      <w:rFonts w:ascii="Arial" w:eastAsia="黑体" w:hAnsi="Arial"/>
      <w:b/>
      <w:bCs/>
      <w:kern w:val="0"/>
      <w:sz w:val="28"/>
      <w:szCs w:val="28"/>
      <w:lang w:val="zh-CN" w:eastAsia="zh-CN"/>
    </w:rPr>
  </w:style>
  <w:style w:type="paragraph" w:styleId="Heading5">
    <w:name w:val="heading 5"/>
    <w:basedOn w:val="Normal"/>
    <w:next w:val="Normal"/>
    <w:link w:val="5Char"/>
    <w:uiPriority w:val="99"/>
    <w:semiHidden/>
    <w:unhideWhenUsed/>
    <w:qFormat/>
    <w:pPr>
      <w:keepNext/>
      <w:keepLines/>
      <w:spacing w:line="372" w:lineRule="auto"/>
      <w:outlineLvl w:val="4"/>
    </w:pPr>
    <w:rPr>
      <w:rFonts w:ascii="Calibri" w:hAnsi="Calibri"/>
      <w:b/>
      <w:bCs/>
      <w:kern w:val="0"/>
      <w:sz w:val="28"/>
      <w:szCs w:val="28"/>
      <w:lang w:val="zh-CN" w:eastAsia="zh-CN"/>
    </w:rPr>
  </w:style>
  <w:style w:type="paragraph" w:styleId="Heading6">
    <w:name w:val="heading 6"/>
    <w:basedOn w:val="Normal"/>
    <w:next w:val="Normal"/>
    <w:link w:val="6Char"/>
    <w:uiPriority w:val="99"/>
    <w:semiHidden/>
    <w:unhideWhenUsed/>
    <w:qFormat/>
    <w:pPr>
      <w:keepNext/>
      <w:keepLines/>
      <w:widowControl/>
      <w:tabs>
        <w:tab w:val="left" w:pos="1440"/>
      </w:tabs>
      <w:spacing w:before="240" w:after="64" w:line="316" w:lineRule="auto"/>
      <w:ind w:left="1152" w:hanging="1152"/>
      <w:jc w:val="left"/>
      <w:outlineLvl w:val="5"/>
    </w:pPr>
    <w:rPr>
      <w:rFonts w:ascii="Arial" w:eastAsia="黑体" w:hAnsi="Arial"/>
      <w:b/>
      <w:bCs/>
      <w:kern w:val="0"/>
      <w:sz w:val="24"/>
      <w:szCs w:val="24"/>
      <w:lang w:val="zh-CN" w:eastAsia="zh-CN"/>
    </w:rPr>
  </w:style>
  <w:style w:type="paragraph" w:styleId="Heading7">
    <w:name w:val="heading 7"/>
    <w:basedOn w:val="Normal"/>
    <w:next w:val="Normal"/>
    <w:link w:val="7Char"/>
    <w:uiPriority w:val="99"/>
    <w:semiHidden/>
    <w:unhideWhenUsed/>
    <w:qFormat/>
    <w:pPr>
      <w:keepNext/>
      <w:keepLines/>
      <w:widowControl/>
      <w:tabs>
        <w:tab w:val="left" w:pos="2520"/>
      </w:tabs>
      <w:spacing w:before="240" w:after="64" w:line="316" w:lineRule="auto"/>
      <w:ind w:left="1296" w:hanging="1296"/>
      <w:jc w:val="left"/>
      <w:outlineLvl w:val="6"/>
    </w:pPr>
    <w:rPr>
      <w:b/>
      <w:bCs/>
      <w:kern w:val="0"/>
      <w:sz w:val="24"/>
      <w:szCs w:val="24"/>
      <w:lang w:val="zh-CN" w:eastAsia="zh-CN"/>
    </w:rPr>
  </w:style>
  <w:style w:type="paragraph" w:styleId="Heading8">
    <w:name w:val="heading 8"/>
    <w:basedOn w:val="Normal"/>
    <w:next w:val="Normal"/>
    <w:link w:val="8Char"/>
    <w:uiPriority w:val="99"/>
    <w:semiHidden/>
    <w:unhideWhenUsed/>
    <w:qFormat/>
    <w:pPr>
      <w:keepNext/>
      <w:keepLines/>
      <w:widowControl/>
      <w:tabs>
        <w:tab w:val="left" w:pos="1440"/>
      </w:tabs>
      <w:spacing w:before="240" w:after="64" w:line="316" w:lineRule="auto"/>
      <w:ind w:left="1440" w:hanging="1440"/>
      <w:jc w:val="left"/>
      <w:outlineLvl w:val="7"/>
    </w:pPr>
    <w:rPr>
      <w:rFonts w:ascii="Arial" w:eastAsia="黑体" w:hAnsi="Arial"/>
      <w:kern w:val="0"/>
      <w:sz w:val="24"/>
      <w:szCs w:val="24"/>
      <w:lang w:val="zh-CN" w:eastAsia="zh-CN"/>
    </w:rPr>
  </w:style>
  <w:style w:type="paragraph" w:styleId="Heading9">
    <w:name w:val="heading 9"/>
    <w:basedOn w:val="Normal"/>
    <w:next w:val="Normal"/>
    <w:link w:val="9Char"/>
    <w:uiPriority w:val="99"/>
    <w:semiHidden/>
    <w:unhideWhenUsed/>
    <w:qFormat/>
    <w:pPr>
      <w:keepNext/>
      <w:keepLines/>
      <w:widowControl/>
      <w:tabs>
        <w:tab w:val="left" w:pos="1584"/>
      </w:tabs>
      <w:spacing w:before="240" w:after="64" w:line="316" w:lineRule="auto"/>
      <w:ind w:left="1584" w:hanging="1584"/>
      <w:jc w:val="left"/>
      <w:outlineLvl w:val="8"/>
    </w:pPr>
    <w:rPr>
      <w:rFonts w:ascii="Arial" w:eastAsia="黑体" w:hAnsi="Arial"/>
      <w:kern w:val="0"/>
      <w:sz w:val="20"/>
      <w:lang w:val="zh-CN" w:eastAsia="zh-CN"/>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basedOn w:val="Normal"/>
    <w:next w:val="Normal"/>
    <w:uiPriority w:val="99"/>
    <w:semiHidden/>
    <w:unhideWhenUsed/>
    <w:qFormat/>
    <w:pPr>
      <w:ind w:firstLine="200" w:firstLineChars="200"/>
    </w:pPr>
  </w:style>
  <w:style w:type="paragraph" w:styleId="DocumentMap">
    <w:name w:val="Document Map"/>
    <w:basedOn w:val="Normal"/>
    <w:next w:val="Normal"/>
    <w:link w:val="Char14"/>
    <w:uiPriority w:val="99"/>
    <w:semiHidden/>
    <w:unhideWhenUsed/>
    <w:qFormat/>
    <w:pPr>
      <w:shd w:val="clear" w:color="auto" w:fill="000080"/>
    </w:pPr>
    <w:rPr>
      <w:rFonts w:ascii="Calibri" w:hAnsi="Calibri"/>
      <w:kern w:val="0"/>
      <w:sz w:val="20"/>
      <w:szCs w:val="24"/>
      <w:lang w:val="zh-CN" w:eastAsia="zh-CN"/>
    </w:rPr>
  </w:style>
  <w:style w:type="paragraph" w:styleId="CommentText">
    <w:name w:val="annotation text"/>
    <w:basedOn w:val="Normal"/>
    <w:next w:val="Normal"/>
    <w:link w:val="Char1"/>
    <w:uiPriority w:val="99"/>
    <w:semiHidden/>
    <w:unhideWhenUsed/>
    <w:qFormat/>
    <w:pPr>
      <w:jc w:val="left"/>
    </w:pPr>
    <w:rPr>
      <w:kern w:val="0"/>
      <w:sz w:val="20"/>
      <w:lang w:val="zh-CN" w:eastAsia="zh-CN"/>
    </w:rPr>
  </w:style>
  <w:style w:type="paragraph" w:styleId="BodyText3">
    <w:name w:val="Body Text 3"/>
    <w:basedOn w:val="Normal"/>
    <w:next w:val="Normal"/>
    <w:link w:val="3Char0"/>
    <w:uiPriority w:val="99"/>
    <w:semiHidden/>
    <w:unhideWhenUsed/>
    <w:qFormat/>
    <w:pPr>
      <w:spacing w:after="120"/>
    </w:pPr>
    <w:rPr>
      <w:sz w:val="16"/>
      <w:szCs w:val="16"/>
    </w:rPr>
  </w:style>
  <w:style w:type="paragraph" w:styleId="BodyText">
    <w:name w:val="Body Text"/>
    <w:basedOn w:val="Normal"/>
    <w:next w:val="Normal"/>
    <w:link w:val="Char3"/>
    <w:uiPriority w:val="99"/>
    <w:semiHidden/>
    <w:unhideWhenUsed/>
    <w:qFormat/>
    <w:pPr>
      <w:spacing w:after="120"/>
    </w:pPr>
  </w:style>
  <w:style w:type="paragraph" w:styleId="BodyTextIndent">
    <w:name w:val="Body Text Indent"/>
    <w:basedOn w:val="Normal"/>
    <w:next w:val="Normal"/>
    <w:link w:val="Char4"/>
    <w:uiPriority w:val="99"/>
    <w:semiHidden/>
    <w:unhideWhenUsed/>
    <w:qFormat/>
    <w:pPr>
      <w:spacing w:after="120"/>
      <w:ind w:left="420" w:leftChars="200"/>
    </w:pPr>
    <w:rPr>
      <w:szCs w:val="24"/>
    </w:rPr>
  </w:style>
  <w:style w:type="paragraph" w:styleId="PlainText">
    <w:name w:val="Plain Text"/>
    <w:basedOn w:val="Normal"/>
    <w:next w:val="BodyText"/>
    <w:link w:val="Char8"/>
    <w:uiPriority w:val="99"/>
    <w:semiHidden/>
    <w:unhideWhenUsed/>
    <w:qFormat/>
    <w:rPr>
      <w:rFonts w:ascii="宋体"/>
    </w:rPr>
  </w:style>
  <w:style w:type="paragraph" w:styleId="TOC8">
    <w:name w:val="toc 8"/>
    <w:basedOn w:val="Normal"/>
    <w:next w:val="Normal"/>
    <w:uiPriority w:val="99"/>
    <w:semiHidden/>
    <w:unhideWhenUsed/>
    <w:qFormat/>
    <w:pPr>
      <w:ind w:left="2940"/>
    </w:pPr>
  </w:style>
  <w:style w:type="paragraph" w:styleId="Date">
    <w:name w:val="Date"/>
    <w:basedOn w:val="Normal"/>
    <w:next w:val="Normal"/>
    <w:link w:val="Char5"/>
    <w:uiPriority w:val="99"/>
    <w:semiHidden/>
    <w:unhideWhenUsed/>
    <w:qFormat/>
    <w:rPr>
      <w:sz w:val="24"/>
    </w:rPr>
  </w:style>
  <w:style w:type="paragraph" w:styleId="BalloonText">
    <w:name w:val="Balloon Text"/>
    <w:basedOn w:val="Normal"/>
    <w:next w:val="Normal"/>
    <w:link w:val="Char18"/>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semiHidden/>
    <w:unhideWhenUsed/>
    <w:qFormat/>
  </w:style>
  <w:style w:type="paragraph" w:styleId="BodyTextIndent3">
    <w:name w:val="Body Text Indent 3"/>
    <w:basedOn w:val="Normal"/>
    <w:next w:val="Normal"/>
    <w:link w:val="3Char2"/>
    <w:uiPriority w:val="99"/>
    <w:semiHidden/>
    <w:unhideWhenUsed/>
    <w:qFormat/>
    <w:pPr>
      <w:spacing w:after="120"/>
      <w:ind w:left="420" w:leftChars="200"/>
    </w:pPr>
    <w:rPr>
      <w:sz w:val="16"/>
      <w:szCs w:val="16"/>
    </w:rPr>
  </w:style>
  <w:style w:type="paragraph" w:styleId="NormalWeb">
    <w:name w:val="Normal (Web)"/>
    <w:basedOn w:val="Normal"/>
    <w:next w:val="Normal"/>
    <w:uiPriority w:val="99"/>
    <w:unhideWhenUsed/>
    <w:qFormat/>
    <w:pPr>
      <w:spacing w:before="100" w:beforeAutospacing="1" w:after="75"/>
      <w:jc w:val="left"/>
    </w:pPr>
    <w:rPr>
      <w:kern w:val="0"/>
      <w:sz w:val="24"/>
      <w:szCs w:val="24"/>
    </w:rPr>
  </w:style>
  <w:style w:type="paragraph" w:styleId="Title">
    <w:name w:val="Title"/>
    <w:basedOn w:val="Normal"/>
    <w:next w:val="Normal"/>
    <w:link w:val="Char2"/>
    <w:uiPriority w:val="99"/>
    <w:qFormat/>
    <w:pPr>
      <w:adjustRightInd w:val="0"/>
      <w:spacing w:before="240" w:after="60" w:line="420" w:lineRule="atLeast"/>
      <w:jc w:val="center"/>
      <w:outlineLvl w:val="0"/>
    </w:pPr>
    <w:rPr>
      <w:rFonts w:ascii="Arial" w:hAnsi="Arial"/>
      <w:b/>
      <w:kern w:val="0"/>
      <w:sz w:val="20"/>
      <w:szCs w:val="20"/>
      <w:lang w:val="zh-CN" w:eastAsia="zh-CN"/>
    </w:rPr>
  </w:style>
  <w:style w:type="paragraph" w:styleId="CommentSubject">
    <w:name w:val="annotation subject"/>
    <w:basedOn w:val="CommentText"/>
    <w:next w:val="CommentText"/>
    <w:link w:val="Char16"/>
    <w:uiPriority w:val="99"/>
    <w:semiHidden/>
    <w:unhideWhenUsed/>
    <w:qFormat/>
    <w:pPr>
      <w:jc w:val="both"/>
    </w:pPr>
    <w:rPr>
      <w:rFonts w:ascii="Calibri" w:hAnsi="Calibri"/>
      <w:b/>
      <w:bCs/>
      <w:kern w:val="2"/>
      <w:sz w:val="21"/>
      <w:szCs w:val="24"/>
    </w:rPr>
  </w:style>
  <w:style w:type="paragraph" w:styleId="BodyTextFirstIndent">
    <w:name w:val="Body Text First Indent"/>
    <w:basedOn w:val="Normal"/>
    <w:next w:val="Normal"/>
    <w:link w:val="Char13"/>
    <w:uiPriority w:val="99"/>
    <w:semiHidden/>
    <w:unhideWhenUsed/>
    <w:qFormat/>
    <w:pPr>
      <w:spacing w:line="312" w:lineRule="auto"/>
      <w:ind w:firstLine="420"/>
    </w:pPr>
    <w:rPr>
      <w:rFonts w:ascii="Calibri" w:hAnsi="Calibri"/>
      <w:kern w:val="0"/>
      <w:sz w:val="20"/>
      <w:szCs w:val="24"/>
      <w:lang w:val="zh-CN" w:eastAsia="zh-CN"/>
    </w:rPr>
  </w:style>
  <w:style w:type="paragraph" w:styleId="BodyTextFirstIndent2">
    <w:name w:val="Body Text First Indent 2"/>
    <w:basedOn w:val="BodyTextIndent"/>
    <w:link w:val="2Char0"/>
    <w:uiPriority w:val="99"/>
    <w:unhideWhenUsed/>
    <w:qFormat/>
    <w:pPr>
      <w:ind w:firstLine="420" w:firstLineChars="200"/>
    </w:pPr>
    <w:rPr>
      <w:szCs w:val="21"/>
    </w:rPr>
  </w:style>
  <w:style w:type="table" w:styleId="TableGrid">
    <w:name w:val="Table Grid"/>
    <w:basedOn w:val="TableNormal"/>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qFormat/>
    <w:rPr>
      <w:rFonts w:ascii="Times New Roman" w:hAnsi="Times New Roman" w:cs="Times New Roman" w:hint="default"/>
      <w:color w:val="0000FF"/>
      <w:u w:val="single"/>
      <w:lang w:bidi="ar-SA"/>
    </w:rPr>
  </w:style>
  <w:style w:type="character" w:customStyle="1" w:styleId="1Char">
    <w:name w:val="标题 1 Char"/>
    <w:basedOn w:val="DefaultParagraphFont"/>
    <w:link w:val="Heading1"/>
    <w:uiPriority w:val="99"/>
    <w:qFormat/>
    <w:rPr>
      <w:rFonts w:ascii="Times New Roman" w:eastAsia="宋体" w:hAnsi="Times New Roman" w:cs="Times New Roman"/>
      <w:b/>
      <w:bCs/>
      <w:kern w:val="44"/>
      <w:sz w:val="44"/>
      <w:szCs w:val="44"/>
      <w:lang w:val="zh-CN" w:eastAsia="zh-CN"/>
    </w:rPr>
  </w:style>
  <w:style w:type="character" w:customStyle="1" w:styleId="2Char">
    <w:name w:val="标题 2 Char"/>
    <w:basedOn w:val="DefaultParagraphFont"/>
    <w:link w:val="Heading2"/>
    <w:uiPriority w:val="99"/>
    <w:semiHidden/>
    <w:qFormat/>
    <w:rPr>
      <w:rFonts w:ascii="Arial" w:eastAsia="黑体" w:hAnsi="Arial" w:cs="Times New Roman"/>
      <w:b/>
      <w:bCs/>
      <w:kern w:val="0"/>
      <w:sz w:val="32"/>
      <w:szCs w:val="32"/>
      <w:lang w:val="zh-CN" w:eastAsia="zh-CN"/>
    </w:rPr>
  </w:style>
  <w:style w:type="character" w:customStyle="1" w:styleId="3Char">
    <w:name w:val="标题 3 Char"/>
    <w:basedOn w:val="DefaultParagraphFont"/>
    <w:link w:val="Heading3"/>
    <w:uiPriority w:val="99"/>
    <w:semiHidden/>
    <w:qFormat/>
    <w:rPr>
      <w:rFonts w:ascii="Times New Roman" w:eastAsia="宋体" w:hAnsi="Times New Roman" w:cs="Times New Roman"/>
      <w:b/>
      <w:bCs/>
      <w:kern w:val="0"/>
      <w:sz w:val="32"/>
      <w:szCs w:val="32"/>
      <w:lang w:val="zh-CN" w:eastAsia="zh-CN"/>
    </w:rPr>
  </w:style>
  <w:style w:type="character" w:customStyle="1" w:styleId="4Char">
    <w:name w:val="标题 4 Char"/>
    <w:basedOn w:val="DefaultParagraphFont"/>
    <w:link w:val="Heading4"/>
    <w:uiPriority w:val="99"/>
    <w:semiHidden/>
    <w:qFormat/>
    <w:rPr>
      <w:rFonts w:ascii="Arial" w:eastAsia="黑体" w:hAnsi="Arial" w:cs="Times New Roman"/>
      <w:b/>
      <w:bCs/>
      <w:kern w:val="0"/>
      <w:sz w:val="28"/>
      <w:szCs w:val="28"/>
      <w:lang w:val="zh-CN" w:eastAsia="zh-CN"/>
    </w:rPr>
  </w:style>
  <w:style w:type="character" w:customStyle="1" w:styleId="5Char">
    <w:name w:val="标题 5 Char"/>
    <w:basedOn w:val="DefaultParagraphFont"/>
    <w:link w:val="Heading5"/>
    <w:uiPriority w:val="99"/>
    <w:semiHidden/>
    <w:qFormat/>
    <w:rPr>
      <w:rFonts w:ascii="Calibri" w:eastAsia="宋体" w:hAnsi="Calibri" w:cs="Times New Roman"/>
      <w:b/>
      <w:bCs/>
      <w:kern w:val="0"/>
      <w:sz w:val="28"/>
      <w:szCs w:val="28"/>
      <w:lang w:val="zh-CN" w:eastAsia="zh-CN"/>
    </w:rPr>
  </w:style>
  <w:style w:type="character" w:customStyle="1" w:styleId="6Char">
    <w:name w:val="标题 6 Char"/>
    <w:basedOn w:val="DefaultParagraphFont"/>
    <w:link w:val="Heading6"/>
    <w:uiPriority w:val="99"/>
    <w:semiHidden/>
    <w:qFormat/>
    <w:rPr>
      <w:rFonts w:ascii="Arial" w:eastAsia="黑体" w:hAnsi="Arial" w:cs="Times New Roman"/>
      <w:b/>
      <w:bCs/>
      <w:kern w:val="0"/>
      <w:sz w:val="24"/>
      <w:szCs w:val="24"/>
      <w:lang w:val="zh-CN" w:eastAsia="zh-CN"/>
    </w:rPr>
  </w:style>
  <w:style w:type="character" w:customStyle="1" w:styleId="7Char">
    <w:name w:val="标题 7 Char"/>
    <w:basedOn w:val="DefaultParagraphFont"/>
    <w:link w:val="Heading7"/>
    <w:uiPriority w:val="99"/>
    <w:semiHidden/>
    <w:qFormat/>
    <w:rPr>
      <w:rFonts w:ascii="Times New Roman" w:eastAsia="宋体" w:hAnsi="Times New Roman" w:cs="Times New Roman"/>
      <w:b/>
      <w:bCs/>
      <w:kern w:val="0"/>
      <w:sz w:val="24"/>
      <w:szCs w:val="24"/>
      <w:lang w:val="zh-CN" w:eastAsia="zh-CN"/>
    </w:rPr>
  </w:style>
  <w:style w:type="character" w:customStyle="1" w:styleId="8Char">
    <w:name w:val="标题 8 Char"/>
    <w:basedOn w:val="DefaultParagraphFont"/>
    <w:link w:val="Heading8"/>
    <w:uiPriority w:val="99"/>
    <w:semiHidden/>
    <w:qFormat/>
    <w:rPr>
      <w:rFonts w:ascii="Arial" w:eastAsia="黑体" w:hAnsi="Arial" w:cs="Times New Roman"/>
      <w:kern w:val="0"/>
      <w:sz w:val="24"/>
      <w:szCs w:val="24"/>
      <w:lang w:val="zh-CN" w:eastAsia="zh-CN"/>
    </w:rPr>
  </w:style>
  <w:style w:type="character" w:customStyle="1" w:styleId="9Char">
    <w:name w:val="标题 9 Char"/>
    <w:basedOn w:val="DefaultParagraphFont"/>
    <w:link w:val="Heading9"/>
    <w:uiPriority w:val="99"/>
    <w:semiHidden/>
    <w:qFormat/>
    <w:rPr>
      <w:rFonts w:ascii="Arial" w:eastAsia="黑体" w:hAnsi="Arial" w:cs="Times New Roman"/>
      <w:kern w:val="0"/>
      <w:sz w:val="20"/>
      <w:szCs w:val="21"/>
      <w:lang w:val="zh-CN" w:eastAsia="zh-CN"/>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文字 Char"/>
    <w:basedOn w:val="DefaultParagraphFont"/>
    <w:link w:val="CommentText"/>
    <w:uiPriority w:val="99"/>
    <w:semiHidden/>
    <w:qFormat/>
    <w:rPr>
      <w:rFonts w:ascii="Times New Roman" w:eastAsia="宋体" w:hAnsi="Times New Roman" w:cs="Times New Roman"/>
      <w:kern w:val="0"/>
      <w:sz w:val="20"/>
      <w:szCs w:val="21"/>
      <w:lang w:val="zh-CN" w:eastAsia="zh-CN"/>
    </w:rPr>
  </w:style>
  <w:style w:type="character" w:customStyle="1" w:styleId="Char2">
    <w:name w:val="标题 Char"/>
    <w:basedOn w:val="DefaultParagraphFont"/>
    <w:link w:val="Title"/>
    <w:uiPriority w:val="99"/>
    <w:qFormat/>
    <w:rPr>
      <w:rFonts w:ascii="Arial" w:eastAsia="宋体" w:hAnsi="Arial" w:cs="Times New Roman"/>
      <w:b/>
      <w:kern w:val="0"/>
      <w:sz w:val="20"/>
      <w:szCs w:val="20"/>
      <w:lang w:val="zh-CN" w:eastAsia="zh-CN"/>
    </w:rPr>
  </w:style>
  <w:style w:type="character" w:customStyle="1" w:styleId="Char3">
    <w:name w:val="正文文本 Char"/>
    <w:link w:val="BodyText"/>
    <w:uiPriority w:val="99"/>
    <w:semiHidden/>
    <w:qFormat/>
    <w:rPr>
      <w:rFonts w:ascii="Times New Roman" w:eastAsia="宋体" w:hAnsi="Times New Roman" w:cs="Times New Roman"/>
      <w:szCs w:val="21"/>
    </w:rPr>
  </w:style>
  <w:style w:type="character" w:customStyle="1" w:styleId="Char10">
    <w:name w:val="正文文本 Char1"/>
    <w:basedOn w:val="DefaultParagraphFont"/>
    <w:uiPriority w:val="99"/>
    <w:semiHidden/>
    <w:qFormat/>
    <w:rPr>
      <w:rFonts w:ascii="Times New Roman" w:eastAsia="宋体" w:hAnsi="Times New Roman" w:cs="Times New Roman"/>
      <w:szCs w:val="21"/>
    </w:rPr>
  </w:style>
  <w:style w:type="character" w:customStyle="1" w:styleId="Char4">
    <w:name w:val="正文文本缩进 Char"/>
    <w:link w:val="BodyTextIndent"/>
    <w:uiPriority w:val="99"/>
    <w:semiHidden/>
    <w:qFormat/>
    <w:rPr>
      <w:rFonts w:ascii="Times New Roman" w:eastAsia="宋体" w:hAnsi="Times New Roman" w:cs="Times New Roman"/>
      <w:szCs w:val="24"/>
    </w:rPr>
  </w:style>
  <w:style w:type="character" w:customStyle="1" w:styleId="Char11">
    <w:name w:val="正文文本缩进 Char1"/>
    <w:basedOn w:val="DefaultParagraphFont"/>
    <w:uiPriority w:val="99"/>
    <w:semiHidden/>
    <w:qFormat/>
    <w:rPr>
      <w:rFonts w:ascii="Times New Roman" w:eastAsia="宋体" w:hAnsi="Times New Roman" w:cs="Times New Roman"/>
      <w:szCs w:val="21"/>
    </w:rPr>
  </w:style>
  <w:style w:type="character" w:customStyle="1" w:styleId="Char5">
    <w:name w:val="日期 Char"/>
    <w:link w:val="Date"/>
    <w:uiPriority w:val="99"/>
    <w:semiHidden/>
    <w:qFormat/>
    <w:rPr>
      <w:rFonts w:ascii="Times New Roman" w:eastAsia="宋体" w:hAnsi="Times New Roman" w:cs="Times New Roman"/>
      <w:sz w:val="24"/>
      <w:szCs w:val="21"/>
    </w:rPr>
  </w:style>
  <w:style w:type="character" w:customStyle="1" w:styleId="Char12">
    <w:name w:val="日期 Char1"/>
    <w:basedOn w:val="DefaultParagraphFont"/>
    <w:uiPriority w:val="99"/>
    <w:semiHidden/>
    <w:qFormat/>
    <w:rPr>
      <w:rFonts w:ascii="Times New Roman" w:eastAsia="宋体" w:hAnsi="Times New Roman" w:cs="Times New Roman"/>
      <w:szCs w:val="21"/>
    </w:rPr>
  </w:style>
  <w:style w:type="character" w:customStyle="1" w:styleId="Char13">
    <w:name w:val="正文首行缩进 Char1"/>
    <w:link w:val="BodyTextFirstIndent"/>
    <w:uiPriority w:val="99"/>
    <w:semiHidden/>
    <w:qFormat/>
    <w:locked/>
    <w:rPr>
      <w:rFonts w:ascii="Calibri" w:eastAsia="宋体" w:hAnsi="Calibri" w:cs="Times New Roman"/>
      <w:kern w:val="0"/>
      <w:sz w:val="20"/>
      <w:szCs w:val="24"/>
      <w:lang w:val="zh-CN" w:eastAsia="zh-CN"/>
    </w:rPr>
  </w:style>
  <w:style w:type="character" w:customStyle="1" w:styleId="Char6">
    <w:name w:val="正文首行缩进 Char"/>
    <w:basedOn w:val="Char10"/>
    <w:uiPriority w:val="99"/>
    <w:semiHidden/>
    <w:qFormat/>
    <w:rPr>
      <w:rFonts w:ascii="Times New Roman" w:eastAsia="宋体" w:hAnsi="Times New Roman" w:cs="Times New Roman"/>
      <w:szCs w:val="21"/>
    </w:rPr>
  </w:style>
  <w:style w:type="character" w:customStyle="1" w:styleId="3Char0">
    <w:name w:val="正文文本 3 Char"/>
    <w:link w:val="BodyText3"/>
    <w:uiPriority w:val="99"/>
    <w:semiHidden/>
    <w:qFormat/>
    <w:rPr>
      <w:rFonts w:ascii="Times New Roman" w:eastAsia="宋体" w:hAnsi="Times New Roman" w:cs="Times New Roman"/>
      <w:sz w:val="16"/>
      <w:szCs w:val="16"/>
    </w:rPr>
  </w:style>
  <w:style w:type="character" w:customStyle="1" w:styleId="3Char1">
    <w:name w:val="正文文本 3 Char1"/>
    <w:basedOn w:val="DefaultParagraphFont"/>
    <w:uiPriority w:val="99"/>
    <w:semiHidden/>
    <w:qFormat/>
    <w:rPr>
      <w:rFonts w:ascii="Times New Roman" w:eastAsia="宋体" w:hAnsi="Times New Roman" w:cs="Times New Roman"/>
      <w:sz w:val="16"/>
      <w:szCs w:val="16"/>
    </w:rPr>
  </w:style>
  <w:style w:type="character" w:customStyle="1" w:styleId="3Char2">
    <w:name w:val="正文文本缩进 3 Char"/>
    <w:link w:val="BodyTextIndent3"/>
    <w:uiPriority w:val="99"/>
    <w:semiHidden/>
    <w:qFormat/>
    <w:rPr>
      <w:rFonts w:ascii="Times New Roman" w:eastAsia="宋体" w:hAnsi="Times New Roman" w:cs="Times New Roman"/>
      <w:sz w:val="16"/>
      <w:szCs w:val="16"/>
    </w:rPr>
  </w:style>
  <w:style w:type="character" w:customStyle="1" w:styleId="3Char10">
    <w:name w:val="正文文本缩进 3 Char1"/>
    <w:basedOn w:val="DefaultParagraphFont"/>
    <w:uiPriority w:val="99"/>
    <w:semiHidden/>
    <w:qFormat/>
    <w:rPr>
      <w:rFonts w:ascii="Times New Roman" w:eastAsia="宋体" w:hAnsi="Times New Roman" w:cs="Times New Roman"/>
      <w:sz w:val="16"/>
      <w:szCs w:val="16"/>
    </w:rPr>
  </w:style>
  <w:style w:type="character" w:customStyle="1" w:styleId="Char14">
    <w:name w:val="文档结构图 Char1"/>
    <w:link w:val="DocumentMap"/>
    <w:uiPriority w:val="99"/>
    <w:semiHidden/>
    <w:qFormat/>
    <w:locked/>
    <w:rPr>
      <w:rFonts w:ascii="Calibri" w:eastAsia="宋体" w:hAnsi="Calibri" w:cs="Times New Roman"/>
      <w:kern w:val="0"/>
      <w:sz w:val="20"/>
      <w:szCs w:val="24"/>
      <w:shd w:val="clear" w:color="auto" w:fill="000080"/>
      <w:lang w:val="zh-CN" w:eastAsia="zh-CN"/>
    </w:rPr>
  </w:style>
  <w:style w:type="character" w:customStyle="1" w:styleId="Char7">
    <w:name w:val="文档结构图 Char"/>
    <w:basedOn w:val="DefaultParagraphFont"/>
    <w:uiPriority w:val="99"/>
    <w:semiHidden/>
    <w:qFormat/>
    <w:rPr>
      <w:rFonts w:ascii="宋体" w:eastAsia="宋体" w:hAnsi="Times New Roman" w:cs="Times New Roman"/>
      <w:sz w:val="18"/>
      <w:szCs w:val="18"/>
    </w:rPr>
  </w:style>
  <w:style w:type="character" w:customStyle="1" w:styleId="Char8">
    <w:name w:val="纯文本 Char"/>
    <w:link w:val="PlainText"/>
    <w:uiPriority w:val="99"/>
    <w:semiHidden/>
    <w:qFormat/>
    <w:rPr>
      <w:rFonts w:ascii="宋体" w:eastAsia="宋体" w:hAnsi="Times New Roman" w:cs="Times New Roman"/>
      <w:szCs w:val="21"/>
    </w:rPr>
  </w:style>
  <w:style w:type="character" w:customStyle="1" w:styleId="Char15">
    <w:name w:val="纯文本 Char1"/>
    <w:basedOn w:val="DefaultParagraphFont"/>
    <w:uiPriority w:val="99"/>
    <w:semiHidden/>
    <w:qFormat/>
    <w:rPr>
      <w:rFonts w:ascii="宋体" w:eastAsia="宋体" w:hAnsi="Courier New" w:cs="Courier New"/>
      <w:szCs w:val="21"/>
    </w:rPr>
  </w:style>
  <w:style w:type="character" w:customStyle="1" w:styleId="Char16">
    <w:name w:val="批注主题 Char1"/>
    <w:link w:val="CommentSubject"/>
    <w:uiPriority w:val="99"/>
    <w:semiHidden/>
    <w:qFormat/>
    <w:locked/>
    <w:rPr>
      <w:rFonts w:ascii="Calibri" w:eastAsia="宋体" w:hAnsi="Calibri" w:cs="Times New Roman"/>
      <w:b/>
      <w:bCs/>
      <w:szCs w:val="24"/>
      <w:lang w:val="zh-CN" w:eastAsia="zh-CN"/>
    </w:rPr>
  </w:style>
  <w:style w:type="character" w:customStyle="1" w:styleId="Char9">
    <w:name w:val="批注主题 Char"/>
    <w:basedOn w:val="Char1"/>
    <w:uiPriority w:val="99"/>
    <w:semiHidden/>
    <w:qFormat/>
    <w:rPr>
      <w:rFonts w:ascii="Times New Roman" w:eastAsia="宋体" w:hAnsi="Times New Roman" w:cs="Times New Roman"/>
      <w:b/>
      <w:bCs/>
      <w:kern w:val="0"/>
      <w:sz w:val="20"/>
      <w:szCs w:val="21"/>
      <w:lang w:val="zh-CN" w:eastAsia="zh-CN"/>
    </w:rPr>
  </w:style>
  <w:style w:type="character" w:customStyle="1" w:styleId="Char17">
    <w:name w:val="批注文字 Char1"/>
    <w:uiPriority w:val="99"/>
    <w:semiHidden/>
    <w:qFormat/>
    <w:locked/>
    <w:rPr>
      <w:rFonts w:ascii="Times New Roman" w:eastAsia="宋体" w:hAnsi="Times New Roman" w:cs="Times New Roman" w:hint="default"/>
      <w:kern w:val="2"/>
      <w:sz w:val="21"/>
      <w:szCs w:val="21"/>
    </w:rPr>
  </w:style>
  <w:style w:type="character" w:customStyle="1" w:styleId="Char18">
    <w:name w:val="批注框文本 Char"/>
    <w:link w:val="BalloonText"/>
    <w:uiPriority w:val="99"/>
    <w:semiHidden/>
    <w:qFormat/>
    <w:rPr>
      <w:rFonts w:ascii="Times New Roman" w:eastAsia="宋体" w:hAnsi="Times New Roman" w:cs="Times New Roman"/>
      <w:sz w:val="18"/>
      <w:szCs w:val="18"/>
    </w:rPr>
  </w:style>
  <w:style w:type="character" w:customStyle="1" w:styleId="Char19">
    <w:name w:val="批注框文本 Char1"/>
    <w:basedOn w:val="DefaultParagraphFont"/>
    <w:uiPriority w:val="99"/>
    <w:semiHidden/>
    <w:qFormat/>
    <w:rPr>
      <w:rFonts w:ascii="Times New Roman" w:eastAsia="宋体" w:hAnsi="Times New Roman" w:cs="Times New Roman"/>
      <w:sz w:val="18"/>
      <w:szCs w:val="18"/>
    </w:rPr>
  </w:style>
  <w:style w:type="paragraph" w:styleId="ListParagraph">
    <w:name w:val="List Paragraph"/>
    <w:basedOn w:val="Normal"/>
    <w:next w:val="Normal"/>
    <w:uiPriority w:val="34"/>
    <w:qFormat/>
    <w:pPr>
      <w:ind w:firstLine="420" w:firstLineChars="200"/>
    </w:pPr>
  </w:style>
  <w:style w:type="paragraph" w:customStyle="1" w:styleId="2TimesNewRoman5020">
    <w:name w:val="样式 标题 2 + Times New Roman 四号 非加粗 段前: 5 磅 段后: 0 磅 行距: 固定值 20..."/>
    <w:basedOn w:val="Heading2"/>
    <w:next w:val="Normal"/>
    <w:uiPriority w:val="99"/>
    <w:qFormat/>
    <w:pPr>
      <w:spacing w:before="100" w:after="0" w:line="400" w:lineRule="exact"/>
    </w:pPr>
    <w:rPr>
      <w:rFonts w:ascii="Times New Roman" w:hAnsi="Times New Roman"/>
      <w:b w:val="0"/>
      <w:bCs w:val="0"/>
      <w:sz w:val="28"/>
      <w:szCs w:val="28"/>
    </w:rPr>
  </w:style>
  <w:style w:type="paragraph" w:customStyle="1" w:styleId="378020">
    <w:name w:val="样式 标题 3 + (中文) 黑体 小四 非加粗 段前: 7.8 磅 段后: 0 磅 行距: 固定值 20 磅"/>
    <w:basedOn w:val="Heading3"/>
    <w:next w:val="Normal"/>
    <w:uiPriority w:val="99"/>
    <w:qFormat/>
    <w:pPr>
      <w:spacing w:before="0" w:after="0" w:line="400" w:lineRule="exact"/>
    </w:pPr>
    <w:rPr>
      <w:rFonts w:eastAsia="黑体"/>
      <w:b w:val="0"/>
      <w:bCs w:val="0"/>
      <w:sz w:val="24"/>
      <w:szCs w:val="24"/>
    </w:rPr>
  </w:style>
  <w:style w:type="paragraph" w:customStyle="1" w:styleId="p0">
    <w:name w:val="p0"/>
    <w:basedOn w:val="Normal"/>
    <w:next w:val="TOC8"/>
    <w:uiPriority w:val="99"/>
    <w:qFormat/>
    <w:pPr>
      <w:widowControl/>
    </w:pPr>
    <w:rPr>
      <w:kern w:val="0"/>
    </w:rPr>
  </w:style>
  <w:style w:type="paragraph" w:customStyle="1" w:styleId="1">
    <w:name w:val="纯文本1"/>
    <w:basedOn w:val="Normal"/>
    <w:next w:val="Normal"/>
    <w:uiPriority w:val="99"/>
    <w:qFormat/>
    <w:rPr>
      <w:rFonts w:ascii="Courier New" w:hAnsi="Courier New" w:cs="Courier New"/>
      <w:sz w:val="20"/>
      <w:szCs w:val="20"/>
    </w:rPr>
  </w:style>
  <w:style w:type="paragraph" w:customStyle="1" w:styleId="p15">
    <w:name w:val="p15"/>
    <w:basedOn w:val="Normal"/>
    <w:next w:val="CommentText"/>
    <w:uiPriority w:val="99"/>
    <w:qFormat/>
    <w:pPr>
      <w:widowControl/>
    </w:pPr>
    <w:rPr>
      <w:kern w:val="0"/>
    </w:rPr>
  </w:style>
  <w:style w:type="paragraph" w:customStyle="1" w:styleId="Salutation1">
    <w:name w:val="Salutation1"/>
    <w:basedOn w:val="Normal"/>
    <w:next w:val="Normal"/>
    <w:uiPriority w:val="99"/>
    <w:qFormat/>
    <w:rPr>
      <w:rFonts w:ascii="仿宋_GB2312" w:eastAsia="仿宋_GB2312" w:cs="仿宋_GB2312"/>
      <w:sz w:val="20"/>
      <w:szCs w:val="20"/>
    </w:rPr>
  </w:style>
  <w:style w:type="paragraph" w:customStyle="1" w:styleId="a">
    <w:name w:val="表格文字"/>
    <w:basedOn w:val="Normal"/>
    <w:next w:val="Normal"/>
    <w:uiPriority w:val="99"/>
    <w:qFormat/>
    <w:pPr>
      <w:adjustRightInd w:val="0"/>
      <w:spacing w:line="420" w:lineRule="atLeast"/>
      <w:jc w:val="left"/>
    </w:pPr>
    <w:rPr>
      <w:kern w:val="0"/>
      <w:szCs w:val="20"/>
    </w:rPr>
  </w:style>
  <w:style w:type="paragraph" w:customStyle="1" w:styleId="Style6">
    <w:name w:val="_Style 6"/>
    <w:basedOn w:val="Heading1"/>
    <w:next w:val="Normal"/>
    <w:uiPriority w:val="99"/>
    <w:qFormat/>
    <w:pPr>
      <w:spacing w:before="0" w:after="0"/>
      <w:outlineLvl w:val="9"/>
    </w:pPr>
    <w:rPr>
      <w:rFonts w:ascii="Calibri" w:hAnsi="Calibri"/>
    </w:rPr>
  </w:style>
  <w:style w:type="paragraph" w:customStyle="1" w:styleId="Default">
    <w:name w:val="Default"/>
    <w:qFormat/>
    <w:pPr>
      <w:widowControl w:val="0"/>
      <w:autoSpaceDE w:val="0"/>
      <w:autoSpaceDN w:val="0"/>
      <w:adjustRightInd w:val="0"/>
    </w:pPr>
    <w:rPr>
      <w:rFonts w:ascii="宋体" w:hAnsi="宋体" w:eastAsiaTheme="minorEastAsia" w:cs="宋体"/>
      <w:color w:val="000000"/>
      <w:kern w:val="0"/>
      <w:sz w:val="24"/>
      <w:szCs w:val="24"/>
      <w:lang w:val="en-US" w:eastAsia="zh-CN" w:bidi="ar-SA"/>
    </w:rPr>
  </w:style>
  <w:style w:type="character" w:customStyle="1" w:styleId="2Char0">
    <w:name w:val="正文首行缩进 2 Char"/>
    <w:basedOn w:val="Char4"/>
    <w:link w:val="BodyTextFirstIndent2"/>
    <w:uiPriority w:val="99"/>
    <w:qFormat/>
    <w:rPr>
      <w:rFonts w:ascii="Times New Roman" w:eastAsia="宋体" w:hAnsi="Times New Roman" w:cs="Times New Roman"/>
      <w:szCs w:val="21"/>
    </w:rPr>
  </w:style>
  <w:style w:type="character" w:customStyle="1" w:styleId="NormalCharacter">
    <w:name w:val="NormalCharacter"/>
    <w:qFormat/>
  </w:style>
  <w:style w:type="character" w:customStyle="1" w:styleId="UserStyle3">
    <w:name w:val="UserStyle_3"/>
    <w:basedOn w:val="DefaultParagraphFont"/>
    <w:link w:val="BodyText1I2"/>
    <w:qFormat/>
    <w:rPr>
      <w:rFonts w:ascii="Times New Roman" w:hAnsi="Times New Roman"/>
      <w:szCs w:val="21"/>
    </w:rPr>
  </w:style>
  <w:style w:type="paragraph" w:customStyle="1" w:styleId="BodyText1I2">
    <w:name w:val="BodyText1I2"/>
    <w:basedOn w:val="Normal"/>
    <w:link w:val="UserStyle3"/>
    <w:qFormat/>
    <w:pPr>
      <w:widowControl/>
      <w:spacing w:after="120"/>
      <w:ind w:left="420" w:firstLine="420" w:leftChars="200" w:firstLineChars="200"/>
      <w:textAlignment w:val="baseline"/>
    </w:pPr>
    <w:rPr>
      <w:rFonts w:eastAsiaTheme="minorEastAsia" w:cstheme="minorBidi"/>
    </w:rPr>
  </w:style>
  <w:style w:type="paragraph" w:customStyle="1" w:styleId="UserStyle13">
    <w:name w:val="UserStyle_13"/>
    <w:basedOn w:val="Normal"/>
    <w:qFormat/>
    <w:pPr>
      <w:keepNext/>
      <w:keepLines/>
      <w:widowControl/>
      <w:spacing w:line="400" w:lineRule="exact"/>
      <w:textAlignment w:val="baseline"/>
    </w:pPr>
    <w:rPr>
      <w:rFonts w:eastAsia="黑体"/>
      <w:sz w:val="24"/>
      <w:szCs w:val="20"/>
    </w:rPr>
  </w:style>
  <w:style w:type="paragraph" w:customStyle="1" w:styleId="UserStyle15">
    <w:name w:val="UserStyle_15"/>
    <w:basedOn w:val="Normal"/>
    <w:qFormat/>
    <w:pPr>
      <w:keepNext/>
      <w:keepLines/>
      <w:widowControl/>
      <w:spacing w:before="100" w:line="400" w:lineRule="exact"/>
      <w:textAlignment w:val="baseline"/>
    </w:pPr>
    <w:rPr>
      <w:rFonts w:eastAsia="黑体" w:cs="Arial"/>
      <w:sz w:val="28"/>
      <w:szCs w:val="28"/>
    </w:rPr>
  </w:style>
  <w:style w:type="paragraph" w:customStyle="1" w:styleId="NormalIndent0">
    <w:name w:val="NormalIndent"/>
    <w:basedOn w:val="Normal"/>
    <w:qFormat/>
    <w:pPr>
      <w:widowControl/>
      <w:ind w:firstLine="200" w:firstLineChars="200"/>
      <w:textAlignment w:val="baseline"/>
    </w:pPr>
  </w:style>
  <w:style w:type="character" w:customStyle="1" w:styleId="style3">
    <w:name w:val="style3"/>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file:///C:\Users\Administrator\Desktop\&#38428;&#38451;&#24066;&#24314;&#31569;&#21644;&#24066;&#25919;&#24037;&#31243;&#25307;&#26631;&#25991;&#20214;&#31034;&#33539;&#25991;&#26412;201809&#29256;&#26412;\&#25151;&#24314;&#25307;&#26631;&#25991;&#20214;&#27169;&#29256;1022.doc" TargetMode="External" /><Relationship Id="rId6" Type="http://schemas.openxmlformats.org/officeDocument/2006/relationships/hyperlink" Target="http://www.ahsykgjt.com/" TargetMode="Externa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yperlink" Target="https://d.book118.com/936113000214010103"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30680</Words>
  <Characters>31796</Characters>
  <Application>Microsoft Office Word</Application>
  <DocSecurity>0</DocSecurity>
  <Lines>277</Lines>
  <Paragraphs>78</Paragraphs>
  <ScaleCrop>false</ScaleCrop>
  <Company>shenduxitong</Company>
  <LinksUpToDate>false</LinksUpToDate>
  <CharactersWithSpaces>35171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Administrator</cp:lastModifiedBy>
  <cp:revision>116</cp:revision>
  <cp:lastPrinted>2023-02-10T03:09:00Z</cp:lastPrinted>
  <dcterms:created xsi:type="dcterms:W3CDTF">2021-04-21T02:36:00Z</dcterms:created>
  <dcterms:modified xsi:type="dcterms:W3CDTF">2023-02-10T09:05:48Z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9A14B338BD4945778843B418D8200432</vt:lpwstr>
  </property>
  <property fmtid="{D5CDD505-2E9C-101B-9397-08002B2CF9AE}" pid="3" name="KSOProductBuildVer">
    <vt:lpwstr>2052-11.1.0.13703</vt:lpwstr>
  </property>
</Properties>
</file>