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20D0E" w:rsidP="00020D0E" w14:paraId="0D8306F9" w14:textId="77777777">
      <w:pPr>
        <w:spacing w:before="48" w:beforeLines="20" w:after="360" w:afterLines="150" w:line="360" w:lineRule="auto"/>
        <w:jc w:val="center"/>
        <w:rPr>
          <w:rFonts w:ascii="华文中宋" w:eastAsia="华文中宋" w:hAnsi="华文中宋"/>
          <w:b/>
          <w:sz w:val="30"/>
        </w:rPr>
      </w:pPr>
      <w:r w:rsidRPr="00020D0E">
        <w:rPr>
          <w:rFonts w:ascii="华文中宋" w:eastAsia="华文中宋" w:hAnsi="华文中宋"/>
          <w:b/>
          <w:sz w:val="30"/>
        </w:rPr>
        <w:t>2024</w:t>
      </w:r>
      <w:r w:rsidRPr="00020D0E">
        <w:rPr>
          <w:rFonts w:ascii="华文中宋" w:eastAsia="华文中宋" w:hAnsi="华文中宋"/>
          <w:b/>
          <w:sz w:val="30"/>
        </w:rPr>
        <w:t>年山东省再担保集团股份有限公司人员招聘模拟考试试题及答案解析</w:t>
      </w:r>
    </w:p>
    <w:p w:rsidR="00A77B3E" w14:paraId="76AF444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DBAFD0" w14:textId="77777777">
      <w:pPr>
        <w:spacing w:after="260" w:line="360" w:lineRule="auto"/>
      </w:pPr>
      <w:r>
        <w:rPr>
          <w:rFonts w:eastAsia="微软雅黑" w:cs="宋体"/>
          <w:b/>
        </w:rPr>
        <w:t>一、言语理解与表达</w:t>
      </w:r>
    </w:p>
    <w:p w:rsidR="00E0697D" w14:paraId="52F48B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食品药品安全追溯体系是依赖现代信息技术，对可能存在的食品药品安全隐患发出预警的一项制度。它之所以被一些国家广泛采用，是因为一方面能降低监管部门信息获取成本，提升监管效率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另一方面也能倒逼企业提高安全意识，主动进行风险控制。这项制度已引进我国多年，并体现在相关法律法规以及行动规划中。但在实践中，区域分割、部门分治等问题仍比较突出，没有形成高效的地方联动、部门合力，对解决食品药品安全问题缺少整体效果。</w:t>
      </w:r>
    </w:p>
    <w:p w:rsidR="00E0697D" w14:paraId="0AA48E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607C3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、我国的食品药品安全追溯制度仍有待完善</w:t>
      </w:r>
    </w:p>
    <w:p w:rsidR="00E0697D" w14:paraId="52D50B8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、完善的食品药品安全追溯体系有重要价值</w:t>
      </w:r>
    </w:p>
    <w:p w:rsidR="00E0697D" w14:paraId="5228D5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、相关部门应该加强对食品药品安全的监管</w:t>
      </w:r>
    </w:p>
    <w:p w:rsidR="00E0697D" w14:paraId="039EC8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、多方合作是解决食品药品安全问题的关键</w:t>
      </w:r>
    </w:p>
    <w:p w:rsidR="00E0697D" w14:paraId="7D6E80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133EFBC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开篇介绍食品药品安全追溯体系这一制度，并分析了它被一些国家广泛采用的原因，同时说明我国已引进该制度。紧接着通过转折关联词“但”，重点指出实践中所遇的问题，即“区域分割、部门分治”、“没有形成高效的地方联动、部门合</w:t>
      </w:r>
      <w:r w:rsidRPr="00E0697D">
        <w:rPr>
          <w:rFonts w:ascii="Times New Roman" w:eastAsia="微软雅黑" w:hAnsi="微软雅黑" w:cs="宋体" w:hint="eastAsia"/>
          <w:szCs w:val="18"/>
        </w:rPr>
        <w:t>力”，故文段意在针对这一问题提出对策，即解决食品药品安全问题需要各方联动形成合力。故选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724DB7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2A78B7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41529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6ADA71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5947E6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3659B8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2B0C26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0C39FA3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740E51A"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7FA1D7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EC61DA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p>
    <w:p w:rsidR="00E0697D" w14:paraId="116C20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、中国当前全国范围水资源面临严重问题</w:t>
      </w:r>
    </w:p>
    <w:p w:rsidR="00E0697D" w14:paraId="7C1770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、中国北方缺水情况与南方缺水情况不同</w:t>
      </w:r>
    </w:p>
    <w:p w:rsidR="00E0697D" w14:paraId="2A4BE0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、中国一些经济发展较发达的城市地下水污染严重</w:t>
      </w:r>
    </w:p>
    <w:p w:rsidR="00E0697D" w14:paraId="3C023E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D235A2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第一步，分析文段。文段第一句先通过“且”介绍了中国存在人均水资源不足和时空分布不均衡两个问题。接着用数据介绍了我国的缺水量问题，并拿“</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年的数据”进一步说明。之后介绍了我国地下水污染状况严重，并拿“</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个城市的地下水监测数据”进行说明。文段结构为“分—分”</w:t>
      </w:r>
      <w:r w:rsidRPr="00E0697D">
        <w:rPr>
          <w:rFonts w:ascii="Times New Roman" w:eastAsia="微软雅黑" w:hAnsi="微软雅黑" w:cs="宋体" w:hint="eastAsia"/>
          <w:szCs w:val="18"/>
        </w:rPr>
        <w:t>，全面概括文段内容，即中国面临许多水资源问题。第二步，对比选项。文段主要内容同义替换对应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项为文段的部分内容，过于片面。故选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1046A5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人力资源竞争，固然是一种市场竞争，却与普通商品的市场属性有所不同。薪资待遇固然是不可或缺的重要因素，但劳动者对于职业的权衡，却是多方面因素综合考量的结果。因此，人力资源的竞争，必须回归以人为本的理念。</w:t>
      </w:r>
    </w:p>
    <w:p w:rsidR="00E0697D" w14:paraId="013C41E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根据这段文字，下列表述正确的是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FB869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、人力资源与普通商品存在本质上的差异</w:t>
      </w:r>
    </w:p>
    <w:p w:rsidR="00E0697D" w14:paraId="60AD500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、劳动者在选择职业时不再考虑薪资待遇</w:t>
      </w:r>
    </w:p>
    <w:p w:rsidR="00E0697D" w14:paraId="73E4B8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、劳动者会从多方面综合考量职业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https://d.book118.com/936120234233010033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rsidP="00D07274" w14:paraId="6FC7A9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D0E" w14:paraId="058833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rsidP="00D07274" w14:paraId="59B1A0CD" w14:textId="4F6DA5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20D0E" w14:paraId="5E7581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paraId="08C971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D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rsidP="00D07274" w14:textId="4F6DA5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20D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0D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rsidP="00D07274" w14:textId="4F6DA55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20D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paraId="5F428DF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paraId="6DAAAB1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paraId="184F31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0D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20D0E"/>
    <w:rsid w:val="003F588C"/>
    <w:rsid w:val="007675BD"/>
    <w:rsid w:val="009C641C"/>
    <w:rsid w:val="00A77B3E"/>
    <w:rsid w:val="00A95C3D"/>
    <w:rsid w:val="00CA2A55"/>
    <w:rsid w:val="00D07274"/>
    <w:rsid w:val="00D37CA8"/>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038828"/>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020D0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20D0E"/>
    <w:rPr>
      <w:sz w:val="18"/>
      <w:szCs w:val="18"/>
    </w:rPr>
  </w:style>
  <w:style w:type="paragraph" w:styleId="Footer">
    <w:name w:val="footer"/>
    <w:basedOn w:val="Normal"/>
    <w:link w:val="a0"/>
    <w:rsid w:val="00020D0E"/>
    <w:pPr>
      <w:tabs>
        <w:tab w:val="center" w:pos="4153"/>
        <w:tab w:val="right" w:pos="8306"/>
      </w:tabs>
      <w:snapToGrid w:val="0"/>
    </w:pPr>
    <w:rPr>
      <w:sz w:val="18"/>
      <w:szCs w:val="18"/>
    </w:rPr>
  </w:style>
  <w:style w:type="character" w:customStyle="1" w:styleId="a0">
    <w:name w:val="页脚 字符"/>
    <w:basedOn w:val="DefaultParagraphFont"/>
    <w:link w:val="Footer"/>
    <w:rsid w:val="00020D0E"/>
    <w:rPr>
      <w:sz w:val="18"/>
      <w:szCs w:val="18"/>
    </w:rPr>
  </w:style>
  <w:style w:type="character" w:styleId="PageNumber">
    <w:name w:val="page number"/>
    <w:basedOn w:val="DefaultParagraphFont"/>
    <w:rsid w:val="00020D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6120234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4145</Words>
  <Characters>23630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