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ascii="仿宋_GB2312" w:eastAsia="仿宋_GB2312" w:hAnsi="仿宋_GB2312" w:cs="仿宋_GB2312" w:hint="eastAsia"/>
          <w:color w:val="000000"/>
          <w:sz w:val="36"/>
          <w:szCs w:val="36"/>
        </w:rPr>
      </w:pPr>
      <w:bookmarkStart w:id="0" w:name="_Hlk57883707"/>
    </w:p>
    <w:p>
      <w:pPr>
        <w:rPr>
          <w:rFonts w:ascii="仿宋_GB2312" w:eastAsia="仿宋_GB2312" w:hAnsi="仿宋_GB2312" w:cs="仿宋_GB2312"/>
          <w:color w:val="000000"/>
          <w:sz w:val="36"/>
          <w:szCs w:val="36"/>
        </w:rPr>
      </w:pPr>
    </w:p>
    <w:p>
      <w:pPr>
        <w:rPr>
          <w:rFonts w:ascii="仿宋_GB2312" w:eastAsia="仿宋_GB2312" w:hAnsi="仿宋_GB2312" w:cs="仿宋_GB2312"/>
          <w:color w:val="000000"/>
          <w:sz w:val="36"/>
          <w:szCs w:val="36"/>
        </w:rPr>
      </w:pPr>
    </w:p>
    <w:p>
      <w:pPr>
        <w:rPr>
          <w:rFonts w:ascii="仿宋_GB2312" w:eastAsia="仿宋_GB2312" w:hAnsi="仿宋_GB2312" w:cs="仿宋_GB2312"/>
          <w:color w:val="000000"/>
          <w:sz w:val="36"/>
          <w:szCs w:val="36"/>
        </w:rPr>
      </w:pPr>
    </w:p>
    <w:p>
      <w:pPr>
        <w:adjustRightInd w:val="0"/>
        <w:snapToGrid w:val="0"/>
        <w:jc w:val="center"/>
        <w:outlineLvl w:val="0"/>
        <w:rPr>
          <w:rFonts w:ascii="方正小标宋_GBK" w:eastAsia="方正小标宋_GBK" w:hint="eastAsia"/>
          <w:bCs/>
          <w:color w:val="000000"/>
          <w:sz w:val="72"/>
          <w:szCs w:val="72"/>
        </w:rPr>
      </w:pPr>
      <w:bookmarkEnd w:id="0"/>
      <w:r>
        <w:rPr>
          <w:rFonts w:ascii="方正小标宋_GBK" w:eastAsia="方正小标宋_GBK" w:hint="eastAsia"/>
          <w:bCs/>
          <w:color w:val="000000"/>
          <w:sz w:val="72"/>
          <w:szCs w:val="72"/>
        </w:rPr>
        <w:t>建设项目环境影响报告表</w:t>
      </w:r>
    </w:p>
    <w:p>
      <w:pPr>
        <w:adjustRightInd w:val="0"/>
        <w:snapToGrid w:val="0"/>
        <w:spacing w:before="192" w:beforeLines="80"/>
        <w:jc w:val="center"/>
        <w:rPr>
          <w:rFonts w:ascii="楷体_GB2312" w:eastAsia="楷体_GB2312" w:hint="eastAsia"/>
          <w:bCs/>
          <w:color w:val="000000"/>
          <w:sz w:val="48"/>
          <w:szCs w:val="48"/>
        </w:rPr>
      </w:pPr>
      <w:r>
        <w:rPr>
          <w:rFonts w:ascii="楷体_GB2312" w:eastAsia="楷体_GB2312" w:hint="eastAsia"/>
          <w:bCs/>
          <w:color w:val="000000"/>
          <w:sz w:val="48"/>
          <w:szCs w:val="48"/>
        </w:rPr>
        <w:t>（生态影响类）</w:t>
      </w:r>
    </w:p>
    <w:p>
      <w:pPr>
        <w:rPr>
          <w:rFonts w:ascii="华文仿宋" w:eastAsia="华文仿宋" w:hAnsi="华文仿宋" w:cs="华文仿宋"/>
          <w:color w:val="000000"/>
          <w:kern w:val="44"/>
          <w:sz w:val="44"/>
          <w:szCs w:val="44"/>
        </w:rPr>
      </w:pPr>
      <w:bookmarkStart w:id="1" w:name="_Hlk57883728"/>
    </w:p>
    <w:p>
      <w:pPr>
        <w:jc w:val="center"/>
        <w:rPr>
          <w:rFonts w:eastAsia="仿宋"/>
          <w:color w:val="000000"/>
          <w:sz w:val="52"/>
          <w:szCs w:val="52"/>
        </w:rPr>
      </w:pPr>
    </w:p>
    <w:p>
      <w:pPr>
        <w:ind w:firstLine="1040"/>
        <w:rPr>
          <w:rFonts w:eastAsia="仿宋"/>
          <w:color w:val="000000"/>
          <w:sz w:val="44"/>
          <w:szCs w:val="44"/>
        </w:rPr>
      </w:pPr>
    </w:p>
    <w:p>
      <w:pPr>
        <w:ind w:firstLine="1040"/>
        <w:rPr>
          <w:rFonts w:eastAsia="仿宋"/>
          <w:color w:val="000000"/>
          <w:sz w:val="44"/>
          <w:szCs w:val="44"/>
        </w:rPr>
      </w:pPr>
    </w:p>
    <w:p>
      <w:pPr>
        <w:adjustRightInd w:val="0"/>
        <w:snapToGrid w:val="0"/>
        <w:spacing w:line="288" w:lineRule="auto"/>
        <w:ind w:firstLine="1040"/>
        <w:rPr>
          <w:rFonts w:eastAsia="仿宋" w:hint="eastAsia"/>
          <w:color w:val="000000"/>
          <w:sz w:val="44"/>
          <w:szCs w:val="44"/>
        </w:rPr>
      </w:pPr>
      <w:bookmarkEnd w:id="1"/>
    </w:p>
    <w:p>
      <w:pPr>
        <w:adjustRightInd w:val="0"/>
        <w:snapToGrid w:val="0"/>
        <w:spacing w:line="288" w:lineRule="auto"/>
        <w:ind w:firstLine="1040"/>
        <w:rPr>
          <w:rFonts w:eastAsia="仿宋" w:hint="eastAsia"/>
          <w:color w:val="000000"/>
          <w:sz w:val="44"/>
          <w:szCs w:val="44"/>
        </w:rPr>
      </w:pPr>
    </w:p>
    <w:p>
      <w:pPr>
        <w:adjustRightInd w:val="0"/>
        <w:snapToGrid w:val="0"/>
        <w:spacing w:line="288" w:lineRule="auto"/>
        <w:ind w:firstLine="1040"/>
        <w:rPr>
          <w:rFonts w:eastAsia="仿宋" w:hint="eastAsia"/>
          <w:color w:val="000000"/>
          <w:sz w:val="44"/>
          <w:szCs w:val="44"/>
        </w:rPr>
      </w:pPr>
    </w:p>
    <w:p>
      <w:pPr>
        <w:adjustRightInd w:val="0"/>
        <w:snapToGrid w:val="0"/>
        <w:spacing w:line="360" w:lineRule="auto"/>
        <w:ind w:left="2522" w:hanging="1800" w:leftChars="344" w:hangingChars="500"/>
        <w:jc w:val="center"/>
        <w:rPr>
          <w:rFonts w:ascii="仿宋_GB2312" w:eastAsia="仿宋_GB2312" w:hint="eastAsia"/>
          <w:color w:val="000000"/>
          <w:sz w:val="36"/>
          <w:szCs w:val="36"/>
          <w:u w:val="single"/>
        </w:rPr>
      </w:pPr>
      <w:r>
        <w:rPr>
          <w:rFonts w:ascii="仿宋_GB2312" w:eastAsia="仿宋_GB2312" w:hint="eastAsia"/>
          <w:color w:val="000000"/>
          <w:sz w:val="36"/>
          <w:szCs w:val="36"/>
        </w:rPr>
        <w:t>项目名称：</w:t>
      </w:r>
      <w:r>
        <w:rPr>
          <w:rFonts w:ascii="仿宋_GB2312" w:eastAsia="仿宋_GB2312"/>
          <w:color w:val="000000"/>
          <w:sz w:val="36"/>
          <w:szCs w:val="36"/>
          <w:u w:val="single"/>
        </w:rPr>
        <w:t>S324宁武线（三岭大街</w:t>
      </w:r>
      <w:r>
        <w:rPr>
          <w:rFonts w:ascii="仿宋_GB2312" w:eastAsia="仿宋_GB2312" w:hint="eastAsia"/>
          <w:color w:val="000000"/>
          <w:sz w:val="36"/>
          <w:szCs w:val="36"/>
          <w:u w:val="single"/>
        </w:rPr>
        <w:t>西</w:t>
      </w:r>
      <w:r>
        <w:rPr>
          <w:rFonts w:ascii="仿宋_GB2312" w:eastAsia="仿宋_GB2312"/>
          <w:color w:val="000000"/>
          <w:sz w:val="36"/>
          <w:szCs w:val="36"/>
          <w:u w:val="single"/>
        </w:rPr>
        <w:t>至小店桥段）改建工程</w:t>
      </w:r>
    </w:p>
    <w:p>
      <w:pPr>
        <w:adjustRightInd w:val="0"/>
        <w:snapToGrid w:val="0"/>
        <w:spacing w:line="360" w:lineRule="auto"/>
        <w:ind w:firstLine="720" w:firstLineChars="200"/>
        <w:rPr>
          <w:rFonts w:ascii="仿宋_GB2312" w:eastAsia="仿宋_GB2312"/>
          <w:color w:val="000000"/>
          <w:sz w:val="36"/>
          <w:szCs w:val="36"/>
          <w:u w:val="single"/>
        </w:rPr>
      </w:pPr>
      <w:r>
        <w:rPr>
          <w:rFonts w:ascii="仿宋_GB2312" w:eastAsia="仿宋_GB2312" w:hint="eastAsia"/>
          <w:color w:val="000000"/>
          <w:sz w:val="36"/>
          <w:szCs w:val="36"/>
        </w:rPr>
        <w:t>建设单位（盖章）：</w:t>
      </w:r>
      <w:r>
        <w:rPr>
          <w:rFonts w:ascii="仿宋_GB2312" w:eastAsia="仿宋_GB2312" w:hint="eastAsia"/>
          <w:color w:val="000000"/>
          <w:sz w:val="36"/>
          <w:szCs w:val="36"/>
          <w:u w:val="single"/>
        </w:rPr>
        <w:t xml:space="preserve">宁津县交通运输局         </w:t>
      </w:r>
    </w:p>
    <w:p>
      <w:pPr>
        <w:adjustRightInd w:val="0"/>
        <w:snapToGrid w:val="0"/>
        <w:spacing w:line="360" w:lineRule="auto"/>
        <w:ind w:firstLine="720" w:firstLineChars="200"/>
        <w:rPr>
          <w:rFonts w:ascii="仿宋_GB2312" w:eastAsia="仿宋_GB2312" w:hint="eastAsia"/>
          <w:color w:val="000000"/>
          <w:sz w:val="36"/>
          <w:szCs w:val="36"/>
          <w:u w:val="single"/>
        </w:rPr>
      </w:pPr>
      <w:r>
        <w:rPr>
          <w:rFonts w:ascii="仿宋_GB2312" w:eastAsia="仿宋_GB2312" w:hint="eastAsia"/>
          <w:color w:val="000000"/>
          <w:sz w:val="36"/>
          <w:szCs w:val="36"/>
        </w:rPr>
        <w:t>编制日期：</w:t>
      </w:r>
      <w:r>
        <w:rPr>
          <w:rFonts w:ascii="仿宋_GB2312" w:eastAsia="仿宋_GB2312" w:hint="eastAsia"/>
          <w:color w:val="000000"/>
          <w:sz w:val="36"/>
          <w:szCs w:val="36"/>
          <w:u w:val="single"/>
        </w:rPr>
        <w:t xml:space="preserve"> </w:t>
      </w:r>
      <w:r>
        <w:rPr>
          <w:rFonts w:ascii="仿宋_GB2312" w:eastAsia="仿宋_GB2312"/>
          <w:color w:val="000000"/>
          <w:sz w:val="36"/>
          <w:szCs w:val="36"/>
          <w:u w:val="single"/>
        </w:rPr>
        <w:t xml:space="preserve"> </w:t>
      </w:r>
      <w:r>
        <w:rPr>
          <w:rFonts w:eastAsia="仿宋_GB2312"/>
          <w:color w:val="000000"/>
          <w:sz w:val="36"/>
          <w:szCs w:val="36"/>
          <w:u w:val="single"/>
        </w:rPr>
        <w:t xml:space="preserve">  202</w:t>
      </w:r>
      <w:r>
        <w:rPr>
          <w:rFonts w:eastAsia="仿宋_GB2312" w:hint="eastAsia"/>
          <w:color w:val="000000"/>
          <w:sz w:val="36"/>
          <w:szCs w:val="36"/>
          <w:u w:val="single"/>
        </w:rPr>
        <w:t>2</w:t>
      </w:r>
      <w:r>
        <w:rPr>
          <w:rFonts w:eastAsia="仿宋_GB2312"/>
          <w:color w:val="000000"/>
          <w:sz w:val="36"/>
          <w:szCs w:val="36"/>
          <w:u w:val="single"/>
        </w:rPr>
        <w:t>年</w:t>
      </w:r>
      <w:r>
        <w:rPr>
          <w:rFonts w:eastAsia="仿宋_GB2312" w:hint="eastAsia"/>
          <w:color w:val="000000"/>
          <w:sz w:val="36"/>
          <w:szCs w:val="36"/>
          <w:u w:val="single"/>
        </w:rPr>
        <w:t>7</w:t>
      </w:r>
      <w:r>
        <w:rPr>
          <w:rFonts w:eastAsia="仿宋_GB2312"/>
          <w:color w:val="000000"/>
          <w:sz w:val="36"/>
          <w:szCs w:val="36"/>
          <w:u w:val="single"/>
        </w:rPr>
        <w:t>月</w:t>
      </w:r>
      <w:r>
        <w:rPr>
          <w:rFonts w:ascii="仿宋_GB2312" w:eastAsia="仿宋_GB2312"/>
          <w:color w:val="000000"/>
          <w:sz w:val="36"/>
          <w:szCs w:val="36"/>
          <w:u w:val="single"/>
        </w:rPr>
        <w:t xml:space="preserve">         </w:t>
      </w:r>
      <w:r>
        <w:rPr>
          <w:rFonts w:ascii="仿宋_GB2312" w:eastAsia="仿宋_GB2312" w:hint="eastAsia"/>
          <w:color w:val="000000"/>
          <w:sz w:val="36"/>
          <w:szCs w:val="36"/>
          <w:u w:val="single"/>
        </w:rPr>
        <w:t xml:space="preserve">         </w:t>
      </w:r>
    </w:p>
    <w:p>
      <w:pPr>
        <w:adjustRightInd w:val="0"/>
        <w:snapToGrid w:val="0"/>
        <w:spacing w:line="288" w:lineRule="auto"/>
        <w:ind w:firstLine="1040"/>
        <w:rPr>
          <w:rFonts w:ascii="仿宋_GB2312" w:eastAsia="仿宋_GB2312"/>
          <w:color w:val="000000"/>
          <w:sz w:val="36"/>
          <w:szCs w:val="36"/>
        </w:rPr>
      </w:pPr>
    </w:p>
    <w:p>
      <w:pPr>
        <w:adjustRightInd w:val="0"/>
        <w:snapToGrid w:val="0"/>
        <w:spacing w:line="288" w:lineRule="auto"/>
        <w:ind w:firstLine="1040"/>
        <w:rPr>
          <w:rFonts w:ascii="仿宋_GB2312" w:eastAsia="仿宋_GB2312"/>
          <w:color w:val="000000"/>
          <w:sz w:val="36"/>
          <w:szCs w:val="36"/>
        </w:rPr>
      </w:pPr>
    </w:p>
    <w:p>
      <w:pPr>
        <w:adjustRightInd w:val="0"/>
        <w:snapToGrid w:val="0"/>
        <w:spacing w:line="288" w:lineRule="auto"/>
        <w:rPr>
          <w:rFonts w:ascii="仿宋_GB2312" w:eastAsia="仿宋_GB2312" w:hint="eastAsia"/>
          <w:color w:val="000000"/>
          <w:sz w:val="36"/>
          <w:szCs w:val="36"/>
        </w:rPr>
      </w:pPr>
    </w:p>
    <w:p>
      <w:pPr>
        <w:adjustRightInd w:val="0"/>
        <w:snapToGrid w:val="0"/>
        <w:spacing w:line="288" w:lineRule="auto"/>
        <w:jc w:val="center"/>
        <w:rPr>
          <w:rFonts w:ascii="楷体_GB2312" w:eastAsia="楷体_GB2312"/>
          <w:color w:val="000000"/>
          <w:sz w:val="36"/>
          <w:szCs w:val="36"/>
        </w:rPr>
      </w:pPr>
      <w:r>
        <w:rPr>
          <w:rFonts w:ascii="楷体_GB2312" w:eastAsia="楷体_GB2312" w:hint="eastAsia"/>
          <w:color w:val="000000"/>
          <w:sz w:val="36"/>
          <w:szCs w:val="36"/>
        </w:rPr>
        <w:t>中华人民共和国生态环境部制</w:t>
      </w:r>
    </w:p>
    <w:p>
      <w:pPr>
        <w:adjustRightInd w:val="0"/>
        <w:snapToGrid w:val="0"/>
        <w:spacing w:line="288" w:lineRule="auto"/>
        <w:ind w:firstLine="1040"/>
        <w:rPr>
          <w:rFonts w:ascii="仿宋_GB2312" w:eastAsia="仿宋_GB2312"/>
          <w:color w:val="000000"/>
          <w:sz w:val="36"/>
          <w:szCs w:val="36"/>
        </w:rPr>
        <w:sectPr>
          <w:footerReference w:type="even" r:id="rId4"/>
          <w:footerReference w:type="default" r:id="rId5"/>
          <w:pgSz w:w="11906" w:h="16838"/>
          <w:pgMar w:top="1701" w:right="1531" w:bottom="1701" w:left="1531" w:header="851" w:footer="1077" w:gutter="0"/>
          <w:pgNumType w:start="21"/>
          <w:cols w:space="708"/>
          <w:titlePg/>
          <w:docGrid w:linePitch="312"/>
        </w:sectPr>
      </w:pPr>
    </w:p>
    <w:p>
      <w:pPr>
        <w:pStyle w:val="NormalWeb"/>
        <w:jc w:val="center"/>
        <w:outlineLvl w:val="0"/>
        <w:rPr>
          <w:rFonts w:ascii="黑体" w:eastAsia="黑体" w:hAnsi="黑体"/>
          <w:b/>
          <w:snapToGrid w:val="0"/>
          <w:color w:val="000000"/>
          <w:sz w:val="30"/>
          <w:szCs w:val="30"/>
        </w:rPr>
      </w:pPr>
      <w:r>
        <w:rPr>
          <w:rFonts w:ascii="黑体" w:eastAsia="黑体" w:hAnsi="黑体" w:hint="eastAsia"/>
          <w:b/>
          <w:snapToGrid w:val="0"/>
          <w:color w:val="000000"/>
          <w:sz w:val="30"/>
          <w:szCs w:val="30"/>
        </w:rPr>
        <w:t>一、建设项目基本情况</w:t>
      </w:r>
    </w:p>
    <w:tbl>
      <w:tblPr>
        <w:tblStyle w:val="TableNormal"/>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
      <w:tblGrid>
        <w:gridCol w:w="1985"/>
        <w:gridCol w:w="2062"/>
        <w:gridCol w:w="2036"/>
        <w:gridCol w:w="10"/>
        <w:gridCol w:w="2412"/>
      </w:tblGrid>
      <w:tr>
        <w:tblPrEx>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Ex>
        <w:trPr>
          <w:trHeight w:val="454"/>
        </w:trPr>
        <w:tc>
          <w:tcPr>
            <w:tcW w:w="1167" w:type="pct"/>
            <w:tcMar>
              <w:top w:w="16" w:type="dxa"/>
              <w:left w:w="16" w:type="dxa"/>
              <w:right w:w="16" w:type="dxa"/>
            </w:tcMar>
            <w:vAlign w:val="center"/>
          </w:tcPr>
          <w:p>
            <w:pPr>
              <w:adjustRightInd w:val="0"/>
              <w:snapToGrid w:val="0"/>
              <w:jc w:val="center"/>
              <w:rPr>
                <w:rFonts w:ascii="宋体" w:hAnsi="宋体" w:cs="宋体"/>
                <w:color w:val="000000"/>
                <w:sz w:val="24"/>
              </w:rPr>
            </w:pPr>
            <w:r>
              <w:rPr>
                <w:rFonts w:ascii="宋体" w:hAnsi="宋体" w:cs="宋体" w:hint="eastAsia"/>
                <w:color w:val="000000"/>
                <w:sz w:val="24"/>
              </w:rPr>
              <w:t>建设项目名称</w:t>
            </w:r>
          </w:p>
        </w:tc>
        <w:tc>
          <w:tcPr>
            <w:tcW w:w="3833" w:type="pct"/>
            <w:gridSpan w:val="4"/>
            <w:vAlign w:val="center"/>
          </w:tcPr>
          <w:p>
            <w:pPr>
              <w:adjustRightInd w:val="0"/>
              <w:snapToGrid w:val="0"/>
              <w:jc w:val="center"/>
              <w:rPr>
                <w:color w:val="000000"/>
                <w:sz w:val="24"/>
              </w:rPr>
            </w:pPr>
            <w:r>
              <w:rPr>
                <w:color w:val="000000"/>
                <w:sz w:val="24"/>
              </w:rPr>
              <w:t>S324宁武线（三岭大街西至小店桥段）改建工程</w:t>
            </w:r>
          </w:p>
        </w:tc>
      </w:tr>
      <w:tr>
        <w:tblPrEx>
          <w:tblW w:w="5104" w:type="pct"/>
          <w:tblInd w:w="-126" w:type="dxa"/>
          <w:tblCellMar>
            <w:top w:w="0" w:type="dxa"/>
            <w:left w:w="0" w:type="dxa"/>
            <w:bottom w:w="0" w:type="dxa"/>
            <w:right w:w="0" w:type="dxa"/>
          </w:tblCellMar>
          <w:tblLook w:val="0000"/>
        </w:tblPrEx>
        <w:trPr>
          <w:trHeight w:val="454"/>
        </w:trPr>
        <w:tc>
          <w:tcPr>
            <w:tcW w:w="1167" w:type="pct"/>
            <w:tcMar>
              <w:top w:w="16" w:type="dxa"/>
              <w:left w:w="16" w:type="dxa"/>
              <w:right w:w="16" w:type="dxa"/>
            </w:tcMar>
            <w:vAlign w:val="center"/>
          </w:tcPr>
          <w:p>
            <w:pPr>
              <w:adjustRightInd w:val="0"/>
              <w:snapToGrid w:val="0"/>
              <w:jc w:val="center"/>
              <w:rPr>
                <w:rFonts w:ascii="宋体" w:hAnsi="宋体" w:cs="宋体"/>
                <w:color w:val="000000"/>
                <w:sz w:val="24"/>
              </w:rPr>
            </w:pPr>
            <w:r>
              <w:rPr>
                <w:rFonts w:ascii="宋体" w:hAnsi="宋体" w:cs="宋体" w:hint="eastAsia"/>
                <w:color w:val="000000"/>
                <w:sz w:val="24"/>
              </w:rPr>
              <w:t>项目代码</w:t>
            </w:r>
          </w:p>
        </w:tc>
        <w:tc>
          <w:tcPr>
            <w:tcW w:w="3833" w:type="pct"/>
            <w:gridSpan w:val="4"/>
            <w:vAlign w:val="center"/>
          </w:tcPr>
          <w:p>
            <w:pPr>
              <w:adjustRightInd w:val="0"/>
              <w:snapToGrid w:val="0"/>
              <w:jc w:val="center"/>
              <w:rPr>
                <w:color w:val="000000"/>
                <w:sz w:val="24"/>
              </w:rPr>
            </w:pPr>
            <w:r>
              <w:rPr>
                <w:rFonts w:hint="eastAsia"/>
                <w:color w:val="000000"/>
                <w:sz w:val="24"/>
              </w:rPr>
              <w:t>/</w:t>
            </w:r>
          </w:p>
        </w:tc>
      </w:tr>
      <w:tr>
        <w:tblPrEx>
          <w:tblW w:w="5104" w:type="pct"/>
          <w:tblInd w:w="-126" w:type="dxa"/>
          <w:tblCellMar>
            <w:top w:w="0" w:type="dxa"/>
            <w:left w:w="0" w:type="dxa"/>
            <w:bottom w:w="0" w:type="dxa"/>
            <w:right w:w="0" w:type="dxa"/>
          </w:tblCellMar>
          <w:tblLook w:val="0000"/>
        </w:tblPrEx>
        <w:trPr>
          <w:trHeight w:val="454"/>
        </w:trPr>
        <w:tc>
          <w:tcPr>
            <w:tcW w:w="1167" w:type="pct"/>
            <w:tcMar>
              <w:top w:w="16" w:type="dxa"/>
              <w:left w:w="16" w:type="dxa"/>
              <w:right w:w="16" w:type="dxa"/>
            </w:tcMar>
            <w:vAlign w:val="center"/>
          </w:tcPr>
          <w:p>
            <w:pPr>
              <w:adjustRightInd w:val="0"/>
              <w:snapToGrid w:val="0"/>
              <w:jc w:val="center"/>
              <w:rPr>
                <w:rFonts w:ascii="宋体" w:hAnsi="宋体" w:cs="宋体"/>
                <w:color w:val="000000"/>
                <w:sz w:val="24"/>
              </w:rPr>
            </w:pPr>
            <w:r>
              <w:rPr>
                <w:rFonts w:ascii="宋体" w:hAnsi="宋体" w:cs="宋体" w:hint="eastAsia"/>
                <w:color w:val="000000"/>
                <w:sz w:val="24"/>
              </w:rPr>
              <w:t>建设单位联系人</w:t>
            </w:r>
          </w:p>
        </w:tc>
        <w:tc>
          <w:tcPr>
            <w:tcW w:w="1212" w:type="pct"/>
            <w:vAlign w:val="center"/>
          </w:tcPr>
          <w:p>
            <w:pPr>
              <w:adjustRightInd w:val="0"/>
              <w:snapToGrid w:val="0"/>
              <w:jc w:val="center"/>
              <w:rPr>
                <w:rFonts w:ascii="宋体" w:hAnsi="宋体" w:cs="宋体"/>
                <w:color w:val="000000"/>
                <w:sz w:val="24"/>
              </w:rPr>
            </w:pPr>
          </w:p>
        </w:tc>
        <w:tc>
          <w:tcPr>
            <w:tcW w:w="1203" w:type="pct"/>
            <w:gridSpan w:val="2"/>
            <w:vAlign w:val="center"/>
          </w:tcPr>
          <w:p>
            <w:pPr>
              <w:adjustRightInd w:val="0"/>
              <w:snapToGrid w:val="0"/>
              <w:jc w:val="center"/>
              <w:rPr>
                <w:color w:val="000000"/>
                <w:sz w:val="24"/>
              </w:rPr>
            </w:pPr>
            <w:r>
              <w:rPr>
                <w:color w:val="000000"/>
                <w:sz w:val="24"/>
              </w:rPr>
              <w:t>联系方式</w:t>
            </w:r>
          </w:p>
        </w:tc>
        <w:tc>
          <w:tcPr>
            <w:tcW w:w="1418" w:type="pct"/>
            <w:vAlign w:val="center"/>
          </w:tcPr>
          <w:p>
            <w:pPr>
              <w:adjustRightInd w:val="0"/>
              <w:snapToGrid w:val="0"/>
              <w:jc w:val="center"/>
              <w:rPr>
                <w:color w:val="000000"/>
                <w:sz w:val="24"/>
              </w:rPr>
            </w:pPr>
          </w:p>
        </w:tc>
      </w:tr>
      <w:tr>
        <w:tblPrEx>
          <w:tblW w:w="5104" w:type="pct"/>
          <w:tblInd w:w="-126" w:type="dxa"/>
          <w:tblCellMar>
            <w:top w:w="0" w:type="dxa"/>
            <w:left w:w="0" w:type="dxa"/>
            <w:bottom w:w="0" w:type="dxa"/>
            <w:right w:w="0" w:type="dxa"/>
          </w:tblCellMar>
          <w:tblLook w:val="0000"/>
        </w:tblPrEx>
        <w:trPr>
          <w:trHeight w:val="362"/>
        </w:trPr>
        <w:tc>
          <w:tcPr>
            <w:tcW w:w="1167" w:type="pct"/>
            <w:tcMar>
              <w:top w:w="16" w:type="dxa"/>
              <w:left w:w="16" w:type="dxa"/>
              <w:right w:w="16" w:type="dxa"/>
            </w:tcMar>
            <w:vAlign w:val="center"/>
          </w:tcPr>
          <w:p>
            <w:pPr>
              <w:adjustRightInd w:val="0"/>
              <w:snapToGrid w:val="0"/>
              <w:jc w:val="center"/>
              <w:rPr>
                <w:rFonts w:ascii="宋体" w:hAnsi="宋体" w:cs="宋体"/>
                <w:color w:val="000000"/>
                <w:sz w:val="24"/>
              </w:rPr>
            </w:pPr>
            <w:r>
              <w:rPr>
                <w:rFonts w:ascii="宋体" w:hAnsi="宋体" w:cs="宋体" w:hint="eastAsia"/>
                <w:color w:val="000000"/>
                <w:sz w:val="24"/>
              </w:rPr>
              <w:t>建设地点</w:t>
            </w:r>
          </w:p>
        </w:tc>
        <w:tc>
          <w:tcPr>
            <w:tcW w:w="3833" w:type="pct"/>
            <w:gridSpan w:val="4"/>
            <w:vAlign w:val="center"/>
          </w:tcPr>
          <w:p>
            <w:pPr>
              <w:adjustRightInd w:val="0"/>
              <w:snapToGrid w:val="0"/>
              <w:jc w:val="center"/>
              <w:rPr>
                <w:color w:val="000000"/>
                <w:sz w:val="24"/>
              </w:rPr>
            </w:pPr>
            <w:r>
              <w:rPr>
                <w:color w:val="000000"/>
                <w:sz w:val="24"/>
              </w:rPr>
              <w:t>山东省</w:t>
            </w:r>
            <w:r>
              <w:rPr>
                <w:rFonts w:hint="eastAsia"/>
                <w:color w:val="000000"/>
                <w:sz w:val="24"/>
              </w:rPr>
              <w:t>德州市宁津县城区西（起于三岭大街与宁德路交叉口（K4+234），止于宁津小店桥（K9+140））</w:t>
            </w:r>
          </w:p>
        </w:tc>
      </w:tr>
      <w:tr>
        <w:tblPrEx>
          <w:tblW w:w="5104" w:type="pct"/>
          <w:tblInd w:w="-126" w:type="dxa"/>
          <w:tblCellMar>
            <w:top w:w="0" w:type="dxa"/>
            <w:left w:w="0" w:type="dxa"/>
            <w:bottom w:w="0" w:type="dxa"/>
            <w:right w:w="0" w:type="dxa"/>
          </w:tblCellMar>
          <w:tblLook w:val="0000"/>
        </w:tblPrEx>
        <w:trPr>
          <w:trHeight w:val="355"/>
        </w:trPr>
        <w:tc>
          <w:tcPr>
            <w:tcW w:w="1167" w:type="pct"/>
            <w:tcMar>
              <w:top w:w="16" w:type="dxa"/>
              <w:left w:w="16" w:type="dxa"/>
              <w:right w:w="16" w:type="dxa"/>
            </w:tcMar>
            <w:vAlign w:val="center"/>
          </w:tcPr>
          <w:p>
            <w:pPr>
              <w:adjustRightInd w:val="0"/>
              <w:snapToGrid w:val="0"/>
              <w:jc w:val="center"/>
              <w:rPr>
                <w:rFonts w:ascii="宋体" w:hAnsi="宋体" w:cs="宋体"/>
                <w:color w:val="000000"/>
                <w:sz w:val="24"/>
              </w:rPr>
            </w:pPr>
            <w:r>
              <w:rPr>
                <w:rFonts w:ascii="宋体" w:hAnsi="宋体" w:cs="宋体" w:hint="eastAsia"/>
                <w:color w:val="000000"/>
                <w:sz w:val="24"/>
              </w:rPr>
              <w:t>地理坐标</w:t>
            </w:r>
          </w:p>
        </w:tc>
        <w:tc>
          <w:tcPr>
            <w:tcW w:w="3833" w:type="pct"/>
            <w:gridSpan w:val="4"/>
            <w:vAlign w:val="center"/>
          </w:tcPr>
          <w:p>
            <w:pPr>
              <w:adjustRightInd w:val="0"/>
              <w:snapToGrid w:val="0"/>
              <w:rPr>
                <w:rFonts w:hint="eastAsia"/>
                <w:color w:val="000000"/>
                <w:sz w:val="24"/>
              </w:rPr>
            </w:pPr>
            <w:r>
              <w:rPr>
                <w:rFonts w:hint="eastAsia"/>
                <w:color w:val="000000"/>
                <w:sz w:val="24"/>
              </w:rPr>
              <w:t>起点：</w:t>
            </w:r>
            <w:r>
              <w:rPr>
                <w:color w:val="000000"/>
                <w:sz w:val="24"/>
                <w:u w:val="single"/>
              </w:rPr>
              <w:t xml:space="preserve"> </w:t>
            </w:r>
            <w:r>
              <w:rPr>
                <w:rFonts w:hint="eastAsia"/>
                <w:color w:val="000000"/>
                <w:sz w:val="24"/>
                <w:u w:val="single"/>
              </w:rPr>
              <w:t>116</w:t>
            </w:r>
            <w:r>
              <w:rPr>
                <w:color w:val="000000"/>
                <w:sz w:val="24"/>
                <w:u w:val="single"/>
              </w:rPr>
              <w:t xml:space="preserve"> </w:t>
            </w:r>
            <w:r>
              <w:rPr>
                <w:color w:val="000000"/>
                <w:sz w:val="24"/>
              </w:rPr>
              <w:t>度</w:t>
            </w:r>
            <w:r>
              <w:rPr>
                <w:color w:val="000000"/>
                <w:sz w:val="24"/>
                <w:u w:val="single"/>
              </w:rPr>
              <w:t xml:space="preserve"> </w:t>
            </w:r>
            <w:r>
              <w:rPr>
                <w:rFonts w:hint="eastAsia"/>
                <w:color w:val="000000"/>
                <w:sz w:val="24"/>
                <w:u w:val="single"/>
              </w:rPr>
              <w:t>46</w:t>
            </w:r>
            <w:r>
              <w:rPr>
                <w:color w:val="000000"/>
                <w:sz w:val="24"/>
                <w:u w:val="single"/>
              </w:rPr>
              <w:t xml:space="preserve"> </w:t>
            </w:r>
            <w:r>
              <w:rPr>
                <w:color w:val="000000"/>
                <w:sz w:val="24"/>
              </w:rPr>
              <w:t>分</w:t>
            </w:r>
            <w:r>
              <w:rPr>
                <w:color w:val="000000"/>
                <w:sz w:val="24"/>
                <w:u w:val="single"/>
              </w:rPr>
              <w:t xml:space="preserve"> </w:t>
            </w:r>
            <w:r>
              <w:rPr>
                <w:rFonts w:hint="eastAsia"/>
                <w:color w:val="000000"/>
                <w:sz w:val="24"/>
                <w:u w:val="single"/>
              </w:rPr>
              <w:t>27.372</w:t>
            </w:r>
            <w:r>
              <w:rPr>
                <w:color w:val="000000"/>
                <w:sz w:val="24"/>
                <w:u w:val="single"/>
              </w:rPr>
              <w:t xml:space="preserve"> </w:t>
            </w:r>
            <w:r>
              <w:rPr>
                <w:color w:val="000000"/>
                <w:sz w:val="24"/>
              </w:rPr>
              <w:t>秒，</w:t>
            </w:r>
            <w:r>
              <w:rPr>
                <w:color w:val="000000"/>
                <w:sz w:val="24"/>
                <w:u w:val="single"/>
              </w:rPr>
              <w:t xml:space="preserve"> </w:t>
            </w:r>
            <w:r>
              <w:rPr>
                <w:rFonts w:hint="eastAsia"/>
                <w:color w:val="000000"/>
                <w:sz w:val="24"/>
                <w:u w:val="single"/>
              </w:rPr>
              <w:t>37</w:t>
            </w:r>
            <w:r>
              <w:rPr>
                <w:color w:val="000000"/>
                <w:sz w:val="24"/>
                <w:u w:val="single"/>
              </w:rPr>
              <w:t xml:space="preserve"> </w:t>
            </w:r>
            <w:r>
              <w:rPr>
                <w:color w:val="000000"/>
                <w:sz w:val="24"/>
              </w:rPr>
              <w:t>度</w:t>
            </w:r>
            <w:r>
              <w:rPr>
                <w:color w:val="000000"/>
                <w:sz w:val="24"/>
                <w:u w:val="single"/>
              </w:rPr>
              <w:t xml:space="preserve"> </w:t>
            </w:r>
            <w:r>
              <w:rPr>
                <w:rFonts w:hint="eastAsia"/>
                <w:color w:val="000000"/>
                <w:sz w:val="24"/>
                <w:u w:val="single"/>
              </w:rPr>
              <w:t>37</w:t>
            </w:r>
            <w:r>
              <w:rPr>
                <w:color w:val="000000"/>
                <w:sz w:val="24"/>
                <w:u w:val="single"/>
              </w:rPr>
              <w:t xml:space="preserve"> </w:t>
            </w:r>
            <w:r>
              <w:rPr>
                <w:color w:val="000000"/>
                <w:sz w:val="24"/>
              </w:rPr>
              <w:t>分</w:t>
            </w:r>
            <w:r>
              <w:rPr>
                <w:color w:val="000000"/>
                <w:sz w:val="24"/>
                <w:u w:val="single"/>
              </w:rPr>
              <w:t xml:space="preserve"> </w:t>
            </w:r>
            <w:r>
              <w:rPr>
                <w:rFonts w:hint="eastAsia"/>
                <w:color w:val="000000"/>
                <w:sz w:val="24"/>
                <w:u w:val="single"/>
              </w:rPr>
              <w:t>4.152</w:t>
            </w:r>
            <w:r>
              <w:rPr>
                <w:color w:val="000000"/>
                <w:sz w:val="24"/>
                <w:u w:val="single"/>
              </w:rPr>
              <w:t xml:space="preserve"> </w:t>
            </w:r>
            <w:r>
              <w:rPr>
                <w:color w:val="000000"/>
                <w:sz w:val="24"/>
              </w:rPr>
              <w:t>秒</w:t>
            </w:r>
          </w:p>
          <w:p>
            <w:pPr>
              <w:adjustRightInd w:val="0"/>
              <w:snapToGrid w:val="0"/>
              <w:rPr>
                <w:color w:val="000000"/>
                <w:sz w:val="24"/>
              </w:rPr>
            </w:pPr>
            <w:r>
              <w:rPr>
                <w:rFonts w:hint="eastAsia"/>
                <w:color w:val="000000"/>
                <w:sz w:val="24"/>
              </w:rPr>
              <w:t>终点：</w:t>
            </w:r>
            <w:r>
              <w:rPr>
                <w:rFonts w:hint="eastAsia"/>
                <w:color w:val="000000"/>
                <w:sz w:val="24"/>
                <w:u w:val="single"/>
              </w:rPr>
              <w:t xml:space="preserve"> 116</w:t>
            </w:r>
            <w:r>
              <w:rPr>
                <w:color w:val="000000"/>
                <w:sz w:val="24"/>
                <w:u w:val="single"/>
              </w:rPr>
              <w:t xml:space="preserve"> </w:t>
            </w:r>
            <w:r>
              <w:rPr>
                <w:color w:val="000000"/>
                <w:sz w:val="24"/>
              </w:rPr>
              <w:t>度</w:t>
            </w:r>
            <w:r>
              <w:rPr>
                <w:color w:val="000000"/>
                <w:sz w:val="24"/>
                <w:u w:val="single"/>
              </w:rPr>
              <w:t xml:space="preserve"> </w:t>
            </w:r>
            <w:r>
              <w:rPr>
                <w:rFonts w:hint="eastAsia"/>
                <w:color w:val="000000"/>
                <w:sz w:val="24"/>
                <w:u w:val="single"/>
              </w:rPr>
              <w:t>46</w:t>
            </w:r>
            <w:r>
              <w:rPr>
                <w:color w:val="000000"/>
                <w:sz w:val="24"/>
                <w:u w:val="single"/>
              </w:rPr>
              <w:t xml:space="preserve"> </w:t>
            </w:r>
            <w:r>
              <w:rPr>
                <w:color w:val="000000"/>
                <w:sz w:val="24"/>
              </w:rPr>
              <w:t>分</w:t>
            </w:r>
            <w:r>
              <w:rPr>
                <w:color w:val="000000"/>
                <w:sz w:val="24"/>
                <w:u w:val="single"/>
              </w:rPr>
              <w:t xml:space="preserve"> </w:t>
            </w:r>
            <w:r>
              <w:rPr>
                <w:rFonts w:hint="eastAsia"/>
                <w:color w:val="000000"/>
                <w:sz w:val="24"/>
                <w:u w:val="single"/>
              </w:rPr>
              <w:t>25.104</w:t>
            </w:r>
            <w:r>
              <w:rPr>
                <w:color w:val="000000"/>
                <w:sz w:val="24"/>
                <w:u w:val="single"/>
              </w:rPr>
              <w:t xml:space="preserve"> </w:t>
            </w:r>
            <w:r>
              <w:rPr>
                <w:color w:val="000000"/>
                <w:sz w:val="24"/>
              </w:rPr>
              <w:t>秒，</w:t>
            </w:r>
            <w:r>
              <w:rPr>
                <w:color w:val="000000"/>
                <w:sz w:val="24"/>
                <w:u w:val="single"/>
              </w:rPr>
              <w:t xml:space="preserve"> </w:t>
            </w:r>
            <w:r>
              <w:rPr>
                <w:rFonts w:hint="eastAsia"/>
                <w:color w:val="000000"/>
                <w:sz w:val="24"/>
                <w:u w:val="single"/>
              </w:rPr>
              <w:t>37</w:t>
            </w:r>
            <w:r>
              <w:rPr>
                <w:color w:val="000000"/>
                <w:sz w:val="24"/>
                <w:u w:val="single"/>
              </w:rPr>
              <w:t xml:space="preserve"> </w:t>
            </w:r>
            <w:r>
              <w:rPr>
                <w:color w:val="000000"/>
                <w:sz w:val="24"/>
              </w:rPr>
              <w:t>度</w:t>
            </w:r>
            <w:r>
              <w:rPr>
                <w:color w:val="000000"/>
                <w:sz w:val="24"/>
                <w:u w:val="single"/>
              </w:rPr>
              <w:t xml:space="preserve"> </w:t>
            </w:r>
            <w:r>
              <w:rPr>
                <w:rFonts w:hint="eastAsia"/>
                <w:color w:val="000000"/>
                <w:sz w:val="24"/>
                <w:u w:val="single"/>
              </w:rPr>
              <w:t>34</w:t>
            </w:r>
            <w:r>
              <w:rPr>
                <w:color w:val="000000"/>
                <w:sz w:val="24"/>
                <w:u w:val="single"/>
              </w:rPr>
              <w:t xml:space="preserve"> </w:t>
            </w:r>
            <w:r>
              <w:rPr>
                <w:color w:val="000000"/>
                <w:sz w:val="24"/>
              </w:rPr>
              <w:t>分</w:t>
            </w:r>
            <w:r>
              <w:rPr>
                <w:color w:val="000000"/>
                <w:sz w:val="24"/>
                <w:u w:val="single"/>
              </w:rPr>
              <w:t xml:space="preserve"> </w:t>
            </w:r>
            <w:r>
              <w:rPr>
                <w:rFonts w:hint="eastAsia"/>
                <w:color w:val="000000"/>
                <w:sz w:val="24"/>
                <w:u w:val="single"/>
              </w:rPr>
              <w:t>20.460</w:t>
            </w:r>
            <w:r>
              <w:rPr>
                <w:color w:val="000000"/>
                <w:sz w:val="24"/>
                <w:u w:val="single"/>
              </w:rPr>
              <w:t xml:space="preserve"> </w:t>
            </w:r>
            <w:r>
              <w:rPr>
                <w:color w:val="000000"/>
                <w:sz w:val="24"/>
              </w:rPr>
              <w:t>秒</w:t>
            </w:r>
          </w:p>
        </w:tc>
      </w:tr>
      <w:tr>
        <w:tblPrEx>
          <w:tblW w:w="5104" w:type="pct"/>
          <w:tblInd w:w="-126" w:type="dxa"/>
          <w:tblCellMar>
            <w:top w:w="0" w:type="dxa"/>
            <w:left w:w="0" w:type="dxa"/>
            <w:bottom w:w="0" w:type="dxa"/>
            <w:right w:w="0" w:type="dxa"/>
          </w:tblCellMar>
          <w:tblLook w:val="0000"/>
        </w:tblPrEx>
        <w:trPr>
          <w:trHeight w:val="715"/>
        </w:trPr>
        <w:tc>
          <w:tcPr>
            <w:tcW w:w="1167" w:type="pct"/>
            <w:tcMar>
              <w:top w:w="16" w:type="dxa"/>
              <w:left w:w="16" w:type="dxa"/>
              <w:right w:w="16" w:type="dxa"/>
            </w:tcMar>
            <w:vAlign w:val="center"/>
          </w:tcPr>
          <w:p>
            <w:pPr>
              <w:adjustRightInd w:val="0"/>
              <w:snapToGrid w:val="0"/>
              <w:jc w:val="center"/>
              <w:rPr>
                <w:rFonts w:ascii="宋体" w:hAnsi="宋体" w:cs="宋体"/>
                <w:color w:val="000000"/>
                <w:sz w:val="24"/>
              </w:rPr>
            </w:pPr>
            <w:r>
              <w:rPr>
                <w:rFonts w:ascii="宋体" w:hAnsi="宋体" w:cs="宋体" w:hint="eastAsia"/>
                <w:color w:val="000000"/>
                <w:sz w:val="24"/>
              </w:rPr>
              <w:t>建设项目</w:t>
            </w:r>
          </w:p>
          <w:p>
            <w:pPr>
              <w:adjustRightInd w:val="0"/>
              <w:snapToGrid w:val="0"/>
              <w:jc w:val="center"/>
              <w:rPr>
                <w:rFonts w:ascii="宋体" w:hAnsi="宋体" w:cs="宋体"/>
                <w:color w:val="000000"/>
                <w:sz w:val="24"/>
              </w:rPr>
            </w:pPr>
            <w:r>
              <w:rPr>
                <w:rFonts w:ascii="宋体" w:hAnsi="宋体" w:cs="宋体" w:hint="eastAsia"/>
                <w:color w:val="000000"/>
                <w:sz w:val="24"/>
              </w:rPr>
              <w:t>行业类别</w:t>
            </w:r>
          </w:p>
        </w:tc>
        <w:tc>
          <w:tcPr>
            <w:tcW w:w="1212" w:type="pct"/>
            <w:vAlign w:val="center"/>
          </w:tcPr>
          <w:p>
            <w:pPr>
              <w:adjustRightInd w:val="0"/>
              <w:snapToGrid w:val="0"/>
              <w:jc w:val="left"/>
              <w:rPr>
                <w:color w:val="000000"/>
                <w:sz w:val="24"/>
              </w:rPr>
            </w:pPr>
            <w:r>
              <w:rPr>
                <w:color w:val="000000"/>
                <w:sz w:val="24"/>
              </w:rPr>
              <w:t>五十</w:t>
            </w:r>
            <w:r>
              <w:rPr>
                <w:rFonts w:hint="eastAsia"/>
                <w:color w:val="000000"/>
                <w:sz w:val="24"/>
              </w:rPr>
              <w:t>二</w:t>
            </w:r>
            <w:r>
              <w:rPr>
                <w:color w:val="000000"/>
                <w:sz w:val="24"/>
              </w:rPr>
              <w:t>、</w:t>
            </w:r>
            <w:r>
              <w:rPr>
                <w:rFonts w:hint="eastAsia"/>
                <w:color w:val="000000"/>
                <w:sz w:val="24"/>
              </w:rPr>
              <w:t>交通运输业、管道运输业</w:t>
            </w:r>
            <w:r>
              <w:rPr>
                <w:color w:val="000000"/>
                <w:sz w:val="24"/>
              </w:rPr>
              <w:t>，13</w:t>
            </w:r>
            <w:r>
              <w:rPr>
                <w:rFonts w:hint="eastAsia"/>
                <w:color w:val="000000"/>
                <w:sz w:val="24"/>
              </w:rPr>
              <w:t>0等级公路（不含维护；不含生命救援、应急保通工程以及国防交通保障项目；不含改扩建四级公路）</w:t>
            </w:r>
          </w:p>
        </w:tc>
        <w:tc>
          <w:tcPr>
            <w:tcW w:w="1197" w:type="pct"/>
            <w:vAlign w:val="center"/>
          </w:tcPr>
          <w:p>
            <w:pPr>
              <w:adjustRightInd w:val="0"/>
              <w:snapToGrid w:val="0"/>
              <w:jc w:val="center"/>
              <w:rPr>
                <w:color w:val="000000"/>
                <w:sz w:val="24"/>
              </w:rPr>
            </w:pPr>
            <w:r>
              <w:rPr>
                <w:color w:val="000000"/>
                <w:sz w:val="24"/>
              </w:rPr>
              <w:t>用地（用海）面积（m</w:t>
            </w:r>
            <w:r>
              <w:rPr>
                <w:color w:val="000000"/>
                <w:sz w:val="24"/>
                <w:vertAlign w:val="superscript"/>
              </w:rPr>
              <w:t>2</w:t>
            </w:r>
            <w:r>
              <w:rPr>
                <w:color w:val="000000"/>
                <w:sz w:val="24"/>
              </w:rPr>
              <w:t>）/长度（km）</w:t>
            </w:r>
          </w:p>
        </w:tc>
        <w:tc>
          <w:tcPr>
            <w:tcW w:w="1424" w:type="pct"/>
            <w:gridSpan w:val="2"/>
            <w:vAlign w:val="center"/>
          </w:tcPr>
          <w:p>
            <w:pPr>
              <w:adjustRightInd w:val="0"/>
              <w:snapToGrid w:val="0"/>
              <w:jc w:val="center"/>
              <w:rPr>
                <w:color w:val="000000"/>
                <w:sz w:val="24"/>
              </w:rPr>
            </w:pPr>
            <w:r>
              <w:rPr>
                <w:rFonts w:hint="eastAsia"/>
                <w:color w:val="000000"/>
                <w:sz w:val="24"/>
              </w:rPr>
              <w:t>道路长度：4.906</w:t>
            </w:r>
            <w:r>
              <w:rPr>
                <w:color w:val="000000"/>
                <w:sz w:val="24"/>
              </w:rPr>
              <w:t>km</w:t>
            </w:r>
          </w:p>
        </w:tc>
      </w:tr>
      <w:tr>
        <w:tblPrEx>
          <w:tblW w:w="5104" w:type="pct"/>
          <w:tblInd w:w="-126" w:type="dxa"/>
          <w:tblCellMar>
            <w:top w:w="0" w:type="dxa"/>
            <w:left w:w="0" w:type="dxa"/>
            <w:bottom w:w="0" w:type="dxa"/>
            <w:right w:w="0" w:type="dxa"/>
          </w:tblCellMar>
          <w:tblLook w:val="0000"/>
        </w:tblPrEx>
        <w:trPr>
          <w:trHeight w:val="104"/>
        </w:trPr>
        <w:tc>
          <w:tcPr>
            <w:tcW w:w="1167" w:type="pct"/>
            <w:tcMar>
              <w:top w:w="16" w:type="dxa"/>
              <w:left w:w="16" w:type="dxa"/>
              <w:right w:w="16" w:type="dxa"/>
            </w:tcMar>
            <w:vAlign w:val="center"/>
          </w:tcPr>
          <w:p>
            <w:pPr>
              <w:adjustRightInd w:val="0"/>
              <w:snapToGrid w:val="0"/>
              <w:jc w:val="center"/>
              <w:rPr>
                <w:rFonts w:ascii="宋体" w:hAnsi="宋体" w:cs="宋体"/>
                <w:color w:val="000000"/>
                <w:sz w:val="24"/>
              </w:rPr>
            </w:pPr>
            <w:r>
              <w:rPr>
                <w:rFonts w:ascii="宋体" w:hAnsi="宋体" w:cs="宋体" w:hint="eastAsia"/>
                <w:color w:val="000000"/>
                <w:sz w:val="24"/>
              </w:rPr>
              <w:t>建设性质</w:t>
            </w:r>
          </w:p>
        </w:tc>
        <w:tc>
          <w:tcPr>
            <w:tcW w:w="1212" w:type="pct"/>
            <w:vAlign w:val="center"/>
          </w:tcPr>
          <w:p>
            <w:pPr>
              <w:adjustRightInd w:val="0"/>
              <w:snapToGrid w:val="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新建（迁建）</w:t>
            </w:r>
          </w:p>
          <w:p>
            <w:pPr>
              <w:adjustRightInd w:val="0"/>
              <w:snapToGrid w:val="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改建</w:t>
            </w:r>
          </w:p>
          <w:p>
            <w:pPr>
              <w:adjustRightInd w:val="0"/>
              <w:snapToGrid w:val="0"/>
              <w:jc w:val="left"/>
              <w:rPr>
                <w:rFonts w:ascii="宋体" w:hAnsi="宋体" w:cs="宋体"/>
                <w:color w:val="000000"/>
                <w:sz w:val="24"/>
              </w:rPr>
            </w:pPr>
            <w:r>
              <w:rPr>
                <w:rFonts w:ascii="MS Mincho" w:eastAsia="MS Mincho" w:hAnsi="MS Mincho" w:cs="MS Mincho" w:hint="eastAsia"/>
                <w:color w:val="000000"/>
                <w:sz w:val="24"/>
              </w:rPr>
              <w:t>☑</w:t>
            </w:r>
            <w:r>
              <w:rPr>
                <w:rFonts w:ascii="宋体" w:hAnsi="宋体" w:cs="宋体" w:hint="eastAsia"/>
                <w:color w:val="000000"/>
                <w:sz w:val="24"/>
              </w:rPr>
              <w:t>扩建</w:t>
            </w:r>
          </w:p>
          <w:p>
            <w:pPr>
              <w:adjustRightInd w:val="0"/>
              <w:snapToGrid w:val="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技术改造</w:t>
            </w:r>
          </w:p>
        </w:tc>
        <w:tc>
          <w:tcPr>
            <w:tcW w:w="1197" w:type="pct"/>
            <w:vAlign w:val="center"/>
          </w:tcPr>
          <w:p>
            <w:pPr>
              <w:adjustRightInd w:val="0"/>
              <w:snapToGrid w:val="0"/>
              <w:jc w:val="center"/>
              <w:rPr>
                <w:rFonts w:ascii="宋体" w:hAnsi="宋体" w:cs="宋体"/>
                <w:color w:val="000000"/>
                <w:sz w:val="24"/>
              </w:rPr>
            </w:pPr>
            <w:r>
              <w:rPr>
                <w:rFonts w:ascii="宋体" w:hAnsi="宋体" w:cs="宋体" w:hint="eastAsia"/>
                <w:color w:val="000000"/>
                <w:sz w:val="24"/>
              </w:rPr>
              <w:t>建设项目</w:t>
            </w:r>
          </w:p>
          <w:p>
            <w:pPr>
              <w:adjustRightInd w:val="0"/>
              <w:snapToGrid w:val="0"/>
              <w:jc w:val="center"/>
              <w:rPr>
                <w:rFonts w:ascii="宋体" w:hAnsi="宋体" w:cs="宋体"/>
                <w:color w:val="000000"/>
                <w:sz w:val="24"/>
              </w:rPr>
            </w:pPr>
            <w:r>
              <w:rPr>
                <w:rFonts w:ascii="宋体" w:hAnsi="宋体" w:cs="宋体" w:hint="eastAsia"/>
                <w:color w:val="000000"/>
                <w:sz w:val="24"/>
              </w:rPr>
              <w:t>申报情形</w:t>
            </w:r>
          </w:p>
        </w:tc>
        <w:tc>
          <w:tcPr>
            <w:tcW w:w="1424" w:type="pct"/>
            <w:gridSpan w:val="2"/>
            <w:vAlign w:val="center"/>
          </w:tcPr>
          <w:p>
            <w:pPr>
              <w:adjustRightInd w:val="0"/>
              <w:snapToGrid w:val="0"/>
              <w:jc w:val="left"/>
              <w:rPr>
                <w:rFonts w:ascii="宋体" w:hAnsi="宋体" w:cs="宋体"/>
                <w:color w:val="000000"/>
                <w:sz w:val="24"/>
              </w:rPr>
            </w:pPr>
            <w:r>
              <w:rPr>
                <w:rFonts w:ascii="MS Mincho" w:eastAsia="MS Mincho" w:hAnsi="MS Mincho" w:cs="MS Mincho" w:hint="eastAsia"/>
                <w:color w:val="000000"/>
                <w:sz w:val="24"/>
              </w:rPr>
              <w:t>☑</w:t>
            </w:r>
            <w:r>
              <w:rPr>
                <w:rFonts w:ascii="宋体" w:hAnsi="宋体" w:cs="宋体" w:hint="eastAsia"/>
                <w:color w:val="000000"/>
                <w:sz w:val="24"/>
              </w:rPr>
              <w:t>首次申报项目</w:t>
            </w:r>
          </w:p>
          <w:p>
            <w:pPr>
              <w:adjustRightInd w:val="0"/>
              <w:snapToGrid w:val="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不予批准后再次申报项目</w:t>
            </w:r>
          </w:p>
          <w:p>
            <w:pPr>
              <w:adjustRightInd w:val="0"/>
              <w:snapToGrid w:val="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超五年重新审核项目</w:t>
            </w:r>
          </w:p>
          <w:p>
            <w:pPr>
              <w:adjustRightInd w:val="0"/>
              <w:snapToGrid w:val="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重大变动重新报批项目</w:t>
            </w:r>
          </w:p>
        </w:tc>
      </w:tr>
      <w:tr>
        <w:tblPrEx>
          <w:tblW w:w="5104" w:type="pct"/>
          <w:tblInd w:w="-126" w:type="dxa"/>
          <w:tblCellMar>
            <w:top w:w="0" w:type="dxa"/>
            <w:left w:w="0" w:type="dxa"/>
            <w:bottom w:w="0" w:type="dxa"/>
            <w:right w:w="0" w:type="dxa"/>
          </w:tblCellMar>
          <w:tblLook w:val="0000"/>
        </w:tblPrEx>
        <w:trPr>
          <w:trHeight w:val="762"/>
        </w:trPr>
        <w:tc>
          <w:tcPr>
            <w:tcW w:w="1167" w:type="pct"/>
            <w:tcMar>
              <w:top w:w="16" w:type="dxa"/>
              <w:left w:w="16" w:type="dxa"/>
              <w:right w:w="16" w:type="dxa"/>
            </w:tcMar>
            <w:vAlign w:val="center"/>
          </w:tcPr>
          <w:p>
            <w:pPr>
              <w:adjustRightInd w:val="0"/>
              <w:snapToGrid w:val="0"/>
              <w:jc w:val="center"/>
              <w:rPr>
                <w:color w:val="000000"/>
                <w:sz w:val="24"/>
              </w:rPr>
            </w:pPr>
            <w:r>
              <w:rPr>
                <w:color w:val="000000"/>
                <w:sz w:val="24"/>
              </w:rPr>
              <w:t>项目审批（核准/</w:t>
            </w:r>
          </w:p>
          <w:p>
            <w:pPr>
              <w:adjustRightInd w:val="0"/>
              <w:snapToGrid w:val="0"/>
              <w:jc w:val="center"/>
              <w:rPr>
                <w:color w:val="000000"/>
                <w:sz w:val="24"/>
              </w:rPr>
            </w:pPr>
            <w:r>
              <w:rPr>
                <w:color w:val="000000"/>
                <w:sz w:val="24"/>
              </w:rPr>
              <w:t>备案）部门（选填）</w:t>
            </w:r>
          </w:p>
        </w:tc>
        <w:tc>
          <w:tcPr>
            <w:tcW w:w="1212" w:type="pct"/>
            <w:vAlign w:val="center"/>
          </w:tcPr>
          <w:p>
            <w:pPr>
              <w:adjustRightInd w:val="0"/>
              <w:snapToGrid w:val="0"/>
              <w:jc w:val="center"/>
              <w:rPr>
                <w:color w:val="000000"/>
                <w:sz w:val="24"/>
              </w:rPr>
            </w:pPr>
            <w:r>
              <w:rPr>
                <w:rFonts w:ascii="宋体" w:hAnsi="宋体" w:cs="宋体" w:hint="eastAsia"/>
                <w:color w:val="000000"/>
                <w:sz w:val="24"/>
              </w:rPr>
              <w:t>/</w:t>
            </w:r>
          </w:p>
        </w:tc>
        <w:tc>
          <w:tcPr>
            <w:tcW w:w="1197" w:type="pct"/>
            <w:vAlign w:val="center"/>
          </w:tcPr>
          <w:p>
            <w:pPr>
              <w:adjustRightInd w:val="0"/>
              <w:snapToGrid w:val="0"/>
              <w:jc w:val="center"/>
              <w:rPr>
                <w:color w:val="000000"/>
                <w:sz w:val="24"/>
              </w:rPr>
            </w:pPr>
            <w:r>
              <w:rPr>
                <w:color w:val="000000"/>
                <w:sz w:val="24"/>
              </w:rPr>
              <w:t>项目审批（核准/</w:t>
            </w:r>
          </w:p>
          <w:p>
            <w:pPr>
              <w:adjustRightInd w:val="0"/>
              <w:snapToGrid w:val="0"/>
              <w:jc w:val="center"/>
              <w:rPr>
                <w:color w:val="000000"/>
                <w:sz w:val="24"/>
              </w:rPr>
            </w:pPr>
            <w:r>
              <w:rPr>
                <w:color w:val="000000"/>
                <w:sz w:val="24"/>
              </w:rPr>
              <w:t>备案）文号（选填）</w:t>
            </w:r>
          </w:p>
        </w:tc>
        <w:tc>
          <w:tcPr>
            <w:tcW w:w="1424" w:type="pct"/>
            <w:gridSpan w:val="2"/>
            <w:vAlign w:val="center"/>
          </w:tcPr>
          <w:p>
            <w:pPr>
              <w:adjustRightInd w:val="0"/>
              <w:snapToGrid w:val="0"/>
              <w:jc w:val="center"/>
              <w:rPr>
                <w:color w:val="000000"/>
                <w:sz w:val="24"/>
              </w:rPr>
            </w:pPr>
            <w:r>
              <w:rPr>
                <w:rFonts w:hint="eastAsia"/>
                <w:color w:val="000000"/>
                <w:sz w:val="24"/>
              </w:rPr>
              <w:t>/</w:t>
            </w:r>
          </w:p>
        </w:tc>
      </w:tr>
      <w:tr>
        <w:tblPrEx>
          <w:tblW w:w="5104" w:type="pct"/>
          <w:tblInd w:w="-126" w:type="dxa"/>
          <w:tblCellMar>
            <w:top w:w="0" w:type="dxa"/>
            <w:left w:w="0" w:type="dxa"/>
            <w:bottom w:w="0" w:type="dxa"/>
            <w:right w:w="0" w:type="dxa"/>
          </w:tblCellMar>
          <w:tblLook w:val="0000"/>
        </w:tblPrEx>
        <w:trPr>
          <w:trHeight w:val="454"/>
        </w:trPr>
        <w:tc>
          <w:tcPr>
            <w:tcW w:w="1167" w:type="pct"/>
            <w:tcMar>
              <w:top w:w="16" w:type="dxa"/>
              <w:left w:w="16" w:type="dxa"/>
              <w:right w:w="16" w:type="dxa"/>
            </w:tcMar>
            <w:vAlign w:val="center"/>
          </w:tcPr>
          <w:p>
            <w:pPr>
              <w:adjustRightInd w:val="0"/>
              <w:snapToGrid w:val="0"/>
              <w:jc w:val="center"/>
              <w:rPr>
                <w:rFonts w:ascii="宋体" w:hAnsi="宋体" w:cs="宋体"/>
                <w:color w:val="000000"/>
                <w:sz w:val="24"/>
              </w:rPr>
            </w:pPr>
            <w:r>
              <w:rPr>
                <w:rFonts w:ascii="宋体" w:hAnsi="宋体" w:cs="宋体" w:hint="eastAsia"/>
                <w:color w:val="000000"/>
                <w:sz w:val="24"/>
              </w:rPr>
              <w:t>总投资（万元）</w:t>
            </w:r>
          </w:p>
        </w:tc>
        <w:tc>
          <w:tcPr>
            <w:tcW w:w="1212" w:type="pct"/>
            <w:vAlign w:val="center"/>
          </w:tcPr>
          <w:p>
            <w:pPr>
              <w:adjustRightInd w:val="0"/>
              <w:snapToGrid w:val="0"/>
              <w:jc w:val="center"/>
              <w:rPr>
                <w:color w:val="000000"/>
                <w:sz w:val="24"/>
              </w:rPr>
            </w:pPr>
            <w:r>
              <w:rPr>
                <w:rFonts w:hint="eastAsia"/>
                <w:color w:val="000000"/>
                <w:sz w:val="24"/>
              </w:rPr>
              <w:t>6500</w:t>
            </w:r>
          </w:p>
        </w:tc>
        <w:tc>
          <w:tcPr>
            <w:tcW w:w="1197" w:type="pct"/>
            <w:tcMar>
              <w:top w:w="16" w:type="dxa"/>
              <w:left w:w="16" w:type="dxa"/>
              <w:right w:w="16" w:type="dxa"/>
            </w:tcMar>
            <w:vAlign w:val="center"/>
          </w:tcPr>
          <w:p>
            <w:pPr>
              <w:adjustRightInd w:val="0"/>
              <w:snapToGrid w:val="0"/>
              <w:jc w:val="center"/>
              <w:rPr>
                <w:color w:val="000000"/>
                <w:sz w:val="24"/>
              </w:rPr>
            </w:pPr>
            <w:r>
              <w:rPr>
                <w:color w:val="000000"/>
                <w:sz w:val="24"/>
              </w:rPr>
              <w:t>环保投资（万元）</w:t>
            </w:r>
          </w:p>
        </w:tc>
        <w:tc>
          <w:tcPr>
            <w:tcW w:w="1424" w:type="pct"/>
            <w:gridSpan w:val="2"/>
            <w:vAlign w:val="center"/>
          </w:tcPr>
          <w:p>
            <w:pPr>
              <w:adjustRightInd w:val="0"/>
              <w:snapToGrid w:val="0"/>
              <w:jc w:val="center"/>
              <w:rPr>
                <w:color w:val="000000"/>
                <w:sz w:val="24"/>
              </w:rPr>
            </w:pPr>
            <w:r>
              <w:rPr>
                <w:rFonts w:hint="eastAsia"/>
                <w:color w:val="000000"/>
                <w:sz w:val="24"/>
              </w:rPr>
              <w:t>188.65</w:t>
            </w:r>
          </w:p>
        </w:tc>
      </w:tr>
      <w:tr>
        <w:tblPrEx>
          <w:tblW w:w="5104" w:type="pct"/>
          <w:tblInd w:w="-126" w:type="dxa"/>
          <w:tblCellMar>
            <w:top w:w="0" w:type="dxa"/>
            <w:left w:w="0" w:type="dxa"/>
            <w:bottom w:w="0" w:type="dxa"/>
            <w:right w:w="0" w:type="dxa"/>
          </w:tblCellMar>
          <w:tblLook w:val="0000"/>
        </w:tblPrEx>
        <w:trPr>
          <w:trHeight w:val="454"/>
        </w:trPr>
        <w:tc>
          <w:tcPr>
            <w:tcW w:w="1167" w:type="pct"/>
            <w:tcMar>
              <w:top w:w="16" w:type="dxa"/>
              <w:left w:w="16" w:type="dxa"/>
              <w:right w:w="16" w:type="dxa"/>
            </w:tcMar>
            <w:vAlign w:val="center"/>
          </w:tcPr>
          <w:p>
            <w:pPr>
              <w:adjustRightInd w:val="0"/>
              <w:snapToGrid w:val="0"/>
              <w:jc w:val="center"/>
              <w:rPr>
                <w:color w:val="000000"/>
                <w:sz w:val="24"/>
              </w:rPr>
            </w:pPr>
            <w:r>
              <w:rPr>
                <w:color w:val="000000"/>
                <w:sz w:val="24"/>
              </w:rPr>
              <w:t>环保投资占比（%）</w:t>
            </w:r>
          </w:p>
        </w:tc>
        <w:tc>
          <w:tcPr>
            <w:tcW w:w="1212" w:type="pct"/>
            <w:vAlign w:val="center"/>
          </w:tcPr>
          <w:p>
            <w:pPr>
              <w:adjustRightInd w:val="0"/>
              <w:snapToGrid w:val="0"/>
              <w:jc w:val="center"/>
              <w:rPr>
                <w:color w:val="000000"/>
                <w:sz w:val="24"/>
              </w:rPr>
            </w:pPr>
            <w:r>
              <w:rPr>
                <w:rFonts w:hint="eastAsia"/>
                <w:color w:val="000000"/>
                <w:sz w:val="24"/>
              </w:rPr>
              <w:t>2.9</w:t>
            </w:r>
          </w:p>
        </w:tc>
        <w:tc>
          <w:tcPr>
            <w:tcW w:w="1197" w:type="pct"/>
            <w:tcMar>
              <w:top w:w="16" w:type="dxa"/>
              <w:left w:w="16" w:type="dxa"/>
              <w:right w:w="16" w:type="dxa"/>
            </w:tcMar>
            <w:vAlign w:val="center"/>
          </w:tcPr>
          <w:p>
            <w:pPr>
              <w:adjustRightInd w:val="0"/>
              <w:snapToGrid w:val="0"/>
              <w:jc w:val="center"/>
              <w:rPr>
                <w:color w:val="000000"/>
                <w:sz w:val="24"/>
              </w:rPr>
            </w:pPr>
            <w:r>
              <w:rPr>
                <w:color w:val="000000"/>
                <w:sz w:val="24"/>
              </w:rPr>
              <w:t>施工工期</w:t>
            </w:r>
          </w:p>
        </w:tc>
        <w:tc>
          <w:tcPr>
            <w:tcW w:w="1424" w:type="pct"/>
            <w:gridSpan w:val="2"/>
            <w:vAlign w:val="center"/>
          </w:tcPr>
          <w:p>
            <w:pPr>
              <w:adjustRightInd w:val="0"/>
              <w:snapToGrid w:val="0"/>
              <w:jc w:val="center"/>
              <w:rPr>
                <w:color w:val="000000"/>
                <w:sz w:val="24"/>
              </w:rPr>
            </w:pPr>
            <w:r>
              <w:rPr>
                <w:rFonts w:hint="eastAsia"/>
                <w:color w:val="000000"/>
                <w:sz w:val="24"/>
              </w:rPr>
              <w:t>5个月</w:t>
            </w:r>
          </w:p>
        </w:tc>
      </w:tr>
      <w:tr>
        <w:tblPrEx>
          <w:tblW w:w="5104" w:type="pct"/>
          <w:tblInd w:w="-126" w:type="dxa"/>
          <w:tblCellMar>
            <w:top w:w="0" w:type="dxa"/>
            <w:left w:w="0" w:type="dxa"/>
            <w:bottom w:w="0" w:type="dxa"/>
            <w:right w:w="0" w:type="dxa"/>
          </w:tblCellMar>
          <w:tblLook w:val="0000"/>
        </w:tblPrEx>
        <w:trPr>
          <w:trHeight w:val="911"/>
        </w:trPr>
        <w:tc>
          <w:tcPr>
            <w:tcW w:w="1167" w:type="pct"/>
            <w:tcMar>
              <w:top w:w="16" w:type="dxa"/>
              <w:left w:w="16" w:type="dxa"/>
              <w:right w:w="16" w:type="dxa"/>
            </w:tcMar>
            <w:vAlign w:val="center"/>
          </w:tcPr>
          <w:p>
            <w:pPr>
              <w:adjustRightInd w:val="0"/>
              <w:snapToGrid w:val="0"/>
              <w:jc w:val="center"/>
              <w:rPr>
                <w:rFonts w:ascii="宋体" w:hAnsi="宋体" w:cs="宋体"/>
                <w:color w:val="000000"/>
                <w:sz w:val="24"/>
              </w:rPr>
            </w:pPr>
            <w:r>
              <w:rPr>
                <w:rFonts w:ascii="宋体" w:hAnsi="宋体" w:cs="宋体" w:hint="eastAsia"/>
                <w:color w:val="000000"/>
                <w:sz w:val="24"/>
              </w:rPr>
              <w:t>是否开工建设</w:t>
            </w:r>
          </w:p>
        </w:tc>
        <w:tc>
          <w:tcPr>
            <w:tcW w:w="3833" w:type="pct"/>
            <w:gridSpan w:val="4"/>
            <w:vAlign w:val="center"/>
          </w:tcPr>
          <w:p>
            <w:pPr>
              <w:adjustRightInd w:val="0"/>
              <w:snapToGrid w:val="0"/>
              <w:ind w:firstLine="105"/>
              <w:jc w:val="left"/>
              <w:rPr>
                <w:rFonts w:ascii="宋体" w:hAnsi="宋体" w:cs="宋体"/>
                <w:color w:val="000000"/>
                <w:sz w:val="24"/>
              </w:rPr>
            </w:pPr>
            <w:r>
              <w:rPr>
                <w:rFonts w:ascii="MS Mincho" w:eastAsia="MS Mincho" w:hAnsi="MS Mincho" w:cs="MS Mincho" w:hint="eastAsia"/>
                <w:color w:val="000000"/>
                <w:sz w:val="24"/>
              </w:rPr>
              <w:t>☑</w:t>
            </w:r>
            <w:r>
              <w:rPr>
                <w:rFonts w:ascii="宋体" w:hAnsi="宋体" w:cs="宋体" w:hint="eastAsia"/>
                <w:color w:val="000000"/>
                <w:sz w:val="24"/>
              </w:rPr>
              <w:t>否</w:t>
            </w:r>
          </w:p>
          <w:p>
            <w:pPr>
              <w:adjustRightInd w:val="0"/>
              <w:snapToGrid w:val="0"/>
              <w:ind w:firstLine="92"/>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是：</w:t>
            </w:r>
            <w:r>
              <w:rPr>
                <w:rFonts w:ascii="宋体" w:hAnsi="宋体" w:cs="宋体"/>
                <w:color w:val="000000"/>
                <w:sz w:val="24"/>
                <w:u w:val="single"/>
              </w:rPr>
              <w:t xml:space="preserve"> </w:t>
            </w:r>
            <w:r>
              <w:rPr>
                <w:rFonts w:ascii="宋体" w:hAnsi="宋体" w:cs="宋体" w:hint="eastAsia"/>
                <w:color w:val="000000"/>
                <w:sz w:val="24"/>
                <w:u w:val="single"/>
              </w:rPr>
              <w:t xml:space="preserve">                     </w:t>
            </w:r>
            <w:r>
              <w:rPr>
                <w:rFonts w:ascii="宋体" w:hAnsi="宋体" w:cs="宋体"/>
                <w:color w:val="000000"/>
                <w:sz w:val="24"/>
                <w:u w:val="single"/>
              </w:rPr>
              <w:t xml:space="preserve">       </w:t>
            </w:r>
          </w:p>
        </w:tc>
      </w:tr>
      <w:tr>
        <w:tblPrEx>
          <w:tblW w:w="5104" w:type="pct"/>
          <w:tblInd w:w="-126" w:type="dxa"/>
          <w:tblCellMar>
            <w:top w:w="0" w:type="dxa"/>
            <w:left w:w="0" w:type="dxa"/>
            <w:bottom w:w="0" w:type="dxa"/>
            <w:right w:w="0" w:type="dxa"/>
          </w:tblCellMar>
          <w:tblLook w:val="0000"/>
        </w:tblPrEx>
        <w:trPr>
          <w:trHeight w:val="911"/>
        </w:trPr>
        <w:tc>
          <w:tcPr>
            <w:tcW w:w="1167" w:type="pct"/>
            <w:tcMar>
              <w:top w:w="16" w:type="dxa"/>
              <w:left w:w="16" w:type="dxa"/>
              <w:right w:w="16" w:type="dxa"/>
            </w:tcMar>
            <w:vAlign w:val="center"/>
          </w:tcPr>
          <w:p>
            <w:pPr>
              <w:autoSpaceDE w:val="0"/>
              <w:autoSpaceDN w:val="0"/>
              <w:adjustRightInd w:val="0"/>
              <w:snapToGrid w:val="0"/>
              <w:jc w:val="center"/>
              <w:rPr>
                <w:rFonts w:ascii="宋体" w:hAnsi="宋体" w:cs="宋体"/>
                <w:color w:val="000000"/>
                <w:kern w:val="0"/>
                <w:sz w:val="24"/>
              </w:rPr>
            </w:pPr>
            <w:r>
              <w:rPr>
                <w:rFonts w:ascii="宋体" w:hAnsi="宋体" w:cs="宋体" w:hint="eastAsia"/>
                <w:color w:val="000000"/>
                <w:kern w:val="0"/>
                <w:sz w:val="24"/>
              </w:rPr>
              <w:t>专项评价设置情况</w:t>
            </w:r>
          </w:p>
        </w:tc>
        <w:tc>
          <w:tcPr>
            <w:tcW w:w="3833" w:type="pct"/>
            <w:gridSpan w:val="4"/>
            <w:tcMar>
              <w:top w:w="16" w:type="dxa"/>
              <w:left w:w="16" w:type="dxa"/>
              <w:right w:w="16" w:type="dxa"/>
            </w:tcMar>
            <w:vAlign w:val="center"/>
          </w:tcPr>
          <w:p>
            <w:pPr>
              <w:autoSpaceDE w:val="0"/>
              <w:autoSpaceDN w:val="0"/>
              <w:adjustRightInd w:val="0"/>
              <w:snapToGrid w:val="0"/>
              <w:jc w:val="center"/>
              <w:rPr>
                <w:rFonts w:ascii="宋体" w:hAnsi="宋体" w:cs="宋体"/>
                <w:color w:val="000000"/>
                <w:kern w:val="0"/>
                <w:sz w:val="24"/>
              </w:rPr>
            </w:pPr>
            <w:r>
              <w:rPr>
                <w:rFonts w:ascii="宋体" w:hAnsi="宋体" w:cs="宋体" w:hint="eastAsia"/>
                <w:color w:val="000000"/>
                <w:kern w:val="0"/>
                <w:sz w:val="24"/>
              </w:rPr>
              <w:t>无</w:t>
            </w:r>
          </w:p>
        </w:tc>
      </w:tr>
      <w:tr>
        <w:tblPrEx>
          <w:tblW w:w="5104" w:type="pct"/>
          <w:tblInd w:w="-126" w:type="dxa"/>
          <w:tblCellMar>
            <w:top w:w="0" w:type="dxa"/>
            <w:left w:w="0" w:type="dxa"/>
            <w:bottom w:w="0" w:type="dxa"/>
            <w:right w:w="0" w:type="dxa"/>
          </w:tblCellMar>
          <w:tblLook w:val="0000"/>
        </w:tblPrEx>
        <w:trPr>
          <w:trHeight w:val="911"/>
        </w:trPr>
        <w:tc>
          <w:tcPr>
            <w:tcW w:w="1167" w:type="pct"/>
            <w:tcMar>
              <w:top w:w="16" w:type="dxa"/>
              <w:left w:w="16" w:type="dxa"/>
              <w:right w:w="16" w:type="dxa"/>
            </w:tcMar>
            <w:vAlign w:val="center"/>
          </w:tcPr>
          <w:p>
            <w:pPr>
              <w:autoSpaceDE w:val="0"/>
              <w:autoSpaceDN w:val="0"/>
              <w:adjustRightInd w:val="0"/>
              <w:snapToGrid w:val="0"/>
              <w:jc w:val="center"/>
              <w:rPr>
                <w:rFonts w:ascii="宋体" w:hAnsi="宋体" w:cs="宋体"/>
                <w:color w:val="000000"/>
                <w:kern w:val="0"/>
                <w:sz w:val="24"/>
              </w:rPr>
            </w:pPr>
            <w:r>
              <w:rPr>
                <w:rFonts w:ascii="宋体" w:hAnsi="宋体" w:cs="宋体" w:hint="eastAsia"/>
                <w:color w:val="000000"/>
                <w:sz w:val="24"/>
              </w:rPr>
              <w:t>规划情况</w:t>
            </w:r>
          </w:p>
        </w:tc>
        <w:tc>
          <w:tcPr>
            <w:tcW w:w="3833" w:type="pct"/>
            <w:gridSpan w:val="4"/>
            <w:tcMar>
              <w:top w:w="16" w:type="dxa"/>
              <w:left w:w="16" w:type="dxa"/>
              <w:right w:w="16" w:type="dxa"/>
            </w:tcMar>
            <w:vAlign w:val="center"/>
          </w:tcPr>
          <w:p>
            <w:pPr>
              <w:autoSpaceDE w:val="0"/>
              <w:autoSpaceDN w:val="0"/>
              <w:adjustRightInd w:val="0"/>
              <w:snapToGrid w:val="0"/>
              <w:jc w:val="center"/>
              <w:rPr>
                <w:rFonts w:ascii="宋体" w:hAnsi="宋体" w:cs="宋体"/>
                <w:color w:val="000000"/>
                <w:kern w:val="0"/>
                <w:sz w:val="24"/>
              </w:rPr>
            </w:pPr>
            <w:r>
              <w:rPr>
                <w:rFonts w:ascii="宋体" w:hAnsi="宋体" w:cs="宋体" w:hint="eastAsia"/>
                <w:color w:val="000000"/>
                <w:kern w:val="0"/>
                <w:sz w:val="24"/>
              </w:rPr>
              <w:t>无</w:t>
            </w:r>
          </w:p>
        </w:tc>
      </w:tr>
      <w:tr>
        <w:tblPrEx>
          <w:tblW w:w="5104" w:type="pct"/>
          <w:tblInd w:w="-126" w:type="dxa"/>
          <w:tblCellMar>
            <w:top w:w="0" w:type="dxa"/>
            <w:left w:w="0" w:type="dxa"/>
            <w:bottom w:w="0" w:type="dxa"/>
            <w:right w:w="0" w:type="dxa"/>
          </w:tblCellMar>
          <w:tblLook w:val="0000"/>
        </w:tblPrEx>
        <w:trPr>
          <w:trHeight w:val="911"/>
        </w:trPr>
        <w:tc>
          <w:tcPr>
            <w:tcW w:w="1167" w:type="pct"/>
            <w:tcMar>
              <w:top w:w="16" w:type="dxa"/>
              <w:left w:w="16" w:type="dxa"/>
              <w:right w:w="16" w:type="dxa"/>
            </w:tcMar>
            <w:vAlign w:val="center"/>
          </w:tcPr>
          <w:p>
            <w:pPr>
              <w:autoSpaceDE w:val="0"/>
              <w:autoSpaceDN w:val="0"/>
              <w:adjustRightInd w:val="0"/>
              <w:snapToGrid w:val="0"/>
              <w:jc w:val="center"/>
              <w:rPr>
                <w:rFonts w:ascii="宋体" w:hAnsi="宋体" w:cs="宋体"/>
                <w:color w:val="000000"/>
                <w:sz w:val="24"/>
              </w:rPr>
            </w:pPr>
            <w:r>
              <w:rPr>
                <w:rFonts w:ascii="宋体" w:hAnsi="宋体" w:cs="宋体" w:hint="eastAsia"/>
                <w:color w:val="000000"/>
                <w:sz w:val="24"/>
              </w:rPr>
              <w:t>规划环境影响评价情况</w:t>
            </w:r>
          </w:p>
        </w:tc>
        <w:tc>
          <w:tcPr>
            <w:tcW w:w="3833" w:type="pct"/>
            <w:gridSpan w:val="4"/>
            <w:tcMar>
              <w:top w:w="16" w:type="dxa"/>
              <w:left w:w="16" w:type="dxa"/>
              <w:right w:w="16" w:type="dxa"/>
            </w:tcMar>
            <w:vAlign w:val="center"/>
          </w:tcPr>
          <w:p>
            <w:pPr>
              <w:adjustRightInd w:val="0"/>
              <w:snapToGrid w:val="0"/>
              <w:jc w:val="center"/>
              <w:rPr>
                <w:rFonts w:ascii="宋体" w:hAnsi="宋体" w:cs="宋体"/>
                <w:color w:val="000000"/>
                <w:kern w:val="0"/>
                <w:sz w:val="24"/>
              </w:rPr>
            </w:pPr>
            <w:r>
              <w:rPr>
                <w:rFonts w:ascii="宋体" w:hAnsi="宋体" w:cs="宋体" w:hint="eastAsia"/>
                <w:color w:val="000000"/>
                <w:kern w:val="0"/>
                <w:sz w:val="24"/>
              </w:rPr>
              <w:t>无</w:t>
            </w:r>
          </w:p>
        </w:tc>
      </w:tr>
    </w:tbl>
    <w:p>
      <w:pPr>
        <w:sectPr>
          <w:footerReference w:type="even" r:id="rId6"/>
          <w:footerReference w:type="default" r:id="rId7"/>
          <w:pgSz w:w="11906" w:h="16838"/>
          <w:pgMar w:top="1440" w:right="1800" w:bottom="1440" w:left="1800" w:header="851" w:footer="1077" w:gutter="0"/>
          <w:pgNumType w:start="1"/>
          <w:cols w:space="708"/>
          <w:docGrid w:linePitch="312"/>
        </w:sectPr>
      </w:pPr>
    </w:p>
    <w:tbl>
      <w:tblPr>
        <w:tblStyle w:val="TableNormal"/>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
      <w:tblGrid>
        <w:gridCol w:w="1985"/>
        <w:gridCol w:w="6520"/>
      </w:tblGrid>
      <w:tr>
        <w:tblPrEx>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Ex>
        <w:trPr>
          <w:trHeight w:val="1108"/>
        </w:trPr>
        <w:tc>
          <w:tcPr>
            <w:tcW w:w="1167" w:type="pct"/>
            <w:tcMar>
              <w:top w:w="16" w:type="dxa"/>
              <w:left w:w="16" w:type="dxa"/>
              <w:right w:w="16" w:type="dxa"/>
            </w:tcMar>
            <w:vAlign w:val="center"/>
          </w:tcPr>
          <w:p>
            <w:pPr>
              <w:autoSpaceDE w:val="0"/>
              <w:autoSpaceDN w:val="0"/>
              <w:adjustRightInd w:val="0"/>
              <w:snapToGrid w:val="0"/>
              <w:jc w:val="center"/>
              <w:rPr>
                <w:rFonts w:ascii="宋体" w:hAnsi="宋体" w:cs="宋体"/>
                <w:color w:val="000000"/>
                <w:kern w:val="0"/>
                <w:sz w:val="24"/>
              </w:rPr>
            </w:pPr>
            <w:r>
              <w:rPr>
                <w:rFonts w:ascii="宋体" w:hAnsi="宋体" w:cs="宋体" w:hint="eastAsia"/>
                <w:color w:val="000000"/>
                <w:kern w:val="0"/>
                <w:sz w:val="24"/>
              </w:rPr>
              <w:t>规划及</w:t>
            </w:r>
            <w:r>
              <w:rPr>
                <w:rFonts w:ascii="宋体" w:hAnsi="宋体" w:cs="宋体" w:hint="eastAsia"/>
                <w:color w:val="000000"/>
                <w:sz w:val="24"/>
              </w:rPr>
              <w:t>规划环境影响评价</w:t>
            </w:r>
            <w:r>
              <w:rPr>
                <w:rFonts w:ascii="宋体" w:hAnsi="宋体" w:cs="宋体" w:hint="eastAsia"/>
                <w:color w:val="000000"/>
                <w:kern w:val="0"/>
                <w:sz w:val="24"/>
              </w:rPr>
              <w:t>符合性分析</w:t>
            </w:r>
          </w:p>
        </w:tc>
        <w:tc>
          <w:tcPr>
            <w:tcW w:w="3833" w:type="pct"/>
            <w:tcMar>
              <w:top w:w="16" w:type="dxa"/>
              <w:left w:w="16" w:type="dxa"/>
              <w:right w:w="16" w:type="dxa"/>
            </w:tcMar>
            <w:vAlign w:val="center"/>
          </w:tcPr>
          <w:p>
            <w:pPr>
              <w:autoSpaceDE w:val="0"/>
              <w:autoSpaceDN w:val="0"/>
              <w:adjustRightInd w:val="0"/>
              <w:snapToGrid w:val="0"/>
              <w:jc w:val="center"/>
              <w:rPr>
                <w:rFonts w:ascii="宋体" w:hAnsi="宋体" w:cs="宋体"/>
                <w:color w:val="000000"/>
                <w:kern w:val="0"/>
                <w:sz w:val="24"/>
              </w:rPr>
            </w:pPr>
            <w:r>
              <w:rPr>
                <w:rFonts w:ascii="宋体" w:hAnsi="宋体" w:cs="宋体" w:hint="eastAsia"/>
                <w:color w:val="000000"/>
                <w:kern w:val="0"/>
                <w:sz w:val="24"/>
              </w:rPr>
              <w:t>无</w:t>
            </w:r>
          </w:p>
        </w:tc>
      </w:tr>
      <w:tr>
        <w:tblPrEx>
          <w:tblW w:w="5104" w:type="pct"/>
          <w:tblInd w:w="-126" w:type="dxa"/>
          <w:tblCellMar>
            <w:top w:w="0" w:type="dxa"/>
            <w:left w:w="0" w:type="dxa"/>
            <w:bottom w:w="0" w:type="dxa"/>
            <w:right w:w="0" w:type="dxa"/>
          </w:tblCellMar>
          <w:tblLook w:val="0000"/>
        </w:tblPrEx>
        <w:trPr>
          <w:trHeight w:val="1431"/>
        </w:trPr>
        <w:tc>
          <w:tcPr>
            <w:tcW w:w="1167" w:type="pct"/>
            <w:tcMar>
              <w:top w:w="16" w:type="dxa"/>
              <w:left w:w="16" w:type="dxa"/>
              <w:right w:w="16" w:type="dxa"/>
            </w:tcMar>
            <w:vAlign w:val="center"/>
          </w:tcPr>
          <w:p>
            <w:pPr>
              <w:autoSpaceDE w:val="0"/>
              <w:autoSpaceDN w:val="0"/>
              <w:adjustRightInd w:val="0"/>
              <w:snapToGrid w:val="0"/>
              <w:jc w:val="center"/>
              <w:rPr>
                <w:rFonts w:ascii="宋体" w:hAnsi="宋体" w:cs="宋体"/>
                <w:color w:val="000000"/>
                <w:kern w:val="0"/>
                <w:sz w:val="24"/>
              </w:rPr>
            </w:pPr>
            <w:bookmarkStart w:id="2" w:name="_Hlk56690880"/>
            <w:r>
              <w:rPr>
                <w:rFonts w:ascii="宋体" w:hAnsi="宋体" w:cs="宋体" w:hint="eastAsia"/>
                <w:color w:val="000000"/>
                <w:kern w:val="0"/>
                <w:sz w:val="24"/>
              </w:rPr>
              <w:t>其他符合性分析</w:t>
            </w:r>
            <w:bookmarkEnd w:id="2"/>
          </w:p>
        </w:tc>
        <w:tc>
          <w:tcPr>
            <w:tcW w:w="3833" w:type="pct"/>
            <w:tcMar>
              <w:top w:w="16" w:type="dxa"/>
              <w:left w:w="16" w:type="dxa"/>
              <w:right w:w="16" w:type="dxa"/>
            </w:tcMar>
            <w:vAlign w:val="center"/>
          </w:tcPr>
          <w:p>
            <w:pPr>
              <w:autoSpaceDE w:val="0"/>
              <w:autoSpaceDN w:val="0"/>
              <w:adjustRightInd w:val="0"/>
              <w:snapToGrid w:val="0"/>
              <w:spacing w:line="360" w:lineRule="auto"/>
              <w:rPr>
                <w:b/>
                <w:color w:val="000000"/>
                <w:kern w:val="0"/>
                <w:sz w:val="24"/>
              </w:rPr>
            </w:pPr>
            <w:r>
              <w:rPr>
                <w:rFonts w:hint="eastAsia"/>
                <w:b/>
                <w:color w:val="000000"/>
                <w:kern w:val="0"/>
                <w:sz w:val="24"/>
              </w:rPr>
              <w:t>一、</w:t>
            </w:r>
            <w:r>
              <w:rPr>
                <w:b/>
                <w:color w:val="000000"/>
                <w:kern w:val="0"/>
                <w:sz w:val="24"/>
              </w:rPr>
              <w:t>产业政策符合性</w:t>
            </w:r>
            <w:r>
              <w:rPr>
                <w:rFonts w:hint="eastAsia"/>
                <w:b/>
                <w:color w:val="000000"/>
                <w:kern w:val="0"/>
                <w:sz w:val="24"/>
              </w:rPr>
              <w:t>分析</w:t>
            </w:r>
          </w:p>
          <w:p>
            <w:pPr>
              <w:autoSpaceDE w:val="0"/>
              <w:autoSpaceDN w:val="0"/>
              <w:adjustRightInd w:val="0"/>
              <w:snapToGrid w:val="0"/>
              <w:spacing w:line="360" w:lineRule="auto"/>
              <w:ind w:firstLine="480" w:firstLineChars="200"/>
              <w:rPr>
                <w:rFonts w:hint="eastAsia"/>
                <w:color w:val="000000"/>
                <w:kern w:val="0"/>
                <w:sz w:val="24"/>
              </w:rPr>
            </w:pPr>
            <w:r>
              <w:rPr>
                <w:color w:val="000000"/>
                <w:kern w:val="0"/>
                <w:sz w:val="24"/>
              </w:rPr>
              <w:t>根据国家发改委《产业结构调整指导目录(2019年本)》，本项目属于《产业结构调整指导目录（2019年本）》中</w:t>
            </w:r>
            <w:r>
              <w:rPr>
                <w:rFonts w:hint="eastAsia"/>
                <w:color w:val="000000"/>
                <w:kern w:val="0"/>
                <w:sz w:val="24"/>
              </w:rPr>
              <w:t>“</w:t>
            </w:r>
            <w:r>
              <w:rPr>
                <w:rFonts w:hint="eastAsia"/>
                <w:color w:val="000000"/>
                <w:kern w:val="0"/>
                <w:sz w:val="24"/>
              </w:rPr>
              <w:t>第一类 鼓励类</w:t>
            </w:r>
            <w:r>
              <w:rPr>
                <w:rFonts w:hint="eastAsia"/>
                <w:color w:val="000000"/>
                <w:kern w:val="0"/>
                <w:sz w:val="24"/>
              </w:rPr>
              <w:t>”</w:t>
            </w:r>
            <w:r>
              <w:rPr>
                <w:rFonts w:hint="eastAsia"/>
                <w:color w:val="000000"/>
                <w:kern w:val="0"/>
                <w:sz w:val="24"/>
              </w:rPr>
              <w:t>中，第二十四项</w:t>
            </w:r>
            <w:r>
              <w:rPr>
                <w:rFonts w:hint="eastAsia"/>
                <w:color w:val="000000"/>
                <w:kern w:val="0"/>
                <w:sz w:val="24"/>
              </w:rPr>
              <w:t>“</w:t>
            </w:r>
            <w:r>
              <w:rPr>
                <w:rFonts w:hint="eastAsia"/>
                <w:color w:val="000000"/>
                <w:kern w:val="0"/>
                <w:sz w:val="24"/>
              </w:rPr>
              <w:t>公路及道路运输（含城市客运）</w:t>
            </w:r>
            <w:r>
              <w:rPr>
                <w:rFonts w:hint="eastAsia"/>
                <w:color w:val="000000"/>
                <w:kern w:val="0"/>
                <w:sz w:val="24"/>
              </w:rPr>
              <w:cr/>
            </w:r>
            <w:r>
              <w:rPr>
                <w:rFonts w:hint="eastAsia"/>
                <w:color w:val="000000"/>
                <w:kern w:val="0"/>
                <w:sz w:val="24"/>
              </w:rPr>
              <w:t>”</w:t>
            </w:r>
            <w:r>
              <w:rPr>
                <w:rFonts w:hint="eastAsia"/>
                <w:color w:val="000000"/>
                <w:kern w:val="0"/>
                <w:sz w:val="24"/>
              </w:rPr>
              <w:t>第2条</w:t>
            </w:r>
            <w:r>
              <w:rPr>
                <w:rFonts w:hint="eastAsia"/>
                <w:color w:val="000000"/>
                <w:kern w:val="0"/>
                <w:sz w:val="24"/>
              </w:rPr>
              <w:t>“</w:t>
            </w:r>
            <w:r>
              <w:rPr>
                <w:rFonts w:hint="eastAsia"/>
                <w:color w:val="000000"/>
                <w:kern w:val="0"/>
                <w:sz w:val="24"/>
              </w:rPr>
              <w:t>国省干线改造升级</w:t>
            </w:r>
            <w:r>
              <w:rPr>
                <w:rFonts w:hint="eastAsia"/>
                <w:color w:val="000000"/>
                <w:kern w:val="0"/>
                <w:sz w:val="24"/>
              </w:rPr>
              <w:t>”</w:t>
            </w:r>
            <w:r>
              <w:rPr>
                <w:rFonts w:hint="eastAsia"/>
                <w:color w:val="000000"/>
                <w:kern w:val="0"/>
                <w:sz w:val="24"/>
              </w:rPr>
              <w:t>范围，属于鼓励类建设项目</w:t>
            </w:r>
            <w:r>
              <w:rPr>
                <w:color w:val="000000"/>
                <w:kern w:val="0"/>
                <w:sz w:val="24"/>
              </w:rPr>
              <w:t>，符合国家产业政策。</w:t>
            </w:r>
          </w:p>
          <w:p>
            <w:pPr>
              <w:autoSpaceDE w:val="0"/>
              <w:autoSpaceDN w:val="0"/>
              <w:adjustRightInd w:val="0"/>
              <w:snapToGrid w:val="0"/>
              <w:spacing w:line="360" w:lineRule="auto"/>
              <w:rPr>
                <w:color w:val="000000"/>
                <w:kern w:val="0"/>
                <w:sz w:val="24"/>
              </w:rPr>
            </w:pPr>
            <w:r>
              <w:rPr>
                <w:rFonts w:hint="eastAsia"/>
                <w:b/>
                <w:color w:val="000000"/>
                <w:kern w:val="0"/>
                <w:sz w:val="24"/>
              </w:rPr>
              <w:t>二</w:t>
            </w:r>
            <w:r>
              <w:rPr>
                <w:b/>
                <w:color w:val="000000"/>
                <w:kern w:val="0"/>
                <w:sz w:val="24"/>
              </w:rPr>
              <w:t>、建设项目与《自然资源开发利用限制和禁止目录（2021年本</w:t>
            </w:r>
            <w:r>
              <w:rPr>
                <w:rFonts w:hint="eastAsia"/>
                <w:b/>
                <w:color w:val="000000"/>
                <w:kern w:val="0"/>
                <w:sz w:val="24"/>
              </w:rPr>
              <w:t>）</w:t>
            </w:r>
            <w:r>
              <w:rPr>
                <w:b/>
                <w:color w:val="000000"/>
                <w:kern w:val="0"/>
                <w:sz w:val="24"/>
              </w:rPr>
              <w:t>》符合性分析</w:t>
            </w:r>
          </w:p>
          <w:p>
            <w:pPr>
              <w:autoSpaceDE w:val="0"/>
              <w:autoSpaceDN w:val="0"/>
              <w:adjustRightInd w:val="0"/>
              <w:snapToGrid w:val="0"/>
              <w:spacing w:line="360" w:lineRule="auto"/>
              <w:ind w:firstLine="480" w:firstLineChars="200"/>
              <w:rPr>
                <w:color w:val="000000"/>
                <w:kern w:val="0"/>
                <w:sz w:val="24"/>
              </w:rPr>
            </w:pPr>
            <w:r>
              <w:rPr>
                <w:color w:val="000000"/>
                <w:kern w:val="0"/>
                <w:sz w:val="24"/>
              </w:rPr>
              <w:t>项目位于</w:t>
            </w:r>
            <w:r>
              <w:rPr>
                <w:color w:val="000000"/>
                <w:sz w:val="24"/>
              </w:rPr>
              <w:t>德州市宁津县城区西（起于三岭大街与宁德路交叉口（K4+234），止于宁津小店桥（K9+140））</w:t>
            </w:r>
            <w:r>
              <w:rPr>
                <w:rFonts w:hint="eastAsia"/>
                <w:color w:val="000000"/>
                <w:kern w:val="0"/>
                <w:sz w:val="24"/>
              </w:rPr>
              <w:t>，</w:t>
            </w:r>
            <w:r>
              <w:rPr>
                <w:color w:val="000000"/>
                <w:kern w:val="0"/>
                <w:sz w:val="24"/>
              </w:rPr>
              <w:t>根据《自然资源开发利用限制和禁止目录（2021年本</w:t>
            </w:r>
            <w:r>
              <w:rPr>
                <w:rFonts w:hint="eastAsia"/>
                <w:b/>
                <w:color w:val="000000"/>
                <w:kern w:val="0"/>
                <w:sz w:val="24"/>
              </w:rPr>
              <w:t>）</w:t>
            </w:r>
            <w:r>
              <w:rPr>
                <w:color w:val="000000"/>
                <w:kern w:val="0"/>
                <w:sz w:val="24"/>
              </w:rPr>
              <w:t>》中规定，列入《产业结构调整指导目录（201</w:t>
            </w:r>
            <w:r>
              <w:rPr>
                <w:rFonts w:hint="eastAsia"/>
                <w:color w:val="000000"/>
                <w:kern w:val="0"/>
                <w:sz w:val="24"/>
              </w:rPr>
              <w:t>9</w:t>
            </w:r>
            <w:r>
              <w:rPr>
                <w:color w:val="000000"/>
                <w:kern w:val="0"/>
                <w:sz w:val="24"/>
              </w:rPr>
              <w:t>年本）》</w:t>
            </w:r>
            <w:r>
              <w:rPr>
                <w:rFonts w:hint="eastAsia"/>
                <w:color w:val="000000"/>
                <w:kern w:val="0"/>
                <w:sz w:val="24"/>
              </w:rPr>
              <w:t>限制类的新建项目和淘汰类项目，直接纳入本目录禁止类，自然资源、投资管理和林草主管部门一律不得办理相关手续。</w:t>
            </w:r>
          </w:p>
          <w:p>
            <w:pPr>
              <w:autoSpaceDE w:val="0"/>
              <w:autoSpaceDN w:val="0"/>
              <w:adjustRightInd w:val="0"/>
              <w:snapToGrid w:val="0"/>
              <w:spacing w:line="360" w:lineRule="auto"/>
              <w:ind w:firstLine="480" w:firstLineChars="200"/>
              <w:rPr>
                <w:rFonts w:hint="eastAsia"/>
                <w:color w:val="000000"/>
                <w:kern w:val="0"/>
                <w:sz w:val="24"/>
              </w:rPr>
            </w:pPr>
            <w:r>
              <w:rPr>
                <w:color w:val="000000"/>
                <w:kern w:val="0"/>
                <w:sz w:val="24"/>
              </w:rPr>
              <w:t>根据《产业结构调整指导目录(2019年本)》</w:t>
            </w:r>
            <w:r>
              <w:rPr>
                <w:rFonts w:hint="eastAsia"/>
                <w:color w:val="000000"/>
                <w:kern w:val="0"/>
                <w:sz w:val="24"/>
              </w:rPr>
              <w:t>，本项目为允许建设项目，根据</w:t>
            </w:r>
            <w:r>
              <w:rPr>
                <w:color w:val="000000"/>
                <w:kern w:val="0"/>
                <w:sz w:val="24"/>
              </w:rPr>
              <w:t>《自然资源开发利用限制和禁止目录（2021年本</w:t>
            </w:r>
            <w:r>
              <w:rPr>
                <w:rFonts w:hint="eastAsia"/>
                <w:color w:val="000000"/>
                <w:kern w:val="0"/>
                <w:sz w:val="24"/>
              </w:rPr>
              <w:t>）</w:t>
            </w:r>
            <w:r>
              <w:rPr>
                <w:color w:val="000000"/>
                <w:kern w:val="0"/>
                <w:sz w:val="24"/>
              </w:rPr>
              <w:t>》</w:t>
            </w:r>
            <w:r>
              <w:rPr>
                <w:rFonts w:hint="eastAsia"/>
                <w:color w:val="000000"/>
                <w:kern w:val="0"/>
                <w:sz w:val="24"/>
              </w:rPr>
              <w:t>，本项目不属于限制类和禁止类项目。</w:t>
            </w:r>
          </w:p>
          <w:p>
            <w:pPr>
              <w:adjustRightInd w:val="0"/>
              <w:snapToGrid w:val="0"/>
              <w:spacing w:line="360" w:lineRule="auto"/>
              <w:contextualSpacing/>
              <w:rPr>
                <w:rFonts w:hint="eastAsia"/>
                <w:b/>
                <w:color w:val="000000"/>
                <w:kern w:val="0"/>
                <w:sz w:val="24"/>
              </w:rPr>
            </w:pPr>
            <w:r>
              <w:rPr>
                <w:rFonts w:hint="eastAsia"/>
                <w:b/>
                <w:color w:val="000000"/>
                <w:kern w:val="0"/>
                <w:sz w:val="24"/>
              </w:rPr>
              <w:t>三、</w:t>
            </w:r>
            <w:r>
              <w:rPr>
                <w:b/>
                <w:bCs/>
                <w:color w:val="000000"/>
                <w:sz w:val="24"/>
              </w:rPr>
              <w:t>“三线一单”符合性分析</w:t>
            </w:r>
          </w:p>
          <w:p>
            <w:pPr>
              <w:pStyle w:val="a6"/>
              <w:ind w:right="0" w:firstLine="480" w:rightChars="0"/>
              <w:jc w:val="both"/>
              <w:rPr>
                <w:rFonts w:ascii="Times New Roman" w:hAnsi="Times New Roman" w:cs="Times New Roman" w:hint="eastAsia"/>
                <w:color w:val="000000"/>
                <w:kern w:val="2"/>
                <w:szCs w:val="24"/>
              </w:rPr>
            </w:pPr>
            <w:r>
              <w:rPr>
                <w:rFonts w:ascii="Times New Roman" w:hAnsi="Times New Roman" w:cs="Times New Roman"/>
                <w:bCs w:val="0"/>
                <w:color w:val="000000"/>
                <w:kern w:val="2"/>
                <w:szCs w:val="24"/>
              </w:rPr>
              <w:t>根据德州市人民政府《德州市人民政府关于印发德州市</w:t>
            </w:r>
            <w:r>
              <w:rPr>
                <w:rFonts w:ascii="Times New Roman" w:hAnsi="Times New Roman" w:cs="Times New Roman" w:hint="eastAsia"/>
                <w:bCs w:val="0"/>
                <w:color w:val="000000"/>
                <w:kern w:val="2"/>
                <w:szCs w:val="24"/>
              </w:rPr>
              <w:t>“</w:t>
            </w:r>
            <w:r>
              <w:rPr>
                <w:rFonts w:ascii="Times New Roman" w:hAnsi="Times New Roman" w:cs="Times New Roman"/>
                <w:bCs w:val="0"/>
                <w:color w:val="000000"/>
                <w:kern w:val="2"/>
                <w:szCs w:val="24"/>
              </w:rPr>
              <w:t>三线一单</w:t>
            </w:r>
            <w:r>
              <w:rPr>
                <w:rFonts w:ascii="Times New Roman" w:hAnsi="Times New Roman" w:cs="Times New Roman" w:hint="eastAsia"/>
                <w:bCs w:val="0"/>
                <w:color w:val="000000"/>
                <w:kern w:val="2"/>
                <w:szCs w:val="24"/>
              </w:rPr>
              <w:t>”</w:t>
            </w:r>
            <w:r>
              <w:rPr>
                <w:rFonts w:ascii="Times New Roman" w:hAnsi="Times New Roman" w:cs="Times New Roman"/>
                <w:bCs w:val="0"/>
                <w:color w:val="000000"/>
                <w:kern w:val="2"/>
                <w:szCs w:val="24"/>
              </w:rPr>
              <w:t>生态环境分区管控方案的通知》（德政字[2021]19号），要求加快全市</w:t>
            </w:r>
            <w:r>
              <w:rPr>
                <w:rFonts w:ascii="Times New Roman" w:hAnsi="Times New Roman" w:cs="Times New Roman" w:hint="eastAsia"/>
                <w:bCs w:val="0"/>
                <w:color w:val="000000"/>
                <w:kern w:val="2"/>
                <w:szCs w:val="24"/>
              </w:rPr>
              <w:t>“</w:t>
            </w:r>
            <w:r>
              <w:rPr>
                <w:rFonts w:ascii="Times New Roman" w:hAnsi="Times New Roman" w:cs="Times New Roman"/>
                <w:bCs w:val="0"/>
                <w:color w:val="000000"/>
                <w:kern w:val="2"/>
                <w:szCs w:val="24"/>
              </w:rPr>
              <w:t>生态保护红线、环境质量底线、资源利用上线和生态环境准入清单</w:t>
            </w:r>
            <w:r>
              <w:rPr>
                <w:rFonts w:ascii="Times New Roman" w:hAnsi="Times New Roman" w:cs="Times New Roman" w:hint="eastAsia"/>
                <w:bCs w:val="0"/>
                <w:color w:val="000000"/>
                <w:kern w:val="2"/>
                <w:szCs w:val="24"/>
              </w:rPr>
              <w:t>”</w:t>
            </w:r>
            <w:r>
              <w:rPr>
                <w:rFonts w:ascii="Times New Roman" w:hAnsi="Times New Roman" w:cs="Times New Roman"/>
                <w:bCs w:val="0"/>
                <w:color w:val="000000"/>
                <w:kern w:val="2"/>
                <w:szCs w:val="24"/>
              </w:rPr>
              <w:t>（以下简称</w:t>
            </w:r>
            <w:r>
              <w:rPr>
                <w:rFonts w:ascii="Times New Roman" w:hAnsi="Times New Roman" w:cs="Times New Roman" w:hint="eastAsia"/>
                <w:bCs w:val="0"/>
                <w:color w:val="000000"/>
                <w:kern w:val="2"/>
                <w:szCs w:val="24"/>
              </w:rPr>
              <w:t>“</w:t>
            </w:r>
            <w:r>
              <w:rPr>
                <w:rFonts w:ascii="Times New Roman" w:hAnsi="Times New Roman" w:cs="Times New Roman"/>
                <w:bCs w:val="0"/>
                <w:color w:val="000000"/>
                <w:kern w:val="2"/>
                <w:szCs w:val="24"/>
              </w:rPr>
              <w:t>三线一单</w:t>
            </w:r>
            <w:r>
              <w:rPr>
                <w:rFonts w:ascii="Times New Roman" w:hAnsi="Times New Roman" w:cs="Times New Roman" w:hint="eastAsia"/>
                <w:bCs w:val="0"/>
                <w:color w:val="000000"/>
                <w:kern w:val="2"/>
                <w:szCs w:val="24"/>
              </w:rPr>
              <w:t>”</w:t>
            </w:r>
            <w:r>
              <w:rPr>
                <w:rFonts w:ascii="Times New Roman" w:hAnsi="Times New Roman" w:cs="Times New Roman"/>
                <w:bCs w:val="0"/>
                <w:color w:val="000000"/>
                <w:kern w:val="2"/>
                <w:szCs w:val="24"/>
              </w:rPr>
              <w:t>）落地，实施生态环境分区管控，促进生态环境高水平保护和经济社会高质量发展。本项目建设与上述要求的符合性分析如下</w:t>
            </w:r>
            <w:r>
              <w:rPr>
                <w:rFonts w:ascii="Times New Roman" w:hAnsi="Times New Roman" w:cs="Times New Roman" w:hint="eastAsia"/>
                <w:bCs w:val="0"/>
                <w:color w:val="000000"/>
                <w:kern w:val="2"/>
                <w:szCs w:val="24"/>
              </w:rPr>
              <w:t>：</w:t>
            </w:r>
          </w:p>
          <w:p>
            <w:pPr>
              <w:pStyle w:val="BodyTextFirstIndent2"/>
              <w:spacing w:after="0" w:line="360" w:lineRule="auto"/>
              <w:ind w:left="0" w:firstLine="480" w:leftChars="0"/>
              <w:rPr>
                <w:rFonts w:hint="eastAsia"/>
                <w:color w:val="000000"/>
                <w:sz w:val="24"/>
              </w:rPr>
            </w:pPr>
            <w:r>
              <w:rPr>
                <w:color w:val="000000"/>
                <w:sz w:val="24"/>
              </w:rPr>
              <w:fldChar w:fldCharType="begin"/>
            </w:r>
            <w:r>
              <w:rPr>
                <w:color w:val="000000"/>
                <w:sz w:val="24"/>
              </w:rPr>
              <w:instrText xml:space="preserve"> </w:instrText>
            </w:r>
            <w:r>
              <w:rPr>
                <w:rFonts w:hint="eastAsia"/>
                <w:color w:val="000000"/>
                <w:sz w:val="24"/>
              </w:rPr>
              <w:instrText>= 1 \* GB3</w:instrText>
            </w:r>
            <w:r>
              <w:rPr>
                <w:color w:val="000000"/>
                <w:sz w:val="24"/>
              </w:rPr>
              <w:instrText xml:space="preserve"> </w:instrText>
            </w:r>
            <w:r>
              <w:rPr>
                <w:color w:val="000000"/>
                <w:sz w:val="24"/>
              </w:rPr>
              <w:fldChar w:fldCharType="separate"/>
            </w:r>
            <w:r>
              <w:rPr>
                <w:rFonts w:hint="eastAsia"/>
                <w:color w:val="000000"/>
                <w:sz w:val="24"/>
              </w:rPr>
              <w:t>①</w:t>
            </w:r>
            <w:r>
              <w:rPr>
                <w:color w:val="000000"/>
                <w:sz w:val="24"/>
              </w:rPr>
              <w:fldChar w:fldCharType="end"/>
            </w:r>
            <w:r>
              <w:rPr>
                <w:rFonts w:hint="eastAsia"/>
                <w:color w:val="000000"/>
                <w:sz w:val="24"/>
              </w:rPr>
              <w:t>生态保护红线与一般生态空间管控</w:t>
            </w:r>
          </w:p>
          <w:p>
            <w:pPr>
              <w:spacing w:line="360" w:lineRule="auto"/>
              <w:ind w:firstLine="480" w:firstLineChars="200"/>
              <w:rPr>
                <w:rFonts w:hint="eastAsia"/>
                <w:color w:val="000000"/>
                <w:sz w:val="24"/>
              </w:rPr>
            </w:pPr>
            <w:r>
              <w:rPr>
                <w:rFonts w:hint="eastAsia"/>
                <w:color w:val="000000"/>
                <w:sz w:val="24"/>
              </w:rPr>
              <w:t>A、与生态保护红线的符合性分析</w:t>
            </w:r>
          </w:p>
          <w:p>
            <w:pPr>
              <w:pStyle w:val="a6"/>
              <w:spacing w:after="0"/>
              <w:ind w:right="0" w:firstLine="480" w:rightChars="0"/>
              <w:jc w:val="both"/>
              <w:rPr>
                <w:rFonts w:ascii="Times New Roman" w:hAnsi="Times New Roman" w:cs="Times New Roman" w:hint="eastAsia"/>
                <w:color w:val="000000"/>
                <w:kern w:val="2"/>
                <w:szCs w:val="24"/>
              </w:rPr>
            </w:pPr>
          </w:p>
        </w:tc>
      </w:tr>
    </w:tbl>
    <w:p>
      <w:pPr>
        <w:sectPr>
          <w:footerReference w:type="even" r:id="rId8"/>
          <w:footerReference w:type="default" r:id="rId9"/>
          <w:type w:val="nextPage"/>
          <w:pgSz w:w="11906" w:h="16838"/>
          <w:pgMar w:top="1440" w:right="1800" w:bottom="1440" w:left="1800" w:header="851" w:footer="1077" w:gutter="0"/>
          <w:pgNumType w:start="2"/>
          <w:cols w:space="708"/>
          <w:titlePg w:val="0"/>
          <w:docGrid w:linePitch="312"/>
        </w:sectPr>
      </w:pPr>
    </w:p>
    <w:tbl>
      <w:tblPr>
        <w:tblStyle w:val="TableNormal"/>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
      <w:tblGrid>
        <w:gridCol w:w="1985"/>
        <w:gridCol w:w="6520"/>
      </w:tblGrid>
      <w:tr>
        <w:tblPrEx>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Ex>
        <w:trPr>
          <w:trHeight w:val="1431"/>
        </w:trPr>
        <w:tc>
          <w:tcPr>
            <w:tcW w:w="1167" w:type="pct"/>
            <w:tcMar>
              <w:top w:w="16" w:type="dxa"/>
              <w:left w:w="16" w:type="dxa"/>
              <w:right w:w="16" w:type="dxa"/>
            </w:tcMar>
            <w:vAlign w:val="center"/>
          </w:tcPr>
          <w:p/>
        </w:tc>
        <w:tc>
          <w:tcPr>
            <w:tcW w:w="3833" w:type="pct"/>
            <w:tcMar>
              <w:top w:w="16" w:type="dxa"/>
              <w:left w:w="16" w:type="dxa"/>
              <w:right w:w="16" w:type="dxa"/>
            </w:tcMar>
            <w:vAlign w:val="center"/>
          </w:tcPr>
          <w:p>
            <w:pPr>
              <w:pStyle w:val="a6"/>
              <w:spacing w:before="0"/>
              <w:ind w:right="0" w:firstLine="480" w:rightChars="0"/>
              <w:jc w:val="both"/>
              <w:rPr>
                <w:rFonts w:ascii="Times New Roman" w:hAnsi="Times New Roman" w:cs="Times New Roman" w:hint="eastAsia"/>
                <w:color w:val="000000"/>
                <w:kern w:val="2"/>
                <w:szCs w:val="24"/>
              </w:rPr>
            </w:pPr>
            <w:r>
              <w:rPr>
                <w:rFonts w:ascii="Times New Roman" w:hAnsi="Times New Roman" w:cs="Times New Roman" w:hint="eastAsia"/>
                <w:bCs w:val="0"/>
                <w:color w:val="000000"/>
                <w:kern w:val="2"/>
                <w:szCs w:val="24"/>
              </w:rPr>
              <w:t>德州市生态保护红线主导功能为生物多样性保护以及防风固沙，属于黄河三角洲生物多样性维护生态保护红线、鲁西北平原防风固沙生态保护红线，主要为各类法定保护地的核心区域及评估确定的极重要区。</w:t>
            </w:r>
          </w:p>
          <w:p>
            <w:pPr>
              <w:pStyle w:val="BodyTextFirstIndent2"/>
              <w:spacing w:after="0"/>
              <w:ind w:left="0" w:firstLine="0" w:leftChars="0" w:firstLineChars="0"/>
              <w:jc w:val="center"/>
              <w:rPr>
                <w:rFonts w:hint="eastAsia"/>
                <w:b/>
                <w:color w:val="000000"/>
                <w:sz w:val="24"/>
              </w:rPr>
            </w:pPr>
            <w:r>
              <w:rPr>
                <w:rFonts w:hint="eastAsia"/>
                <w:b/>
                <w:color w:val="000000"/>
                <w:sz w:val="24"/>
              </w:rPr>
              <w:t>表1-1 宁津县生态保护红线信息表</w:t>
            </w:r>
          </w:p>
          <w:tbl>
            <w:tblPr>
              <w:tblStyle w:val="TableNormal"/>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659"/>
              <w:gridCol w:w="2066"/>
              <w:gridCol w:w="2444"/>
              <w:gridCol w:w="1309"/>
            </w:tblGrid>
            <w:tr>
              <w:tblPrEx>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trPr>
              <w:tc>
                <w:tcPr>
                  <w:tcW w:w="509" w:type="pct"/>
                  <w:vAlign w:val="center"/>
                </w:tcPr>
                <w:p>
                  <w:pPr>
                    <w:jc w:val="center"/>
                    <w:rPr>
                      <w:rFonts w:hint="eastAsia"/>
                      <w:color w:val="000000"/>
                      <w:szCs w:val="21"/>
                    </w:rPr>
                  </w:pPr>
                  <w:r>
                    <w:rPr>
                      <w:rFonts w:hint="eastAsia"/>
                      <w:color w:val="000000"/>
                      <w:szCs w:val="21"/>
                    </w:rPr>
                    <w:t>序号</w:t>
                  </w:r>
                </w:p>
              </w:tc>
              <w:tc>
                <w:tcPr>
                  <w:tcW w:w="1595" w:type="pct"/>
                  <w:vAlign w:val="center"/>
                </w:tcPr>
                <w:p>
                  <w:pPr>
                    <w:jc w:val="center"/>
                    <w:rPr>
                      <w:rFonts w:hint="eastAsia"/>
                      <w:color w:val="000000"/>
                      <w:szCs w:val="21"/>
                    </w:rPr>
                  </w:pPr>
                  <w:r>
                    <w:rPr>
                      <w:rFonts w:hint="eastAsia"/>
                      <w:color w:val="000000"/>
                      <w:szCs w:val="21"/>
                    </w:rPr>
                    <w:t>编号</w:t>
                  </w:r>
                </w:p>
              </w:tc>
              <w:tc>
                <w:tcPr>
                  <w:tcW w:w="1886" w:type="pct"/>
                  <w:vAlign w:val="center"/>
                </w:tcPr>
                <w:p>
                  <w:pPr>
                    <w:jc w:val="center"/>
                    <w:rPr>
                      <w:rFonts w:hint="eastAsia"/>
                      <w:color w:val="000000"/>
                      <w:szCs w:val="21"/>
                    </w:rPr>
                  </w:pPr>
                  <w:r>
                    <w:rPr>
                      <w:rFonts w:hint="eastAsia"/>
                      <w:color w:val="000000"/>
                      <w:szCs w:val="21"/>
                    </w:rPr>
                    <w:t>生态保护红线</w:t>
                  </w:r>
                </w:p>
              </w:tc>
              <w:tc>
                <w:tcPr>
                  <w:tcW w:w="1010" w:type="pct"/>
                  <w:vAlign w:val="center"/>
                </w:tcPr>
                <w:p>
                  <w:pPr>
                    <w:jc w:val="center"/>
                    <w:rPr>
                      <w:rFonts w:hint="eastAsia"/>
                      <w:color w:val="000000"/>
                      <w:szCs w:val="21"/>
                    </w:rPr>
                  </w:pPr>
                  <w:r>
                    <w:rPr>
                      <w:rFonts w:hint="eastAsia"/>
                      <w:color w:val="000000"/>
                      <w:szCs w:val="21"/>
                    </w:rPr>
                    <w:t>面积（km</w:t>
                  </w:r>
                  <w:r>
                    <w:rPr>
                      <w:rFonts w:hint="eastAsia"/>
                      <w:color w:val="000000"/>
                      <w:szCs w:val="21"/>
                      <w:vertAlign w:val="superscript"/>
                    </w:rPr>
                    <w:t>2</w:t>
                  </w:r>
                  <w:r>
                    <w:rPr>
                      <w:rFonts w:hint="eastAsia"/>
                      <w:color w:val="000000"/>
                      <w:szCs w:val="21"/>
                    </w:rPr>
                    <w:t>）</w:t>
                  </w:r>
                </w:p>
              </w:tc>
            </w:tr>
            <w:tr>
              <w:tblPrEx>
                <w:tblW w:w="5000" w:type="pct"/>
                <w:tblInd w:w="113" w:type="dxa"/>
                <w:tblCellMar>
                  <w:top w:w="0" w:type="dxa"/>
                  <w:left w:w="108" w:type="dxa"/>
                  <w:bottom w:w="0" w:type="dxa"/>
                  <w:right w:w="108" w:type="dxa"/>
                </w:tblCellMar>
                <w:tblLook w:val="0000"/>
              </w:tblPrEx>
              <w:trPr>
                <w:trHeight w:val="340"/>
              </w:trPr>
              <w:tc>
                <w:tcPr>
                  <w:tcW w:w="509" w:type="pct"/>
                  <w:vAlign w:val="center"/>
                </w:tcPr>
                <w:p>
                  <w:pPr>
                    <w:jc w:val="center"/>
                    <w:rPr>
                      <w:rFonts w:hint="eastAsia"/>
                      <w:color w:val="000000"/>
                      <w:szCs w:val="21"/>
                    </w:rPr>
                  </w:pPr>
                  <w:r>
                    <w:rPr>
                      <w:rFonts w:hint="eastAsia"/>
                      <w:color w:val="000000"/>
                      <w:szCs w:val="21"/>
                    </w:rPr>
                    <w:t>1</w:t>
                  </w:r>
                </w:p>
              </w:tc>
              <w:tc>
                <w:tcPr>
                  <w:tcW w:w="1595" w:type="pct"/>
                  <w:vAlign w:val="center"/>
                </w:tcPr>
                <w:p>
                  <w:pPr>
                    <w:jc w:val="center"/>
                    <w:rPr>
                      <w:rFonts w:hint="eastAsia"/>
                      <w:color w:val="000000"/>
                      <w:szCs w:val="21"/>
                    </w:rPr>
                  </w:pPr>
                  <w:r>
                    <w:rPr>
                      <w:color w:val="000000"/>
                      <w:szCs w:val="21"/>
                    </w:rPr>
                    <w:t>YS3714221110007</w:t>
                  </w:r>
                </w:p>
              </w:tc>
              <w:tc>
                <w:tcPr>
                  <w:tcW w:w="1886" w:type="pct"/>
                  <w:vAlign w:val="center"/>
                </w:tcPr>
                <w:p>
                  <w:pPr>
                    <w:jc w:val="center"/>
                    <w:rPr>
                      <w:rFonts w:hint="eastAsia"/>
                      <w:color w:val="000000"/>
                      <w:szCs w:val="21"/>
                    </w:rPr>
                  </w:pPr>
                  <w:r>
                    <w:rPr>
                      <w:rFonts w:hint="eastAsia"/>
                      <w:color w:val="000000"/>
                      <w:szCs w:val="21"/>
                    </w:rPr>
                    <w:t>大柳水库</w:t>
                  </w:r>
                </w:p>
              </w:tc>
              <w:tc>
                <w:tcPr>
                  <w:tcW w:w="1010" w:type="pct"/>
                  <w:vAlign w:val="center"/>
                </w:tcPr>
                <w:p>
                  <w:pPr>
                    <w:jc w:val="center"/>
                    <w:rPr>
                      <w:rFonts w:hint="eastAsia"/>
                      <w:color w:val="000000"/>
                      <w:szCs w:val="21"/>
                    </w:rPr>
                  </w:pPr>
                  <w:r>
                    <w:rPr>
                      <w:rFonts w:hint="eastAsia"/>
                      <w:color w:val="000000"/>
                      <w:szCs w:val="21"/>
                    </w:rPr>
                    <w:t>1.19</w:t>
                  </w:r>
                </w:p>
              </w:tc>
            </w:tr>
            <w:tr>
              <w:tblPrEx>
                <w:tblW w:w="5000" w:type="pct"/>
                <w:tblInd w:w="113" w:type="dxa"/>
                <w:tblCellMar>
                  <w:top w:w="0" w:type="dxa"/>
                  <w:left w:w="108" w:type="dxa"/>
                  <w:bottom w:w="0" w:type="dxa"/>
                  <w:right w:w="108" w:type="dxa"/>
                </w:tblCellMar>
                <w:tblLook w:val="0000"/>
              </w:tblPrEx>
              <w:trPr>
                <w:trHeight w:val="340"/>
              </w:trPr>
              <w:tc>
                <w:tcPr>
                  <w:tcW w:w="509" w:type="pct"/>
                  <w:vAlign w:val="center"/>
                </w:tcPr>
                <w:p>
                  <w:pPr>
                    <w:jc w:val="center"/>
                    <w:rPr>
                      <w:rFonts w:hint="eastAsia"/>
                      <w:color w:val="000000"/>
                      <w:szCs w:val="21"/>
                    </w:rPr>
                  </w:pPr>
                  <w:r>
                    <w:rPr>
                      <w:rFonts w:hint="eastAsia"/>
                      <w:color w:val="000000"/>
                      <w:szCs w:val="21"/>
                    </w:rPr>
                    <w:t>2</w:t>
                  </w:r>
                </w:p>
              </w:tc>
              <w:tc>
                <w:tcPr>
                  <w:tcW w:w="1595" w:type="pct"/>
                  <w:vAlign w:val="center"/>
                </w:tcPr>
                <w:p>
                  <w:pPr>
                    <w:jc w:val="center"/>
                    <w:rPr>
                      <w:rFonts w:hint="eastAsia"/>
                      <w:color w:val="000000"/>
                      <w:szCs w:val="21"/>
                    </w:rPr>
                  </w:pPr>
                  <w:r>
                    <w:rPr>
                      <w:color w:val="000000"/>
                      <w:szCs w:val="21"/>
                    </w:rPr>
                    <w:t>YS3714221110008</w:t>
                  </w:r>
                </w:p>
              </w:tc>
              <w:tc>
                <w:tcPr>
                  <w:tcW w:w="1886" w:type="pct"/>
                  <w:vAlign w:val="center"/>
                </w:tcPr>
                <w:p>
                  <w:pPr>
                    <w:jc w:val="center"/>
                    <w:rPr>
                      <w:rFonts w:hint="eastAsia"/>
                      <w:color w:val="000000"/>
                      <w:szCs w:val="21"/>
                    </w:rPr>
                  </w:pPr>
                  <w:r>
                    <w:rPr>
                      <w:rFonts w:hint="eastAsia"/>
                      <w:color w:val="000000"/>
                      <w:szCs w:val="21"/>
                    </w:rPr>
                    <w:t>宁津水库</w:t>
                  </w:r>
                </w:p>
              </w:tc>
              <w:tc>
                <w:tcPr>
                  <w:tcW w:w="1010" w:type="pct"/>
                  <w:vAlign w:val="center"/>
                </w:tcPr>
                <w:p>
                  <w:pPr>
                    <w:jc w:val="center"/>
                    <w:rPr>
                      <w:rFonts w:hint="eastAsia"/>
                      <w:color w:val="000000"/>
                      <w:szCs w:val="21"/>
                    </w:rPr>
                  </w:pPr>
                  <w:r>
                    <w:rPr>
                      <w:rFonts w:hint="eastAsia"/>
                      <w:color w:val="000000"/>
                      <w:szCs w:val="21"/>
                    </w:rPr>
                    <w:t>0.86</w:t>
                  </w:r>
                </w:p>
              </w:tc>
            </w:tr>
          </w:tbl>
          <w:p>
            <w:pPr>
              <w:spacing w:line="360" w:lineRule="auto"/>
              <w:ind w:firstLine="480" w:firstLineChars="200"/>
              <w:rPr>
                <w:rFonts w:hint="eastAsia"/>
                <w:color w:val="000000"/>
                <w:sz w:val="24"/>
              </w:rPr>
            </w:pPr>
            <w:r>
              <w:rPr>
                <w:rFonts w:hint="eastAsia"/>
                <w:color w:val="000000"/>
                <w:sz w:val="24"/>
              </w:rPr>
              <w:t>本项目位于德州市宁津县城区西（起于三岭大街与宁德路交叉口（K4+234），止于宁津小店桥（K9+140）），项目未在上述生态红线图范围内。</w:t>
            </w:r>
          </w:p>
          <w:p>
            <w:pPr>
              <w:pStyle w:val="BodyTextFirstIndent2"/>
              <w:spacing w:after="0" w:line="360" w:lineRule="auto"/>
              <w:ind w:left="0" w:firstLine="480" w:leftChars="0"/>
              <w:rPr>
                <w:rFonts w:hint="eastAsia"/>
                <w:color w:val="000000"/>
                <w:sz w:val="24"/>
              </w:rPr>
            </w:pPr>
            <w:r>
              <w:rPr>
                <w:rFonts w:hint="eastAsia"/>
                <w:color w:val="000000"/>
                <w:sz w:val="24"/>
              </w:rPr>
              <w:t>B、一般生态空间</w:t>
            </w:r>
          </w:p>
          <w:p>
            <w:pPr>
              <w:spacing w:line="360" w:lineRule="auto"/>
              <w:ind w:firstLine="480" w:firstLineChars="200"/>
              <w:rPr>
                <w:rFonts w:hint="eastAsia"/>
                <w:color w:val="000000"/>
                <w:sz w:val="24"/>
              </w:rPr>
            </w:pPr>
            <w:r>
              <w:rPr>
                <w:color w:val="000000"/>
                <w:sz w:val="24"/>
              </w:rPr>
              <w:t>在生态保护红线的基础上，按照</w:t>
            </w:r>
            <w:r>
              <w:rPr>
                <w:rFonts w:hint="eastAsia"/>
                <w:color w:val="000000"/>
                <w:sz w:val="24"/>
              </w:rPr>
              <w:t>“</w:t>
            </w:r>
            <w:r>
              <w:rPr>
                <w:color w:val="000000"/>
                <w:sz w:val="24"/>
              </w:rPr>
              <w:t>应划则划</w:t>
            </w:r>
            <w:r>
              <w:rPr>
                <w:rFonts w:hint="eastAsia"/>
                <w:color w:val="000000"/>
                <w:sz w:val="24"/>
              </w:rPr>
              <w:t>”</w:t>
            </w:r>
            <w:r>
              <w:rPr>
                <w:color w:val="000000"/>
                <w:sz w:val="24"/>
              </w:rPr>
              <w:t>的原则划定一般生态空间，德州市一般生态空间总面积574.60km</w:t>
            </w:r>
            <w:r>
              <w:rPr>
                <w:color w:val="000000"/>
                <w:sz w:val="24"/>
                <w:vertAlign w:val="superscript"/>
              </w:rPr>
              <w:t>2</w:t>
            </w:r>
            <w:r>
              <w:rPr>
                <w:color w:val="000000"/>
                <w:sz w:val="24"/>
              </w:rPr>
              <w:t>，占全市国土面积的5.55%，包括未纳入生态保护红线的森林公园、湿地公园、饮用水水源地保护区以及拟划定的饮用水水源地保护区、公园绿地、公益林，除此之外还包括评价确定的生态系统服务功能极重要区、重要区及生态环境极敏感区、敏感区。</w:t>
            </w:r>
          </w:p>
          <w:p>
            <w:pPr>
              <w:spacing w:line="360" w:lineRule="auto"/>
              <w:ind w:firstLine="480" w:firstLineChars="200"/>
              <w:rPr>
                <w:color w:val="000000"/>
                <w:sz w:val="24"/>
              </w:rPr>
            </w:pPr>
            <w:r>
              <w:rPr>
                <w:color w:val="000000"/>
                <w:sz w:val="24"/>
              </w:rPr>
              <w:fldChar w:fldCharType="begin"/>
            </w:r>
            <w:r>
              <w:rPr>
                <w:color w:val="000000"/>
                <w:sz w:val="24"/>
              </w:rPr>
              <w:instrText xml:space="preserve"> </w:instrText>
            </w:r>
            <w:r>
              <w:rPr>
                <w:rFonts w:hint="eastAsia"/>
                <w:color w:val="000000"/>
                <w:sz w:val="24"/>
              </w:rPr>
              <w:instrText>= 2 \* GB3</w:instrText>
            </w:r>
            <w:r>
              <w:rPr>
                <w:color w:val="000000"/>
                <w:sz w:val="24"/>
              </w:rPr>
              <w:instrText xml:space="preserve"> </w:instrText>
            </w:r>
            <w:r>
              <w:rPr>
                <w:color w:val="000000"/>
                <w:sz w:val="24"/>
              </w:rPr>
              <w:fldChar w:fldCharType="separate"/>
            </w:r>
            <w:r>
              <w:rPr>
                <w:rFonts w:hint="eastAsia"/>
                <w:color w:val="000000"/>
                <w:sz w:val="24"/>
              </w:rPr>
              <w:t>②</w:t>
            </w:r>
            <w:r>
              <w:rPr>
                <w:color w:val="000000"/>
                <w:sz w:val="24"/>
              </w:rPr>
              <w:fldChar w:fldCharType="end"/>
            </w:r>
            <w:r>
              <w:rPr>
                <w:rFonts w:hint="eastAsia"/>
                <w:color w:val="000000"/>
                <w:sz w:val="24"/>
              </w:rPr>
              <w:t>环境质量底线</w:t>
            </w:r>
          </w:p>
          <w:p>
            <w:pPr>
              <w:adjustRightInd w:val="0"/>
              <w:snapToGrid w:val="0"/>
              <w:spacing w:line="360" w:lineRule="auto"/>
              <w:ind w:firstLine="480" w:firstLineChars="200"/>
              <w:contextualSpacing/>
              <w:rPr>
                <w:rFonts w:hint="eastAsia"/>
                <w:color w:val="000000"/>
                <w:sz w:val="24"/>
              </w:rPr>
            </w:pPr>
            <w:r>
              <w:rPr>
                <w:rFonts w:hint="eastAsia"/>
                <w:color w:val="000000"/>
                <w:sz w:val="24"/>
              </w:rPr>
              <w:t>A、大气环境质量底线及分区管控</w:t>
            </w:r>
          </w:p>
          <w:p>
            <w:pPr>
              <w:adjustRightInd w:val="0"/>
              <w:snapToGrid w:val="0"/>
              <w:spacing w:after="0" w:line="360" w:lineRule="auto"/>
              <w:ind w:firstLine="480" w:firstLineChars="200"/>
              <w:contextualSpacing/>
              <w:rPr>
                <w:rFonts w:hint="eastAsia"/>
                <w:color w:val="000000"/>
                <w:sz w:val="24"/>
              </w:rPr>
            </w:pPr>
            <w:r>
              <w:rPr>
                <w:rFonts w:hint="eastAsia"/>
                <w:color w:val="000000"/>
                <w:sz w:val="24"/>
              </w:rPr>
              <w:t>本项目位于德州市宁津县城区西（起于三岭大街与宁德路交叉口（K4+234），止于宁津小店桥（K9+140）），位于宁城街道办事处，宁城街道属于</w:t>
            </w:r>
            <w:r>
              <w:rPr>
                <w:color w:val="000000"/>
                <w:sz w:val="24"/>
              </w:rPr>
              <w:t>大气环境受体敏感重点管控区</w:t>
            </w:r>
            <w:r>
              <w:rPr>
                <w:rFonts w:hint="eastAsia"/>
                <w:color w:val="000000"/>
                <w:sz w:val="24"/>
              </w:rPr>
              <w:t>，具体管控要求如下：</w:t>
            </w:r>
            <w:r>
              <w:rPr>
                <w:bCs/>
                <w:color w:val="000000"/>
                <w:sz w:val="24"/>
              </w:rPr>
              <w:t>执行《区域性大气污染物综合排放标准》（DB37/2376-2019</w:t>
            </w:r>
            <w:r>
              <w:rPr>
                <w:rFonts w:hint="eastAsia"/>
                <w:bCs/>
                <w:color w:val="000000"/>
                <w:sz w:val="24"/>
              </w:rPr>
              <w:t>）</w:t>
            </w:r>
            <w:r>
              <w:rPr>
                <w:bCs/>
                <w:color w:val="000000"/>
                <w:sz w:val="24"/>
              </w:rPr>
              <w:t>规定的重点控制区标准。禁止新建、扩建排放大气污染物的工业项目，禁止新增工业大气污染物排放；产生大气污染物的工业企业应持续开展节能减排，大气污染严重的工业企业限期关停或逐步迁出；执行</w:t>
            </w:r>
            <w:r>
              <w:rPr>
                <w:rFonts w:hint="eastAsia"/>
                <w:bCs/>
                <w:color w:val="000000"/>
                <w:sz w:val="24"/>
              </w:rPr>
              <w:t>“</w:t>
            </w:r>
            <w:r>
              <w:rPr>
                <w:bCs/>
                <w:color w:val="000000"/>
                <w:sz w:val="24"/>
              </w:rPr>
              <w:t>高污染燃料禁燃区</w:t>
            </w:r>
            <w:r>
              <w:rPr>
                <w:rFonts w:hint="eastAsia"/>
                <w:bCs/>
                <w:color w:val="000000"/>
                <w:sz w:val="24"/>
              </w:rPr>
              <w:t>”</w:t>
            </w:r>
          </w:p>
        </w:tc>
      </w:tr>
    </w:tbl>
    <w:p>
      <w:pPr>
        <w:sectPr>
          <w:footerReference w:type="even" r:id="rId10"/>
          <w:footerReference w:type="default" r:id="rId11"/>
          <w:type w:val="nextPage"/>
          <w:pgSz w:w="11906" w:h="16838"/>
          <w:pgMar w:top="1440" w:right="1800" w:bottom="1440" w:left="1800" w:header="851" w:footer="1077" w:gutter="0"/>
          <w:pgNumType w:start="3"/>
          <w:cols w:space="708"/>
          <w:titlePg w:val="0"/>
          <w:docGrid w:linePitch="312"/>
        </w:sectPr>
      </w:pPr>
    </w:p>
    <w:tbl>
      <w:tblPr>
        <w:tblStyle w:val="TableNormal"/>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
      <w:tblGrid>
        <w:gridCol w:w="1985"/>
        <w:gridCol w:w="6520"/>
      </w:tblGrid>
      <w:tr>
        <w:tblPrEx>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Ex>
        <w:trPr>
          <w:trHeight w:val="1431"/>
        </w:trPr>
        <w:tc>
          <w:tcPr>
            <w:tcW w:w="1167" w:type="pct"/>
            <w:tcMar>
              <w:top w:w="16" w:type="dxa"/>
              <w:left w:w="16" w:type="dxa"/>
              <w:right w:w="16" w:type="dxa"/>
            </w:tcMar>
            <w:vAlign w:val="center"/>
          </w:tcPr>
          <w:p/>
        </w:tc>
        <w:tc>
          <w:tcPr>
            <w:tcW w:w="3833" w:type="pct"/>
            <w:tcMar>
              <w:top w:w="16" w:type="dxa"/>
              <w:left w:w="16" w:type="dxa"/>
              <w:right w:w="16" w:type="dxa"/>
            </w:tcMar>
            <w:vAlign w:val="center"/>
          </w:tcPr>
          <w:p>
            <w:pPr>
              <w:adjustRightInd w:val="0"/>
              <w:snapToGrid w:val="0"/>
              <w:spacing w:before="0" w:line="360" w:lineRule="auto"/>
              <w:ind w:firstLine="480" w:firstLineChars="200"/>
              <w:contextualSpacing/>
              <w:rPr>
                <w:rFonts w:hint="eastAsia"/>
                <w:color w:val="000000"/>
                <w:sz w:val="24"/>
              </w:rPr>
            </w:pPr>
            <w:r>
              <w:rPr>
                <w:bCs/>
                <w:color w:val="000000"/>
                <w:sz w:val="24"/>
              </w:rPr>
              <w:t>的管理规定；禁止燃烧秸秆和工业废弃物、环卫清扫物、建筑垃圾、生活垃圾等废弃物；加强餐饮等服务业的燃料烟气和油烟污染防治，推广使用天然气、液化石油气、太阳能、电能等清洁能源，居民气化率逐步达到100%；重点防控机动车废气排放；全面整治</w:t>
            </w:r>
            <w:r>
              <w:rPr>
                <w:rFonts w:hint="eastAsia"/>
                <w:bCs/>
                <w:color w:val="000000"/>
                <w:sz w:val="24"/>
              </w:rPr>
              <w:t>“</w:t>
            </w:r>
            <w:r>
              <w:rPr>
                <w:bCs/>
                <w:color w:val="000000"/>
                <w:sz w:val="24"/>
              </w:rPr>
              <w:t>散乱污</w:t>
            </w:r>
            <w:r>
              <w:rPr>
                <w:rFonts w:hint="eastAsia"/>
                <w:bCs/>
                <w:color w:val="000000"/>
                <w:sz w:val="24"/>
              </w:rPr>
              <w:t>”</w:t>
            </w:r>
            <w:r>
              <w:rPr>
                <w:bCs/>
                <w:color w:val="000000"/>
                <w:sz w:val="24"/>
              </w:rPr>
              <w:t>现象，城市文明施工实现全覆盖，严格控制扬尘污染；倡导绿色低碳的出行和生活方式，不断降低人均能源消耗量和大气污染物排放量。</w:t>
            </w:r>
          </w:p>
          <w:p>
            <w:pPr>
              <w:adjustRightInd w:val="0"/>
              <w:snapToGrid w:val="0"/>
              <w:spacing w:line="360" w:lineRule="auto"/>
              <w:ind w:firstLine="480" w:firstLineChars="200"/>
              <w:contextualSpacing/>
              <w:rPr>
                <w:rFonts w:hint="eastAsia"/>
                <w:color w:val="000000"/>
                <w:sz w:val="24"/>
              </w:rPr>
            </w:pPr>
            <w:r>
              <w:rPr>
                <w:color w:val="000000"/>
                <w:sz w:val="24"/>
              </w:rPr>
              <w:t>本项目属于</w:t>
            </w:r>
            <w:r>
              <w:rPr>
                <w:rFonts w:hint="eastAsia"/>
                <w:color w:val="000000"/>
                <w:sz w:val="24"/>
              </w:rPr>
              <w:t>等级公路拓宽改建建设项目</w:t>
            </w:r>
            <w:r>
              <w:rPr>
                <w:color w:val="000000"/>
                <w:sz w:val="24"/>
              </w:rPr>
              <w:t>，不属于</w:t>
            </w:r>
            <w:r>
              <w:rPr>
                <w:rFonts w:hint="eastAsia"/>
                <w:color w:val="000000"/>
                <w:sz w:val="24"/>
              </w:rPr>
              <w:t>“</w:t>
            </w:r>
            <w:r>
              <w:rPr>
                <w:color w:val="000000"/>
                <w:sz w:val="24"/>
              </w:rPr>
              <w:t>两高一资</w:t>
            </w:r>
            <w:r>
              <w:rPr>
                <w:rFonts w:hint="eastAsia"/>
                <w:color w:val="000000"/>
                <w:sz w:val="24"/>
              </w:rPr>
              <w:t>”</w:t>
            </w:r>
            <w:r>
              <w:rPr>
                <w:color w:val="000000"/>
                <w:sz w:val="24"/>
              </w:rPr>
              <w:t>项目，项目建设过程中严格落实大气污染物达标排放，实行环保设施</w:t>
            </w:r>
            <w:r>
              <w:rPr>
                <w:rFonts w:hint="eastAsia"/>
                <w:color w:val="000000"/>
                <w:sz w:val="24"/>
              </w:rPr>
              <w:t>“</w:t>
            </w:r>
            <w:r>
              <w:rPr>
                <w:color w:val="000000"/>
                <w:sz w:val="24"/>
              </w:rPr>
              <w:t>三同时</w:t>
            </w:r>
            <w:r>
              <w:rPr>
                <w:rFonts w:hint="eastAsia"/>
                <w:color w:val="000000"/>
                <w:sz w:val="24"/>
              </w:rPr>
              <w:t>”</w:t>
            </w:r>
            <w:r>
              <w:rPr>
                <w:color w:val="000000"/>
                <w:sz w:val="24"/>
              </w:rPr>
              <w:t>制度。</w:t>
            </w:r>
          </w:p>
          <w:p>
            <w:pPr>
              <w:pStyle w:val="BodyTextFirstIndent2"/>
              <w:spacing w:after="0" w:line="360" w:lineRule="auto"/>
              <w:ind w:left="0" w:firstLine="480" w:leftChars="0"/>
              <w:rPr>
                <w:rFonts w:hint="eastAsia"/>
                <w:color w:val="000000"/>
                <w:sz w:val="24"/>
              </w:rPr>
            </w:pPr>
            <w:r>
              <w:rPr>
                <w:rFonts w:hint="eastAsia"/>
                <w:color w:val="000000"/>
                <w:sz w:val="24"/>
              </w:rPr>
              <w:t>B、水环境质量底线及分区管控</w:t>
            </w:r>
          </w:p>
          <w:p>
            <w:pPr>
              <w:adjustRightInd w:val="0"/>
              <w:snapToGrid w:val="0"/>
              <w:spacing w:line="360" w:lineRule="auto"/>
              <w:ind w:firstLine="480" w:firstLineChars="200"/>
              <w:contextualSpacing/>
              <w:rPr>
                <w:rFonts w:hint="eastAsia"/>
                <w:color w:val="000000"/>
                <w:sz w:val="24"/>
              </w:rPr>
            </w:pPr>
            <w:r>
              <w:rPr>
                <w:rFonts w:hint="eastAsia"/>
                <w:color w:val="000000"/>
                <w:sz w:val="24"/>
              </w:rPr>
              <w:t>本项目位于德州市宁津县城区西（起于三岭大街与宁德路交叉口（K4+234），止于宁津小店桥（K9+140）），位于宁城街道办事处，属于水环境重点管控区，管控要求如下：涉及高耗水、高污染物排放、产生有毒有害污染物的建设项目从严审批，禁止新建、改扩建不符合国家产业政策严重污染水环境的落后产能，禁止建设加剧环境质量超标的建设项目。对造纸、焦化、氮肥、印染、农副产品加工、原料药制造、制革、农药、电镀等重点行业（国家鼓励发展的除外）实行主要污染物排放等量或减量置换。</w:t>
            </w:r>
          </w:p>
          <w:p>
            <w:pPr>
              <w:pStyle w:val="BodyTextFirstIndent2"/>
              <w:spacing w:after="0" w:line="360" w:lineRule="auto"/>
              <w:ind w:left="0" w:firstLine="480" w:leftChars="0"/>
              <w:rPr>
                <w:rFonts w:hint="eastAsia"/>
                <w:color w:val="000000"/>
                <w:sz w:val="24"/>
              </w:rPr>
            </w:pPr>
            <w:r>
              <w:rPr>
                <w:rFonts w:hint="eastAsia"/>
                <w:color w:val="000000"/>
                <w:sz w:val="24"/>
              </w:rPr>
              <w:t>本项目属于等级公路拓宽改建建设项目，不属于上述禁止项目。</w:t>
            </w:r>
          </w:p>
          <w:p>
            <w:pPr>
              <w:spacing w:line="360" w:lineRule="auto"/>
              <w:ind w:firstLine="200"/>
              <w:rPr>
                <w:rFonts w:hint="eastAsia"/>
                <w:color w:val="000000"/>
                <w:sz w:val="24"/>
              </w:rPr>
            </w:pPr>
            <w:r>
              <w:rPr>
                <w:rFonts w:hint="eastAsia"/>
                <w:color w:val="000000"/>
                <w:sz w:val="24"/>
              </w:rPr>
              <w:t xml:space="preserve">   C、土壤环境风险防控底线及分区管控</w:t>
            </w:r>
          </w:p>
          <w:p>
            <w:pPr>
              <w:pStyle w:val="BodyTextFirstIndent2"/>
              <w:spacing w:after="0" w:line="360" w:lineRule="auto"/>
              <w:ind w:left="0" w:firstLine="480" w:leftChars="0"/>
              <w:rPr>
                <w:rFonts w:hint="eastAsia"/>
                <w:color w:val="000000"/>
                <w:sz w:val="24"/>
              </w:rPr>
            </w:pPr>
            <w:r>
              <w:rPr>
                <w:rFonts w:hint="eastAsia"/>
                <w:color w:val="000000"/>
                <w:sz w:val="24"/>
              </w:rPr>
              <w:t xml:space="preserve"> 到</w:t>
            </w:r>
            <w:r>
              <w:rPr>
                <w:color w:val="000000"/>
                <w:sz w:val="24"/>
              </w:rPr>
              <w:t xml:space="preserve">2025 </w:t>
            </w:r>
            <w:r>
              <w:rPr>
                <w:rFonts w:hint="eastAsia"/>
                <w:color w:val="000000"/>
                <w:sz w:val="24"/>
              </w:rPr>
              <w:t>年，全市土壤环境质量稳中向好，农用地和建设用地土壤环境安全得到有效保障，土壤环境风险得到全面管控，受污染耕地安全利用率达到</w:t>
            </w:r>
            <w:r>
              <w:rPr>
                <w:color w:val="000000"/>
                <w:sz w:val="24"/>
              </w:rPr>
              <w:t>92%</w:t>
            </w:r>
            <w:r>
              <w:rPr>
                <w:rFonts w:hint="eastAsia"/>
                <w:color w:val="000000"/>
                <w:sz w:val="24"/>
              </w:rPr>
              <w:t>以上，污染地块安全利用率达到</w:t>
            </w:r>
            <w:r>
              <w:rPr>
                <w:color w:val="000000"/>
                <w:sz w:val="24"/>
              </w:rPr>
              <w:t>93%</w:t>
            </w:r>
            <w:r>
              <w:rPr>
                <w:rFonts w:hint="eastAsia"/>
                <w:color w:val="000000"/>
                <w:sz w:val="24"/>
              </w:rPr>
              <w:t>以上到</w:t>
            </w:r>
            <w:r>
              <w:rPr>
                <w:color w:val="000000"/>
                <w:sz w:val="24"/>
              </w:rPr>
              <w:t xml:space="preserve">2035 </w:t>
            </w:r>
            <w:r>
              <w:rPr>
                <w:rFonts w:hint="eastAsia"/>
                <w:color w:val="000000"/>
                <w:sz w:val="24"/>
              </w:rPr>
              <w:t>年，受污染耕地安全利用率达到</w:t>
            </w:r>
            <w:r>
              <w:rPr>
                <w:color w:val="000000"/>
                <w:sz w:val="24"/>
              </w:rPr>
              <w:t>97%</w:t>
            </w:r>
            <w:r>
              <w:rPr>
                <w:rFonts w:hint="eastAsia"/>
                <w:color w:val="000000"/>
                <w:sz w:val="24"/>
              </w:rPr>
              <w:t>以上，污染地块安全利用率达到</w:t>
            </w:r>
            <w:r>
              <w:rPr>
                <w:color w:val="000000"/>
                <w:sz w:val="24"/>
              </w:rPr>
              <w:t>97%</w:t>
            </w:r>
            <w:r>
              <w:rPr>
                <w:rFonts w:hint="eastAsia"/>
                <w:color w:val="000000"/>
                <w:sz w:val="24"/>
              </w:rPr>
              <w:t>以上，土壤环境质量全面改善，生态系统实现良性循环。</w:t>
            </w:r>
          </w:p>
          <w:p>
            <w:pPr>
              <w:pStyle w:val="BodyTextFirstIndent2"/>
              <w:spacing w:after="0" w:line="360" w:lineRule="auto"/>
              <w:ind w:left="0" w:firstLine="480" w:leftChars="0"/>
              <w:rPr>
                <w:rFonts w:hint="eastAsia"/>
                <w:color w:val="000000"/>
              </w:rPr>
            </w:pPr>
            <w:r>
              <w:rPr>
                <w:color w:val="000000"/>
                <w:sz w:val="24"/>
              </w:rPr>
              <w:fldChar w:fldCharType="begin"/>
            </w:r>
            <w:r>
              <w:rPr>
                <w:color w:val="000000"/>
                <w:sz w:val="24"/>
              </w:rPr>
              <w:instrText xml:space="preserve"> </w:instrText>
            </w:r>
            <w:r>
              <w:rPr>
                <w:rFonts w:hint="eastAsia"/>
                <w:color w:val="000000"/>
                <w:sz w:val="24"/>
              </w:rPr>
              <w:instrText>= 3 \* GB3</w:instrText>
            </w:r>
            <w:r>
              <w:rPr>
                <w:color w:val="000000"/>
                <w:sz w:val="24"/>
              </w:rPr>
              <w:instrText xml:space="preserve"> </w:instrText>
            </w:r>
            <w:r>
              <w:rPr>
                <w:color w:val="000000"/>
                <w:sz w:val="24"/>
              </w:rPr>
              <w:fldChar w:fldCharType="separate"/>
            </w:r>
            <w:r>
              <w:rPr>
                <w:rFonts w:hint="eastAsia"/>
                <w:color w:val="000000"/>
                <w:sz w:val="24"/>
              </w:rPr>
              <w:t>③</w:t>
            </w:r>
            <w:r>
              <w:rPr>
                <w:color w:val="000000"/>
                <w:sz w:val="24"/>
              </w:rPr>
              <w:fldChar w:fldCharType="end"/>
            </w:r>
            <w:r>
              <w:rPr>
                <w:rFonts w:hint="eastAsia"/>
                <w:color w:val="000000"/>
                <w:sz w:val="24"/>
              </w:rPr>
              <w:t>资源利用上线及分区管控</w:t>
            </w:r>
          </w:p>
          <w:p>
            <w:pPr>
              <w:pStyle w:val="BodyTextFirstIndent2"/>
              <w:spacing w:after="0" w:line="360" w:lineRule="auto"/>
              <w:ind w:left="0" w:firstLine="480" w:leftChars="0"/>
              <w:rPr>
                <w:rFonts w:hint="eastAsia"/>
                <w:color w:val="000000"/>
                <w:sz w:val="24"/>
              </w:rPr>
            </w:pPr>
            <w:r>
              <w:rPr>
                <w:color w:val="000000"/>
                <w:sz w:val="24"/>
              </w:rPr>
              <w:t>本项目位于</w:t>
            </w:r>
          </w:p>
        </w:tc>
      </w:tr>
    </w:tbl>
    <w:p>
      <w:pPr>
        <w:sectPr>
          <w:footerReference w:type="even" r:id="rId12"/>
          <w:footerReference w:type="default" r:id="rId13"/>
          <w:type w:val="nextPage"/>
          <w:pgSz w:w="11906" w:h="16838"/>
          <w:pgMar w:top="1440" w:right="1800" w:bottom="1440" w:left="1800" w:header="851" w:footer="1077" w:gutter="0"/>
          <w:pgNumType w:start="4"/>
          <w:cols w:space="708"/>
          <w:titlePg w:val="0"/>
          <w:docGrid w:linePitch="312"/>
        </w:sectPr>
      </w:pPr>
    </w:p>
    <w:tbl>
      <w:tblPr>
        <w:tblStyle w:val="TableNormal"/>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
      <w:tblGrid>
        <w:gridCol w:w="1985"/>
        <w:gridCol w:w="6520"/>
      </w:tblGrid>
      <w:tr>
        <w:tblPrEx>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Ex>
        <w:trPr>
          <w:trHeight w:val="1431"/>
        </w:trPr>
        <w:tc>
          <w:tcPr>
            <w:tcW w:w="1167" w:type="pct"/>
            <w:tcMar>
              <w:top w:w="16" w:type="dxa"/>
              <w:left w:w="16" w:type="dxa"/>
              <w:right w:w="16" w:type="dxa"/>
            </w:tcMar>
            <w:vAlign w:val="center"/>
          </w:tcPr>
          <w:p/>
        </w:tc>
        <w:tc>
          <w:tcPr>
            <w:tcW w:w="3833" w:type="pct"/>
            <w:tcMar>
              <w:top w:w="16" w:type="dxa"/>
              <w:left w:w="16" w:type="dxa"/>
              <w:right w:w="16" w:type="dxa"/>
            </w:tcMar>
            <w:vAlign w:val="center"/>
          </w:tcPr>
          <w:p>
            <w:pPr>
              <w:pStyle w:val="BodyTextFirstIndent2"/>
              <w:spacing w:before="0" w:after="0" w:line="360" w:lineRule="auto"/>
              <w:ind w:left="0" w:firstLine="480" w:leftChars="0"/>
              <w:rPr>
                <w:rFonts w:hint="eastAsia"/>
                <w:color w:val="000000"/>
                <w:sz w:val="24"/>
              </w:rPr>
            </w:pPr>
            <w:r>
              <w:rPr>
                <w:rFonts w:hint="eastAsia"/>
                <w:color w:val="000000"/>
                <w:sz w:val="24"/>
              </w:rPr>
              <w:t>德州市宁津县城区西（起于三岭大街与宁德路交叉口（K4+234），止于宁津小店桥（K9+140）），位于宁城街道办事处</w:t>
            </w:r>
            <w:r>
              <w:rPr>
                <w:color w:val="000000"/>
                <w:sz w:val="24"/>
              </w:rPr>
              <w:t>，项目占地为建设用地</w:t>
            </w:r>
            <w:r>
              <w:rPr>
                <w:rFonts w:hint="eastAsia"/>
                <w:color w:val="000000"/>
                <w:sz w:val="24"/>
              </w:rPr>
              <w:t>、农用地</w:t>
            </w:r>
            <w:r>
              <w:rPr>
                <w:color w:val="000000"/>
                <w:sz w:val="24"/>
              </w:rPr>
              <w:t>，符合</w:t>
            </w:r>
            <w:r>
              <w:rPr>
                <w:rFonts w:hint="eastAsia"/>
                <w:color w:val="000000"/>
                <w:sz w:val="24"/>
              </w:rPr>
              <w:t>宁津县</w:t>
            </w:r>
            <w:r>
              <w:rPr>
                <w:color w:val="000000"/>
                <w:sz w:val="24"/>
              </w:rPr>
              <w:t>总体规划，本项目</w:t>
            </w:r>
            <w:r>
              <w:rPr>
                <w:rFonts w:hint="eastAsia"/>
                <w:color w:val="000000"/>
                <w:sz w:val="24"/>
              </w:rPr>
              <w:t>施工期</w:t>
            </w:r>
            <w:r>
              <w:rPr>
                <w:color w:val="000000"/>
                <w:sz w:val="24"/>
              </w:rPr>
              <w:t>使用</w:t>
            </w:r>
            <w:r>
              <w:rPr>
                <w:rFonts w:hint="eastAsia"/>
                <w:color w:val="000000"/>
                <w:sz w:val="24"/>
              </w:rPr>
              <w:t>自来水</w:t>
            </w:r>
            <w:r>
              <w:rPr>
                <w:color w:val="000000"/>
                <w:sz w:val="24"/>
              </w:rPr>
              <w:t>，</w:t>
            </w:r>
            <w:r>
              <w:rPr>
                <w:rFonts w:hint="eastAsia"/>
                <w:color w:val="000000"/>
                <w:sz w:val="24"/>
              </w:rPr>
              <w:t>运营期不使用水，</w:t>
            </w:r>
            <w:r>
              <w:rPr>
                <w:color w:val="000000"/>
                <w:sz w:val="24"/>
              </w:rPr>
              <w:t>资源消耗较少，不会对当地的资源供应产生明显的影响，所用原辅料中不涉及原煤等能源消耗，满足《关于以改善环境质量为核心加强环境影响评价管理的通知》（环环评[2016]150号）中关于资源利用上线的要求。因此，本项目建设不会触及当地资源利用上线，项目建设在资源利用上合理。</w:t>
            </w:r>
          </w:p>
          <w:p>
            <w:pPr>
              <w:pStyle w:val="BodyTextFirstIndent2"/>
              <w:spacing w:after="0" w:line="360" w:lineRule="auto"/>
              <w:ind w:left="0" w:firstLine="480" w:leftChars="0"/>
              <w:rPr>
                <w:rFonts w:hint="eastAsia"/>
                <w:color w:val="000000"/>
                <w:sz w:val="24"/>
              </w:rPr>
            </w:pPr>
            <w:r>
              <w:rPr>
                <w:color w:val="000000"/>
                <w:sz w:val="24"/>
              </w:rPr>
              <w:fldChar w:fldCharType="begin"/>
            </w:r>
            <w:r>
              <w:rPr>
                <w:color w:val="000000"/>
                <w:sz w:val="24"/>
              </w:rPr>
              <w:instrText xml:space="preserve"> </w:instrText>
            </w:r>
            <w:r>
              <w:rPr>
                <w:rFonts w:hint="eastAsia"/>
                <w:color w:val="000000"/>
                <w:sz w:val="24"/>
              </w:rPr>
              <w:instrText>= 4 \* GB3</w:instrText>
            </w:r>
            <w:r>
              <w:rPr>
                <w:color w:val="000000"/>
                <w:sz w:val="24"/>
              </w:rPr>
              <w:instrText xml:space="preserve"> </w:instrText>
            </w:r>
            <w:r>
              <w:rPr>
                <w:color w:val="000000"/>
                <w:sz w:val="24"/>
              </w:rPr>
              <w:fldChar w:fldCharType="separate"/>
            </w:r>
            <w:r>
              <w:rPr>
                <w:rFonts w:hint="eastAsia"/>
                <w:color w:val="000000"/>
                <w:sz w:val="24"/>
              </w:rPr>
              <w:t>④</w:t>
            </w:r>
            <w:r>
              <w:rPr>
                <w:color w:val="000000"/>
                <w:sz w:val="24"/>
              </w:rPr>
              <w:fldChar w:fldCharType="end"/>
            </w:r>
            <w:r>
              <w:rPr>
                <w:rFonts w:hint="eastAsia"/>
                <w:bCs/>
                <w:color w:val="000000"/>
                <w:sz w:val="24"/>
              </w:rPr>
              <w:t>生态环境准入</w:t>
            </w:r>
            <w:r>
              <w:rPr>
                <w:bCs/>
                <w:color w:val="000000"/>
                <w:sz w:val="24"/>
              </w:rPr>
              <w:t>符合性分析</w:t>
            </w:r>
          </w:p>
          <w:p>
            <w:pPr>
              <w:pStyle w:val="BodyTextFirstIndent2"/>
              <w:spacing w:after="0" w:line="360" w:lineRule="auto"/>
              <w:ind w:left="0" w:firstLine="480" w:leftChars="0"/>
              <w:rPr>
                <w:rFonts w:hint="eastAsia"/>
                <w:color w:val="000000"/>
                <w:sz w:val="24"/>
              </w:rPr>
            </w:pPr>
            <w:r>
              <w:rPr>
                <w:rFonts w:hint="eastAsia"/>
                <w:color w:val="000000"/>
                <w:sz w:val="24"/>
              </w:rPr>
              <w:t>本项目所在宁津县宁城街道，属于重点管控区，具体要求如下：主要涵盖城镇和工业园区（省级以上经济开发区、化工园区及部分重点化工监控点等），为人口密集、资源开发强度大、污染物排放强度高的区域。该区域以产业高质量发展和生态环境保护协调为主，重点推进空间布局优化、产业布局转型升级，不断提高资源利用效率，加强污染物排放控制和环境风险防控，解决突出的生态环境问题，提高资源利用率。重点管控单元内的生态保护红线和一般生态空间严格按照相关要求进行管理。</w:t>
            </w:r>
          </w:p>
          <w:p>
            <w:pPr>
              <w:pStyle w:val="BodyTextFirstIndent2"/>
              <w:spacing w:after="0" w:line="360" w:lineRule="auto"/>
              <w:ind w:left="0" w:firstLine="480" w:leftChars="0"/>
              <w:rPr>
                <w:color w:val="000000"/>
                <w:sz w:val="24"/>
              </w:rPr>
            </w:pPr>
            <w:r>
              <w:rPr>
                <w:rFonts w:hint="eastAsia"/>
                <w:color w:val="000000"/>
                <w:sz w:val="24"/>
              </w:rPr>
              <w:t>与德州市生态环境准入清单（单元、总则）符合性分析见下表：</w:t>
            </w:r>
          </w:p>
          <w:p>
            <w:pPr>
              <w:pStyle w:val="BodyTextFirstIndent2"/>
              <w:spacing w:after="0"/>
              <w:ind w:left="0" w:firstLine="0" w:leftChars="0" w:firstLineChars="0"/>
              <w:jc w:val="center"/>
              <w:rPr>
                <w:rFonts w:hint="eastAsia"/>
                <w:b/>
                <w:color w:val="000000"/>
                <w:sz w:val="24"/>
              </w:rPr>
            </w:pPr>
            <w:r>
              <w:rPr>
                <w:rFonts w:hint="eastAsia"/>
                <w:b/>
                <w:color w:val="000000"/>
                <w:sz w:val="24"/>
              </w:rPr>
              <w:t xml:space="preserve">表1-2 </w:t>
            </w:r>
            <w:r>
              <w:rPr>
                <w:b/>
                <w:color w:val="000000"/>
                <w:sz w:val="24"/>
              </w:rPr>
              <w:t xml:space="preserve"> </w:t>
            </w:r>
            <w:r>
              <w:rPr>
                <w:rFonts w:hint="eastAsia"/>
                <w:b/>
                <w:color w:val="000000"/>
                <w:sz w:val="24"/>
              </w:rPr>
              <w:t>与德州市生态环境准入清单（宁城街道）符合性分析</w:t>
            </w:r>
          </w:p>
          <w:tbl>
            <w:tblPr>
              <w:tblStyle w:val="TableNormal"/>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662"/>
              <w:gridCol w:w="2416"/>
              <w:gridCol w:w="2400"/>
            </w:tblGrid>
            <w:tr>
              <w:tblPrEx>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trPr>
              <w:tc>
                <w:tcPr>
                  <w:tcW w:w="1283" w:type="pct"/>
                  <w:vAlign w:val="center"/>
                </w:tcPr>
                <w:p>
                  <w:pPr>
                    <w:jc w:val="center"/>
                    <w:rPr>
                      <w:rFonts w:hint="eastAsia"/>
                      <w:color w:val="000000"/>
                      <w:szCs w:val="21"/>
                    </w:rPr>
                  </w:pPr>
                  <w:r>
                    <w:rPr>
                      <w:rFonts w:hint="eastAsia"/>
                      <w:color w:val="000000"/>
                      <w:szCs w:val="21"/>
                    </w:rPr>
                    <w:t>环境管控单元编码</w:t>
                  </w:r>
                </w:p>
              </w:tc>
              <w:tc>
                <w:tcPr>
                  <w:tcW w:w="3717" w:type="pct"/>
                  <w:gridSpan w:val="2"/>
                  <w:vAlign w:val="center"/>
                </w:tcPr>
                <w:p>
                  <w:pPr>
                    <w:jc w:val="center"/>
                    <w:rPr>
                      <w:rFonts w:hint="eastAsia"/>
                      <w:color w:val="000000"/>
                      <w:szCs w:val="21"/>
                    </w:rPr>
                  </w:pPr>
                  <w:r>
                    <w:rPr>
                      <w:color w:val="000000"/>
                      <w:szCs w:val="21"/>
                    </w:rPr>
                    <w:t>ZH3714222000</w:t>
                  </w:r>
                  <w:r>
                    <w:rPr>
                      <w:rFonts w:hint="eastAsia"/>
                      <w:color w:val="000000"/>
                      <w:szCs w:val="21"/>
                    </w:rPr>
                    <w:t>1</w:t>
                  </w:r>
                </w:p>
              </w:tc>
            </w:tr>
            <w:tr>
              <w:tblPrEx>
                <w:tblW w:w="5000" w:type="pct"/>
                <w:tblInd w:w="113" w:type="dxa"/>
                <w:tblCellMar>
                  <w:top w:w="0" w:type="dxa"/>
                  <w:left w:w="108" w:type="dxa"/>
                  <w:bottom w:w="0" w:type="dxa"/>
                  <w:right w:w="108" w:type="dxa"/>
                </w:tblCellMar>
                <w:tblLook w:val="0000"/>
              </w:tblPrEx>
              <w:trPr>
                <w:trHeight w:val="340"/>
              </w:trPr>
              <w:tc>
                <w:tcPr>
                  <w:tcW w:w="1283" w:type="pct"/>
                  <w:vAlign w:val="center"/>
                </w:tcPr>
                <w:p>
                  <w:pPr>
                    <w:jc w:val="center"/>
                    <w:rPr>
                      <w:rFonts w:hint="eastAsia"/>
                      <w:color w:val="000000"/>
                      <w:szCs w:val="21"/>
                    </w:rPr>
                  </w:pPr>
                  <w:r>
                    <w:rPr>
                      <w:rFonts w:hint="eastAsia"/>
                      <w:color w:val="000000"/>
                      <w:szCs w:val="21"/>
                    </w:rPr>
                    <w:t>环境管控单元名称</w:t>
                  </w:r>
                </w:p>
              </w:tc>
              <w:tc>
                <w:tcPr>
                  <w:tcW w:w="3717" w:type="pct"/>
                  <w:gridSpan w:val="2"/>
                  <w:vAlign w:val="center"/>
                </w:tcPr>
                <w:p>
                  <w:pPr>
                    <w:jc w:val="center"/>
                    <w:rPr>
                      <w:rFonts w:hint="eastAsia"/>
                      <w:color w:val="000000"/>
                      <w:szCs w:val="21"/>
                    </w:rPr>
                  </w:pPr>
                  <w:r>
                    <w:rPr>
                      <w:rFonts w:hint="eastAsia"/>
                      <w:color w:val="000000"/>
                      <w:szCs w:val="21"/>
                    </w:rPr>
                    <w:t>宁城街道</w:t>
                  </w:r>
                </w:p>
              </w:tc>
            </w:tr>
            <w:tr>
              <w:tblPrEx>
                <w:tblW w:w="5000" w:type="pct"/>
                <w:tblInd w:w="113" w:type="dxa"/>
                <w:tblCellMar>
                  <w:top w:w="0" w:type="dxa"/>
                  <w:left w:w="108" w:type="dxa"/>
                  <w:bottom w:w="0" w:type="dxa"/>
                  <w:right w:w="108" w:type="dxa"/>
                </w:tblCellMar>
                <w:tblLook w:val="0000"/>
              </w:tblPrEx>
              <w:trPr>
                <w:trHeight w:val="340"/>
              </w:trPr>
              <w:tc>
                <w:tcPr>
                  <w:tcW w:w="1283" w:type="pct"/>
                  <w:vAlign w:val="center"/>
                </w:tcPr>
                <w:p>
                  <w:pPr>
                    <w:jc w:val="center"/>
                    <w:rPr>
                      <w:rFonts w:hint="eastAsia"/>
                      <w:color w:val="000000"/>
                      <w:szCs w:val="21"/>
                    </w:rPr>
                  </w:pPr>
                  <w:r>
                    <w:rPr>
                      <w:rFonts w:hint="eastAsia"/>
                      <w:color w:val="000000"/>
                      <w:szCs w:val="21"/>
                    </w:rPr>
                    <w:t>管控单元分类</w:t>
                  </w:r>
                </w:p>
              </w:tc>
              <w:tc>
                <w:tcPr>
                  <w:tcW w:w="3717" w:type="pct"/>
                  <w:gridSpan w:val="2"/>
                  <w:vAlign w:val="center"/>
                </w:tcPr>
                <w:p>
                  <w:pPr>
                    <w:jc w:val="center"/>
                    <w:rPr>
                      <w:rFonts w:hint="eastAsia"/>
                      <w:color w:val="000000"/>
                      <w:szCs w:val="21"/>
                    </w:rPr>
                  </w:pPr>
                  <w:r>
                    <w:rPr>
                      <w:rFonts w:hint="eastAsia"/>
                      <w:color w:val="000000"/>
                      <w:szCs w:val="21"/>
                    </w:rPr>
                    <w:t>重点管控单元</w:t>
                  </w:r>
                </w:p>
              </w:tc>
            </w:tr>
            <w:tr>
              <w:tblPrEx>
                <w:tblW w:w="5000" w:type="pct"/>
                <w:tblInd w:w="113" w:type="dxa"/>
                <w:tblCellMar>
                  <w:top w:w="0" w:type="dxa"/>
                  <w:left w:w="108" w:type="dxa"/>
                  <w:bottom w:w="0" w:type="dxa"/>
                  <w:right w:w="108" w:type="dxa"/>
                </w:tblCellMar>
                <w:tblLook w:val="0000"/>
              </w:tblPrEx>
              <w:trPr>
                <w:trHeight w:val="340"/>
              </w:trPr>
              <w:tc>
                <w:tcPr>
                  <w:tcW w:w="1283" w:type="pct"/>
                  <w:vAlign w:val="center"/>
                </w:tcPr>
                <w:p>
                  <w:pPr>
                    <w:jc w:val="center"/>
                    <w:rPr>
                      <w:rFonts w:hint="eastAsia"/>
                      <w:color w:val="000000"/>
                      <w:szCs w:val="21"/>
                    </w:rPr>
                  </w:pPr>
                  <w:r>
                    <w:rPr>
                      <w:rFonts w:hint="eastAsia"/>
                      <w:color w:val="000000"/>
                      <w:szCs w:val="21"/>
                    </w:rPr>
                    <w:t>内容</w:t>
                  </w:r>
                </w:p>
              </w:tc>
              <w:tc>
                <w:tcPr>
                  <w:tcW w:w="1865" w:type="pct"/>
                  <w:vAlign w:val="center"/>
                </w:tcPr>
                <w:p>
                  <w:pPr>
                    <w:jc w:val="center"/>
                    <w:rPr>
                      <w:rFonts w:hint="eastAsia"/>
                      <w:color w:val="000000"/>
                      <w:szCs w:val="21"/>
                    </w:rPr>
                  </w:pPr>
                  <w:r>
                    <w:rPr>
                      <w:rFonts w:hint="eastAsia"/>
                      <w:color w:val="000000"/>
                      <w:szCs w:val="21"/>
                    </w:rPr>
                    <w:t>准入清单要求</w:t>
                  </w:r>
                </w:p>
              </w:tc>
              <w:tc>
                <w:tcPr>
                  <w:tcW w:w="1852" w:type="pct"/>
                  <w:vAlign w:val="center"/>
                </w:tcPr>
                <w:p>
                  <w:pPr>
                    <w:jc w:val="center"/>
                    <w:rPr>
                      <w:rFonts w:hint="eastAsia"/>
                      <w:color w:val="000000"/>
                      <w:szCs w:val="21"/>
                    </w:rPr>
                  </w:pPr>
                  <w:r>
                    <w:rPr>
                      <w:rFonts w:hint="eastAsia"/>
                      <w:color w:val="000000"/>
                      <w:szCs w:val="21"/>
                    </w:rPr>
                    <w:t>本项目情况</w:t>
                  </w:r>
                </w:p>
              </w:tc>
            </w:tr>
            <w:tr>
              <w:tblPrEx>
                <w:tblW w:w="5000" w:type="pct"/>
                <w:tblInd w:w="113" w:type="dxa"/>
                <w:tblCellMar>
                  <w:top w:w="0" w:type="dxa"/>
                  <w:left w:w="108" w:type="dxa"/>
                  <w:bottom w:w="0" w:type="dxa"/>
                  <w:right w:w="108" w:type="dxa"/>
                </w:tblCellMar>
                <w:tblLook w:val="0000"/>
              </w:tblPrEx>
              <w:trPr>
                <w:trHeight w:val="340"/>
              </w:trPr>
              <w:tc>
                <w:tcPr>
                  <w:tcW w:w="1283" w:type="pct"/>
                  <w:vAlign w:val="center"/>
                </w:tcPr>
                <w:p>
                  <w:pPr>
                    <w:jc w:val="center"/>
                    <w:rPr>
                      <w:rFonts w:hint="eastAsia"/>
                      <w:color w:val="000000"/>
                      <w:szCs w:val="21"/>
                    </w:rPr>
                  </w:pPr>
                  <w:r>
                    <w:rPr>
                      <w:rFonts w:hint="eastAsia"/>
                      <w:color w:val="000000"/>
                      <w:szCs w:val="21"/>
                    </w:rPr>
                    <w:t>空间布局约束</w:t>
                  </w:r>
                </w:p>
              </w:tc>
              <w:tc>
                <w:tcPr>
                  <w:tcW w:w="1865" w:type="pct"/>
                  <w:vAlign w:val="center"/>
                </w:tcPr>
                <w:p>
                  <w:pPr>
                    <w:spacing w:after="0"/>
                    <w:rPr>
                      <w:rFonts w:hint="eastAsia"/>
                      <w:color w:val="000000"/>
                      <w:szCs w:val="21"/>
                    </w:rPr>
                  </w:pPr>
                  <w:r>
                    <w:rPr>
                      <w:rFonts w:hint="eastAsia"/>
                      <w:color w:val="000000"/>
                      <w:szCs w:val="21"/>
                    </w:rPr>
                    <w:t>1.执行全市空间布局约束空间准入要求。</w:t>
                  </w:r>
                  <w:r>
                    <w:rPr>
                      <w:rFonts w:hint="eastAsia"/>
                      <w:color w:val="000000"/>
                      <w:szCs w:val="21"/>
                    </w:rPr>
                    <w:br/>
                  </w:r>
                </w:p>
              </w:tc>
              <w:tc>
                <w:tcPr>
                  <w:tcW w:w="1852" w:type="pct"/>
                  <w:vAlign w:val="center"/>
                </w:tcPr>
                <w:p>
                  <w:pPr>
                    <w:rPr>
                      <w:rFonts w:hint="eastAsia"/>
                      <w:color w:val="000000"/>
                      <w:szCs w:val="21"/>
                    </w:rPr>
                  </w:pPr>
                  <w:r>
                    <w:rPr>
                      <w:rFonts w:hint="eastAsia"/>
                      <w:color w:val="000000"/>
                      <w:szCs w:val="21"/>
                    </w:rPr>
                    <w:t>符合</w:t>
                  </w:r>
                </w:p>
                <w:p>
                  <w:pPr>
                    <w:pStyle w:val="BodyTextFirstIndent2"/>
                    <w:spacing w:after="0"/>
                    <w:ind w:left="0" w:firstLine="0" w:leftChars="0" w:firstLineChars="0"/>
                    <w:rPr>
                      <w:rFonts w:hint="eastAsia"/>
                      <w:color w:val="000000"/>
                    </w:rPr>
                  </w:pPr>
                  <w:r>
                    <w:rPr>
                      <w:rFonts w:hint="eastAsia"/>
                      <w:color w:val="000000"/>
                    </w:rPr>
                    <w:t>1、本项目满足全市空间布局约束空间准入要求。</w:t>
                  </w:r>
                </w:p>
                <w:p>
                  <w:pPr>
                    <w:rPr>
                      <w:rFonts w:hint="eastAsia"/>
                      <w:color w:val="000000"/>
                    </w:rPr>
                  </w:pPr>
                  <w:r>
                    <w:rPr>
                      <w:rFonts w:hint="eastAsia"/>
                      <w:color w:val="000000"/>
                    </w:rPr>
                    <w:t>2、本项目不属于制浆造纸、印染、制革、电镀、碳素、机制砂、机制石子等废水、废气污染物排放量较大的工业项目建设。本项目用水量较少。</w:t>
                  </w:r>
                </w:p>
              </w:tc>
            </w:tr>
          </w:tbl>
          <w:p/>
        </w:tc>
      </w:tr>
    </w:tbl>
    <w:p>
      <w:pPr>
        <w:sectPr>
          <w:footerReference w:type="even" r:id="rId14"/>
          <w:footerReference w:type="default" r:id="rId15"/>
          <w:type w:val="nextPage"/>
          <w:pgSz w:w="11906" w:h="16838"/>
          <w:pgMar w:top="1440" w:right="1800" w:bottom="1440" w:left="1800" w:header="851" w:footer="1077" w:gutter="0"/>
          <w:pgNumType w:start="5"/>
          <w:cols w:space="708"/>
          <w:titlePg w:val="0"/>
          <w:docGrid w:linePitch="312"/>
        </w:sectPr>
      </w:pPr>
    </w:p>
    <w:tbl>
      <w:tblPr>
        <w:tblStyle w:val="TableNormal"/>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
      <w:tblGrid>
        <w:gridCol w:w="1985"/>
        <w:gridCol w:w="6520"/>
      </w:tblGrid>
      <w:tr>
        <w:tblPrEx>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Ex>
        <w:trPr>
          <w:trHeight w:val="1431"/>
        </w:trPr>
        <w:tc>
          <w:tcPr>
            <w:tcW w:w="1167" w:type="pct"/>
            <w:tcMar>
              <w:top w:w="16" w:type="dxa"/>
              <w:left w:w="16" w:type="dxa"/>
              <w:right w:w="16" w:type="dxa"/>
            </w:tcMar>
            <w:vAlign w:val="center"/>
          </w:tcPr>
          <w:p/>
        </w:tc>
        <w:tc>
          <w:tcPr>
            <w:tcW w:w="3833" w:type="pct"/>
            <w:tcMar>
              <w:top w:w="16" w:type="dxa"/>
              <w:left w:w="16" w:type="dxa"/>
              <w:right w:w="16" w:type="dxa"/>
            </w:tcMar>
            <w:vAlign w:val="center"/>
          </w:tcPr>
          <w:tbl>
            <w:tblPr>
              <w:tblStyle w:val="TableNormal"/>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662"/>
              <w:gridCol w:w="2416"/>
              <w:gridCol w:w="2400"/>
            </w:tblGrid>
            <w:tr>
              <w:tblPrEx>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trPr>
              <w:tc>
                <w:tcPr>
                  <w:tcW w:w="1283" w:type="pct"/>
                  <w:vAlign w:val="center"/>
                </w:tcPr>
                <w:p/>
              </w:tc>
              <w:tc>
                <w:tcPr>
                  <w:tcW w:w="1865" w:type="pct"/>
                  <w:vAlign w:val="center"/>
                </w:tcPr>
                <w:p>
                  <w:pPr>
                    <w:spacing w:before="0"/>
                    <w:rPr>
                      <w:rFonts w:hint="eastAsia"/>
                      <w:color w:val="000000"/>
                      <w:szCs w:val="21"/>
                    </w:rPr>
                  </w:pPr>
                  <w:r>
                    <w:rPr>
                      <w:rFonts w:hint="eastAsia"/>
                      <w:color w:val="000000"/>
                      <w:szCs w:val="21"/>
                    </w:rPr>
                    <w:t>2.禁止制浆造纸、印染、制革、电镀、碳素等工业项目建设；控制涉VOCs重点行业（包装印刷、工业涂装等）项目建设。限制废气污染物排放量较大的工业项目建设，禁止机制砂、机制石子项目建设。控制高污染、高水耗、高环境风险工业项目建设。</w:t>
                  </w:r>
                </w:p>
              </w:tc>
              <w:tc>
                <w:tcPr>
                  <w:tcW w:w="1852" w:type="pct"/>
                  <w:vAlign w:val="center"/>
                </w:tcPr>
                <w:p/>
              </w:tc>
            </w:tr>
            <w:tr>
              <w:tblPrEx>
                <w:tblW w:w="5000" w:type="pct"/>
                <w:tblInd w:w="113" w:type="dxa"/>
                <w:tblCellMar>
                  <w:top w:w="0" w:type="dxa"/>
                  <w:left w:w="108" w:type="dxa"/>
                  <w:bottom w:w="0" w:type="dxa"/>
                  <w:right w:w="108" w:type="dxa"/>
                </w:tblCellMar>
                <w:tblLook w:val="0000"/>
              </w:tblPrEx>
              <w:trPr>
                <w:trHeight w:val="340"/>
              </w:trPr>
              <w:tc>
                <w:tcPr>
                  <w:tcW w:w="1283" w:type="pct"/>
                  <w:vAlign w:val="center"/>
                </w:tcPr>
                <w:p>
                  <w:pPr>
                    <w:jc w:val="center"/>
                    <w:rPr>
                      <w:rFonts w:hint="eastAsia"/>
                      <w:color w:val="000000"/>
                      <w:szCs w:val="21"/>
                    </w:rPr>
                  </w:pPr>
                  <w:r>
                    <w:rPr>
                      <w:rFonts w:hint="eastAsia"/>
                      <w:color w:val="000000"/>
                      <w:szCs w:val="21"/>
                    </w:rPr>
                    <w:t>污染物排放管控</w:t>
                  </w:r>
                </w:p>
              </w:tc>
              <w:tc>
                <w:tcPr>
                  <w:tcW w:w="1865" w:type="pct"/>
                  <w:vAlign w:val="center"/>
                </w:tcPr>
                <w:p>
                  <w:pPr>
                    <w:rPr>
                      <w:rFonts w:hint="eastAsia"/>
                      <w:color w:val="000000"/>
                      <w:szCs w:val="21"/>
                    </w:rPr>
                  </w:pPr>
                  <w:r>
                    <w:rPr>
                      <w:rFonts w:hint="eastAsia"/>
                      <w:color w:val="000000"/>
                      <w:szCs w:val="21"/>
                    </w:rPr>
                    <w:t>1.执行《区域性大气污染物综合排放标准》（DB37/2376-2019)规定的重点控制区排放标准。</w:t>
                  </w:r>
                  <w:r>
                    <w:rPr>
                      <w:rFonts w:hint="eastAsia"/>
                      <w:color w:val="000000"/>
                      <w:szCs w:val="21"/>
                    </w:rPr>
                    <w:br/>
                  </w:r>
                  <w:r>
                    <w:rPr>
                      <w:rFonts w:hint="eastAsia"/>
                      <w:color w:val="000000"/>
                      <w:szCs w:val="21"/>
                    </w:rPr>
                    <w:t>2.严格控制VOCs排放重点行业新增污染物排放量，单元内涉及挥发性有机物排放的行业应严格遵守山东省地方标准《挥发性有机物排放标准》（DB37/ 2801）。涉VOCs企业无组织排放控制执行《挥发性有机物无组织排放控制标准（GB 37822-2019）》。家具、工业涂装、印刷行业等执行《山东省涉挥发性有机物企业分行业治理指导意见》，推行源头替代、加强过程控制和末端治理，加强挥发性有机物(VOCs)废气收集与治理，建设有效的废气收集系统和VOCs处理设施。重点排放源VOCs处理效率达到80%以上。</w:t>
                  </w:r>
                  <w:r>
                    <w:rPr>
                      <w:rFonts w:hint="eastAsia"/>
                      <w:color w:val="000000"/>
                      <w:szCs w:val="21"/>
                    </w:rPr>
                    <w:br/>
                  </w:r>
                  <w:r>
                    <w:rPr>
                      <w:rFonts w:hint="eastAsia"/>
                      <w:color w:val="000000"/>
                      <w:szCs w:val="21"/>
                    </w:rPr>
                    <w:t>3.执行《流域水污染物综合排放标准第4部分：海河流域》标准。</w:t>
                  </w:r>
                  <w:r>
                    <w:rPr>
                      <w:rFonts w:hint="eastAsia"/>
                      <w:color w:val="000000"/>
                      <w:szCs w:val="21"/>
                    </w:rPr>
                    <w:br/>
                  </w:r>
                  <w:r>
                    <w:rPr>
                      <w:rFonts w:hint="eastAsia"/>
                      <w:color w:val="000000"/>
                      <w:szCs w:val="21"/>
                    </w:rPr>
                    <w:t>4.餐饮服务经营场所安装油烟净化设施并强化运行监管 ，餐饮业油烟净化装置配备率达到100％，油烟废气排放达到《山东省饮食油烟排放标准》(DB37/ 597</w:t>
                  </w:r>
                  <w:r>
                    <w:rPr>
                      <w:rFonts w:hint="eastAsia"/>
                      <w:color w:val="000000"/>
                      <w:szCs w:val="21"/>
                    </w:rPr>
                    <w:t>—</w:t>
                  </w:r>
                  <w:r>
                    <w:rPr>
                      <w:rFonts w:hint="eastAsia"/>
                      <w:color w:val="000000"/>
                      <w:szCs w:val="21"/>
                    </w:rPr>
                    <w:t>2006)要求。</w:t>
                  </w:r>
                  <w:r>
                    <w:rPr>
                      <w:rFonts w:hint="eastAsia"/>
                      <w:color w:val="000000"/>
                      <w:szCs w:val="21"/>
                    </w:rPr>
                    <w:br/>
                  </w:r>
                  <w:r>
                    <w:rPr>
                      <w:rFonts w:hint="eastAsia"/>
                      <w:color w:val="000000"/>
                      <w:szCs w:val="21"/>
                    </w:rPr>
                    <w:t>5.防治扬尘污染，建设工程施工、建（构）筑物拆除、物料运输和堆存、道路保洁、绿化作业等活动执行《德州市扬尘污染防治条例》要求。</w:t>
                  </w:r>
                </w:p>
              </w:tc>
              <w:tc>
                <w:tcPr>
                  <w:tcW w:w="1852" w:type="pct"/>
                  <w:vAlign w:val="center"/>
                </w:tcPr>
                <w:p>
                  <w:pPr>
                    <w:rPr>
                      <w:rFonts w:hint="eastAsia"/>
                      <w:color w:val="000000"/>
                      <w:szCs w:val="21"/>
                    </w:rPr>
                  </w:pPr>
                  <w:r>
                    <w:rPr>
                      <w:rFonts w:hint="eastAsia"/>
                      <w:color w:val="000000"/>
                      <w:szCs w:val="21"/>
                    </w:rPr>
                    <w:t>符合</w:t>
                  </w:r>
                </w:p>
                <w:p>
                  <w:pPr>
                    <w:rPr>
                      <w:rFonts w:hint="eastAsia"/>
                      <w:color w:val="000000"/>
                    </w:rPr>
                  </w:pPr>
                  <w:r>
                    <w:rPr>
                      <w:rFonts w:hint="eastAsia"/>
                      <w:color w:val="000000"/>
                    </w:rPr>
                    <w:t>1、本项目环境影响主要在施工期，运营期无废气排放。</w:t>
                  </w:r>
                </w:p>
                <w:p>
                  <w:pPr>
                    <w:rPr>
                      <w:rFonts w:hint="eastAsia"/>
                      <w:color w:val="000000"/>
                    </w:rPr>
                  </w:pPr>
                  <w:r>
                    <w:rPr>
                      <w:rFonts w:hint="eastAsia"/>
                      <w:color w:val="000000"/>
                    </w:rPr>
                    <w:t xml:space="preserve">2、本项目不涉及挥发性有机物排放。 </w:t>
                  </w:r>
                </w:p>
                <w:p>
                  <w:pPr>
                    <w:pStyle w:val="BodyTextFirstIndent2"/>
                    <w:spacing w:after="0"/>
                    <w:ind w:left="0" w:firstLine="0" w:leftChars="0" w:firstLineChars="0"/>
                    <w:rPr>
                      <w:rFonts w:hint="eastAsia"/>
                      <w:color w:val="000000"/>
                    </w:rPr>
                  </w:pPr>
                  <w:r>
                    <w:rPr>
                      <w:rFonts w:hint="eastAsia"/>
                      <w:color w:val="000000"/>
                    </w:rPr>
                    <w:t>3、本项目运营期无废水外排，本项目不涉及第3、4条所列内容。</w:t>
                  </w:r>
                </w:p>
                <w:p>
                  <w:pPr>
                    <w:jc w:val="left"/>
                    <w:rPr>
                      <w:rFonts w:hint="eastAsia"/>
                      <w:color w:val="000000"/>
                    </w:rPr>
                  </w:pPr>
                  <w:r>
                    <w:rPr>
                      <w:rFonts w:hint="eastAsia"/>
                      <w:color w:val="000000"/>
                    </w:rPr>
                    <w:t>5、本项目施工期严格按照</w:t>
                  </w:r>
                  <w:r>
                    <w:rPr>
                      <w:rFonts w:hint="eastAsia"/>
                      <w:color w:val="000000"/>
                      <w:szCs w:val="21"/>
                    </w:rPr>
                    <w:t>《德州市扬尘污染防治条例》要求做好扬尘防治。</w:t>
                  </w:r>
                </w:p>
              </w:tc>
            </w:tr>
            <w:tr>
              <w:tblPrEx>
                <w:tblW w:w="5000" w:type="pct"/>
                <w:tblInd w:w="113" w:type="dxa"/>
                <w:tblCellMar>
                  <w:top w:w="0" w:type="dxa"/>
                  <w:left w:w="108" w:type="dxa"/>
                  <w:bottom w:w="0" w:type="dxa"/>
                  <w:right w:w="108" w:type="dxa"/>
                </w:tblCellMar>
                <w:tblLook w:val="0000"/>
              </w:tblPrEx>
              <w:trPr>
                <w:trHeight w:val="340"/>
              </w:trPr>
              <w:tc>
                <w:tcPr>
                  <w:tcW w:w="1283" w:type="pct"/>
                  <w:vAlign w:val="center"/>
                </w:tcPr>
                <w:p>
                  <w:pPr>
                    <w:jc w:val="center"/>
                    <w:rPr>
                      <w:rFonts w:hint="eastAsia"/>
                      <w:color w:val="000000"/>
                      <w:szCs w:val="21"/>
                    </w:rPr>
                  </w:pPr>
                  <w:r>
                    <w:rPr>
                      <w:rFonts w:hint="eastAsia"/>
                      <w:color w:val="000000"/>
                      <w:szCs w:val="21"/>
                    </w:rPr>
                    <w:t>环境风险防控</w:t>
                  </w:r>
                </w:p>
              </w:tc>
              <w:tc>
                <w:tcPr>
                  <w:tcW w:w="1865" w:type="pct"/>
                  <w:vAlign w:val="center"/>
                </w:tcPr>
                <w:p>
                  <w:pPr>
                    <w:spacing w:after="0"/>
                    <w:rPr>
                      <w:rFonts w:hint="eastAsia"/>
                      <w:color w:val="000000"/>
                      <w:szCs w:val="21"/>
                    </w:rPr>
                  </w:pPr>
                </w:p>
              </w:tc>
              <w:tc>
                <w:tcPr>
                  <w:tcW w:w="1852" w:type="pct"/>
                  <w:vAlign w:val="center"/>
                </w:tcPr>
                <w:p>
                  <w:pPr>
                    <w:rPr>
                      <w:rFonts w:hint="eastAsia"/>
                      <w:color w:val="000000"/>
                      <w:szCs w:val="21"/>
                    </w:rPr>
                  </w:pPr>
                  <w:r>
                    <w:rPr>
                      <w:rFonts w:hint="eastAsia"/>
                      <w:color w:val="000000"/>
                      <w:szCs w:val="21"/>
                    </w:rPr>
                    <w:t>符合</w:t>
                  </w:r>
                </w:p>
                <w:p>
                  <w:pPr>
                    <w:rPr>
                      <w:rFonts w:hint="eastAsia"/>
                      <w:color w:val="000000"/>
                    </w:rPr>
                  </w:pPr>
                  <w:r>
                    <w:rPr>
                      <w:rFonts w:hint="eastAsia"/>
                      <w:color w:val="000000"/>
                    </w:rPr>
                    <w:t>1、不涉及</w:t>
                  </w:r>
                </w:p>
                <w:p>
                  <w:pPr>
                    <w:pStyle w:val="BodyTextFirstIndent2"/>
                    <w:spacing w:after="0"/>
                    <w:ind w:left="0" w:firstLine="0" w:leftChars="0" w:firstLineChars="0"/>
                    <w:rPr>
                      <w:rFonts w:hint="eastAsia"/>
                      <w:color w:val="000000"/>
                    </w:rPr>
                  </w:pPr>
                  <w:r>
                    <w:rPr>
                      <w:rFonts w:hint="eastAsia"/>
                      <w:color w:val="000000"/>
                    </w:rPr>
                    <w:t>2、不涉及</w:t>
                  </w:r>
                </w:p>
                <w:p>
                  <w:pPr>
                    <w:rPr>
                      <w:rFonts w:hint="eastAsia"/>
                      <w:color w:val="000000"/>
                    </w:rPr>
                  </w:pPr>
                  <w:r>
                    <w:rPr>
                      <w:rFonts w:hint="eastAsia"/>
                      <w:color w:val="000000"/>
                    </w:rPr>
                    <w:t>3、不涉及</w:t>
                  </w:r>
                </w:p>
              </w:tc>
            </w:tr>
          </w:tbl>
          <w:p/>
        </w:tc>
      </w:tr>
    </w:tbl>
    <w:p>
      <w:pPr>
        <w:sectPr>
          <w:footerReference w:type="even" r:id="rId16"/>
          <w:footerReference w:type="default" r:id="rId17"/>
          <w:type w:val="nextPage"/>
          <w:pgSz w:w="11906" w:h="16838"/>
          <w:pgMar w:top="1440" w:right="1800" w:bottom="1440" w:left="1800" w:header="851" w:footer="1077" w:gutter="0"/>
          <w:pgNumType w:start="6"/>
          <w:cols w:space="708"/>
          <w:titlePg w:val="0"/>
          <w:docGrid w:linePitch="312"/>
        </w:sectPr>
      </w:pPr>
    </w:p>
    <w:tbl>
      <w:tblPr>
        <w:tblStyle w:val="TableNormal"/>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
      <w:tblGrid>
        <w:gridCol w:w="1985"/>
        <w:gridCol w:w="6520"/>
      </w:tblGrid>
      <w:tr>
        <w:tblPrEx>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Ex>
        <w:trPr>
          <w:trHeight w:val="1431"/>
        </w:trPr>
        <w:tc>
          <w:tcPr>
            <w:tcW w:w="1167" w:type="pct"/>
            <w:tcMar>
              <w:top w:w="16" w:type="dxa"/>
              <w:left w:w="16" w:type="dxa"/>
              <w:right w:w="16" w:type="dxa"/>
            </w:tcMar>
            <w:vAlign w:val="center"/>
          </w:tcPr>
          <w:p/>
        </w:tc>
        <w:tc>
          <w:tcPr>
            <w:tcW w:w="3833" w:type="pct"/>
            <w:tcMar>
              <w:top w:w="16" w:type="dxa"/>
              <w:left w:w="16" w:type="dxa"/>
              <w:right w:w="16" w:type="dxa"/>
            </w:tcMar>
            <w:vAlign w:val="center"/>
          </w:tcPr>
          <w:tbl>
            <w:tblPr>
              <w:tblStyle w:val="TableNormal"/>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662"/>
              <w:gridCol w:w="2416"/>
              <w:gridCol w:w="2400"/>
            </w:tblGrid>
            <w:tr>
              <w:tblPrEx>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trPr>
              <w:tc>
                <w:tcPr>
                  <w:tcW w:w="1283" w:type="pct"/>
                  <w:vAlign w:val="center"/>
                </w:tcPr>
                <w:p/>
              </w:tc>
              <w:tc>
                <w:tcPr>
                  <w:tcW w:w="1865" w:type="pct"/>
                  <w:vAlign w:val="center"/>
                </w:tcPr>
                <w:p>
                  <w:pPr>
                    <w:spacing w:before="0"/>
                    <w:rPr>
                      <w:rFonts w:hint="eastAsia"/>
                      <w:color w:val="000000"/>
                      <w:szCs w:val="21"/>
                    </w:rPr>
                  </w:pPr>
                  <w:r>
                    <w:rPr>
                      <w:rFonts w:hint="eastAsia"/>
                      <w:color w:val="000000"/>
                      <w:szCs w:val="21"/>
                    </w:rPr>
                    <w:t>1.生产、使用、存储、运输危险化学品的企业事业单位，应当采取风险防范措施，编制突发环境事件应急预案并定期开展演练，预防环境污染事故的发生。</w:t>
                  </w:r>
                  <w:r>
                    <w:rPr>
                      <w:rFonts w:hint="eastAsia"/>
                      <w:color w:val="000000"/>
                      <w:szCs w:val="21"/>
                    </w:rPr>
                    <w:br/>
                  </w:r>
                  <w:r>
                    <w:rPr>
                      <w:rFonts w:hint="eastAsia"/>
                      <w:color w:val="000000"/>
                      <w:szCs w:val="21"/>
                    </w:rPr>
                    <w:t>2.建立企业危险废物的贮存、申报、经营许可、转移和处置管理制度，并负责对危废相应活动的全程监管和环境安全保障。</w:t>
                  </w:r>
                  <w:r>
                    <w:rPr>
                      <w:rFonts w:hint="eastAsia"/>
                      <w:color w:val="000000"/>
                      <w:szCs w:val="21"/>
                    </w:rPr>
                    <w:br/>
                  </w:r>
                  <w:r>
                    <w:rPr>
                      <w:rFonts w:hint="eastAsia"/>
                      <w:color w:val="000000"/>
                      <w:szCs w:val="21"/>
                    </w:rPr>
                    <w:t>3.涉酸、涉重等土壤、地下水高污染风险企业的车间、危废间、污水处理站、储罐等重点管控区进行重点防渗。</w:t>
                  </w:r>
                </w:p>
              </w:tc>
              <w:tc>
                <w:tcPr>
                  <w:tcW w:w="1852" w:type="pct"/>
                  <w:vAlign w:val="center"/>
                </w:tcPr>
                <w:p/>
              </w:tc>
            </w:tr>
            <w:tr>
              <w:tblPrEx>
                <w:tblW w:w="5000" w:type="pct"/>
                <w:tblInd w:w="113" w:type="dxa"/>
                <w:tblCellMar>
                  <w:top w:w="0" w:type="dxa"/>
                  <w:left w:w="108" w:type="dxa"/>
                  <w:bottom w:w="0" w:type="dxa"/>
                  <w:right w:w="108" w:type="dxa"/>
                </w:tblCellMar>
                <w:tblLook w:val="0000"/>
              </w:tblPrEx>
              <w:trPr>
                <w:trHeight w:val="340"/>
              </w:trPr>
              <w:tc>
                <w:tcPr>
                  <w:tcW w:w="1283" w:type="pct"/>
                  <w:vAlign w:val="center"/>
                </w:tcPr>
                <w:p>
                  <w:pPr>
                    <w:jc w:val="center"/>
                    <w:rPr>
                      <w:rFonts w:hint="eastAsia"/>
                      <w:color w:val="000000"/>
                      <w:szCs w:val="21"/>
                    </w:rPr>
                  </w:pPr>
                  <w:r>
                    <w:rPr>
                      <w:rFonts w:hint="eastAsia"/>
                      <w:color w:val="000000"/>
                      <w:szCs w:val="21"/>
                    </w:rPr>
                    <w:t>资源开发效率要求</w:t>
                  </w:r>
                </w:p>
              </w:tc>
              <w:tc>
                <w:tcPr>
                  <w:tcW w:w="1865" w:type="pct"/>
                  <w:vAlign w:val="center"/>
                </w:tcPr>
                <w:p>
                  <w:pPr>
                    <w:rPr>
                      <w:rFonts w:hint="eastAsia"/>
                      <w:color w:val="000000"/>
                      <w:szCs w:val="21"/>
                    </w:rPr>
                  </w:pPr>
                  <w:r>
                    <w:rPr>
                      <w:rFonts w:hint="eastAsia"/>
                      <w:color w:val="000000"/>
                      <w:szCs w:val="21"/>
                    </w:rPr>
                    <w:t>1.建筑施工、城市环境卫生、园林绿化等可使用低质水的，应当充分使用工程排水或经过 处理后的再生水、雨水。</w:t>
                  </w:r>
                  <w:r>
                    <w:rPr>
                      <w:rFonts w:hint="eastAsia"/>
                      <w:color w:val="000000"/>
                      <w:szCs w:val="21"/>
                    </w:rPr>
                    <w:br/>
                  </w:r>
                  <w:r>
                    <w:rPr>
                      <w:rFonts w:hint="eastAsia"/>
                      <w:color w:val="000000"/>
                      <w:szCs w:val="21"/>
                    </w:rPr>
                    <w:t>2.改进高耗水行业的生产工艺，推行少水、无水新工艺，提高工业用水重复利用率。鼓励高耗水企业开展清洁生产审核。</w:t>
                  </w:r>
                  <w:r>
                    <w:rPr>
                      <w:rFonts w:hint="eastAsia"/>
                      <w:color w:val="000000"/>
                      <w:szCs w:val="21"/>
                    </w:rPr>
                    <w:br/>
                  </w:r>
                  <w:r>
                    <w:rPr>
                      <w:rFonts w:hint="eastAsia"/>
                      <w:color w:val="000000"/>
                      <w:szCs w:val="21"/>
                    </w:rPr>
                    <w:t>3.加大节水型器具的推广普及力度，推进建筑用水器具的更新改造，新建和改扩建的民用建筑一律使用节水型器具，现有建筑中使用淘汰型用水器具的分批分期更换。</w:t>
                  </w:r>
                  <w:r>
                    <w:rPr>
                      <w:rFonts w:hint="eastAsia"/>
                      <w:color w:val="000000"/>
                      <w:szCs w:val="21"/>
                    </w:rPr>
                    <w:br/>
                  </w:r>
                  <w:r>
                    <w:rPr>
                      <w:rFonts w:hint="eastAsia"/>
                      <w:color w:val="000000"/>
                      <w:szCs w:val="21"/>
                    </w:rPr>
                    <w:t>4.执行高污染燃料禁燃区要求。</w:t>
                  </w:r>
                </w:p>
              </w:tc>
              <w:tc>
                <w:tcPr>
                  <w:tcW w:w="1852" w:type="pct"/>
                  <w:vAlign w:val="center"/>
                </w:tcPr>
                <w:p>
                  <w:pPr>
                    <w:rPr>
                      <w:rFonts w:hint="eastAsia"/>
                      <w:color w:val="000000"/>
                      <w:szCs w:val="21"/>
                    </w:rPr>
                  </w:pPr>
                  <w:r>
                    <w:rPr>
                      <w:rFonts w:hint="eastAsia"/>
                      <w:color w:val="000000"/>
                      <w:szCs w:val="21"/>
                    </w:rPr>
                    <w:t>符合</w:t>
                  </w:r>
                </w:p>
                <w:p>
                  <w:pPr>
                    <w:pStyle w:val="BodyTextFirstIndent2"/>
                    <w:spacing w:after="0"/>
                    <w:ind w:left="0" w:firstLine="0" w:leftChars="0" w:firstLineChars="0"/>
                    <w:rPr>
                      <w:rFonts w:hint="eastAsia"/>
                      <w:color w:val="000000"/>
                    </w:rPr>
                  </w:pPr>
                  <w:r>
                    <w:rPr>
                      <w:rFonts w:hint="eastAsia"/>
                      <w:color w:val="000000"/>
                    </w:rPr>
                    <w:t>1、不涉及。</w:t>
                  </w:r>
                </w:p>
                <w:p>
                  <w:pPr>
                    <w:rPr>
                      <w:rFonts w:hint="eastAsia"/>
                      <w:color w:val="000000"/>
                    </w:rPr>
                  </w:pPr>
                  <w:r>
                    <w:rPr>
                      <w:rFonts w:hint="eastAsia"/>
                      <w:color w:val="000000"/>
                    </w:rPr>
                    <w:t>2、本项目不属于高耗水生产工艺。</w:t>
                  </w:r>
                </w:p>
                <w:p>
                  <w:pPr>
                    <w:pStyle w:val="BodyTextFirstIndent2"/>
                    <w:spacing w:after="0"/>
                    <w:ind w:left="0" w:firstLine="0" w:leftChars="0" w:firstLineChars="0"/>
                    <w:rPr>
                      <w:rFonts w:hint="eastAsia"/>
                      <w:color w:val="000000"/>
                    </w:rPr>
                  </w:pPr>
                  <w:r>
                    <w:rPr>
                      <w:rFonts w:hint="eastAsia"/>
                      <w:color w:val="000000"/>
                    </w:rPr>
                    <w:t>3、不涉及。</w:t>
                  </w:r>
                </w:p>
                <w:p>
                  <w:pPr>
                    <w:rPr>
                      <w:rFonts w:hint="eastAsia"/>
                      <w:color w:val="000000"/>
                    </w:rPr>
                  </w:pPr>
                  <w:r>
                    <w:rPr>
                      <w:rFonts w:hint="eastAsia"/>
                      <w:color w:val="000000"/>
                    </w:rPr>
                    <w:t>4、按照要求执行。</w:t>
                  </w:r>
                </w:p>
              </w:tc>
            </w:tr>
          </w:tbl>
          <w:p>
            <w:pPr>
              <w:jc w:val="center"/>
              <w:rPr>
                <w:b/>
                <w:bCs/>
                <w:color w:val="000000"/>
                <w:kern w:val="0"/>
                <w:sz w:val="24"/>
                <w:lang w:bidi="ar"/>
              </w:rPr>
            </w:pPr>
            <w:r>
              <w:rPr>
                <w:b/>
                <w:bCs/>
                <w:color w:val="000000"/>
                <w:kern w:val="0"/>
                <w:sz w:val="24"/>
                <w:lang w:bidi="ar"/>
              </w:rPr>
              <w:t>表1-</w:t>
            </w:r>
            <w:r>
              <w:rPr>
                <w:rFonts w:hint="eastAsia"/>
                <w:b/>
                <w:bCs/>
                <w:color w:val="000000"/>
                <w:kern w:val="0"/>
                <w:sz w:val="24"/>
                <w:lang w:bidi="ar"/>
              </w:rPr>
              <w:t xml:space="preserve">3 </w:t>
            </w:r>
            <w:r>
              <w:rPr>
                <w:b/>
                <w:bCs/>
                <w:color w:val="000000"/>
                <w:kern w:val="0"/>
                <w:sz w:val="24"/>
                <w:lang w:bidi="ar"/>
              </w:rPr>
              <w:t>与德州市生态环境准入清单（总则）的符合性分析</w:t>
            </w:r>
          </w:p>
          <w:tbl>
            <w:tblPr>
              <w:tblStyle w:val="TableNormal"/>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Look w:val="0000"/>
            </w:tblPr>
            <w:tblGrid>
              <w:gridCol w:w="418"/>
              <w:gridCol w:w="277"/>
              <w:gridCol w:w="4998"/>
              <w:gridCol w:w="785"/>
            </w:tblGrid>
            <w:tr>
              <w:tblPrEx>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Look w:val="0000"/>
              </w:tblPrEx>
              <w:trPr>
                <w:trHeight w:val="348"/>
              </w:trPr>
              <w:tc>
                <w:tcPr>
                  <w:tcW w:w="323" w:type="pct"/>
                  <w:vAlign w:val="center"/>
                </w:tcPr>
                <w:p>
                  <w:pPr>
                    <w:jc w:val="center"/>
                    <w:rPr>
                      <w:b/>
                      <w:bCs/>
                      <w:color w:val="000000"/>
                      <w:szCs w:val="21"/>
                    </w:rPr>
                  </w:pPr>
                  <w:r>
                    <w:rPr>
                      <w:b/>
                      <w:bCs/>
                      <w:color w:val="000000"/>
                      <w:szCs w:val="21"/>
                    </w:rPr>
                    <w:t>管控维度</w:t>
                  </w:r>
                </w:p>
              </w:tc>
              <w:tc>
                <w:tcPr>
                  <w:tcW w:w="4071" w:type="pct"/>
                  <w:gridSpan w:val="2"/>
                  <w:vAlign w:val="center"/>
                </w:tcPr>
                <w:p>
                  <w:pPr>
                    <w:jc w:val="center"/>
                    <w:rPr>
                      <w:b/>
                      <w:bCs/>
                      <w:color w:val="000000"/>
                      <w:szCs w:val="21"/>
                    </w:rPr>
                  </w:pPr>
                  <w:r>
                    <w:rPr>
                      <w:b/>
                      <w:bCs/>
                      <w:color w:val="000000"/>
                      <w:szCs w:val="21"/>
                    </w:rPr>
                    <w:t>管控要求</w:t>
                  </w:r>
                </w:p>
              </w:tc>
              <w:tc>
                <w:tcPr>
                  <w:tcW w:w="605" w:type="pct"/>
                  <w:vAlign w:val="center"/>
                </w:tcPr>
                <w:p>
                  <w:pPr>
                    <w:jc w:val="center"/>
                    <w:rPr>
                      <w:b/>
                      <w:bCs/>
                      <w:color w:val="000000"/>
                      <w:szCs w:val="21"/>
                    </w:rPr>
                  </w:pPr>
                  <w:r>
                    <w:rPr>
                      <w:b/>
                      <w:bCs/>
                      <w:color w:val="000000"/>
                      <w:szCs w:val="21"/>
                    </w:rPr>
                    <w:t>符合性</w:t>
                  </w:r>
                </w:p>
              </w:tc>
            </w:tr>
            <w:tr>
              <w:tblPrEx>
                <w:tblW w:w="5000" w:type="pct"/>
                <w:tblInd w:w="5" w:type="dxa"/>
                <w:tblCellMar>
                  <w:top w:w="0" w:type="dxa"/>
                  <w:left w:w="0" w:type="dxa"/>
                  <w:bottom w:w="0" w:type="dxa"/>
                  <w:right w:w="0" w:type="dxa"/>
                </w:tblCellMar>
                <w:tblLook w:val="0000"/>
              </w:tblPrEx>
              <w:trPr>
                <w:trHeight w:val="1201"/>
              </w:trPr>
              <w:tc>
                <w:tcPr>
                  <w:tcW w:w="323" w:type="pct"/>
                  <w:vAlign w:val="center"/>
                </w:tcPr>
                <w:p>
                  <w:pPr>
                    <w:widowControl/>
                    <w:jc w:val="center"/>
                    <w:rPr>
                      <w:color w:val="000000"/>
                      <w:szCs w:val="21"/>
                    </w:rPr>
                  </w:pPr>
                  <w:r>
                    <w:rPr>
                      <w:color w:val="000000"/>
                      <w:kern w:val="0"/>
                      <w:szCs w:val="21"/>
                      <w:lang w:bidi="ar"/>
                    </w:rPr>
                    <w:t>1、空 间布局的约束</w:t>
                  </w:r>
                </w:p>
              </w:tc>
              <w:tc>
                <w:tcPr>
                  <w:tcW w:w="214" w:type="pct"/>
                  <w:vAlign w:val="center"/>
                </w:tcPr>
                <w:p>
                  <w:pPr>
                    <w:widowControl/>
                    <w:jc w:val="center"/>
                    <w:rPr>
                      <w:color w:val="000000"/>
                      <w:kern w:val="0"/>
                      <w:szCs w:val="21"/>
                      <w:lang w:bidi="ar"/>
                    </w:rPr>
                  </w:pPr>
                  <w:r>
                    <w:rPr>
                      <w:color w:val="000000"/>
                      <w:kern w:val="0"/>
                      <w:szCs w:val="21"/>
                      <w:lang w:bidi="ar"/>
                    </w:rPr>
                    <w:t>禁</w:t>
                  </w:r>
                </w:p>
                <w:p>
                  <w:pPr>
                    <w:widowControl/>
                    <w:jc w:val="center"/>
                    <w:rPr>
                      <w:color w:val="000000"/>
                      <w:kern w:val="0"/>
                      <w:szCs w:val="21"/>
                      <w:lang w:bidi="ar"/>
                    </w:rPr>
                  </w:pPr>
                  <w:r>
                    <w:rPr>
                      <w:color w:val="000000"/>
                      <w:kern w:val="0"/>
                      <w:szCs w:val="21"/>
                      <w:lang w:bidi="ar"/>
                    </w:rPr>
                    <w:t>止</w:t>
                  </w:r>
                </w:p>
                <w:p>
                  <w:pPr>
                    <w:widowControl/>
                    <w:jc w:val="center"/>
                    <w:rPr>
                      <w:color w:val="000000"/>
                      <w:kern w:val="0"/>
                      <w:szCs w:val="21"/>
                      <w:lang w:bidi="ar"/>
                    </w:rPr>
                  </w:pPr>
                  <w:r>
                    <w:rPr>
                      <w:color w:val="000000"/>
                      <w:kern w:val="0"/>
                      <w:szCs w:val="21"/>
                      <w:lang w:bidi="ar"/>
                    </w:rPr>
                    <w:t>开</w:t>
                  </w:r>
                </w:p>
                <w:p>
                  <w:pPr>
                    <w:widowControl/>
                    <w:jc w:val="center"/>
                    <w:rPr>
                      <w:color w:val="000000"/>
                      <w:kern w:val="0"/>
                      <w:szCs w:val="21"/>
                      <w:lang w:bidi="ar"/>
                    </w:rPr>
                  </w:pPr>
                  <w:r>
                    <w:rPr>
                      <w:color w:val="000000"/>
                      <w:kern w:val="0"/>
                      <w:szCs w:val="21"/>
                      <w:lang w:bidi="ar"/>
                    </w:rPr>
                    <w:t>发</w:t>
                  </w:r>
                </w:p>
                <w:p>
                  <w:pPr>
                    <w:widowControl/>
                    <w:jc w:val="center"/>
                    <w:rPr>
                      <w:color w:val="000000"/>
                      <w:kern w:val="0"/>
                      <w:szCs w:val="21"/>
                      <w:lang w:bidi="ar"/>
                    </w:rPr>
                  </w:pPr>
                  <w:r>
                    <w:rPr>
                      <w:color w:val="000000"/>
                      <w:kern w:val="0"/>
                      <w:szCs w:val="21"/>
                      <w:lang w:bidi="ar"/>
                    </w:rPr>
                    <w:t>建</w:t>
                  </w:r>
                </w:p>
                <w:p>
                  <w:pPr>
                    <w:widowControl/>
                    <w:jc w:val="center"/>
                    <w:rPr>
                      <w:color w:val="000000"/>
                      <w:kern w:val="0"/>
                      <w:szCs w:val="21"/>
                      <w:lang w:bidi="ar"/>
                    </w:rPr>
                  </w:pPr>
                  <w:r>
                    <w:rPr>
                      <w:color w:val="000000"/>
                      <w:kern w:val="0"/>
                      <w:szCs w:val="21"/>
                      <w:lang w:bidi="ar"/>
                    </w:rPr>
                    <w:t>设</w:t>
                  </w:r>
                </w:p>
                <w:p>
                  <w:pPr>
                    <w:widowControl/>
                    <w:jc w:val="center"/>
                    <w:rPr>
                      <w:color w:val="000000"/>
                      <w:kern w:val="0"/>
                      <w:szCs w:val="21"/>
                      <w:lang w:bidi="ar"/>
                    </w:rPr>
                  </w:pPr>
                  <w:r>
                    <w:rPr>
                      <w:color w:val="000000"/>
                      <w:kern w:val="0"/>
                      <w:szCs w:val="21"/>
                      <w:lang w:bidi="ar"/>
                    </w:rPr>
                    <w:t>活</w:t>
                  </w:r>
                </w:p>
                <w:p>
                  <w:pPr>
                    <w:widowControl/>
                    <w:jc w:val="center"/>
                    <w:rPr>
                      <w:color w:val="000000"/>
                      <w:kern w:val="0"/>
                      <w:szCs w:val="21"/>
                      <w:lang w:bidi="ar"/>
                    </w:rPr>
                  </w:pPr>
                  <w:r>
                    <w:rPr>
                      <w:color w:val="000000"/>
                      <w:kern w:val="0"/>
                      <w:szCs w:val="21"/>
                      <w:lang w:bidi="ar"/>
                    </w:rPr>
                    <w:t>动</w:t>
                  </w:r>
                </w:p>
                <w:p>
                  <w:pPr>
                    <w:widowControl/>
                    <w:jc w:val="center"/>
                    <w:rPr>
                      <w:color w:val="000000"/>
                      <w:kern w:val="0"/>
                      <w:szCs w:val="21"/>
                      <w:lang w:bidi="ar"/>
                    </w:rPr>
                  </w:pPr>
                  <w:r>
                    <w:rPr>
                      <w:color w:val="000000"/>
                      <w:kern w:val="0"/>
                      <w:szCs w:val="21"/>
                      <w:lang w:bidi="ar"/>
                    </w:rPr>
                    <w:t>的</w:t>
                  </w:r>
                </w:p>
                <w:p>
                  <w:pPr>
                    <w:widowControl/>
                    <w:jc w:val="center"/>
                    <w:rPr>
                      <w:color w:val="000000"/>
                      <w:kern w:val="0"/>
                      <w:szCs w:val="21"/>
                      <w:lang w:bidi="ar"/>
                    </w:rPr>
                  </w:pPr>
                  <w:r>
                    <w:rPr>
                      <w:color w:val="000000"/>
                      <w:kern w:val="0"/>
                      <w:szCs w:val="21"/>
                      <w:lang w:bidi="ar"/>
                    </w:rPr>
                    <w:t>要</w:t>
                  </w:r>
                </w:p>
                <w:p>
                  <w:pPr>
                    <w:widowControl/>
                    <w:jc w:val="center"/>
                    <w:rPr>
                      <w:color w:val="000000"/>
                      <w:szCs w:val="21"/>
                    </w:rPr>
                  </w:pPr>
                  <w:r>
                    <w:rPr>
                      <w:color w:val="000000"/>
                      <w:kern w:val="0"/>
                      <w:szCs w:val="21"/>
                      <w:lang w:bidi="ar"/>
                    </w:rPr>
                    <w:t>求</w:t>
                  </w:r>
                </w:p>
              </w:tc>
              <w:tc>
                <w:tcPr>
                  <w:tcW w:w="3858" w:type="pct"/>
                  <w:vAlign w:val="center"/>
                </w:tcPr>
                <w:p>
                  <w:pPr>
                    <w:widowControl/>
                    <w:rPr>
                      <w:color w:val="000000"/>
                      <w:szCs w:val="21"/>
                    </w:rPr>
                  </w:pPr>
                  <w:r>
                    <w:rPr>
                      <w:color w:val="000000"/>
                      <w:kern w:val="0"/>
                      <w:szCs w:val="21"/>
                      <w:lang w:bidi="ar"/>
                    </w:rPr>
                    <w:t>1、禁止新建国家《产业结构调整指导目录》规定的限制类和淘汰类工艺、技术、装备及产品的生产项目。</w:t>
                  </w:r>
                </w:p>
                <w:p>
                  <w:pPr>
                    <w:widowControl/>
                    <w:rPr>
                      <w:color w:val="000000"/>
                      <w:szCs w:val="21"/>
                    </w:rPr>
                  </w:pPr>
                  <w:r>
                    <w:rPr>
                      <w:color w:val="000000"/>
                      <w:kern w:val="0"/>
                      <w:szCs w:val="21"/>
                      <w:lang w:bidi="ar"/>
                    </w:rPr>
                    <w:t>2、禁止新建光气生产项目（不含延长产业链项目）。</w:t>
                  </w:r>
                </w:p>
                <w:p>
                  <w:pPr>
                    <w:widowControl/>
                    <w:rPr>
                      <w:color w:val="000000"/>
                      <w:szCs w:val="21"/>
                    </w:rPr>
                  </w:pPr>
                  <w:r>
                    <w:rPr>
                      <w:color w:val="000000"/>
                      <w:kern w:val="0"/>
                      <w:szCs w:val="21"/>
                      <w:lang w:bidi="ar"/>
                    </w:rPr>
                    <w:t>3、禁止新建有色金属冶炼项目（不含压延加工）。</w:t>
                  </w:r>
                </w:p>
                <w:p>
                  <w:pPr>
                    <w:widowControl/>
                    <w:rPr>
                      <w:color w:val="000000"/>
                      <w:szCs w:val="21"/>
                    </w:rPr>
                  </w:pPr>
                  <w:r>
                    <w:rPr>
                      <w:color w:val="000000"/>
                      <w:kern w:val="0"/>
                      <w:szCs w:val="21"/>
                      <w:lang w:bidi="ar"/>
                    </w:rPr>
                    <w:t>4、禁止新建再生铅项目。</w:t>
                  </w:r>
                </w:p>
                <w:p>
                  <w:pPr>
                    <w:widowControl/>
                    <w:rPr>
                      <w:color w:val="000000"/>
                      <w:szCs w:val="21"/>
                    </w:rPr>
                  </w:pPr>
                  <w:r>
                    <w:rPr>
                      <w:color w:val="000000"/>
                      <w:kern w:val="0"/>
                      <w:szCs w:val="21"/>
                      <w:lang w:bidi="ar"/>
                    </w:rPr>
                    <w:t>5、禁止新建石棉制品项目。</w:t>
                  </w:r>
                </w:p>
                <w:p>
                  <w:pPr>
                    <w:widowControl/>
                    <w:rPr>
                      <w:color w:val="000000"/>
                      <w:szCs w:val="21"/>
                    </w:rPr>
                  </w:pPr>
                  <w:r>
                    <w:rPr>
                      <w:color w:val="000000"/>
                      <w:kern w:val="0"/>
                      <w:szCs w:val="21"/>
                      <w:lang w:bidi="ar"/>
                    </w:rPr>
                    <w:t>6、禁止开采深层地下水的取水项目（饮用水按照相关要求执行）。</w:t>
                  </w:r>
                </w:p>
                <w:p>
                  <w:pPr>
                    <w:widowControl/>
                    <w:rPr>
                      <w:color w:val="000000"/>
                      <w:szCs w:val="21"/>
                    </w:rPr>
                  </w:pPr>
                  <w:r>
                    <w:rPr>
                      <w:color w:val="000000"/>
                      <w:kern w:val="0"/>
                      <w:szCs w:val="21"/>
                      <w:lang w:bidi="ar"/>
                    </w:rPr>
                    <w:t>7、禁止新建石灰窑、粘土砖瓦窑项目。</w:t>
                  </w:r>
                </w:p>
                <w:p>
                  <w:pPr>
                    <w:widowControl/>
                    <w:spacing w:after="0"/>
                    <w:rPr>
                      <w:color w:val="000000"/>
                      <w:szCs w:val="21"/>
                    </w:rPr>
                  </w:pPr>
                </w:p>
              </w:tc>
              <w:tc>
                <w:tcPr>
                  <w:tcW w:w="605" w:type="pct"/>
                  <w:vAlign w:val="center"/>
                </w:tcPr>
                <w:p>
                  <w:pPr>
                    <w:widowControl/>
                    <w:jc w:val="center"/>
                    <w:rPr>
                      <w:color w:val="000000"/>
                      <w:szCs w:val="21"/>
                    </w:rPr>
                  </w:pPr>
                  <w:r>
                    <w:rPr>
                      <w:color w:val="000000"/>
                      <w:szCs w:val="21"/>
                    </w:rPr>
                    <w:t>本</w:t>
                  </w:r>
                  <w:r>
                    <w:rPr>
                      <w:color w:val="000000"/>
                      <w:kern w:val="0"/>
                      <w:szCs w:val="21"/>
                      <w:lang w:bidi="ar"/>
                    </w:rPr>
                    <w:t>项目严格按照要 求国家和 省要求进行建设，不属于左侧禁止开发建设项目。</w:t>
                  </w:r>
                </w:p>
              </w:tc>
            </w:tr>
          </w:tbl>
          <w:p/>
        </w:tc>
      </w:tr>
    </w:tbl>
    <w:p>
      <w:pPr>
        <w:sectPr>
          <w:footerReference w:type="even" r:id="rId18"/>
          <w:footerReference w:type="default" r:id="rId19"/>
          <w:type w:val="nextPage"/>
          <w:pgSz w:w="11906" w:h="16838"/>
          <w:pgMar w:top="1440" w:right="1800" w:bottom="1440" w:left="1800" w:header="851" w:footer="1077" w:gutter="0"/>
          <w:pgNumType w:start="7"/>
          <w:cols w:space="708"/>
          <w:titlePg w:val="0"/>
          <w:docGrid w:linePitch="312"/>
        </w:sectPr>
      </w:pPr>
    </w:p>
    <w:tbl>
      <w:tblPr>
        <w:tblStyle w:val="TableNormal"/>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
      <w:tblGrid>
        <w:gridCol w:w="1985"/>
        <w:gridCol w:w="6520"/>
      </w:tblGrid>
      <w:tr>
        <w:tblPrEx>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Ex>
        <w:trPr>
          <w:trHeight w:val="1431"/>
        </w:trPr>
        <w:tc>
          <w:tcPr>
            <w:tcW w:w="1167" w:type="pct"/>
            <w:tcMar>
              <w:top w:w="16" w:type="dxa"/>
              <w:left w:w="16" w:type="dxa"/>
              <w:right w:w="16" w:type="dxa"/>
            </w:tcMar>
            <w:vAlign w:val="center"/>
          </w:tcPr>
          <w:p/>
        </w:tc>
        <w:tc>
          <w:tcPr>
            <w:tcW w:w="3833" w:type="pct"/>
            <w:tcMar>
              <w:top w:w="16" w:type="dxa"/>
              <w:left w:w="16" w:type="dxa"/>
              <w:right w:w="16" w:type="dxa"/>
            </w:tcMar>
            <w:vAlign w:val="center"/>
          </w:tcPr>
          <w:tbl>
            <w:tblPr>
              <w:tblStyle w:val="TableNormal"/>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Look w:val="0000"/>
            </w:tblPr>
            <w:tblGrid>
              <w:gridCol w:w="418"/>
              <w:gridCol w:w="277"/>
              <w:gridCol w:w="4998"/>
              <w:gridCol w:w="785"/>
            </w:tblGrid>
            <w:tr>
              <w:tblPrEx>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Look w:val="0000"/>
              </w:tblPrEx>
              <w:trPr>
                <w:trHeight w:val="1201"/>
              </w:trPr>
              <w:tc>
                <w:tcPr>
                  <w:tcW w:w="323" w:type="pct"/>
                  <w:vMerge w:val="restart"/>
                  <w:vAlign w:val="center"/>
                </w:tcPr>
                <w:p/>
              </w:tc>
              <w:tc>
                <w:tcPr>
                  <w:tcW w:w="214" w:type="pct"/>
                  <w:vAlign w:val="center"/>
                </w:tcPr>
                <w:p/>
              </w:tc>
              <w:tc>
                <w:tcPr>
                  <w:tcW w:w="3858" w:type="pct"/>
                  <w:vAlign w:val="center"/>
                </w:tcPr>
                <w:p>
                  <w:pPr>
                    <w:widowControl/>
                    <w:spacing w:before="0"/>
                    <w:rPr>
                      <w:color w:val="000000"/>
                      <w:szCs w:val="21"/>
                    </w:rPr>
                  </w:pPr>
                  <w:r>
                    <w:rPr>
                      <w:color w:val="000000"/>
                      <w:kern w:val="0"/>
                      <w:szCs w:val="21"/>
                      <w:lang w:bidi="ar"/>
                    </w:rPr>
                    <w:t>8、禁止钢铁、平板玻璃、水泥（含熟料生产和粉磨站，资源综合利用除外）、铸造、生活垃圾填埋（含扩建）等行业新增产能项目。</w:t>
                  </w:r>
                </w:p>
                <w:p>
                  <w:pPr>
                    <w:widowControl/>
                    <w:rPr>
                      <w:color w:val="000000"/>
                      <w:szCs w:val="21"/>
                    </w:rPr>
                  </w:pPr>
                  <w:r>
                    <w:rPr>
                      <w:color w:val="000000"/>
                      <w:kern w:val="0"/>
                      <w:szCs w:val="21"/>
                      <w:lang w:bidi="ar"/>
                    </w:rPr>
                    <w:t>9、禁止新建、改建（新增设备和产能）及扩建不符合国家和省有关危险化学品生产、储存的行业规划和布局的生产项目。</w:t>
                  </w:r>
                </w:p>
                <w:p>
                  <w:pPr>
                    <w:widowControl/>
                    <w:rPr>
                      <w:color w:val="000000"/>
                      <w:szCs w:val="21"/>
                    </w:rPr>
                  </w:pPr>
                  <w:r>
                    <w:rPr>
                      <w:color w:val="000000"/>
                      <w:kern w:val="0"/>
                      <w:szCs w:val="21"/>
                      <w:lang w:bidi="ar"/>
                    </w:rPr>
                    <w:t>10、禁止新（扩）建集中处置焚烧设施（年危险废物产生量大于5000吨的企业自建配套焚烧设施除外）和填埋场项目；对于其他已建及在建的危险废物利用处置能力接近饱和或过剩的危险废物类别，禁止新（扩）建该类别危险废物利用处置设施项目。</w:t>
                  </w:r>
                </w:p>
                <w:p>
                  <w:pPr>
                    <w:widowControl/>
                    <w:rPr>
                      <w:color w:val="000000"/>
                      <w:szCs w:val="21"/>
                    </w:rPr>
                  </w:pPr>
                  <w:r>
                    <w:rPr>
                      <w:color w:val="000000"/>
                      <w:kern w:val="0"/>
                      <w:szCs w:val="21"/>
                      <w:lang w:bidi="ar"/>
                    </w:rPr>
                    <w:t>11、禁止新（扩）建废矿物油综合利用项目。</w:t>
                  </w:r>
                </w:p>
              </w:tc>
              <w:tc>
                <w:tcPr>
                  <w:tcW w:w="605" w:type="pct"/>
                  <w:vAlign w:val="center"/>
                </w:tcPr>
                <w:p/>
              </w:tc>
            </w:tr>
            <w:tr>
              <w:tblPrEx>
                <w:tblW w:w="5000" w:type="pct"/>
                <w:tblInd w:w="5" w:type="dxa"/>
                <w:tblCellMar>
                  <w:top w:w="0" w:type="dxa"/>
                  <w:left w:w="0" w:type="dxa"/>
                  <w:bottom w:w="0" w:type="dxa"/>
                  <w:right w:w="0" w:type="dxa"/>
                </w:tblCellMar>
                <w:tblLook w:val="0000"/>
              </w:tblPrEx>
              <w:trPr>
                <w:trHeight w:val="1201"/>
              </w:trPr>
              <w:tc>
                <w:tcPr>
                  <w:tcW w:w="323" w:type="pct"/>
                  <w:vMerge/>
                  <w:vAlign w:val="center"/>
                </w:tcPr>
                <w:p>
                  <w:pPr>
                    <w:widowControl/>
                    <w:jc w:val="center"/>
                    <w:rPr>
                      <w:color w:val="000000"/>
                      <w:kern w:val="0"/>
                      <w:szCs w:val="21"/>
                      <w:lang w:bidi="ar"/>
                    </w:rPr>
                  </w:pPr>
                </w:p>
              </w:tc>
              <w:tc>
                <w:tcPr>
                  <w:tcW w:w="214" w:type="pct"/>
                  <w:vAlign w:val="center"/>
                </w:tcPr>
                <w:p>
                  <w:pPr>
                    <w:widowControl/>
                    <w:jc w:val="center"/>
                    <w:rPr>
                      <w:color w:val="000000"/>
                      <w:kern w:val="0"/>
                      <w:szCs w:val="21"/>
                      <w:lang w:bidi="ar"/>
                    </w:rPr>
                  </w:pPr>
                  <w:r>
                    <w:rPr>
                      <w:color w:val="000000"/>
                      <w:kern w:val="0"/>
                      <w:szCs w:val="21"/>
                      <w:lang w:bidi="ar"/>
                    </w:rPr>
                    <w:t>限制开发建设活动的要求</w:t>
                  </w:r>
                </w:p>
              </w:tc>
              <w:tc>
                <w:tcPr>
                  <w:tcW w:w="3858" w:type="pct"/>
                  <w:vAlign w:val="center"/>
                </w:tcPr>
                <w:p>
                  <w:pPr>
                    <w:widowControl/>
                    <w:rPr>
                      <w:b/>
                      <w:bCs/>
                      <w:color w:val="000000"/>
                      <w:kern w:val="0"/>
                      <w:szCs w:val="21"/>
                      <w:lang w:bidi="ar"/>
                    </w:rPr>
                  </w:pPr>
                  <w:r>
                    <w:rPr>
                      <w:b/>
                      <w:bCs/>
                      <w:color w:val="000000"/>
                      <w:kern w:val="0"/>
                      <w:szCs w:val="21"/>
                      <w:lang w:bidi="ar"/>
                    </w:rPr>
                    <w:t>敏感区域限制开发建设活动的要求：</w:t>
                  </w:r>
                </w:p>
                <w:p>
                  <w:pPr>
                    <w:widowControl/>
                    <w:rPr>
                      <w:rFonts w:hint="eastAsia"/>
                      <w:color w:val="000000"/>
                      <w:kern w:val="0"/>
                      <w:szCs w:val="21"/>
                      <w:lang w:bidi="ar"/>
                    </w:rPr>
                  </w:pPr>
                  <w:r>
                    <w:rPr>
                      <w:rFonts w:hint="eastAsia"/>
                      <w:color w:val="000000"/>
                      <w:kern w:val="0"/>
                      <w:szCs w:val="21"/>
                      <w:lang w:bidi="ar"/>
                    </w:rPr>
                    <w:t>1、集中式供水的饮用水地表水源地、地下水源地及为地表水源地输水的引黄、引江河道范围内进行开发建设，执行《德州市饮用水水源保护区划分方案》《山东省灌区管理办法》中相关规定。其中，饮用水地表水源一级保护区禁止新建、扩建与供水设施和保护水源无关的建设项目；在饮用水水源二级保护区内，禁止新建、改建、扩建排放污染物的建设项目。</w:t>
                  </w:r>
                </w:p>
                <w:p>
                  <w:pPr>
                    <w:widowControl/>
                    <w:rPr>
                      <w:rFonts w:hint="eastAsia"/>
                      <w:color w:val="000000"/>
                      <w:kern w:val="0"/>
                      <w:szCs w:val="21"/>
                      <w:lang w:bidi="ar"/>
                    </w:rPr>
                  </w:pPr>
                  <w:r>
                    <w:rPr>
                      <w:rFonts w:hint="eastAsia"/>
                      <w:color w:val="000000"/>
                      <w:kern w:val="0"/>
                      <w:szCs w:val="21"/>
                      <w:lang w:bidi="ar"/>
                    </w:rPr>
                    <w:t>10、严格遵守《基本农田保护条例》，已划定的永久基本农田实行严格保护，确保其面积不减少、土壤环境质量不下降。严格控制在优先保护类耕地集中区域新建有色金属冶炼、石油加工、化工、煤炭、聚氯乙烯、医药、焦化、电镀、制革、铅蓄电池制造、危险废物处置、加油站等排放重金属、持久性有机物和挥发性有机物的项目。</w:t>
                  </w:r>
                </w:p>
                <w:p>
                  <w:pPr>
                    <w:widowControl/>
                    <w:rPr>
                      <w:color w:val="000000"/>
                      <w:kern w:val="0"/>
                      <w:szCs w:val="21"/>
                      <w:lang w:bidi="ar"/>
                    </w:rPr>
                  </w:pPr>
                  <w:r>
                    <w:rPr>
                      <w:rFonts w:hint="eastAsia"/>
                      <w:color w:val="000000"/>
                      <w:kern w:val="0"/>
                      <w:szCs w:val="21"/>
                      <w:lang w:bidi="ar"/>
                    </w:rPr>
                    <w:t>14、落实并执行《德州市城市总体规划》及各县、市、区城市总体规划中区域管控要求，特别是生态和产业布局要求。</w:t>
                  </w:r>
                </w:p>
                <w:p>
                  <w:pPr>
                    <w:widowControl/>
                    <w:rPr>
                      <w:color w:val="000000"/>
                      <w:kern w:val="0"/>
                      <w:szCs w:val="21"/>
                      <w:lang w:bidi="ar"/>
                    </w:rPr>
                  </w:pPr>
                  <w:r>
                    <w:rPr>
                      <w:color w:val="000000"/>
                      <w:kern w:val="0"/>
                      <w:szCs w:val="21"/>
                      <w:lang w:bidi="ar"/>
                    </w:rPr>
                    <w:t>15</w:t>
                  </w:r>
                  <w:r>
                    <w:rPr>
                      <w:rFonts w:hint="eastAsia"/>
                      <w:color w:val="000000"/>
                      <w:kern w:val="0"/>
                      <w:szCs w:val="21"/>
                      <w:lang w:bidi="ar"/>
                    </w:rPr>
                    <w:t>、在限制要求中，确需实施的公共交通、医疗卫生、民生保障及基础设施等建设活动须经主管部门批复同意。</w:t>
                  </w:r>
                </w:p>
              </w:tc>
              <w:tc>
                <w:tcPr>
                  <w:tcW w:w="605" w:type="pct"/>
                  <w:vAlign w:val="center"/>
                </w:tcPr>
                <w:p>
                  <w:pPr>
                    <w:jc w:val="center"/>
                    <w:rPr>
                      <w:color w:val="000000"/>
                      <w:szCs w:val="21"/>
                    </w:rPr>
                  </w:pPr>
                  <w:r>
                    <w:rPr>
                      <w:color w:val="000000"/>
                      <w:szCs w:val="21"/>
                    </w:rPr>
                    <w:t>本项目</w:t>
                  </w:r>
                  <w:r>
                    <w:rPr>
                      <w:rFonts w:hint="eastAsia"/>
                      <w:color w:val="000000"/>
                      <w:szCs w:val="21"/>
                    </w:rPr>
                    <w:t>不在</w:t>
                  </w:r>
                  <w:r>
                    <w:rPr>
                      <w:rFonts w:hint="eastAsia"/>
                      <w:color w:val="000000"/>
                      <w:kern w:val="0"/>
                      <w:szCs w:val="21"/>
                      <w:lang w:bidi="ar"/>
                    </w:rPr>
                    <w:t>集中式供水的饮用水地表水源地、地下水源地及为地表水源地输水的引黄、引江河道范围内，不占用基本农田</w:t>
                  </w:r>
                  <w:r>
                    <w:rPr>
                      <w:rFonts w:hint="eastAsia"/>
                      <w:color w:val="000000"/>
                      <w:szCs w:val="21"/>
                    </w:rPr>
                    <w:t>，</w:t>
                  </w:r>
                  <w:r>
                    <w:rPr>
                      <w:color w:val="000000"/>
                      <w:szCs w:val="21"/>
                    </w:rPr>
                    <w:t>符合</w:t>
                  </w:r>
                  <w:r>
                    <w:rPr>
                      <w:rFonts w:hint="eastAsia"/>
                      <w:color w:val="000000"/>
                      <w:szCs w:val="21"/>
                    </w:rPr>
                    <w:t>宁津县</w:t>
                  </w:r>
                  <w:r>
                    <w:rPr>
                      <w:color w:val="000000"/>
                      <w:szCs w:val="21"/>
                    </w:rPr>
                    <w:t>城市总体规划及规划中区域管控要求。</w:t>
                  </w:r>
                </w:p>
              </w:tc>
            </w:tr>
            <w:tr>
              <w:tblPrEx>
                <w:tblW w:w="5000" w:type="pct"/>
                <w:tblInd w:w="5" w:type="dxa"/>
                <w:tblCellMar>
                  <w:top w:w="0" w:type="dxa"/>
                  <w:left w:w="0" w:type="dxa"/>
                  <w:bottom w:w="0" w:type="dxa"/>
                  <w:right w:w="0" w:type="dxa"/>
                </w:tblCellMar>
                <w:tblLook w:val="0000"/>
              </w:tblPrEx>
              <w:trPr>
                <w:trHeight w:val="583"/>
              </w:trPr>
              <w:tc>
                <w:tcPr>
                  <w:tcW w:w="323" w:type="pct"/>
                  <w:vAlign w:val="center"/>
                </w:tcPr>
                <w:p>
                  <w:pPr>
                    <w:widowControl/>
                    <w:jc w:val="center"/>
                    <w:rPr>
                      <w:color w:val="000000"/>
                      <w:szCs w:val="21"/>
                    </w:rPr>
                  </w:pPr>
                  <w:r>
                    <w:rPr>
                      <w:color w:val="000000"/>
                      <w:szCs w:val="21"/>
                    </w:rPr>
                    <w:t>2、污 染物排放管控</w:t>
                  </w:r>
                </w:p>
              </w:tc>
              <w:tc>
                <w:tcPr>
                  <w:tcW w:w="214" w:type="pct"/>
                  <w:vAlign w:val="center"/>
                </w:tcPr>
                <w:p>
                  <w:pPr>
                    <w:widowControl/>
                    <w:jc w:val="center"/>
                    <w:rPr>
                      <w:color w:val="000000"/>
                      <w:szCs w:val="21"/>
                    </w:rPr>
                  </w:pPr>
                  <w:r>
                    <w:rPr>
                      <w:color w:val="000000"/>
                      <w:szCs w:val="21"/>
                    </w:rPr>
                    <w:t>现有源提标升级改造</w:t>
                  </w:r>
                </w:p>
              </w:tc>
              <w:tc>
                <w:tcPr>
                  <w:tcW w:w="3858" w:type="pct"/>
                  <w:vAlign w:val="center"/>
                </w:tcPr>
                <w:p>
                  <w:pPr>
                    <w:widowControl/>
                    <w:numPr>
                      <w:ilvl w:val="0"/>
                      <w:numId w:val="1"/>
                    </w:numPr>
                    <w:rPr>
                      <w:color w:val="000000"/>
                      <w:szCs w:val="21"/>
                    </w:rPr>
                  </w:pPr>
                  <w:r>
                    <w:rPr>
                      <w:color w:val="000000"/>
                      <w:szCs w:val="21"/>
                    </w:rPr>
                    <w:t>化工行业升级改造，执行《关于加快六大高耗能行业高质量发展的实 施方案》中相关规定，合成氨和尿素产能控制在现有水平，洁净煤气化占合成氨总产能的比重提高到90%左右，固定床气化炉淘汰率达到90%以上，尿素生产企业固定床气化炉全部予以淘汰，氮肥行业基本实现第三代洁净煤气化，煤气化制氨和精细化学品工艺达到国际先进水平；废气排放总量减少50%；到2022年，氯碱行业电解单元吨碱能耗强度由360千克标准煤下降到325千克标准煤，对能耗达不到标准的电解槽予以淘汰，确保行业能耗总量减少10%左右；液氯就地消化率提高到85%以上，显著降低液氯道路运输安全风险；烧碱电解装备技术达到世界先进水平，膜极距改造率达到100%。</w:t>
                  </w:r>
                </w:p>
                <w:p>
                  <w:pPr>
                    <w:widowControl/>
                    <w:spacing w:after="0"/>
                    <w:rPr>
                      <w:color w:val="000000"/>
                      <w:szCs w:val="21"/>
                    </w:rPr>
                  </w:pPr>
                </w:p>
              </w:tc>
              <w:tc>
                <w:tcPr>
                  <w:tcW w:w="605" w:type="pct"/>
                  <w:vAlign w:val="center"/>
                </w:tcPr>
                <w:p>
                  <w:pPr>
                    <w:jc w:val="center"/>
                    <w:rPr>
                      <w:color w:val="000000"/>
                      <w:szCs w:val="21"/>
                    </w:rPr>
                  </w:pPr>
                  <w:r>
                    <w:rPr>
                      <w:color w:val="000000"/>
                      <w:szCs w:val="21"/>
                    </w:rPr>
                    <w:t>本项目为</w:t>
                  </w:r>
                  <w:r>
                    <w:rPr>
                      <w:rFonts w:hint="eastAsia"/>
                      <w:color w:val="000000"/>
                      <w:szCs w:val="21"/>
                    </w:rPr>
                    <w:t>等级公路拓宽改建建设</w:t>
                  </w:r>
                  <w:r>
                    <w:rPr>
                      <w:color w:val="000000"/>
                      <w:szCs w:val="21"/>
                    </w:rPr>
                    <w:t>项目，</w:t>
                  </w:r>
                  <w:r>
                    <w:rPr>
                      <w:rFonts w:hint="eastAsia"/>
                      <w:color w:val="000000"/>
                      <w:szCs w:val="21"/>
                    </w:rPr>
                    <w:t>环境影响主要集中在施工期，运营期无废气、废水产生。</w:t>
                  </w:r>
                </w:p>
              </w:tc>
            </w:tr>
          </w:tbl>
          <w:p/>
        </w:tc>
      </w:tr>
    </w:tbl>
    <w:p>
      <w:pPr>
        <w:sectPr>
          <w:footerReference w:type="even" r:id="rId20"/>
          <w:footerReference w:type="default" r:id="rId21"/>
          <w:type w:val="nextPage"/>
          <w:pgSz w:w="11906" w:h="16838"/>
          <w:pgMar w:top="1440" w:right="1800" w:bottom="1440" w:left="1800" w:header="851" w:footer="1077" w:gutter="0"/>
          <w:pgNumType w:start="8"/>
          <w:cols w:space="708"/>
          <w:titlePg w:val="0"/>
          <w:docGrid w:linePitch="312"/>
        </w:sectPr>
      </w:pPr>
    </w:p>
    <w:tbl>
      <w:tblPr>
        <w:tblStyle w:val="TableNormal"/>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
      <w:tblGrid>
        <w:gridCol w:w="1985"/>
        <w:gridCol w:w="6520"/>
      </w:tblGrid>
      <w:tr>
        <w:tblPrEx>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Ex>
        <w:trPr>
          <w:trHeight w:val="1431"/>
        </w:trPr>
        <w:tc>
          <w:tcPr>
            <w:tcW w:w="1167" w:type="pct"/>
            <w:tcMar>
              <w:top w:w="16" w:type="dxa"/>
              <w:left w:w="16" w:type="dxa"/>
              <w:right w:w="16" w:type="dxa"/>
            </w:tcMar>
            <w:vAlign w:val="center"/>
          </w:tcPr>
          <w:p/>
        </w:tc>
        <w:tc>
          <w:tcPr>
            <w:tcW w:w="3833" w:type="pct"/>
            <w:tcMar>
              <w:top w:w="16" w:type="dxa"/>
              <w:left w:w="16" w:type="dxa"/>
              <w:right w:w="16" w:type="dxa"/>
            </w:tcMar>
            <w:vAlign w:val="center"/>
          </w:tcPr>
          <w:tbl>
            <w:tblPr>
              <w:tblStyle w:val="TableNormal"/>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Look w:val="0000"/>
            </w:tblPr>
            <w:tblGrid>
              <w:gridCol w:w="418"/>
              <w:gridCol w:w="277"/>
              <w:gridCol w:w="4998"/>
              <w:gridCol w:w="785"/>
            </w:tblGrid>
            <w:tr>
              <w:tblPrEx>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Look w:val="0000"/>
              </w:tblPrEx>
              <w:trPr>
                <w:trHeight w:val="583"/>
              </w:trPr>
              <w:tc>
                <w:tcPr>
                  <w:tcW w:w="323" w:type="pct"/>
                  <w:vAlign w:val="center"/>
                </w:tcPr>
                <w:p/>
              </w:tc>
              <w:tc>
                <w:tcPr>
                  <w:tcW w:w="214" w:type="pct"/>
                  <w:vAlign w:val="center"/>
                </w:tcPr>
                <w:p/>
              </w:tc>
              <w:tc>
                <w:tcPr>
                  <w:tcW w:w="3858" w:type="pct"/>
                  <w:vAlign w:val="center"/>
                </w:tcPr>
                <w:p>
                  <w:pPr>
                    <w:widowControl/>
                    <w:spacing w:before="0"/>
                    <w:rPr>
                      <w:color w:val="000000"/>
                      <w:szCs w:val="21"/>
                    </w:rPr>
                  </w:pPr>
                  <w:r>
                    <w:rPr>
                      <w:color w:val="000000"/>
                      <w:szCs w:val="21"/>
                    </w:rPr>
                    <w:t>6、涉挥发性有机物行业升级改造，执行《山东省涉挥发性有机物企业分行业治理指导意见》《山东省“十三五”挥发性有机物污染防治工作方案》《山东省打赢蓝天保卫战作战方案暨2013—2020年大气污染防治规划三期行动计划（2018—2020年）》中相关规定，玻璃纤维（玻璃钢）制造、机动车维修、板材、制药、农</w:t>
                  </w:r>
                  <w:r>
                    <w:rPr>
                      <w:color w:val="000000"/>
                      <w:szCs w:val="21"/>
                    </w:rPr>
                    <w:t xml:space="preserve"> 药、铸造、焦化、橡胶制品加工、橡胶再生、皮革鞣制加工、塑料制品加工、涂料油墨制造、纸浆制造、日用玻璃（陶瓷）表面处理、彩钢板制造、有机肥制造、合成香料加工、危险废物处置、生活垃圾处理、表面涂装、印刷行业等行业，推行源头替代、加强过程控制和末端治理，加强挥发性有机物（VOCs）废气收集与治理，建设有效的废气收集系统和</w:t>
                  </w:r>
                  <w:r>
                    <w:rPr>
                      <w:color w:val="000000"/>
                      <w:szCs w:val="21"/>
                    </w:rPr>
                    <w:t xml:space="preserve"> VOCs处理设施，重点排放源确保VOCs处理效率均达到80%以上，</w:t>
                  </w:r>
                  <w:r>
                    <w:rPr>
                      <w:color w:val="000000"/>
                      <w:szCs w:val="21"/>
                    </w:rPr>
                    <w:t xml:space="preserve"> 排放达到《挥发性有机物排放标准第7部分：其他行业》</w:t>
                  </w:r>
                  <w:r>
                    <w:rPr>
                      <w:color w:val="000000"/>
                      <w:szCs w:val="21"/>
                    </w:rPr>
                    <w:t xml:space="preserve"> （DB37/2801.7-2019</w:t>
                  </w:r>
                  <w:r>
                    <w:rPr>
                      <w:color w:val="000000"/>
                      <w:szCs w:val="21"/>
                    </w:rPr>
                    <w:t xml:space="preserve"> 要求），无组织排放应达到《挥发性有机物无组织排放控制标准（GB37822-2019</w:t>
                  </w:r>
                  <w:r>
                    <w:rPr>
                      <w:rFonts w:hint="eastAsia"/>
                      <w:color w:val="000000"/>
                      <w:szCs w:val="21"/>
                    </w:rPr>
                    <w:t>）</w:t>
                  </w:r>
                  <w:r>
                    <w:rPr>
                      <w:color w:val="000000"/>
                      <w:szCs w:val="21"/>
                    </w:rPr>
                    <w:t>》要求。</w:t>
                  </w:r>
                </w:p>
              </w:tc>
              <w:tc>
                <w:tcPr>
                  <w:tcW w:w="605" w:type="pct"/>
                  <w:vAlign w:val="center"/>
                </w:tcPr>
                <w:p/>
              </w:tc>
            </w:tr>
            <w:tr>
              <w:tblPrEx>
                <w:tblW w:w="5000" w:type="pct"/>
                <w:tblInd w:w="5" w:type="dxa"/>
                <w:tblCellMar>
                  <w:top w:w="0" w:type="dxa"/>
                  <w:left w:w="0" w:type="dxa"/>
                  <w:bottom w:w="0" w:type="dxa"/>
                  <w:right w:w="0" w:type="dxa"/>
                </w:tblCellMar>
                <w:tblLook w:val="0000"/>
              </w:tblPrEx>
              <w:trPr>
                <w:trHeight w:val="2224"/>
              </w:trPr>
              <w:tc>
                <w:tcPr>
                  <w:tcW w:w="323" w:type="pct"/>
                  <w:vAlign w:val="center"/>
                </w:tcPr>
                <w:p>
                  <w:pPr>
                    <w:widowControl/>
                    <w:jc w:val="center"/>
                    <w:rPr>
                      <w:color w:val="000000"/>
                      <w:szCs w:val="21"/>
                    </w:rPr>
                  </w:pPr>
                  <w:r>
                    <w:rPr>
                      <w:color w:val="000000"/>
                      <w:szCs w:val="21"/>
                    </w:rPr>
                    <w:t>3、环 境风险防控</w:t>
                  </w:r>
                </w:p>
              </w:tc>
              <w:tc>
                <w:tcPr>
                  <w:tcW w:w="214" w:type="pct"/>
                  <w:vAlign w:val="center"/>
                </w:tcPr>
                <w:p>
                  <w:pPr>
                    <w:widowControl/>
                    <w:jc w:val="center"/>
                    <w:rPr>
                      <w:color w:val="000000"/>
                      <w:szCs w:val="21"/>
                    </w:rPr>
                  </w:pPr>
                  <w:r>
                    <w:rPr>
                      <w:color w:val="000000"/>
                      <w:szCs w:val="21"/>
                    </w:rPr>
                    <w:t>联防联控要求</w:t>
                  </w:r>
                </w:p>
                <w:p>
                  <w:pPr>
                    <w:spacing w:line="360" w:lineRule="auto"/>
                    <w:jc w:val="center"/>
                    <w:rPr>
                      <w:color w:val="000000"/>
                      <w:szCs w:val="21"/>
                    </w:rPr>
                  </w:pPr>
                </w:p>
              </w:tc>
              <w:tc>
                <w:tcPr>
                  <w:tcW w:w="3858" w:type="pct"/>
                  <w:vAlign w:val="center"/>
                </w:tcPr>
                <w:p>
                  <w:pPr>
                    <w:widowControl/>
                    <w:numPr>
                      <w:ilvl w:val="0"/>
                      <w:numId w:val="2"/>
                    </w:numPr>
                    <w:rPr>
                      <w:color w:val="000000"/>
                      <w:szCs w:val="21"/>
                    </w:rPr>
                  </w:pPr>
                  <w:r>
                    <w:rPr>
                      <w:color w:val="000000"/>
                      <w:szCs w:val="21"/>
                    </w:rPr>
                    <w:t>建立自然资源（规划）、发改、工信、住建、交通运输、生态环境、公安等部门间的信息沟通机制，实行联动监管。</w:t>
                  </w:r>
                </w:p>
                <w:p>
                  <w:pPr>
                    <w:widowControl/>
                    <w:numPr>
                      <w:ilvl w:val="0"/>
                      <w:numId w:val="2"/>
                    </w:numPr>
                    <w:rPr>
                      <w:color w:val="000000"/>
                      <w:szCs w:val="21"/>
                    </w:rPr>
                  </w:pPr>
                  <w:r>
                    <w:rPr>
                      <w:color w:val="000000"/>
                      <w:szCs w:val="21"/>
                    </w:rPr>
                    <w:t>与山东省济南市、聊城市、滨州市及河北省衡水市、沧州市等城市建立统一的空气重污染预警会商和应急联动协调机制，逐步实现预警分级标准、应急措施力度的统一，共同提前采取措施，应对区域性、大范围重污染天气，最大限度减缓不利扩散条件下污染物的累积速度，有效遏制污染程度，保障公众健康。以大气污染联防联控为重点，针对跨区域环境污染等问题组织环保执法力量开展联合执法、跨区域执法、交叉执法，共同打击违法排污行动。针对可能对区域大气环境产生重大影响的重点行业规划、园区建设规划和重大工程项目进行会商。</w:t>
                  </w:r>
                </w:p>
                <w:p>
                  <w:pPr>
                    <w:widowControl/>
                    <w:numPr>
                      <w:ilvl w:val="0"/>
                      <w:numId w:val="2"/>
                    </w:numPr>
                    <w:rPr>
                      <w:color w:val="000000"/>
                      <w:szCs w:val="21"/>
                    </w:rPr>
                  </w:pPr>
                  <w:r>
                    <w:rPr>
                      <w:color w:val="000000"/>
                      <w:szCs w:val="21"/>
                    </w:rPr>
                    <w:t>加强风险源监管，完善应急管理体系，通过智能化利用环境应急值守、风险隐患排查治理、风险源管理、事故应急指挥等模块全面提高环保部门应急管理、风险防控和应急处置工作水平，有效预防各类环境事件。</w:t>
                  </w:r>
                </w:p>
                <w:p>
                  <w:pPr>
                    <w:widowControl/>
                    <w:numPr>
                      <w:ilvl w:val="0"/>
                      <w:numId w:val="2"/>
                    </w:numPr>
                    <w:rPr>
                      <w:color w:val="000000"/>
                      <w:szCs w:val="21"/>
                    </w:rPr>
                  </w:pPr>
                  <w:r>
                    <w:rPr>
                      <w:color w:val="000000"/>
                      <w:szCs w:val="21"/>
                    </w:rPr>
                    <w:t>合理布局，严格管控高环境风险项目特别是高环境风险工业项目建设。</w:t>
                  </w:r>
                </w:p>
                <w:p>
                  <w:pPr>
                    <w:widowControl/>
                    <w:numPr>
                      <w:ilvl w:val="0"/>
                      <w:numId w:val="2"/>
                    </w:numPr>
                    <w:rPr>
                      <w:color w:val="000000"/>
                      <w:szCs w:val="21"/>
                    </w:rPr>
                  </w:pPr>
                  <w:r>
                    <w:rPr>
                      <w:color w:val="000000"/>
                      <w:szCs w:val="21"/>
                    </w:rPr>
                    <w:t>加强对危险化学品及危废暂存、运输、处置或利用的管理，最大限度控制环境风险的产生。</w:t>
                  </w:r>
                </w:p>
                <w:p>
                  <w:pPr>
                    <w:widowControl/>
                    <w:numPr>
                      <w:ilvl w:val="0"/>
                      <w:numId w:val="2"/>
                    </w:numPr>
                    <w:rPr>
                      <w:color w:val="000000"/>
                      <w:szCs w:val="21"/>
                    </w:rPr>
                  </w:pPr>
                  <w:r>
                    <w:rPr>
                      <w:color w:val="000000"/>
                      <w:szCs w:val="21"/>
                    </w:rPr>
                    <w:t>化工园区严格按照《山东省化工园区管理办法（试行）》（鲁工信化工〔2020〕141号）具体要求执行，推进化工园区安全生产和环境管理信息化智能平台建设，实现对园区内企业、重点场所、重大污染源、重大危险源和基础设施实行风险监控预警。各乡镇现有的具有风险的化工企业，禁止进行改建和扩建，并加强监管力度。</w:t>
                  </w:r>
                </w:p>
                <w:p>
                  <w:pPr>
                    <w:widowControl/>
                    <w:rPr>
                      <w:color w:val="000000"/>
                      <w:szCs w:val="21"/>
                    </w:rPr>
                  </w:pPr>
                  <w:r>
                    <w:rPr>
                      <w:color w:val="000000"/>
                      <w:szCs w:val="21"/>
                    </w:rPr>
                    <w:t>7、建立土壤和地下水污染隐患排查制度、风险防控体系和长效监管机制。加强对化工、农药等类型企业（包括已经停产）场地土壤污染环境风险的防控力度。</w:t>
                  </w:r>
                </w:p>
              </w:tc>
              <w:tc>
                <w:tcPr>
                  <w:tcW w:w="605" w:type="pct"/>
                  <w:vAlign w:val="center"/>
                </w:tcPr>
                <w:p>
                  <w:pPr>
                    <w:jc w:val="center"/>
                    <w:rPr>
                      <w:color w:val="000000"/>
                      <w:szCs w:val="21"/>
                    </w:rPr>
                  </w:pPr>
                  <w:r>
                    <w:rPr>
                      <w:color w:val="000000"/>
                      <w:szCs w:val="21"/>
                    </w:rPr>
                    <w:t>本项目为</w:t>
                  </w:r>
                  <w:r>
                    <w:rPr>
                      <w:rFonts w:hint="eastAsia"/>
                      <w:color w:val="000000"/>
                      <w:szCs w:val="21"/>
                    </w:rPr>
                    <w:t>等级公路拓宽改建建设</w:t>
                  </w:r>
                  <w:r>
                    <w:rPr>
                      <w:color w:val="000000"/>
                      <w:szCs w:val="21"/>
                    </w:rPr>
                    <w:t>项目，不涉及危险化学品。</w:t>
                  </w:r>
                </w:p>
              </w:tc>
            </w:tr>
          </w:tbl>
          <w:p/>
        </w:tc>
      </w:tr>
    </w:tbl>
    <w:p>
      <w:pPr>
        <w:sectPr>
          <w:footerReference w:type="even" r:id="rId22"/>
          <w:footerReference w:type="default" r:id="rId23"/>
          <w:type w:val="nextPage"/>
          <w:pgSz w:w="11906" w:h="16838"/>
          <w:pgMar w:top="1440" w:right="1800" w:bottom="1440" w:left="1800" w:header="851" w:footer="1077" w:gutter="0"/>
          <w:pgNumType w:start="9"/>
          <w:cols w:space="708"/>
          <w:titlePg w:val="0"/>
          <w:docGrid w:linePitch="312"/>
        </w:sectPr>
      </w:pPr>
    </w:p>
    <w:tbl>
      <w:tblPr>
        <w:tblStyle w:val="TableNormal"/>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
      <w:tblGrid>
        <w:gridCol w:w="1985"/>
        <w:gridCol w:w="6520"/>
      </w:tblGrid>
      <w:tr>
        <w:tblPrEx>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Ex>
        <w:trPr>
          <w:trHeight w:val="1431"/>
        </w:trPr>
        <w:tc>
          <w:tcPr>
            <w:tcW w:w="1167" w:type="pct"/>
            <w:tcMar>
              <w:top w:w="16" w:type="dxa"/>
              <w:left w:w="16" w:type="dxa"/>
              <w:right w:w="16" w:type="dxa"/>
            </w:tcMar>
            <w:vAlign w:val="center"/>
          </w:tcPr>
          <w:p/>
        </w:tc>
        <w:tc>
          <w:tcPr>
            <w:tcW w:w="3833" w:type="pct"/>
            <w:tcMar>
              <w:top w:w="16" w:type="dxa"/>
              <w:left w:w="16" w:type="dxa"/>
              <w:right w:w="16" w:type="dxa"/>
            </w:tcMar>
            <w:vAlign w:val="center"/>
          </w:tcPr>
          <w:tbl>
            <w:tblPr>
              <w:tblStyle w:val="TableNormal"/>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Look w:val="0000"/>
            </w:tblPr>
            <w:tblGrid>
              <w:gridCol w:w="418"/>
              <w:gridCol w:w="277"/>
              <w:gridCol w:w="4998"/>
              <w:gridCol w:w="785"/>
            </w:tblGrid>
            <w:tr>
              <w:tblPrEx>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Look w:val="0000"/>
              </w:tblPrEx>
              <w:trPr>
                <w:trHeight w:val="2224"/>
              </w:trPr>
              <w:tc>
                <w:tcPr>
                  <w:tcW w:w="323" w:type="pct"/>
                  <w:vAlign w:val="center"/>
                </w:tcPr>
                <w:p>
                  <w:pPr>
                    <w:widowControl/>
                    <w:jc w:val="center"/>
                    <w:rPr>
                      <w:color w:val="000000"/>
                      <w:szCs w:val="21"/>
                    </w:rPr>
                  </w:pPr>
                  <w:r>
                    <w:rPr>
                      <w:color w:val="000000"/>
                      <w:szCs w:val="21"/>
                    </w:rPr>
                    <w:t>4、资 源开发效率要求</w:t>
                  </w:r>
                </w:p>
              </w:tc>
              <w:tc>
                <w:tcPr>
                  <w:tcW w:w="214" w:type="pct"/>
                  <w:vAlign w:val="center"/>
                </w:tcPr>
                <w:p>
                  <w:pPr>
                    <w:widowControl/>
                    <w:jc w:val="center"/>
                    <w:rPr>
                      <w:color w:val="000000"/>
                      <w:szCs w:val="21"/>
                    </w:rPr>
                  </w:pPr>
                  <w:r>
                    <w:rPr>
                      <w:color w:val="000000"/>
                      <w:szCs w:val="21"/>
                    </w:rPr>
                    <w:t>水资源利用总量要求</w:t>
                  </w:r>
                </w:p>
                <w:p>
                  <w:pPr>
                    <w:widowControl/>
                    <w:jc w:val="center"/>
                    <w:rPr>
                      <w:color w:val="000000"/>
                      <w:szCs w:val="21"/>
                    </w:rPr>
                  </w:pPr>
                </w:p>
              </w:tc>
              <w:tc>
                <w:tcPr>
                  <w:tcW w:w="3858" w:type="pct"/>
                  <w:vAlign w:val="center"/>
                </w:tcPr>
                <w:p>
                  <w:pPr>
                    <w:numPr>
                      <w:ilvl w:val="0"/>
                      <w:numId w:val="3"/>
                    </w:numPr>
                    <w:rPr>
                      <w:color w:val="000000"/>
                      <w:szCs w:val="21"/>
                    </w:rPr>
                  </w:pPr>
                  <w:r>
                    <w:rPr>
                      <w:color w:val="000000"/>
                      <w:szCs w:val="21"/>
                    </w:rPr>
                    <w:t>统筹全市地表水等各类水资源，优先保证生活用水，合理安排农业用水和工业用水，实行最</w:t>
                  </w:r>
                  <w:r>
                    <w:rPr>
                      <w:rFonts w:hint="eastAsia"/>
                      <w:color w:val="000000"/>
                      <w:szCs w:val="21"/>
                    </w:rPr>
                    <w:t>严格的</w:t>
                  </w:r>
                  <w:r>
                    <w:rPr>
                      <w:color w:val="000000"/>
                      <w:szCs w:val="21"/>
                    </w:rPr>
                    <w:t>水资源管理制度，把水资源作为最大的刚性约束，加强水资源的开发利用管理。控制水耗较大的工业项目建设，新鲜水消耗较大的工业项目须进行水资源评价。积极开展再生水利用，提高再生水利用率。</w:t>
                  </w:r>
                </w:p>
                <w:p>
                  <w:pPr>
                    <w:numPr>
                      <w:ilvl w:val="0"/>
                      <w:numId w:val="3"/>
                    </w:numPr>
                    <w:rPr>
                      <w:color w:val="000000"/>
                      <w:szCs w:val="21"/>
                    </w:rPr>
                  </w:pPr>
                  <w:r>
                    <w:rPr>
                      <w:color w:val="000000"/>
                      <w:szCs w:val="21"/>
                    </w:rPr>
                    <w:t>到2025年，万元GDP用水量比2020年下降10%以上；农田灌溉水有效利用系数达到0.6381左右。</w:t>
                  </w:r>
                </w:p>
                <w:p>
                  <w:pPr>
                    <w:rPr>
                      <w:color w:val="000000"/>
                      <w:szCs w:val="21"/>
                    </w:rPr>
                  </w:pPr>
                  <w:r>
                    <w:rPr>
                      <w:color w:val="000000"/>
                      <w:szCs w:val="21"/>
                    </w:rPr>
                    <w:t>3、到2035年，万元GDP用水量比2020年下降21%以上；农田灌溉水有效利用系数达到0.6411左右</w:t>
                  </w:r>
                  <w:r>
                    <w:rPr>
                      <w:rFonts w:hint="eastAsia"/>
                      <w:color w:val="000000"/>
                      <w:szCs w:val="21"/>
                    </w:rPr>
                    <w:t>。</w:t>
                  </w:r>
                </w:p>
                <w:p>
                  <w:pPr>
                    <w:widowControl/>
                    <w:rPr>
                      <w:color w:val="000000"/>
                      <w:szCs w:val="21"/>
                    </w:rPr>
                  </w:pPr>
                </w:p>
              </w:tc>
              <w:tc>
                <w:tcPr>
                  <w:tcW w:w="605" w:type="pct"/>
                  <w:vAlign w:val="center"/>
                </w:tcPr>
                <w:p>
                  <w:pPr>
                    <w:jc w:val="center"/>
                    <w:rPr>
                      <w:color w:val="000000"/>
                      <w:szCs w:val="21"/>
                    </w:rPr>
                  </w:pPr>
                  <w:r>
                    <w:rPr>
                      <w:color w:val="000000"/>
                      <w:szCs w:val="21"/>
                    </w:rPr>
                    <w:t>本项目不属于水耗较大的工业项目。</w:t>
                  </w:r>
                </w:p>
              </w:tc>
            </w:tr>
          </w:tbl>
          <w:p>
            <w:pPr>
              <w:spacing w:line="360" w:lineRule="auto"/>
              <w:ind w:firstLine="480" w:firstLineChars="200"/>
              <w:rPr>
                <w:rFonts w:hint="eastAsia"/>
                <w:color w:val="000000"/>
                <w:sz w:val="24"/>
              </w:rPr>
            </w:pPr>
            <w:r>
              <w:rPr>
                <w:rFonts w:hint="eastAsia"/>
                <w:color w:val="000000"/>
                <w:sz w:val="24"/>
              </w:rPr>
              <w:t>根据以上分析，本项目的实施满足区域</w:t>
            </w:r>
            <w:r>
              <w:rPr>
                <w:rFonts w:hint="eastAsia"/>
                <w:color w:val="000000"/>
                <w:sz w:val="24"/>
              </w:rPr>
              <w:t>“</w:t>
            </w:r>
            <w:r>
              <w:rPr>
                <w:rFonts w:hint="eastAsia"/>
                <w:color w:val="000000"/>
                <w:sz w:val="24"/>
              </w:rPr>
              <w:t>三线一单</w:t>
            </w:r>
            <w:r>
              <w:rPr>
                <w:rFonts w:hint="eastAsia"/>
                <w:color w:val="000000"/>
                <w:sz w:val="24"/>
              </w:rPr>
              <w:t>”</w:t>
            </w:r>
            <w:r>
              <w:rPr>
                <w:rFonts w:hint="eastAsia"/>
                <w:color w:val="000000"/>
                <w:sz w:val="24"/>
              </w:rPr>
              <w:t>要求。</w:t>
            </w:r>
          </w:p>
          <w:p>
            <w:pPr>
              <w:pStyle w:val="BodyTextFirstIndent2"/>
              <w:ind w:left="0" w:firstLine="0" w:leftChars="0" w:firstLineChars="0"/>
              <w:rPr>
                <w:b/>
                <w:color w:val="000000"/>
                <w:sz w:val="24"/>
              </w:rPr>
            </w:pPr>
            <w:r>
              <w:rPr>
                <w:rFonts w:hint="eastAsia"/>
                <w:b/>
                <w:color w:val="000000"/>
                <w:sz w:val="24"/>
              </w:rPr>
              <w:t>四</w:t>
            </w:r>
            <w:r>
              <w:rPr>
                <w:b/>
                <w:color w:val="000000"/>
                <w:sz w:val="24"/>
              </w:rPr>
              <w:t>、相关生态环境保护法律法规政策符合性分析</w:t>
            </w:r>
          </w:p>
          <w:p>
            <w:pPr>
              <w:spacing w:line="360" w:lineRule="auto"/>
              <w:ind w:firstLine="480" w:firstLineChars="200"/>
              <w:rPr>
                <w:b/>
                <w:bCs/>
                <w:color w:val="000000"/>
                <w:sz w:val="24"/>
              </w:rPr>
            </w:pPr>
            <w:r>
              <w:rPr>
                <w:rFonts w:hint="eastAsia"/>
                <w:b/>
                <w:bCs/>
                <w:color w:val="000000"/>
                <w:sz w:val="24"/>
              </w:rPr>
              <w:t>1、</w:t>
            </w:r>
            <w:r>
              <w:rPr>
                <w:b/>
                <w:bCs/>
                <w:color w:val="000000"/>
                <w:sz w:val="24"/>
              </w:rPr>
              <w:t>与《山东省环境保护条例》有关要求符合性分析</w:t>
            </w:r>
          </w:p>
          <w:p>
            <w:pPr>
              <w:ind w:firstLine="480" w:firstLineChars="200"/>
              <w:jc w:val="center"/>
              <w:rPr>
                <w:b/>
                <w:color w:val="000000"/>
                <w:sz w:val="24"/>
              </w:rPr>
            </w:pPr>
            <w:r>
              <w:rPr>
                <w:b/>
                <w:color w:val="000000"/>
                <w:sz w:val="24"/>
              </w:rPr>
              <w:t>表1-</w:t>
            </w:r>
            <w:r>
              <w:rPr>
                <w:rFonts w:hint="eastAsia"/>
                <w:b/>
                <w:color w:val="000000"/>
                <w:sz w:val="24"/>
              </w:rPr>
              <w:t>4</w:t>
            </w:r>
            <w:r>
              <w:rPr>
                <w:b/>
                <w:color w:val="000000"/>
                <w:sz w:val="24"/>
              </w:rPr>
              <w:t xml:space="preserve">  与《山东省环境保护条例》符合性分析</w:t>
            </w:r>
            <w:r>
              <w:rPr>
                <w:rFonts w:hint="eastAsia"/>
                <w:b/>
                <w:color w:val="000000"/>
                <w:sz w:val="24"/>
              </w:rPr>
              <w:t>表</w:t>
            </w:r>
          </w:p>
          <w:tbl>
            <w:tblPr>
              <w:tblStyle w:val="TableNormal"/>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3772"/>
              <w:gridCol w:w="1857"/>
              <w:gridCol w:w="849"/>
            </w:tblGrid>
            <w:tr>
              <w:tblPrEx>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jc w:val="center"/>
              </w:trPr>
              <w:tc>
                <w:tcPr>
                  <w:tcW w:w="3772" w:type="dxa"/>
                  <w:vAlign w:val="center"/>
                </w:tcPr>
                <w:p>
                  <w:pPr>
                    <w:pStyle w:val="BodyTextFirstIndent21"/>
                    <w:tabs>
                      <w:tab w:val="left" w:pos="6615"/>
                    </w:tabs>
                    <w:ind w:firstLine="0" w:firstLineChars="0"/>
                    <w:jc w:val="center"/>
                    <w:rPr>
                      <w:b/>
                      <w:color w:val="000000"/>
                      <w:sz w:val="21"/>
                      <w:szCs w:val="21"/>
                    </w:rPr>
                  </w:pPr>
                  <w:r>
                    <w:rPr>
                      <w:b/>
                      <w:color w:val="000000"/>
                      <w:sz w:val="21"/>
                      <w:szCs w:val="21"/>
                    </w:rPr>
                    <w:t>《山东省环境保护条例》要求</w:t>
                  </w:r>
                </w:p>
              </w:tc>
              <w:tc>
                <w:tcPr>
                  <w:tcW w:w="1857" w:type="dxa"/>
                  <w:vAlign w:val="center"/>
                </w:tcPr>
                <w:p>
                  <w:pPr>
                    <w:pStyle w:val="BodyTextFirstIndent21"/>
                    <w:tabs>
                      <w:tab w:val="left" w:pos="6615"/>
                    </w:tabs>
                    <w:ind w:firstLine="0" w:firstLineChars="0"/>
                    <w:jc w:val="center"/>
                    <w:rPr>
                      <w:b/>
                      <w:color w:val="000000"/>
                      <w:sz w:val="21"/>
                      <w:szCs w:val="21"/>
                    </w:rPr>
                  </w:pPr>
                  <w:r>
                    <w:rPr>
                      <w:rFonts w:hint="eastAsia"/>
                      <w:b/>
                      <w:color w:val="000000"/>
                      <w:sz w:val="21"/>
                      <w:szCs w:val="21"/>
                    </w:rPr>
                    <w:t>本项目</w:t>
                  </w:r>
                  <w:r>
                    <w:rPr>
                      <w:b/>
                      <w:color w:val="000000"/>
                      <w:sz w:val="21"/>
                      <w:szCs w:val="21"/>
                    </w:rPr>
                    <w:t>情况</w:t>
                  </w:r>
                </w:p>
              </w:tc>
              <w:tc>
                <w:tcPr>
                  <w:tcW w:w="849" w:type="dxa"/>
                  <w:vAlign w:val="center"/>
                </w:tcPr>
                <w:p>
                  <w:pPr>
                    <w:pStyle w:val="BodyTextFirstIndent21"/>
                    <w:tabs>
                      <w:tab w:val="left" w:pos="6615"/>
                    </w:tabs>
                    <w:ind w:firstLine="0" w:firstLineChars="0"/>
                    <w:jc w:val="center"/>
                    <w:rPr>
                      <w:b/>
                      <w:color w:val="000000"/>
                      <w:sz w:val="21"/>
                      <w:szCs w:val="21"/>
                    </w:rPr>
                  </w:pPr>
                  <w:r>
                    <w:rPr>
                      <w:b/>
                      <w:color w:val="000000"/>
                      <w:sz w:val="21"/>
                      <w:szCs w:val="21"/>
                    </w:rPr>
                    <w:t>符合性</w:t>
                  </w:r>
                </w:p>
              </w:tc>
            </w:tr>
            <w:tr>
              <w:tblPrEx>
                <w:tblW w:w="5000" w:type="pct"/>
                <w:jc w:val="center"/>
                <w:tblInd w:w="113" w:type="dxa"/>
                <w:tblCellMar>
                  <w:top w:w="0" w:type="dxa"/>
                  <w:left w:w="108" w:type="dxa"/>
                  <w:bottom w:w="0" w:type="dxa"/>
                  <w:right w:w="108" w:type="dxa"/>
                </w:tblCellMar>
                <w:tblLook w:val="0000"/>
              </w:tblPrEx>
              <w:trPr>
                <w:trHeight w:val="340"/>
                <w:jc w:val="center"/>
              </w:trPr>
              <w:tc>
                <w:tcPr>
                  <w:tcW w:w="3772" w:type="dxa"/>
                  <w:vAlign w:val="center"/>
                </w:tcPr>
                <w:p>
                  <w:pPr>
                    <w:pStyle w:val="BodyTextFirstIndent21"/>
                    <w:tabs>
                      <w:tab w:val="left" w:pos="6615"/>
                    </w:tabs>
                    <w:ind w:firstLine="0" w:firstLineChars="0"/>
                    <w:jc w:val="center"/>
                    <w:rPr>
                      <w:color w:val="000000"/>
                      <w:sz w:val="21"/>
                      <w:szCs w:val="21"/>
                    </w:rPr>
                  </w:pPr>
                  <w:r>
                    <w:rPr>
                      <w:rFonts w:hint="eastAsia"/>
                      <w:color w:val="000000"/>
                      <w:sz w:val="21"/>
                      <w:szCs w:val="21"/>
                    </w:rPr>
                    <w:t>第八条  企业事业单位和其他生产经营者应当落实环境保护主体责任，防止、减少环境污染和生态破坏，对所造成的损害依法承担责任</w:t>
                  </w:r>
                </w:p>
              </w:tc>
              <w:tc>
                <w:tcPr>
                  <w:tcW w:w="1857" w:type="dxa"/>
                  <w:vAlign w:val="center"/>
                </w:tcPr>
                <w:p>
                  <w:pPr>
                    <w:pStyle w:val="BodyTextFirstIndent21"/>
                    <w:tabs>
                      <w:tab w:val="left" w:pos="6615"/>
                    </w:tabs>
                    <w:ind w:firstLine="0" w:firstLineChars="0"/>
                    <w:jc w:val="center"/>
                    <w:rPr>
                      <w:rFonts w:hint="eastAsia"/>
                      <w:color w:val="000000"/>
                      <w:sz w:val="21"/>
                      <w:szCs w:val="21"/>
                    </w:rPr>
                  </w:pPr>
                  <w:r>
                    <w:rPr>
                      <w:rFonts w:hint="eastAsia"/>
                      <w:color w:val="000000"/>
                      <w:sz w:val="21"/>
                      <w:szCs w:val="21"/>
                    </w:rPr>
                    <w:t>项目产生的废气、废水、噪声和固体废物均采取环保治理措施，合理处置，达标排放</w:t>
                  </w:r>
                </w:p>
              </w:tc>
              <w:tc>
                <w:tcPr>
                  <w:tcW w:w="849" w:type="dxa"/>
                  <w:vAlign w:val="center"/>
                </w:tcPr>
                <w:p>
                  <w:pPr>
                    <w:pStyle w:val="BodyTextFirstIndent21"/>
                    <w:tabs>
                      <w:tab w:val="left" w:pos="6615"/>
                    </w:tabs>
                    <w:ind w:firstLine="0" w:firstLineChars="0"/>
                    <w:jc w:val="center"/>
                    <w:rPr>
                      <w:color w:val="000000"/>
                      <w:sz w:val="21"/>
                      <w:szCs w:val="21"/>
                    </w:rPr>
                  </w:pPr>
                  <w:r>
                    <w:rPr>
                      <w:rFonts w:hint="eastAsia"/>
                      <w:color w:val="000000"/>
                      <w:sz w:val="21"/>
                      <w:szCs w:val="21"/>
                    </w:rPr>
                    <w:t>符合</w:t>
                  </w:r>
                </w:p>
              </w:tc>
            </w:tr>
            <w:tr>
              <w:tblPrEx>
                <w:tblW w:w="5000" w:type="pct"/>
                <w:jc w:val="center"/>
                <w:tblInd w:w="113" w:type="dxa"/>
                <w:tblCellMar>
                  <w:top w:w="0" w:type="dxa"/>
                  <w:left w:w="108" w:type="dxa"/>
                  <w:bottom w:w="0" w:type="dxa"/>
                  <w:right w:w="108" w:type="dxa"/>
                </w:tblCellMar>
                <w:tblLook w:val="0000"/>
              </w:tblPrEx>
              <w:trPr>
                <w:trHeight w:val="340"/>
                <w:jc w:val="center"/>
              </w:trPr>
              <w:tc>
                <w:tcPr>
                  <w:tcW w:w="3772" w:type="dxa"/>
                  <w:vAlign w:val="center"/>
                </w:tcPr>
                <w:p>
                  <w:pPr>
                    <w:pStyle w:val="BodyTextFirstIndent21"/>
                    <w:tabs>
                      <w:tab w:val="left" w:pos="6615"/>
                    </w:tabs>
                    <w:ind w:firstLine="0" w:firstLineChars="0"/>
                    <w:jc w:val="center"/>
                    <w:rPr>
                      <w:color w:val="000000"/>
                      <w:sz w:val="21"/>
                      <w:szCs w:val="21"/>
                    </w:rPr>
                  </w:pPr>
                  <w:r>
                    <w:rPr>
                      <w:rFonts w:hint="eastAsia"/>
                      <w:color w:val="000000"/>
                      <w:sz w:val="21"/>
                      <w:szCs w:val="21"/>
                    </w:rPr>
                    <w:t>第十五条  禁止建设不符合国家和省产业政策的小型造纸、制革、印染、染料、炼焦、炼硫、炼砷、炼汞、炼油、电镀、农药、石棉、水泥、玻璃、钢铁、火电以及其他严重污染环境的生产项目。已经建设的，由所在地的县级以上人民政府责令拆除或者关闭</w:t>
                  </w:r>
                </w:p>
              </w:tc>
              <w:tc>
                <w:tcPr>
                  <w:tcW w:w="1857" w:type="dxa"/>
                  <w:vAlign w:val="center"/>
                </w:tcPr>
                <w:p>
                  <w:pPr>
                    <w:pStyle w:val="BodyTextFirstIndent21"/>
                    <w:tabs>
                      <w:tab w:val="left" w:pos="6615"/>
                    </w:tabs>
                    <w:ind w:firstLine="0" w:firstLineChars="0"/>
                    <w:jc w:val="center"/>
                    <w:rPr>
                      <w:rFonts w:hint="eastAsia"/>
                      <w:color w:val="000000"/>
                      <w:sz w:val="21"/>
                      <w:szCs w:val="21"/>
                    </w:rPr>
                  </w:pPr>
                  <w:r>
                    <w:rPr>
                      <w:rFonts w:hint="eastAsia"/>
                      <w:color w:val="000000"/>
                      <w:sz w:val="21"/>
                      <w:szCs w:val="21"/>
                    </w:rPr>
                    <w:t>本项目属于等级公路拓宽改建建设项目，不属于严重污染环境的生产项目，项目建设符合国家和山东省产业政策</w:t>
                  </w:r>
                </w:p>
              </w:tc>
              <w:tc>
                <w:tcPr>
                  <w:tcW w:w="849" w:type="dxa"/>
                  <w:vAlign w:val="center"/>
                </w:tcPr>
                <w:p>
                  <w:pPr>
                    <w:pStyle w:val="BodyTextFirstIndent21"/>
                    <w:tabs>
                      <w:tab w:val="left" w:pos="6615"/>
                    </w:tabs>
                    <w:ind w:firstLine="0" w:firstLineChars="0"/>
                    <w:jc w:val="center"/>
                    <w:rPr>
                      <w:color w:val="000000"/>
                      <w:sz w:val="21"/>
                      <w:szCs w:val="21"/>
                    </w:rPr>
                  </w:pPr>
                  <w:r>
                    <w:rPr>
                      <w:rFonts w:hint="eastAsia"/>
                      <w:color w:val="000000"/>
                      <w:sz w:val="21"/>
                      <w:szCs w:val="21"/>
                    </w:rPr>
                    <w:t>符合</w:t>
                  </w:r>
                </w:p>
              </w:tc>
            </w:tr>
            <w:tr>
              <w:tblPrEx>
                <w:tblW w:w="5000" w:type="pct"/>
                <w:jc w:val="center"/>
                <w:tblInd w:w="113" w:type="dxa"/>
                <w:tblCellMar>
                  <w:top w:w="0" w:type="dxa"/>
                  <w:left w:w="108" w:type="dxa"/>
                  <w:bottom w:w="0" w:type="dxa"/>
                  <w:right w:w="108" w:type="dxa"/>
                </w:tblCellMar>
                <w:tblLook w:val="0000"/>
              </w:tblPrEx>
              <w:trPr>
                <w:trHeight w:val="340"/>
                <w:jc w:val="center"/>
              </w:trPr>
              <w:tc>
                <w:tcPr>
                  <w:tcW w:w="3772" w:type="dxa"/>
                  <w:vAlign w:val="center"/>
                </w:tcPr>
                <w:p>
                  <w:pPr>
                    <w:pStyle w:val="BodyTextFirstIndent21"/>
                    <w:tabs>
                      <w:tab w:val="left" w:pos="6615"/>
                    </w:tabs>
                    <w:ind w:firstLine="0" w:firstLineChars="0"/>
                    <w:jc w:val="center"/>
                    <w:rPr>
                      <w:color w:val="000000"/>
                      <w:sz w:val="21"/>
                      <w:szCs w:val="21"/>
                    </w:rPr>
                  </w:pPr>
                  <w:r>
                    <w:rPr>
                      <w:rFonts w:hint="eastAsia"/>
                      <w:color w:val="000000"/>
                      <w:sz w:val="21"/>
                      <w:szCs w:val="21"/>
                    </w:rPr>
                    <w:t>第十八条  新建、改建、扩建建设项目，应当依法进行环境影响评价</w:t>
                  </w:r>
                </w:p>
              </w:tc>
              <w:tc>
                <w:tcPr>
                  <w:tcW w:w="1857" w:type="dxa"/>
                  <w:vAlign w:val="center"/>
                </w:tcPr>
                <w:p>
                  <w:pPr>
                    <w:pStyle w:val="BodyTextFirstIndent21"/>
                    <w:tabs>
                      <w:tab w:val="left" w:pos="6615"/>
                    </w:tabs>
                    <w:ind w:firstLine="0" w:firstLineChars="0"/>
                    <w:jc w:val="center"/>
                    <w:rPr>
                      <w:rFonts w:hint="eastAsia"/>
                      <w:color w:val="000000"/>
                      <w:sz w:val="21"/>
                      <w:szCs w:val="21"/>
                    </w:rPr>
                  </w:pPr>
                  <w:r>
                    <w:rPr>
                      <w:rFonts w:hint="eastAsia"/>
                      <w:color w:val="000000"/>
                      <w:sz w:val="21"/>
                      <w:szCs w:val="21"/>
                    </w:rPr>
                    <w:t>本项目正依法开展环境影响评价</w:t>
                  </w:r>
                </w:p>
              </w:tc>
              <w:tc>
                <w:tcPr>
                  <w:tcW w:w="849" w:type="dxa"/>
                  <w:vAlign w:val="center"/>
                </w:tcPr>
                <w:p>
                  <w:pPr>
                    <w:pStyle w:val="BodyTextFirstIndent21"/>
                    <w:tabs>
                      <w:tab w:val="left" w:pos="6615"/>
                    </w:tabs>
                    <w:ind w:firstLine="0" w:firstLineChars="0"/>
                    <w:jc w:val="center"/>
                    <w:rPr>
                      <w:color w:val="000000"/>
                      <w:sz w:val="21"/>
                      <w:szCs w:val="21"/>
                    </w:rPr>
                  </w:pPr>
                  <w:r>
                    <w:rPr>
                      <w:rFonts w:hint="eastAsia"/>
                      <w:color w:val="000000"/>
                      <w:sz w:val="21"/>
                      <w:szCs w:val="21"/>
                    </w:rPr>
                    <w:t>符合</w:t>
                  </w:r>
                </w:p>
              </w:tc>
            </w:tr>
            <w:tr>
              <w:tblPrEx>
                <w:tblW w:w="5000" w:type="pct"/>
                <w:jc w:val="center"/>
                <w:tblInd w:w="113" w:type="dxa"/>
                <w:tblCellMar>
                  <w:top w:w="0" w:type="dxa"/>
                  <w:left w:w="108" w:type="dxa"/>
                  <w:bottom w:w="0" w:type="dxa"/>
                  <w:right w:w="108" w:type="dxa"/>
                </w:tblCellMar>
                <w:tblLook w:val="0000"/>
              </w:tblPrEx>
              <w:trPr>
                <w:trHeight w:val="340"/>
                <w:jc w:val="center"/>
              </w:trPr>
              <w:tc>
                <w:tcPr>
                  <w:tcW w:w="3772" w:type="dxa"/>
                  <w:vAlign w:val="center"/>
                </w:tcPr>
                <w:p>
                  <w:pPr>
                    <w:pStyle w:val="BodyTextFirstIndent21"/>
                    <w:tabs>
                      <w:tab w:val="left" w:pos="6615"/>
                    </w:tabs>
                    <w:ind w:firstLine="0" w:firstLineChars="0"/>
                    <w:rPr>
                      <w:color w:val="000000"/>
                      <w:sz w:val="21"/>
                      <w:szCs w:val="21"/>
                    </w:rPr>
                  </w:pPr>
                  <w:r>
                    <w:rPr>
                      <w:color w:val="000000"/>
                      <w:sz w:val="21"/>
                      <w:szCs w:val="21"/>
                    </w:rPr>
                    <w:t>第四十四条  各级人民政府及其有关部门、园区管理机构应当做好环境基础设施规划，配套建设污水处理设施及配套管网、固体废物的收集处置设施、危险废物集中处置设施以及其他环境基础设施，建立环境基础设施的运行、维护制度，并保障其正常运行。</w:t>
                  </w:r>
                </w:p>
                <w:p>
                  <w:pPr>
                    <w:pStyle w:val="BodyTextFirstIndent21"/>
                    <w:tabs>
                      <w:tab w:val="left" w:pos="6615"/>
                    </w:tabs>
                    <w:ind w:firstLine="0" w:firstLineChars="0"/>
                    <w:rPr>
                      <w:color w:val="000000"/>
                      <w:sz w:val="21"/>
                      <w:szCs w:val="21"/>
                    </w:rPr>
                  </w:pPr>
                  <w:r>
                    <w:rPr>
                      <w:color w:val="000000"/>
                      <w:sz w:val="21"/>
                      <w:szCs w:val="21"/>
                    </w:rPr>
                    <w:t>县级以上人民政府应当根据产业结构调整和产业布局优化的要求，引导工业企业入驻工业园区；新建有污染物排放的工业项目，除在安全生产等方面有特殊要求的以外，应当进入工业园区或者工业集聚区。</w:t>
                  </w:r>
                </w:p>
              </w:tc>
              <w:tc>
                <w:tcPr>
                  <w:tcW w:w="1857" w:type="dxa"/>
                  <w:vAlign w:val="center"/>
                </w:tcPr>
                <w:p>
                  <w:pPr>
                    <w:pStyle w:val="BodyTextFirstIndent21"/>
                    <w:tabs>
                      <w:tab w:val="left" w:pos="6615"/>
                    </w:tabs>
                    <w:ind w:firstLine="0" w:firstLineChars="0"/>
                    <w:rPr>
                      <w:color w:val="000000"/>
                      <w:sz w:val="21"/>
                      <w:szCs w:val="21"/>
                    </w:rPr>
                  </w:pPr>
                  <w:r>
                    <w:rPr>
                      <w:rFonts w:hint="eastAsia"/>
                      <w:color w:val="000000"/>
                      <w:sz w:val="21"/>
                      <w:szCs w:val="21"/>
                    </w:rPr>
                    <w:t>本项目为等级公路拓宽改建建设项目，属于基础设施建设项目</w:t>
                  </w:r>
                </w:p>
              </w:tc>
              <w:tc>
                <w:tcPr>
                  <w:tcW w:w="849" w:type="dxa"/>
                  <w:vAlign w:val="center"/>
                </w:tcPr>
                <w:p>
                  <w:pPr>
                    <w:pStyle w:val="BodyTextFirstIndent21"/>
                    <w:tabs>
                      <w:tab w:val="left" w:pos="6615"/>
                    </w:tabs>
                    <w:ind w:firstLine="0" w:firstLineChars="0"/>
                    <w:jc w:val="center"/>
                    <w:rPr>
                      <w:color w:val="000000"/>
                      <w:sz w:val="21"/>
                      <w:szCs w:val="21"/>
                    </w:rPr>
                  </w:pPr>
                  <w:r>
                    <w:rPr>
                      <w:color w:val="000000"/>
                      <w:sz w:val="21"/>
                      <w:szCs w:val="21"/>
                    </w:rPr>
                    <w:t>符合</w:t>
                  </w:r>
                </w:p>
              </w:tc>
            </w:tr>
            <w:tr>
              <w:tblPrEx>
                <w:tblW w:w="5000" w:type="pct"/>
                <w:jc w:val="center"/>
                <w:tblInd w:w="113" w:type="dxa"/>
                <w:tblCellMar>
                  <w:top w:w="0" w:type="dxa"/>
                  <w:left w:w="108" w:type="dxa"/>
                  <w:bottom w:w="0" w:type="dxa"/>
                  <w:right w:w="108" w:type="dxa"/>
                </w:tblCellMar>
                <w:tblLook w:val="0000"/>
              </w:tblPrEx>
              <w:trPr>
                <w:trHeight w:val="340"/>
                <w:jc w:val="center"/>
              </w:trPr>
              <w:tc>
                <w:tcPr>
                  <w:tcW w:w="3772" w:type="dxa"/>
                  <w:vAlign w:val="center"/>
                </w:tcPr>
                <w:p>
                  <w:pPr>
                    <w:pStyle w:val="BodyTextFirstIndent21"/>
                    <w:tabs>
                      <w:tab w:val="left" w:pos="6615"/>
                    </w:tabs>
                    <w:spacing w:after="0"/>
                    <w:ind w:firstLine="0" w:firstLineChars="0"/>
                    <w:rPr>
                      <w:color w:val="000000"/>
                      <w:sz w:val="21"/>
                      <w:szCs w:val="21"/>
                    </w:rPr>
                  </w:pPr>
                  <w:r>
                    <w:rPr>
                      <w:rFonts w:hint="eastAsia"/>
                      <w:color w:val="000000"/>
                      <w:sz w:val="21"/>
                      <w:szCs w:val="21"/>
                    </w:rPr>
                    <w:t>第四十五条</w:t>
                  </w:r>
                  <w:r>
                    <w:rPr>
                      <w:rFonts w:hint="eastAsia"/>
                      <w:color w:val="000000"/>
                      <w:sz w:val="21"/>
                      <w:szCs w:val="21"/>
                    </w:rPr>
                    <w:t xml:space="preserve"> </w:t>
                  </w:r>
                </w:p>
              </w:tc>
              <w:tc>
                <w:tcPr>
                  <w:tcW w:w="1857" w:type="dxa"/>
                  <w:vAlign w:val="center"/>
                </w:tcPr>
                <w:p>
                  <w:pPr>
                    <w:pStyle w:val="BodyTextFirstIndent21"/>
                    <w:tabs>
                      <w:tab w:val="left" w:pos="6615"/>
                    </w:tabs>
                    <w:spacing w:after="0"/>
                    <w:ind w:firstLine="0" w:firstLineChars="0"/>
                    <w:rPr>
                      <w:rFonts w:hint="eastAsia"/>
                      <w:color w:val="000000"/>
                      <w:sz w:val="21"/>
                      <w:szCs w:val="21"/>
                      <w:lang w:val="zh-CN"/>
                    </w:rPr>
                  </w:pPr>
                  <w:r>
                    <w:rPr>
                      <w:rFonts w:hint="eastAsia"/>
                      <w:color w:val="000000"/>
                      <w:sz w:val="21"/>
                      <w:szCs w:val="21"/>
                    </w:rPr>
                    <w:t>项目废气和噪声达标排放；施工废水经隔油沉淀处理后用于场地洒水降尘，</w:t>
                  </w:r>
                </w:p>
              </w:tc>
              <w:tc>
                <w:tcPr>
                  <w:tcW w:w="849" w:type="dxa"/>
                  <w:vAlign w:val="center"/>
                </w:tcPr>
                <w:p>
                  <w:pPr>
                    <w:pStyle w:val="BodyTextFirstIndent21"/>
                    <w:tabs>
                      <w:tab w:val="left" w:pos="6615"/>
                    </w:tabs>
                    <w:ind w:firstLine="0" w:firstLineChars="0"/>
                    <w:jc w:val="center"/>
                    <w:rPr>
                      <w:color w:val="000000"/>
                      <w:sz w:val="21"/>
                      <w:szCs w:val="21"/>
                    </w:rPr>
                  </w:pPr>
                  <w:r>
                    <w:rPr>
                      <w:rFonts w:hint="eastAsia"/>
                      <w:color w:val="000000"/>
                      <w:sz w:val="21"/>
                      <w:szCs w:val="21"/>
                    </w:rPr>
                    <w:t>符合</w:t>
                  </w:r>
                </w:p>
              </w:tc>
            </w:tr>
          </w:tbl>
          <w:p/>
        </w:tc>
      </w:tr>
    </w:tbl>
    <w:p>
      <w:pPr>
        <w:sectPr>
          <w:footerReference w:type="even" r:id="rId24"/>
          <w:footerReference w:type="default" r:id="rId25"/>
          <w:type w:val="nextPage"/>
          <w:pgSz w:w="11906" w:h="16838"/>
          <w:pgMar w:top="1440" w:right="1800" w:bottom="1440" w:left="1800" w:header="851" w:footer="1077" w:gutter="0"/>
          <w:pgNumType w:start="10"/>
          <w:cols w:space="708"/>
          <w:titlePg w:val="0"/>
          <w:docGrid w:linePitch="312"/>
        </w:sectPr>
      </w:pPr>
    </w:p>
    <w:tbl>
      <w:tblPr>
        <w:tblStyle w:val="TableNormal"/>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
      <w:tblGrid>
        <w:gridCol w:w="1985"/>
        <w:gridCol w:w="6520"/>
      </w:tblGrid>
      <w:tr>
        <w:tblPrEx>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Ex>
        <w:trPr>
          <w:trHeight w:val="1431"/>
        </w:trPr>
        <w:tc>
          <w:tcPr>
            <w:tcW w:w="1167" w:type="pct"/>
            <w:tcMar>
              <w:top w:w="16" w:type="dxa"/>
              <w:left w:w="16" w:type="dxa"/>
              <w:right w:w="16" w:type="dxa"/>
            </w:tcMar>
            <w:vAlign w:val="center"/>
          </w:tcPr>
          <w:p/>
        </w:tc>
        <w:tc>
          <w:tcPr>
            <w:tcW w:w="3833" w:type="pct"/>
            <w:tcMar>
              <w:top w:w="16" w:type="dxa"/>
              <w:left w:w="16" w:type="dxa"/>
              <w:right w:w="16" w:type="dxa"/>
            </w:tcMar>
            <w:vAlign w:val="center"/>
          </w:tcPr>
          <w:tbl>
            <w:tblPr>
              <w:tblStyle w:val="TableNormal"/>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3772"/>
              <w:gridCol w:w="1857"/>
              <w:gridCol w:w="849"/>
            </w:tblGrid>
            <w:tr>
              <w:tblPrEx>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jc w:val="center"/>
              </w:trPr>
              <w:tc>
                <w:tcPr>
                  <w:tcW w:w="3772" w:type="dxa"/>
                  <w:vAlign w:val="center"/>
                </w:tcPr>
                <w:p>
                  <w:pPr>
                    <w:pStyle w:val="BodyTextFirstIndent21"/>
                    <w:tabs>
                      <w:tab w:val="left" w:pos="6615"/>
                    </w:tabs>
                    <w:spacing w:before="0"/>
                    <w:ind w:firstLine="0" w:firstLineChars="0"/>
                    <w:rPr>
                      <w:color w:val="000000"/>
                      <w:sz w:val="21"/>
                      <w:szCs w:val="21"/>
                    </w:rPr>
                  </w:pPr>
                  <w:r>
                    <w:rPr>
                      <w:rFonts w:hint="eastAsia"/>
                      <w:color w:val="000000"/>
                      <w:sz w:val="21"/>
                      <w:szCs w:val="21"/>
                    </w:rPr>
                    <w:t xml:space="preserve"> 排污单位应当采取措施，防治在生产建设或者其他活动中产生的废气、废水、废渣、医疗废物、粉尘、恶臭气体、放射性物质以及噪声、振动、光辐射、电磁辐射等对环境的污染和危害，其污染排放不得超过排放标准和重点污染物排放总量控制指标</w:t>
                  </w:r>
                </w:p>
              </w:tc>
              <w:tc>
                <w:tcPr>
                  <w:tcW w:w="1857" w:type="dxa"/>
                  <w:vAlign w:val="center"/>
                </w:tcPr>
                <w:p>
                  <w:pPr>
                    <w:pStyle w:val="BodyTextFirstIndent21"/>
                    <w:tabs>
                      <w:tab w:val="left" w:pos="6615"/>
                    </w:tabs>
                    <w:spacing w:before="0"/>
                    <w:ind w:firstLine="0" w:firstLineChars="0"/>
                    <w:rPr>
                      <w:rFonts w:hint="eastAsia"/>
                      <w:color w:val="000000"/>
                      <w:sz w:val="21"/>
                      <w:szCs w:val="21"/>
                      <w:lang w:val="zh-CN"/>
                    </w:rPr>
                  </w:pPr>
                  <w:r>
                    <w:rPr>
                      <w:rFonts w:hint="eastAsia"/>
                      <w:bCs/>
                      <w:color w:val="000000"/>
                      <w:sz w:val="21"/>
                      <w:szCs w:val="21"/>
                    </w:rPr>
                    <w:t>施工人员拟定全部租住在附近的小区，不住在工地，施工人员生活区生活污水依托租住小区污水处理系统预处理后，通过市政污水管网排入污水处理厂集中处理</w:t>
                  </w:r>
                  <w:r>
                    <w:rPr>
                      <w:rFonts w:hint="eastAsia"/>
                      <w:color w:val="000000"/>
                      <w:sz w:val="21"/>
                      <w:szCs w:val="21"/>
                    </w:rPr>
                    <w:t>；</w:t>
                  </w:r>
                  <w:r>
                    <w:rPr>
                      <w:rFonts w:hint="eastAsia"/>
                      <w:bCs/>
                      <w:color w:val="000000"/>
                      <w:sz w:val="21"/>
                      <w:szCs w:val="21"/>
                    </w:rPr>
                    <w:t>施工人员现场施工时利用施工区附近或沿线公厕</w:t>
                  </w:r>
                  <w:r>
                    <w:rPr>
                      <w:bCs/>
                      <w:color w:val="000000"/>
                      <w:sz w:val="21"/>
                      <w:szCs w:val="21"/>
                    </w:rPr>
                    <w:t>，</w:t>
                  </w:r>
                  <w:r>
                    <w:rPr>
                      <w:rFonts w:hint="eastAsia"/>
                      <w:bCs/>
                      <w:color w:val="000000"/>
                      <w:sz w:val="21"/>
                      <w:szCs w:val="21"/>
                    </w:rPr>
                    <w:t>生活污水经施工区附近或沿线公厕化粪池处理后，由环卫部门清运处置</w:t>
                  </w:r>
                  <w:r>
                    <w:rPr>
                      <w:rFonts w:hint="eastAsia"/>
                      <w:color w:val="000000"/>
                      <w:sz w:val="21"/>
                      <w:szCs w:val="21"/>
                    </w:rPr>
                    <w:t>；</w:t>
                  </w:r>
                  <w:r>
                    <w:rPr>
                      <w:rFonts w:hint="eastAsia"/>
                      <w:bCs/>
                      <w:color w:val="000000"/>
                      <w:sz w:val="21"/>
                      <w:szCs w:val="21"/>
                    </w:rPr>
                    <w:t>施工弃土（石）方运至政府指定的弃土场堆放，施工人员租住附近的小区，生活垃圾集中收集后依托租住小区的生活垃圾系统，最终由环卫部门清运处理</w:t>
                  </w:r>
                  <w:r>
                    <w:rPr>
                      <w:rFonts w:hint="eastAsia"/>
                      <w:color w:val="000000"/>
                      <w:sz w:val="21"/>
                      <w:szCs w:val="21"/>
                    </w:rPr>
                    <w:t>。</w:t>
                  </w:r>
                </w:p>
              </w:tc>
              <w:tc>
                <w:tcPr>
                  <w:tcW w:w="849" w:type="dxa"/>
                  <w:vAlign w:val="center"/>
                </w:tcPr>
                <w:p/>
              </w:tc>
            </w:tr>
          </w:tbl>
          <w:p>
            <w:pPr>
              <w:spacing w:line="360" w:lineRule="auto"/>
              <w:ind w:firstLine="480" w:firstLineChars="200"/>
              <w:rPr>
                <w:rFonts w:hint="eastAsia"/>
                <w:color w:val="000000"/>
                <w:sz w:val="24"/>
              </w:rPr>
            </w:pPr>
            <w:r>
              <w:rPr>
                <w:color w:val="000000"/>
                <w:sz w:val="24"/>
              </w:rPr>
              <w:t>综上所述，拟建项目符合</w:t>
            </w:r>
            <w:r>
              <w:rPr>
                <w:bCs/>
                <w:color w:val="000000"/>
                <w:sz w:val="24"/>
              </w:rPr>
              <w:t>《山东省环境保护条例》</w:t>
            </w:r>
            <w:r>
              <w:rPr>
                <w:color w:val="000000"/>
                <w:sz w:val="24"/>
              </w:rPr>
              <w:t>的相关要求。</w:t>
            </w:r>
          </w:p>
          <w:p>
            <w:pPr>
              <w:spacing w:line="360" w:lineRule="auto"/>
              <w:ind w:firstLine="480" w:firstLineChars="200"/>
              <w:rPr>
                <w:b/>
                <w:bCs/>
                <w:color w:val="000000"/>
                <w:sz w:val="24"/>
              </w:rPr>
            </w:pPr>
            <w:r>
              <w:rPr>
                <w:rFonts w:hint="eastAsia"/>
                <w:b/>
                <w:bCs/>
                <w:color w:val="000000"/>
                <w:sz w:val="24"/>
              </w:rPr>
              <w:t>2、</w:t>
            </w:r>
            <w:r>
              <w:rPr>
                <w:b/>
                <w:bCs/>
                <w:color w:val="000000"/>
                <w:sz w:val="24"/>
              </w:rPr>
              <w:t>与《山东省大气污染防治条例》相关要求符合性分析</w:t>
            </w:r>
          </w:p>
          <w:p>
            <w:pPr>
              <w:jc w:val="center"/>
              <w:rPr>
                <w:b/>
                <w:color w:val="000000"/>
                <w:sz w:val="24"/>
              </w:rPr>
            </w:pPr>
            <w:r>
              <w:rPr>
                <w:b/>
                <w:color w:val="000000"/>
                <w:sz w:val="24"/>
              </w:rPr>
              <w:t>表1-</w:t>
            </w:r>
            <w:r>
              <w:rPr>
                <w:rFonts w:hint="eastAsia"/>
                <w:b/>
                <w:color w:val="000000"/>
                <w:sz w:val="24"/>
              </w:rPr>
              <w:t>5</w:t>
            </w:r>
            <w:r>
              <w:rPr>
                <w:b/>
                <w:color w:val="000000"/>
                <w:sz w:val="24"/>
              </w:rPr>
              <w:t xml:space="preserve">  与《山东省大气污染防治条例》符合性分析</w:t>
            </w:r>
            <w:r>
              <w:rPr>
                <w:rFonts w:hint="eastAsia"/>
                <w:b/>
                <w:color w:val="000000"/>
                <w:sz w:val="24"/>
              </w:rPr>
              <w:t>表</w:t>
            </w:r>
          </w:p>
          <w:tbl>
            <w:tblPr>
              <w:tblStyle w:val="TableNormal"/>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3701"/>
              <w:gridCol w:w="1924"/>
              <w:gridCol w:w="853"/>
            </w:tblGrid>
            <w:tr>
              <w:tblPrEx>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jc w:val="center"/>
              </w:trPr>
              <w:tc>
                <w:tcPr>
                  <w:tcW w:w="3701" w:type="dxa"/>
                  <w:vAlign w:val="center"/>
                </w:tcPr>
                <w:p>
                  <w:pPr>
                    <w:jc w:val="center"/>
                    <w:rPr>
                      <w:b/>
                      <w:color w:val="000000"/>
                      <w:szCs w:val="21"/>
                    </w:rPr>
                  </w:pPr>
                  <w:r>
                    <w:rPr>
                      <w:b/>
                      <w:color w:val="000000"/>
                      <w:szCs w:val="21"/>
                    </w:rPr>
                    <w:t>《山东省大气污染防治条例》要求</w:t>
                  </w:r>
                </w:p>
              </w:tc>
              <w:tc>
                <w:tcPr>
                  <w:tcW w:w="1924" w:type="dxa"/>
                  <w:vAlign w:val="center"/>
                </w:tcPr>
                <w:p>
                  <w:pPr>
                    <w:jc w:val="center"/>
                    <w:rPr>
                      <w:b/>
                      <w:color w:val="000000"/>
                      <w:szCs w:val="21"/>
                    </w:rPr>
                  </w:pPr>
                  <w:r>
                    <w:rPr>
                      <w:rFonts w:hint="eastAsia"/>
                      <w:b/>
                      <w:color w:val="000000"/>
                      <w:szCs w:val="21"/>
                    </w:rPr>
                    <w:t>本项目</w:t>
                  </w:r>
                  <w:r>
                    <w:rPr>
                      <w:b/>
                      <w:color w:val="000000"/>
                      <w:szCs w:val="21"/>
                    </w:rPr>
                    <w:t>情况</w:t>
                  </w:r>
                </w:p>
              </w:tc>
              <w:tc>
                <w:tcPr>
                  <w:tcW w:w="853" w:type="dxa"/>
                  <w:vAlign w:val="center"/>
                </w:tcPr>
                <w:p>
                  <w:pPr>
                    <w:jc w:val="center"/>
                    <w:rPr>
                      <w:b/>
                      <w:color w:val="000000"/>
                      <w:szCs w:val="21"/>
                    </w:rPr>
                  </w:pPr>
                  <w:r>
                    <w:rPr>
                      <w:b/>
                      <w:color w:val="000000"/>
                      <w:szCs w:val="21"/>
                    </w:rPr>
                    <w:t>符合性</w:t>
                  </w:r>
                </w:p>
              </w:tc>
            </w:tr>
            <w:tr>
              <w:tblPrEx>
                <w:tblW w:w="5000" w:type="pct"/>
                <w:jc w:val="center"/>
                <w:tblInd w:w="113" w:type="dxa"/>
                <w:tblCellMar>
                  <w:top w:w="0" w:type="dxa"/>
                  <w:left w:w="108" w:type="dxa"/>
                  <w:bottom w:w="0" w:type="dxa"/>
                  <w:right w:w="108" w:type="dxa"/>
                </w:tblCellMar>
                <w:tblLook w:val="0000"/>
              </w:tblPrEx>
              <w:trPr>
                <w:trHeight w:val="340"/>
                <w:jc w:val="center"/>
              </w:trPr>
              <w:tc>
                <w:tcPr>
                  <w:tcW w:w="3701" w:type="dxa"/>
                  <w:vAlign w:val="center"/>
                </w:tcPr>
                <w:p>
                  <w:pPr>
                    <w:rPr>
                      <w:color w:val="000000"/>
                      <w:szCs w:val="21"/>
                    </w:rPr>
                  </w:pPr>
                  <w:r>
                    <w:rPr>
                      <w:color w:val="000000"/>
                      <w:szCs w:val="21"/>
                    </w:rPr>
                    <w:t>企业事业单位和其他生产经营者排放的大气污染物，不得超过国家和省规定的排放标准，</w:t>
                  </w:r>
                  <w:r>
                    <w:rPr>
                      <w:color w:val="000000"/>
                      <w:szCs w:val="21"/>
                    </w:rPr>
                    <w:cr/>
                  </w:r>
                  <w:r>
                    <w:rPr>
                      <w:color w:val="000000"/>
                      <w:szCs w:val="21"/>
                    </w:rPr>
                    <w:t>得超过核定的重点大气污染物总量控制指标。</w:t>
                  </w:r>
                </w:p>
              </w:tc>
              <w:tc>
                <w:tcPr>
                  <w:tcW w:w="1924" w:type="dxa"/>
                  <w:vAlign w:val="center"/>
                </w:tcPr>
                <w:p>
                  <w:pPr>
                    <w:rPr>
                      <w:color w:val="000000"/>
                      <w:szCs w:val="21"/>
                    </w:rPr>
                  </w:pPr>
                  <w:r>
                    <w:rPr>
                      <w:color w:val="000000"/>
                      <w:szCs w:val="21"/>
                    </w:rPr>
                    <w:t>本项目</w:t>
                  </w:r>
                  <w:r>
                    <w:rPr>
                      <w:rFonts w:hint="eastAsia"/>
                      <w:color w:val="000000"/>
                      <w:szCs w:val="21"/>
                    </w:rPr>
                    <w:t>施工期采取相应的扬尘防治措施，</w:t>
                  </w:r>
                  <w:r>
                    <w:rPr>
                      <w:color w:val="000000"/>
                      <w:szCs w:val="21"/>
                    </w:rPr>
                    <w:t>大气污染物排放达标。</w:t>
                  </w:r>
                </w:p>
              </w:tc>
              <w:tc>
                <w:tcPr>
                  <w:tcW w:w="853" w:type="dxa"/>
                  <w:vAlign w:val="center"/>
                </w:tcPr>
                <w:p>
                  <w:pPr>
                    <w:jc w:val="center"/>
                    <w:rPr>
                      <w:color w:val="000000"/>
                      <w:szCs w:val="21"/>
                    </w:rPr>
                  </w:pPr>
                  <w:r>
                    <w:rPr>
                      <w:color w:val="000000"/>
                      <w:szCs w:val="21"/>
                    </w:rPr>
                    <w:t>符合</w:t>
                  </w:r>
                </w:p>
              </w:tc>
            </w:tr>
            <w:tr>
              <w:tblPrEx>
                <w:tblW w:w="5000" w:type="pct"/>
                <w:jc w:val="center"/>
                <w:tblInd w:w="113" w:type="dxa"/>
                <w:tblCellMar>
                  <w:top w:w="0" w:type="dxa"/>
                  <w:left w:w="108" w:type="dxa"/>
                  <w:bottom w:w="0" w:type="dxa"/>
                  <w:right w:w="108" w:type="dxa"/>
                </w:tblCellMar>
                <w:tblLook w:val="0000"/>
              </w:tblPrEx>
              <w:trPr>
                <w:trHeight w:val="340"/>
                <w:jc w:val="center"/>
              </w:trPr>
              <w:tc>
                <w:tcPr>
                  <w:tcW w:w="3701" w:type="dxa"/>
                  <w:vAlign w:val="center"/>
                </w:tcPr>
                <w:p>
                  <w:pPr>
                    <w:rPr>
                      <w:color w:val="000000"/>
                      <w:szCs w:val="21"/>
                    </w:rPr>
                  </w:pPr>
                  <w:r>
                    <w:rPr>
                      <w:color w:val="000000"/>
                      <w:szCs w:val="21"/>
                    </w:rPr>
                    <w:t>在集中供热管网覆盖区域内，禁止新建、扩建分散燃煤供热锅炉；已建成的分散燃煤供热锅炉应当在县级以上人民政府环境保护主管部门规定的期限内停止使用。</w:t>
                  </w:r>
                </w:p>
              </w:tc>
              <w:tc>
                <w:tcPr>
                  <w:tcW w:w="1924" w:type="dxa"/>
                  <w:vAlign w:val="center"/>
                </w:tcPr>
                <w:p>
                  <w:pPr>
                    <w:rPr>
                      <w:color w:val="000000"/>
                      <w:szCs w:val="21"/>
                    </w:rPr>
                  </w:pPr>
                  <w:r>
                    <w:rPr>
                      <w:color w:val="000000"/>
                      <w:szCs w:val="21"/>
                    </w:rPr>
                    <w:t>本项目</w:t>
                  </w:r>
                  <w:r>
                    <w:rPr>
                      <w:rFonts w:hint="eastAsia"/>
                      <w:color w:val="000000"/>
                      <w:szCs w:val="21"/>
                    </w:rPr>
                    <w:t>不建设燃煤锅炉。</w:t>
                  </w:r>
                </w:p>
              </w:tc>
              <w:tc>
                <w:tcPr>
                  <w:tcW w:w="853" w:type="dxa"/>
                  <w:vAlign w:val="center"/>
                </w:tcPr>
                <w:p>
                  <w:pPr>
                    <w:jc w:val="center"/>
                    <w:rPr>
                      <w:color w:val="000000"/>
                      <w:szCs w:val="21"/>
                    </w:rPr>
                  </w:pPr>
                  <w:r>
                    <w:rPr>
                      <w:color w:val="000000"/>
                      <w:szCs w:val="21"/>
                    </w:rPr>
                    <w:t>符合</w:t>
                  </w:r>
                </w:p>
              </w:tc>
            </w:tr>
            <w:tr>
              <w:tblPrEx>
                <w:tblW w:w="5000" w:type="pct"/>
                <w:jc w:val="center"/>
                <w:tblInd w:w="113" w:type="dxa"/>
                <w:tblCellMar>
                  <w:top w:w="0" w:type="dxa"/>
                  <w:left w:w="108" w:type="dxa"/>
                  <w:bottom w:w="0" w:type="dxa"/>
                  <w:right w:w="108" w:type="dxa"/>
                </w:tblCellMar>
                <w:tblLook w:val="0000"/>
              </w:tblPrEx>
              <w:trPr>
                <w:trHeight w:val="340"/>
                <w:jc w:val="center"/>
              </w:trPr>
              <w:tc>
                <w:tcPr>
                  <w:tcW w:w="3701" w:type="dxa"/>
                  <w:vAlign w:val="center"/>
                </w:tcPr>
                <w:p>
                  <w:pPr>
                    <w:rPr>
                      <w:color w:val="000000"/>
                      <w:szCs w:val="21"/>
                    </w:rPr>
                  </w:pPr>
                  <w:r>
                    <w:rPr>
                      <w:color w:val="000000"/>
                      <w:szCs w:val="21"/>
                    </w:rPr>
                    <w:t>钢铁、火电、建材、焦化等企业和港口、码头、车站的物料堆放场所，应当按照要求进行地面和道路硬化，采取密闭、围挡、遮盖、喷淋、绿化、设置防风抑尘网等措施，并设置车辆清洗设施。</w:t>
                  </w:r>
                </w:p>
              </w:tc>
              <w:tc>
                <w:tcPr>
                  <w:tcW w:w="1924" w:type="dxa"/>
                  <w:vAlign w:val="center"/>
                </w:tcPr>
                <w:p>
                  <w:pPr>
                    <w:rPr>
                      <w:color w:val="000000"/>
                      <w:szCs w:val="21"/>
                    </w:rPr>
                  </w:pPr>
                  <w:r>
                    <w:rPr>
                      <w:color w:val="000000"/>
                      <w:szCs w:val="21"/>
                    </w:rPr>
                    <w:t>项目</w:t>
                  </w:r>
                  <w:r>
                    <w:rPr>
                      <w:rFonts w:hint="eastAsia"/>
                      <w:color w:val="000000"/>
                      <w:szCs w:val="21"/>
                    </w:rPr>
                    <w:t>施工期</w:t>
                  </w:r>
                  <w:r>
                    <w:rPr>
                      <w:color w:val="000000"/>
                      <w:szCs w:val="21"/>
                    </w:rPr>
                    <w:t>按照要求进行地面和道路硬化，</w:t>
                  </w:r>
                  <w:r>
                    <w:rPr>
                      <w:rFonts w:hint="eastAsia"/>
                      <w:color w:val="000000"/>
                      <w:szCs w:val="21"/>
                    </w:rPr>
                    <w:t>设置防风抑尘网</w:t>
                  </w:r>
                  <w:r>
                    <w:rPr>
                      <w:color w:val="000000"/>
                      <w:szCs w:val="21"/>
                    </w:rPr>
                    <w:t>等措施。</w:t>
                  </w:r>
                </w:p>
              </w:tc>
              <w:tc>
                <w:tcPr>
                  <w:tcW w:w="853" w:type="dxa"/>
                  <w:vAlign w:val="center"/>
                </w:tcPr>
                <w:p>
                  <w:pPr>
                    <w:jc w:val="center"/>
                    <w:rPr>
                      <w:color w:val="000000"/>
                      <w:szCs w:val="21"/>
                    </w:rPr>
                  </w:pPr>
                  <w:r>
                    <w:rPr>
                      <w:color w:val="000000"/>
                      <w:szCs w:val="21"/>
                    </w:rPr>
                    <w:t>符合</w:t>
                  </w:r>
                </w:p>
              </w:tc>
            </w:tr>
          </w:tbl>
          <w:p>
            <w:pPr>
              <w:autoSpaceDE w:val="0"/>
              <w:autoSpaceDN w:val="0"/>
              <w:adjustRightInd w:val="0"/>
              <w:snapToGrid w:val="0"/>
              <w:spacing w:after="0" w:line="360" w:lineRule="auto"/>
              <w:ind w:firstLine="480" w:firstLineChars="200"/>
              <w:rPr>
                <w:rFonts w:hint="eastAsia"/>
                <w:color w:val="000000"/>
                <w:sz w:val="24"/>
              </w:rPr>
            </w:pPr>
            <w:r>
              <w:rPr>
                <w:color w:val="000000"/>
                <w:sz w:val="24"/>
              </w:rPr>
              <w:t>综上所述，拟建项目符合</w:t>
            </w:r>
            <w:r>
              <w:rPr>
                <w:bCs/>
                <w:color w:val="000000"/>
                <w:sz w:val="24"/>
              </w:rPr>
              <w:t>《山东省大气污染防治条例》</w:t>
            </w:r>
          </w:p>
        </w:tc>
      </w:tr>
    </w:tbl>
    <w:p>
      <w:pPr>
        <w:sectPr>
          <w:footerReference w:type="even" r:id="rId26"/>
          <w:footerReference w:type="default" r:id="rId27"/>
          <w:type w:val="nextPage"/>
          <w:pgSz w:w="11906" w:h="16838"/>
          <w:pgMar w:top="1440" w:right="1800" w:bottom="1440" w:left="1800" w:header="851" w:footer="1077" w:gutter="0"/>
          <w:pgNumType w:start="11"/>
          <w:cols w:space="708"/>
          <w:titlePg w:val="0"/>
          <w:docGrid w:linePitch="312"/>
        </w:sectPr>
      </w:pPr>
    </w:p>
    <w:tbl>
      <w:tblPr>
        <w:tblStyle w:val="TableNormal"/>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
      <w:tblGrid>
        <w:gridCol w:w="1985"/>
        <w:gridCol w:w="6520"/>
      </w:tblGrid>
      <w:tr>
        <w:tblPrEx>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Ex>
        <w:trPr>
          <w:trHeight w:val="1431"/>
        </w:trPr>
        <w:tc>
          <w:tcPr>
            <w:tcW w:w="1167" w:type="pct"/>
            <w:tcMar>
              <w:top w:w="16" w:type="dxa"/>
              <w:left w:w="16" w:type="dxa"/>
              <w:right w:w="16" w:type="dxa"/>
            </w:tcMar>
            <w:vAlign w:val="center"/>
          </w:tcPr>
          <w:p/>
        </w:tc>
        <w:tc>
          <w:tcPr>
            <w:tcW w:w="3833" w:type="pct"/>
            <w:tcMar>
              <w:top w:w="16" w:type="dxa"/>
              <w:left w:w="16" w:type="dxa"/>
              <w:right w:w="16" w:type="dxa"/>
            </w:tcMar>
            <w:vAlign w:val="center"/>
          </w:tcPr>
          <w:p>
            <w:pPr>
              <w:autoSpaceDE w:val="0"/>
              <w:autoSpaceDN w:val="0"/>
              <w:adjustRightInd w:val="0"/>
              <w:snapToGrid w:val="0"/>
              <w:spacing w:before="0" w:line="360" w:lineRule="auto"/>
              <w:ind w:firstLine="480" w:firstLineChars="200"/>
              <w:rPr>
                <w:rFonts w:hint="eastAsia"/>
                <w:color w:val="000000"/>
                <w:sz w:val="24"/>
              </w:rPr>
            </w:pPr>
            <w:r>
              <w:rPr>
                <w:color w:val="000000"/>
                <w:sz w:val="24"/>
              </w:rPr>
              <w:t>的相关要求。</w:t>
            </w:r>
          </w:p>
          <w:p>
            <w:pPr>
              <w:autoSpaceDE w:val="0"/>
              <w:autoSpaceDN w:val="0"/>
              <w:adjustRightInd w:val="0"/>
              <w:snapToGrid w:val="0"/>
              <w:spacing w:line="360" w:lineRule="auto"/>
              <w:ind w:firstLine="480" w:firstLineChars="200"/>
              <w:rPr>
                <w:rFonts w:hint="eastAsia"/>
                <w:b/>
                <w:color w:val="000000"/>
                <w:kern w:val="0"/>
                <w:sz w:val="24"/>
              </w:rPr>
            </w:pPr>
            <w:r>
              <w:rPr>
                <w:rFonts w:hint="eastAsia"/>
                <w:b/>
                <w:bCs/>
                <w:color w:val="000000"/>
                <w:sz w:val="24"/>
              </w:rPr>
              <w:t>3、</w:t>
            </w:r>
            <w:r>
              <w:rPr>
                <w:rFonts w:hint="eastAsia"/>
                <w:b/>
                <w:color w:val="000000"/>
                <w:kern w:val="0"/>
                <w:sz w:val="24"/>
              </w:rPr>
              <w:t>与《山东省深入打好蓝天保卫战行动计划（</w:t>
            </w:r>
            <w:r>
              <w:rPr>
                <w:b/>
                <w:color w:val="000000"/>
                <w:kern w:val="0"/>
                <w:sz w:val="24"/>
              </w:rPr>
              <w:t>2021</w:t>
            </w:r>
            <w:r>
              <w:rPr>
                <w:rFonts w:hint="eastAsia"/>
                <w:b/>
                <w:color w:val="000000"/>
                <w:kern w:val="0"/>
                <w:sz w:val="24"/>
              </w:rPr>
              <w:t>-</w:t>
            </w:r>
            <w:r>
              <w:rPr>
                <w:b/>
                <w:color w:val="000000"/>
                <w:kern w:val="0"/>
                <w:sz w:val="24"/>
              </w:rPr>
              <w:t xml:space="preserve">2025 </w:t>
            </w:r>
            <w:r>
              <w:rPr>
                <w:rFonts w:hint="eastAsia"/>
                <w:b/>
                <w:color w:val="000000"/>
                <w:kern w:val="0"/>
                <w:sz w:val="24"/>
              </w:rPr>
              <w:t>年）》符合性分析。</w:t>
            </w:r>
          </w:p>
          <w:p>
            <w:pPr>
              <w:autoSpaceDE w:val="0"/>
              <w:autoSpaceDN w:val="0"/>
              <w:adjustRightInd w:val="0"/>
              <w:snapToGrid w:val="0"/>
              <w:jc w:val="center"/>
              <w:rPr>
                <w:rFonts w:hint="eastAsia"/>
                <w:b/>
                <w:color w:val="000000"/>
                <w:kern w:val="0"/>
                <w:sz w:val="24"/>
              </w:rPr>
            </w:pPr>
            <w:r>
              <w:rPr>
                <w:rFonts w:hint="eastAsia"/>
                <w:b/>
                <w:color w:val="000000"/>
                <w:kern w:val="0"/>
                <w:sz w:val="24"/>
              </w:rPr>
              <w:t>表</w:t>
            </w:r>
            <w:r>
              <w:rPr>
                <w:b/>
                <w:color w:val="000000"/>
                <w:kern w:val="0"/>
                <w:sz w:val="24"/>
              </w:rPr>
              <w:t>1-</w:t>
            </w:r>
            <w:r>
              <w:rPr>
                <w:rFonts w:hint="eastAsia"/>
                <w:b/>
                <w:color w:val="000000"/>
                <w:kern w:val="0"/>
                <w:sz w:val="24"/>
              </w:rPr>
              <w:t>6</w:t>
            </w:r>
            <w:r>
              <w:rPr>
                <w:b/>
                <w:color w:val="000000"/>
                <w:kern w:val="0"/>
                <w:sz w:val="24"/>
              </w:rPr>
              <w:t xml:space="preserve"> </w:t>
            </w:r>
            <w:r>
              <w:rPr>
                <w:rFonts w:hint="eastAsia"/>
                <w:b/>
                <w:color w:val="000000"/>
                <w:kern w:val="0"/>
                <w:sz w:val="24"/>
              </w:rPr>
              <w:t>与《山东省深入打好蓝天保卫战行动计划（</w:t>
            </w:r>
            <w:r>
              <w:rPr>
                <w:b/>
                <w:color w:val="000000"/>
                <w:kern w:val="0"/>
                <w:sz w:val="24"/>
              </w:rPr>
              <w:t>2021</w:t>
            </w:r>
            <w:r>
              <w:rPr>
                <w:rFonts w:hint="eastAsia"/>
                <w:b/>
                <w:color w:val="000000"/>
                <w:kern w:val="0"/>
                <w:sz w:val="24"/>
              </w:rPr>
              <w:t>-</w:t>
            </w:r>
            <w:r>
              <w:rPr>
                <w:b/>
                <w:color w:val="000000"/>
                <w:kern w:val="0"/>
                <w:sz w:val="24"/>
              </w:rPr>
              <w:t xml:space="preserve">2025 </w:t>
            </w:r>
            <w:r>
              <w:rPr>
                <w:rFonts w:hint="eastAsia"/>
                <w:b/>
                <w:color w:val="000000"/>
                <w:kern w:val="0"/>
                <w:sz w:val="24"/>
              </w:rPr>
              <w:t>年）》符合情况分析表</w:t>
            </w:r>
          </w:p>
          <w:tbl>
            <w:tblPr>
              <w:tblStyle w:val="TableNormal"/>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3701"/>
              <w:gridCol w:w="1924"/>
              <w:gridCol w:w="853"/>
            </w:tblGrid>
            <w:tr>
              <w:tblPrEx>
                <w:tblW w:w="5000" w:type="pct"/>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jc w:val="center"/>
              </w:trPr>
              <w:tc>
                <w:tcPr>
                  <w:tcW w:w="3701" w:type="dxa"/>
                  <w:vAlign w:val="center"/>
                </w:tcPr>
                <w:p>
                  <w:pPr>
                    <w:jc w:val="center"/>
                    <w:rPr>
                      <w:b/>
                      <w:color w:val="000000"/>
                      <w:szCs w:val="21"/>
                    </w:rPr>
                  </w:pPr>
                  <w:r>
                    <w:rPr>
                      <w:rFonts w:hint="eastAsia"/>
                      <w:b/>
                      <w:color w:val="000000"/>
                      <w:szCs w:val="21"/>
                    </w:rPr>
                    <w:t>《山东省深入打好蓝天保卫战行动计划（</w:t>
                  </w:r>
                  <w:r>
                    <w:rPr>
                      <w:b/>
                      <w:color w:val="000000"/>
                      <w:szCs w:val="21"/>
                    </w:rPr>
                    <w:t>2021</w:t>
                  </w:r>
                  <w:r>
                    <w:rPr>
                      <w:rFonts w:hint="eastAsia"/>
                      <w:b/>
                      <w:color w:val="000000"/>
                      <w:szCs w:val="21"/>
                    </w:rPr>
                    <w:t>-</w:t>
                  </w:r>
                  <w:r>
                    <w:rPr>
                      <w:b/>
                      <w:color w:val="000000"/>
                      <w:szCs w:val="21"/>
                    </w:rPr>
                    <w:t xml:space="preserve">2025 </w:t>
                  </w:r>
                  <w:r>
                    <w:rPr>
                      <w:rFonts w:hint="eastAsia"/>
                      <w:b/>
                      <w:color w:val="000000"/>
                      <w:szCs w:val="21"/>
                    </w:rPr>
                    <w:t>年）》</w:t>
                  </w:r>
                  <w:r>
                    <w:rPr>
                      <w:b/>
                      <w:color w:val="000000"/>
                      <w:szCs w:val="21"/>
                    </w:rPr>
                    <w:t>要求</w:t>
                  </w:r>
                </w:p>
              </w:tc>
              <w:tc>
                <w:tcPr>
                  <w:tcW w:w="1924" w:type="dxa"/>
                  <w:vAlign w:val="center"/>
                </w:tcPr>
                <w:p>
                  <w:pPr>
                    <w:jc w:val="center"/>
                    <w:rPr>
                      <w:b/>
                      <w:color w:val="000000"/>
                      <w:szCs w:val="21"/>
                    </w:rPr>
                  </w:pPr>
                  <w:r>
                    <w:rPr>
                      <w:rFonts w:hint="eastAsia"/>
                      <w:b/>
                      <w:color w:val="000000"/>
                      <w:szCs w:val="21"/>
                    </w:rPr>
                    <w:t>本项目</w:t>
                  </w:r>
                  <w:r>
                    <w:rPr>
                      <w:b/>
                      <w:color w:val="000000"/>
                      <w:szCs w:val="21"/>
                    </w:rPr>
                    <w:t>情况</w:t>
                  </w:r>
                </w:p>
              </w:tc>
              <w:tc>
                <w:tcPr>
                  <w:tcW w:w="853" w:type="dxa"/>
                  <w:vAlign w:val="center"/>
                </w:tcPr>
                <w:p>
                  <w:pPr>
                    <w:jc w:val="center"/>
                    <w:rPr>
                      <w:b/>
                      <w:color w:val="000000"/>
                      <w:szCs w:val="21"/>
                    </w:rPr>
                  </w:pPr>
                  <w:r>
                    <w:rPr>
                      <w:b/>
                      <w:color w:val="000000"/>
                      <w:szCs w:val="21"/>
                    </w:rPr>
                    <w:t>符合性</w:t>
                  </w:r>
                </w:p>
              </w:tc>
            </w:tr>
            <w:tr>
              <w:tblPrEx>
                <w:tblW w:w="5000" w:type="pct"/>
                <w:jc w:val="center"/>
                <w:tblInd w:w="113" w:type="dxa"/>
                <w:tblCellMar>
                  <w:top w:w="0" w:type="dxa"/>
                  <w:left w:w="108" w:type="dxa"/>
                  <w:bottom w:w="0" w:type="dxa"/>
                  <w:right w:w="108" w:type="dxa"/>
                </w:tblCellMar>
                <w:tblLook w:val="0000"/>
              </w:tblPrEx>
              <w:trPr>
                <w:trHeight w:val="340"/>
                <w:jc w:val="center"/>
              </w:trPr>
              <w:tc>
                <w:tcPr>
                  <w:tcW w:w="3701" w:type="dxa"/>
                  <w:vAlign w:val="center"/>
                </w:tcPr>
                <w:p>
                  <w:pPr>
                    <w:rPr>
                      <w:color w:val="000000"/>
                      <w:szCs w:val="21"/>
                    </w:rPr>
                  </w:pPr>
                  <w:r>
                    <w:rPr>
                      <w:rFonts w:hint="eastAsia"/>
                      <w:color w:val="000000"/>
                      <w:szCs w:val="21"/>
                    </w:rPr>
                    <w:t>严格扬尘污染管控：加强施工扬尘精细化管控，建立并动态更新施工工地清单。全面推行绿色施工，将扬尘污染防治费用纳入工程造价，各类施工工地严格落实扬尘污染防治措施，其中建筑施工工地严格执行</w:t>
                  </w:r>
                  <w:r>
                    <w:rPr>
                      <w:rFonts w:hint="eastAsia"/>
                      <w:color w:val="000000"/>
                      <w:szCs w:val="21"/>
                    </w:rPr>
                    <w:t>“</w:t>
                  </w:r>
                  <w:r>
                    <w:rPr>
                      <w:rFonts w:hint="eastAsia"/>
                      <w:color w:val="000000"/>
                      <w:szCs w:val="21"/>
                    </w:rPr>
                    <w:t>六项措施</w:t>
                  </w:r>
                  <w:r>
                    <w:rPr>
                      <w:rFonts w:hint="eastAsia"/>
                      <w:color w:val="000000"/>
                      <w:szCs w:val="21"/>
                    </w:rPr>
                    <w:t>”</w:t>
                  </w:r>
                  <w:r>
                    <w:rPr>
                      <w:rFonts w:hint="eastAsia"/>
                      <w:color w:val="000000"/>
                      <w:szCs w:val="21"/>
                    </w:rPr>
                    <w:t>。</w:t>
                  </w:r>
                </w:p>
              </w:tc>
              <w:tc>
                <w:tcPr>
                  <w:tcW w:w="1924" w:type="dxa"/>
                  <w:vAlign w:val="center"/>
                </w:tcPr>
                <w:p>
                  <w:pPr>
                    <w:rPr>
                      <w:color w:val="000000"/>
                      <w:szCs w:val="21"/>
                    </w:rPr>
                  </w:pPr>
                  <w:r>
                    <w:rPr>
                      <w:color w:val="000000"/>
                      <w:szCs w:val="21"/>
                    </w:rPr>
                    <w:t>本项目</w:t>
                  </w:r>
                  <w:r>
                    <w:rPr>
                      <w:rFonts w:hint="eastAsia"/>
                      <w:color w:val="000000"/>
                      <w:szCs w:val="21"/>
                    </w:rPr>
                    <w:t>施工期按照要求采取相应的扬尘防治措施，并将防治措施费用纳入工程造价</w:t>
                  </w:r>
                  <w:r>
                    <w:rPr>
                      <w:color w:val="000000"/>
                      <w:szCs w:val="21"/>
                    </w:rPr>
                    <w:t>。</w:t>
                  </w:r>
                </w:p>
              </w:tc>
              <w:tc>
                <w:tcPr>
                  <w:tcW w:w="853" w:type="dxa"/>
                  <w:vAlign w:val="center"/>
                </w:tcPr>
                <w:p>
                  <w:pPr>
                    <w:jc w:val="center"/>
                    <w:rPr>
                      <w:color w:val="000000"/>
                      <w:szCs w:val="21"/>
                    </w:rPr>
                  </w:pPr>
                  <w:r>
                    <w:rPr>
                      <w:color w:val="000000"/>
                      <w:szCs w:val="21"/>
                    </w:rPr>
                    <w:t>符合</w:t>
                  </w:r>
                </w:p>
              </w:tc>
            </w:tr>
          </w:tbl>
          <w:p>
            <w:pPr>
              <w:spacing w:line="360" w:lineRule="auto"/>
              <w:ind w:firstLine="480" w:firstLineChars="200"/>
              <w:rPr>
                <w:rFonts w:hint="eastAsia"/>
                <w:color w:val="000000"/>
                <w:sz w:val="24"/>
              </w:rPr>
            </w:pPr>
            <w:r>
              <w:rPr>
                <w:color w:val="000000"/>
                <w:sz w:val="24"/>
              </w:rPr>
              <w:t>综上所述，拟建项目符合</w:t>
            </w:r>
            <w:r>
              <w:rPr>
                <w:rFonts w:hint="eastAsia"/>
                <w:color w:val="000000"/>
                <w:sz w:val="24"/>
              </w:rPr>
              <w:t>《山东省深入打好蓝天保卫战行动计划（</w:t>
            </w:r>
            <w:r>
              <w:rPr>
                <w:color w:val="000000"/>
                <w:sz w:val="24"/>
              </w:rPr>
              <w:t>2021</w:t>
            </w:r>
            <w:r>
              <w:rPr>
                <w:rFonts w:hint="eastAsia"/>
                <w:color w:val="000000"/>
                <w:sz w:val="24"/>
              </w:rPr>
              <w:t>-</w:t>
            </w:r>
            <w:r>
              <w:rPr>
                <w:color w:val="000000"/>
                <w:sz w:val="24"/>
              </w:rPr>
              <w:t xml:space="preserve">2025 </w:t>
            </w:r>
            <w:r>
              <w:rPr>
                <w:rFonts w:hint="eastAsia"/>
                <w:color w:val="000000"/>
                <w:sz w:val="24"/>
              </w:rPr>
              <w:t>年）》</w:t>
            </w:r>
            <w:r>
              <w:rPr>
                <w:color w:val="000000"/>
                <w:sz w:val="24"/>
              </w:rPr>
              <w:t>的相关要求。</w:t>
            </w:r>
          </w:p>
          <w:p>
            <w:pPr>
              <w:spacing w:line="360" w:lineRule="auto"/>
              <w:ind w:firstLine="480" w:firstLineChars="200"/>
              <w:rPr>
                <w:rFonts w:hint="eastAsia"/>
                <w:b/>
                <w:color w:val="000000"/>
                <w:sz w:val="24"/>
              </w:rPr>
            </w:pPr>
            <w:r>
              <w:rPr>
                <w:rFonts w:hint="eastAsia"/>
                <w:b/>
                <w:color w:val="000000"/>
                <w:sz w:val="24"/>
              </w:rPr>
              <w:t>4、与 《山东省扬尘污染防治管理办法》（2018年1月24日山东省人民政府令311号修订 ）符合性分析</w:t>
            </w:r>
          </w:p>
          <w:p>
            <w:pPr>
              <w:adjustRightInd w:val="0"/>
              <w:snapToGrid w:val="0"/>
              <w:jc w:val="center"/>
              <w:rPr>
                <w:rFonts w:hint="eastAsia"/>
                <w:color w:val="000000"/>
                <w:sz w:val="24"/>
              </w:rPr>
            </w:pPr>
            <w:r>
              <w:rPr>
                <w:rFonts w:hint="eastAsia"/>
                <w:b/>
                <w:color w:val="000000"/>
                <w:sz w:val="24"/>
              </w:rPr>
              <w:t>表1-7  与《山东省扬尘污染防治管理办法》符合情况表</w:t>
            </w:r>
          </w:p>
          <w:tbl>
            <w:tblPr>
              <w:tblStyle w:val="TableNormal"/>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3239"/>
              <w:gridCol w:w="2269"/>
              <w:gridCol w:w="970"/>
            </w:tblGrid>
            <w:tr>
              <w:tblPrEx>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500" w:type="pct"/>
                  <w:vAlign w:val="center"/>
                </w:tcPr>
                <w:p>
                  <w:pPr>
                    <w:adjustRightInd w:val="0"/>
                    <w:snapToGrid w:val="0"/>
                    <w:spacing w:line="276" w:lineRule="auto"/>
                    <w:jc w:val="center"/>
                    <w:rPr>
                      <w:rFonts w:hint="eastAsia"/>
                      <w:b/>
                      <w:color w:val="000000"/>
                      <w:szCs w:val="21"/>
                    </w:rPr>
                  </w:pPr>
                  <w:r>
                    <w:rPr>
                      <w:rFonts w:hint="eastAsia"/>
                      <w:b/>
                      <w:color w:val="000000"/>
                      <w:szCs w:val="21"/>
                    </w:rPr>
                    <w:t>《山东省扬尘污染防治管理办法》要求</w:t>
                  </w:r>
                </w:p>
              </w:tc>
              <w:tc>
                <w:tcPr>
                  <w:tcW w:w="1751" w:type="pct"/>
                  <w:vAlign w:val="center"/>
                </w:tcPr>
                <w:p>
                  <w:pPr>
                    <w:adjustRightInd w:val="0"/>
                    <w:snapToGrid w:val="0"/>
                    <w:spacing w:line="276" w:lineRule="auto"/>
                    <w:jc w:val="center"/>
                    <w:rPr>
                      <w:rFonts w:hint="eastAsia"/>
                      <w:b/>
                      <w:color w:val="000000"/>
                      <w:szCs w:val="21"/>
                    </w:rPr>
                  </w:pPr>
                  <w:r>
                    <w:rPr>
                      <w:rFonts w:hint="eastAsia"/>
                      <w:b/>
                      <w:color w:val="000000"/>
                      <w:szCs w:val="21"/>
                    </w:rPr>
                    <w:t>本项目情况</w:t>
                  </w:r>
                </w:p>
              </w:tc>
              <w:tc>
                <w:tcPr>
                  <w:tcW w:w="749" w:type="pct"/>
                  <w:vAlign w:val="center"/>
                </w:tcPr>
                <w:p>
                  <w:pPr>
                    <w:adjustRightInd w:val="0"/>
                    <w:snapToGrid w:val="0"/>
                    <w:spacing w:line="276" w:lineRule="auto"/>
                    <w:jc w:val="center"/>
                    <w:rPr>
                      <w:rFonts w:hint="eastAsia"/>
                      <w:b/>
                      <w:color w:val="000000"/>
                      <w:szCs w:val="21"/>
                    </w:rPr>
                  </w:pPr>
                  <w:r>
                    <w:rPr>
                      <w:rFonts w:hint="eastAsia"/>
                      <w:b/>
                      <w:color w:val="000000"/>
                      <w:szCs w:val="21"/>
                    </w:rPr>
                    <w:t>符合性</w:t>
                  </w:r>
                </w:p>
              </w:tc>
            </w:tr>
            <w:tr>
              <w:tblPrEx>
                <w:tblW w:w="5000" w:type="pct"/>
                <w:tblInd w:w="113" w:type="dxa"/>
                <w:tblCellMar>
                  <w:top w:w="0" w:type="dxa"/>
                  <w:left w:w="108" w:type="dxa"/>
                  <w:bottom w:w="0" w:type="dxa"/>
                  <w:right w:w="108" w:type="dxa"/>
                </w:tblCellMar>
                <w:tblLook w:val="0000"/>
              </w:tblPrEx>
              <w:tc>
                <w:tcPr>
                  <w:tcW w:w="2500" w:type="pct"/>
                  <w:vAlign w:val="center"/>
                </w:tcPr>
                <w:p>
                  <w:pPr>
                    <w:adjustRightInd w:val="0"/>
                    <w:snapToGrid w:val="0"/>
                    <w:jc w:val="center"/>
                    <w:rPr>
                      <w:rFonts w:hint="eastAsia"/>
                      <w:color w:val="000000"/>
                      <w:szCs w:val="21"/>
                    </w:rPr>
                  </w:pPr>
                  <w:r>
                    <w:rPr>
                      <w:color w:val="000000"/>
                      <w:szCs w:val="21"/>
                    </w:rPr>
                    <w:t>可能产生扬尘污染的单位，应当制定扬尘污染防治责任制度和防治措施，达到国家规定的标准。</w:t>
                  </w:r>
                </w:p>
              </w:tc>
              <w:tc>
                <w:tcPr>
                  <w:tcW w:w="1751" w:type="pct"/>
                  <w:vAlign w:val="center"/>
                </w:tcPr>
                <w:p>
                  <w:pPr>
                    <w:adjustRightInd w:val="0"/>
                    <w:snapToGrid w:val="0"/>
                    <w:rPr>
                      <w:rFonts w:hint="eastAsia"/>
                      <w:color w:val="000000"/>
                      <w:szCs w:val="21"/>
                    </w:rPr>
                  </w:pPr>
                  <w:r>
                    <w:rPr>
                      <w:rFonts w:hint="eastAsia"/>
                      <w:color w:val="000000"/>
                      <w:szCs w:val="21"/>
                    </w:rPr>
                    <w:t>拟建项目建立扬尘污染防治管理制度及污染防治责任制度并配备专职环保工作人员，确保扬尘防治措施落实到位。</w:t>
                  </w:r>
                </w:p>
              </w:tc>
              <w:tc>
                <w:tcPr>
                  <w:tcW w:w="749" w:type="pct"/>
                  <w:vAlign w:val="center"/>
                </w:tcPr>
                <w:p>
                  <w:pPr>
                    <w:adjustRightInd w:val="0"/>
                    <w:snapToGrid w:val="0"/>
                    <w:jc w:val="center"/>
                    <w:rPr>
                      <w:rFonts w:hint="eastAsia"/>
                      <w:color w:val="000000"/>
                      <w:szCs w:val="21"/>
                    </w:rPr>
                  </w:pPr>
                  <w:r>
                    <w:rPr>
                      <w:rFonts w:hint="eastAsia"/>
                      <w:color w:val="000000"/>
                      <w:szCs w:val="21"/>
                    </w:rPr>
                    <w:t>符合</w:t>
                  </w:r>
                </w:p>
              </w:tc>
            </w:tr>
            <w:tr>
              <w:tblPrEx>
                <w:tblW w:w="5000" w:type="pct"/>
                <w:tblInd w:w="113" w:type="dxa"/>
                <w:tblCellMar>
                  <w:top w:w="0" w:type="dxa"/>
                  <w:left w:w="108" w:type="dxa"/>
                  <w:bottom w:w="0" w:type="dxa"/>
                  <w:right w:w="108" w:type="dxa"/>
                </w:tblCellMar>
                <w:tblLook w:val="0000"/>
              </w:tblPrEx>
              <w:tc>
                <w:tcPr>
                  <w:tcW w:w="2500" w:type="pct"/>
                  <w:vAlign w:val="center"/>
                </w:tcPr>
                <w:p>
                  <w:pPr>
                    <w:adjustRightInd w:val="0"/>
                    <w:snapToGrid w:val="0"/>
                    <w:jc w:val="center"/>
                    <w:rPr>
                      <w:color w:val="000000"/>
                      <w:szCs w:val="21"/>
                    </w:rPr>
                  </w:pPr>
                  <w:r>
                    <w:rPr>
                      <w:color w:val="000000"/>
                      <w:szCs w:val="21"/>
                    </w:rPr>
                    <w:t>在城镇道路上行驶的机动车应当保持车容整洁，不得带泥带灰上路。运输砂石、渣土、土方、垃圾等物料的车辆应当采取蓬盖、密闭等措施，防止在运输过程中因物料遗撒或者泄漏而产生扬尘污染。</w:t>
                  </w:r>
                </w:p>
              </w:tc>
              <w:tc>
                <w:tcPr>
                  <w:tcW w:w="1751" w:type="pct"/>
                  <w:vAlign w:val="center"/>
                </w:tcPr>
                <w:p>
                  <w:pPr>
                    <w:adjustRightInd w:val="0"/>
                    <w:snapToGrid w:val="0"/>
                    <w:rPr>
                      <w:rFonts w:hint="eastAsia"/>
                      <w:color w:val="000000"/>
                      <w:szCs w:val="21"/>
                    </w:rPr>
                  </w:pPr>
                  <w:r>
                    <w:rPr>
                      <w:rFonts w:hint="eastAsia"/>
                      <w:color w:val="000000"/>
                      <w:szCs w:val="21"/>
                    </w:rPr>
                    <w:t>拟建项目运输土方的</w:t>
                  </w:r>
                  <w:r>
                    <w:rPr>
                      <w:color w:val="000000"/>
                      <w:szCs w:val="21"/>
                    </w:rPr>
                    <w:t>车辆</w:t>
                  </w:r>
                  <w:r>
                    <w:rPr>
                      <w:rFonts w:hint="eastAsia"/>
                      <w:color w:val="000000"/>
                      <w:szCs w:val="21"/>
                    </w:rPr>
                    <w:t>均采取</w:t>
                  </w:r>
                  <w:r>
                    <w:rPr>
                      <w:color w:val="000000"/>
                      <w:szCs w:val="21"/>
                    </w:rPr>
                    <w:t>密闭等措施</w:t>
                  </w:r>
                  <w:r>
                    <w:rPr>
                      <w:rFonts w:hint="eastAsia"/>
                      <w:color w:val="000000"/>
                      <w:szCs w:val="21"/>
                    </w:rPr>
                    <w:t>；设置清洗专用场地和设施，运输车不带泥上路。</w:t>
                  </w:r>
                </w:p>
              </w:tc>
              <w:tc>
                <w:tcPr>
                  <w:tcW w:w="749" w:type="pct"/>
                  <w:vAlign w:val="center"/>
                </w:tcPr>
                <w:p>
                  <w:pPr>
                    <w:adjustRightInd w:val="0"/>
                    <w:snapToGrid w:val="0"/>
                    <w:jc w:val="center"/>
                    <w:rPr>
                      <w:rFonts w:hint="eastAsia"/>
                      <w:color w:val="000000"/>
                      <w:szCs w:val="21"/>
                    </w:rPr>
                  </w:pPr>
                  <w:r>
                    <w:rPr>
                      <w:rFonts w:hint="eastAsia"/>
                      <w:color w:val="000000"/>
                      <w:szCs w:val="21"/>
                    </w:rPr>
                    <w:t>符合</w:t>
                  </w:r>
                </w:p>
              </w:tc>
            </w:tr>
            <w:tr>
              <w:tblPrEx>
                <w:tblW w:w="5000" w:type="pct"/>
                <w:tblInd w:w="113" w:type="dxa"/>
                <w:tblCellMar>
                  <w:top w:w="0" w:type="dxa"/>
                  <w:left w:w="108" w:type="dxa"/>
                  <w:bottom w:w="0" w:type="dxa"/>
                  <w:right w:w="108" w:type="dxa"/>
                </w:tblCellMar>
                <w:tblLook w:val="0000"/>
              </w:tblPrEx>
              <w:tc>
                <w:tcPr>
                  <w:tcW w:w="2500" w:type="pct"/>
                  <w:vAlign w:val="center"/>
                </w:tcPr>
                <w:p>
                  <w:pPr>
                    <w:adjustRightInd w:val="0"/>
                    <w:snapToGrid w:val="0"/>
                    <w:jc w:val="left"/>
                    <w:rPr>
                      <w:color w:val="000000"/>
                      <w:szCs w:val="21"/>
                    </w:rPr>
                  </w:pPr>
                  <w:r>
                    <w:rPr>
                      <w:color w:val="000000"/>
                      <w:szCs w:val="21"/>
                    </w:rPr>
                    <w:t>码头、堆场、露天仓库的物料堆存应当遵守下列防尘规定：</w:t>
                  </w:r>
                </w:p>
                <w:p>
                  <w:pPr>
                    <w:adjustRightInd w:val="0"/>
                    <w:snapToGrid w:val="0"/>
                    <w:jc w:val="left"/>
                    <w:rPr>
                      <w:color w:val="000000"/>
                      <w:szCs w:val="21"/>
                    </w:rPr>
                  </w:pPr>
                  <w:r>
                    <w:rPr>
                      <w:color w:val="000000"/>
                      <w:szCs w:val="21"/>
                    </w:rPr>
                    <w:t>(一)堆场的场坪、路面应当进行硬化处理，并保持路面整洁；</w:t>
                  </w:r>
                </w:p>
                <w:p>
                  <w:pPr>
                    <w:adjustRightInd w:val="0"/>
                    <w:snapToGrid w:val="0"/>
                    <w:jc w:val="left"/>
                    <w:rPr>
                      <w:color w:val="000000"/>
                      <w:szCs w:val="21"/>
                    </w:rPr>
                  </w:pPr>
                  <w:r>
                    <w:rPr>
                      <w:color w:val="000000"/>
                      <w:szCs w:val="21"/>
                    </w:rPr>
                    <w:t>(二)堆场周边应当配备高于堆存物料的围挡、防风抑尘网等设施；大型堆场应当配置车辆清洗专用设施；</w:t>
                  </w:r>
                </w:p>
                <w:p>
                  <w:pPr>
                    <w:adjustRightInd w:val="0"/>
                    <w:snapToGrid w:val="0"/>
                    <w:jc w:val="left"/>
                    <w:rPr>
                      <w:color w:val="000000"/>
                      <w:szCs w:val="21"/>
                    </w:rPr>
                  </w:pPr>
                  <w:r>
                    <w:rPr>
                      <w:color w:val="000000"/>
                      <w:szCs w:val="21"/>
                    </w:rPr>
                    <w:t>(三)对堆场物料应当根据物料类别采取相应的覆盖、喷淋和围挡等防风抑尘措施；</w:t>
                  </w:r>
                </w:p>
                <w:p>
                  <w:pPr>
                    <w:adjustRightInd w:val="0"/>
                    <w:snapToGrid w:val="0"/>
                    <w:spacing w:after="0"/>
                    <w:jc w:val="left"/>
                    <w:rPr>
                      <w:rFonts w:hint="eastAsia"/>
                      <w:color w:val="000000"/>
                      <w:szCs w:val="21"/>
                    </w:rPr>
                  </w:pPr>
                </w:p>
              </w:tc>
              <w:tc>
                <w:tcPr>
                  <w:tcW w:w="1751" w:type="pct"/>
                  <w:vAlign w:val="center"/>
                </w:tcPr>
                <w:p>
                  <w:pPr>
                    <w:adjustRightInd w:val="0"/>
                    <w:snapToGrid w:val="0"/>
                    <w:rPr>
                      <w:rFonts w:hint="eastAsia"/>
                      <w:color w:val="000000"/>
                      <w:szCs w:val="21"/>
                    </w:rPr>
                  </w:pPr>
                  <w:r>
                    <w:rPr>
                      <w:rFonts w:hint="eastAsia"/>
                      <w:color w:val="000000"/>
                      <w:szCs w:val="21"/>
                    </w:rPr>
                    <w:t>拟建项目堆场场坪、路面进行硬化处理，路面保持整洁。</w:t>
                  </w:r>
                </w:p>
                <w:p>
                  <w:pPr>
                    <w:adjustRightInd w:val="0"/>
                    <w:snapToGrid w:val="0"/>
                    <w:rPr>
                      <w:rFonts w:hint="eastAsia"/>
                      <w:color w:val="000000"/>
                      <w:szCs w:val="21"/>
                    </w:rPr>
                  </w:pPr>
                  <w:r>
                    <w:rPr>
                      <w:rFonts w:hint="eastAsia"/>
                      <w:color w:val="000000"/>
                      <w:szCs w:val="21"/>
                    </w:rPr>
                    <w:t>施工采取定期洒水等抑尘措施。</w:t>
                  </w:r>
                </w:p>
                <w:p>
                  <w:pPr>
                    <w:adjustRightInd w:val="0"/>
                    <w:snapToGrid w:val="0"/>
                    <w:rPr>
                      <w:rFonts w:hint="eastAsia"/>
                      <w:color w:val="000000"/>
                      <w:szCs w:val="21"/>
                    </w:rPr>
                  </w:pPr>
                  <w:r>
                    <w:rPr>
                      <w:rFonts w:hint="eastAsia"/>
                      <w:color w:val="000000"/>
                      <w:szCs w:val="21"/>
                    </w:rPr>
                    <w:t>施工场地外围设置围挡等防风抑尘设施。</w:t>
                  </w:r>
                </w:p>
                <w:p>
                  <w:pPr>
                    <w:adjustRightInd w:val="0"/>
                    <w:snapToGrid w:val="0"/>
                    <w:rPr>
                      <w:rFonts w:hint="eastAsia"/>
                      <w:color w:val="000000"/>
                      <w:szCs w:val="21"/>
                    </w:rPr>
                  </w:pPr>
                  <w:r>
                    <w:rPr>
                      <w:rFonts w:hint="eastAsia"/>
                      <w:color w:val="000000"/>
                      <w:szCs w:val="21"/>
                    </w:rPr>
                    <w:t>装卸物料采取密闭、喷淋洒水等抑尘措施。</w:t>
                  </w:r>
                </w:p>
                <w:p>
                  <w:pPr>
                    <w:adjustRightInd w:val="0"/>
                    <w:snapToGrid w:val="0"/>
                    <w:spacing w:after="0"/>
                    <w:rPr>
                      <w:rFonts w:hint="eastAsia"/>
                      <w:color w:val="000000"/>
                      <w:szCs w:val="21"/>
                    </w:rPr>
                  </w:pPr>
                </w:p>
              </w:tc>
              <w:tc>
                <w:tcPr>
                  <w:tcW w:w="749" w:type="pct"/>
                  <w:vAlign w:val="center"/>
                </w:tcPr>
                <w:p>
                  <w:pPr>
                    <w:adjustRightInd w:val="0"/>
                    <w:snapToGrid w:val="0"/>
                    <w:jc w:val="center"/>
                    <w:rPr>
                      <w:rFonts w:hint="eastAsia"/>
                      <w:color w:val="000000"/>
                      <w:szCs w:val="21"/>
                    </w:rPr>
                  </w:pPr>
                  <w:r>
                    <w:rPr>
                      <w:rFonts w:hint="eastAsia"/>
                      <w:color w:val="000000"/>
                      <w:szCs w:val="21"/>
                    </w:rPr>
                    <w:t>符合</w:t>
                  </w:r>
                </w:p>
              </w:tc>
            </w:tr>
          </w:tbl>
          <w:p/>
        </w:tc>
      </w:tr>
    </w:tbl>
    <w:p>
      <w:pPr>
        <w:sectPr>
          <w:footerReference w:type="even" r:id="rId28"/>
          <w:footerReference w:type="default" r:id="rId29"/>
          <w:type w:val="nextPage"/>
          <w:pgSz w:w="11906" w:h="16838"/>
          <w:pgMar w:top="1440" w:right="1800" w:bottom="1440" w:left="1800" w:header="851" w:footer="1077" w:gutter="0"/>
          <w:pgNumType w:start="12"/>
          <w:cols w:space="708"/>
          <w:titlePg w:val="0"/>
          <w:docGrid w:linePitch="312"/>
        </w:sectPr>
      </w:pPr>
    </w:p>
    <w:tbl>
      <w:tblPr>
        <w:tblStyle w:val="TableNormal"/>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
      <w:tblGrid>
        <w:gridCol w:w="1985"/>
        <w:gridCol w:w="6520"/>
      </w:tblGrid>
      <w:tr>
        <w:tblPrEx>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Ex>
        <w:trPr>
          <w:trHeight w:val="1431"/>
        </w:trPr>
        <w:tc>
          <w:tcPr>
            <w:tcW w:w="1167" w:type="pct"/>
            <w:tcMar>
              <w:top w:w="16" w:type="dxa"/>
              <w:left w:w="16" w:type="dxa"/>
              <w:right w:w="16" w:type="dxa"/>
            </w:tcMar>
            <w:vAlign w:val="center"/>
          </w:tcPr>
          <w:p/>
        </w:tc>
        <w:tc>
          <w:tcPr>
            <w:tcW w:w="3833" w:type="pct"/>
            <w:tcMar>
              <w:top w:w="16" w:type="dxa"/>
              <w:left w:w="16" w:type="dxa"/>
              <w:right w:w="16" w:type="dxa"/>
            </w:tcMar>
            <w:vAlign w:val="center"/>
          </w:tcPr>
          <w:tbl>
            <w:tblPr>
              <w:tblStyle w:val="TableNormal"/>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3239"/>
              <w:gridCol w:w="2269"/>
              <w:gridCol w:w="970"/>
            </w:tblGrid>
            <w:tr>
              <w:tblPrEx>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500" w:type="pct"/>
                  <w:vAlign w:val="center"/>
                </w:tcPr>
                <w:p>
                  <w:pPr>
                    <w:adjustRightInd w:val="0"/>
                    <w:snapToGrid w:val="0"/>
                    <w:spacing w:before="0"/>
                    <w:jc w:val="left"/>
                    <w:rPr>
                      <w:rFonts w:hint="eastAsia"/>
                      <w:color w:val="000000"/>
                      <w:szCs w:val="21"/>
                    </w:rPr>
                  </w:pPr>
                  <w:r>
                    <w:rPr>
                      <w:color w:val="000000"/>
                      <w:szCs w:val="21"/>
                    </w:rPr>
                    <w:t>(四)露天装卸物料应当采取洒水、喷淋等抑尘措施；密闭输送物料应当在装料、卸料处配备吸尘、喷淋等防尘设施。</w:t>
                  </w:r>
                </w:p>
              </w:tc>
              <w:tc>
                <w:tcPr>
                  <w:tcW w:w="1751" w:type="pct"/>
                  <w:vAlign w:val="center"/>
                </w:tcPr>
                <w:p>
                  <w:pPr>
                    <w:adjustRightInd w:val="0"/>
                    <w:snapToGrid w:val="0"/>
                    <w:spacing w:before="0"/>
                    <w:rPr>
                      <w:rFonts w:hint="eastAsia"/>
                      <w:color w:val="000000"/>
                      <w:szCs w:val="21"/>
                    </w:rPr>
                  </w:pPr>
                  <w:r>
                    <w:rPr>
                      <w:rFonts w:hint="eastAsia"/>
                      <w:color w:val="000000"/>
                      <w:szCs w:val="21"/>
                    </w:rPr>
                    <w:t>设置清洗专用场地和设施，并配套防溢、导流、收集、沉淀等清洗水循环利用设施。</w:t>
                  </w:r>
                </w:p>
              </w:tc>
              <w:tc>
                <w:tcPr>
                  <w:tcW w:w="749" w:type="pct"/>
                  <w:vAlign w:val="center"/>
                </w:tcPr>
                <w:p/>
              </w:tc>
            </w:tr>
          </w:tbl>
          <w:p>
            <w:pPr>
              <w:adjustRightInd w:val="0"/>
              <w:snapToGrid w:val="0"/>
              <w:spacing w:line="360" w:lineRule="auto"/>
              <w:ind w:firstLine="470" w:firstLineChars="196"/>
              <w:rPr>
                <w:rFonts w:hint="eastAsia"/>
                <w:color w:val="000000"/>
                <w:sz w:val="24"/>
              </w:rPr>
            </w:pPr>
            <w:r>
              <w:rPr>
                <w:color w:val="000000"/>
                <w:sz w:val="24"/>
              </w:rPr>
              <w:t>综上所述，拟建项目符合</w:t>
            </w:r>
            <w:r>
              <w:rPr>
                <w:rFonts w:hint="eastAsia"/>
                <w:color w:val="000000"/>
                <w:sz w:val="24"/>
              </w:rPr>
              <w:t>《山东省扬尘污染防治管理办法》</w:t>
            </w:r>
            <w:r>
              <w:rPr>
                <w:color w:val="000000"/>
                <w:sz w:val="24"/>
              </w:rPr>
              <w:t>的相关要求。</w:t>
            </w:r>
          </w:p>
          <w:p>
            <w:pPr>
              <w:spacing w:line="360" w:lineRule="auto"/>
              <w:ind w:firstLine="480" w:firstLineChars="200"/>
              <w:rPr>
                <w:rFonts w:hint="eastAsia"/>
                <w:b/>
                <w:color w:val="000000"/>
                <w:sz w:val="24"/>
              </w:rPr>
            </w:pPr>
            <w:r>
              <w:rPr>
                <w:rFonts w:hint="eastAsia"/>
                <w:b/>
                <w:color w:val="000000"/>
                <w:sz w:val="24"/>
              </w:rPr>
              <w:t>5、与 《德州市扬尘污染防治条例》符合性分析</w:t>
            </w:r>
          </w:p>
          <w:p>
            <w:pPr>
              <w:adjustRightInd w:val="0"/>
              <w:snapToGrid w:val="0"/>
              <w:jc w:val="center"/>
              <w:rPr>
                <w:rFonts w:hint="eastAsia"/>
                <w:color w:val="000000"/>
                <w:sz w:val="24"/>
              </w:rPr>
            </w:pPr>
            <w:r>
              <w:rPr>
                <w:rFonts w:hint="eastAsia"/>
                <w:b/>
                <w:color w:val="000000"/>
                <w:sz w:val="24"/>
              </w:rPr>
              <w:t>表1-8  与《德州市扬尘污染防治条例》符合情况表</w:t>
            </w:r>
          </w:p>
          <w:tbl>
            <w:tblPr>
              <w:tblStyle w:val="TableNormal"/>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938"/>
              <w:gridCol w:w="2539"/>
              <w:gridCol w:w="1001"/>
            </w:tblGrid>
            <w:tr>
              <w:tblPrEx>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268" w:type="pct"/>
                  <w:vAlign w:val="center"/>
                </w:tcPr>
                <w:p>
                  <w:pPr>
                    <w:adjustRightInd w:val="0"/>
                    <w:snapToGrid w:val="0"/>
                    <w:spacing w:line="276" w:lineRule="auto"/>
                    <w:jc w:val="center"/>
                    <w:rPr>
                      <w:rFonts w:hint="eastAsia"/>
                      <w:b/>
                      <w:color w:val="000000"/>
                      <w:szCs w:val="21"/>
                    </w:rPr>
                  </w:pPr>
                  <w:r>
                    <w:rPr>
                      <w:rFonts w:hint="eastAsia"/>
                      <w:b/>
                      <w:color w:val="000000"/>
                      <w:szCs w:val="21"/>
                    </w:rPr>
                    <w:t>《德州市扬尘污染防治条例》要求</w:t>
                  </w:r>
                </w:p>
              </w:tc>
              <w:tc>
                <w:tcPr>
                  <w:tcW w:w="1960" w:type="pct"/>
                  <w:vAlign w:val="center"/>
                </w:tcPr>
                <w:p>
                  <w:pPr>
                    <w:adjustRightInd w:val="0"/>
                    <w:snapToGrid w:val="0"/>
                    <w:spacing w:line="276" w:lineRule="auto"/>
                    <w:jc w:val="center"/>
                    <w:rPr>
                      <w:rFonts w:hint="eastAsia"/>
                      <w:b/>
                      <w:color w:val="000000"/>
                      <w:szCs w:val="21"/>
                    </w:rPr>
                  </w:pPr>
                  <w:r>
                    <w:rPr>
                      <w:rFonts w:hint="eastAsia"/>
                      <w:b/>
                      <w:color w:val="000000"/>
                      <w:szCs w:val="21"/>
                    </w:rPr>
                    <w:t>本项目情况</w:t>
                  </w:r>
                </w:p>
              </w:tc>
              <w:tc>
                <w:tcPr>
                  <w:tcW w:w="772" w:type="pct"/>
                  <w:vAlign w:val="center"/>
                </w:tcPr>
                <w:p>
                  <w:pPr>
                    <w:adjustRightInd w:val="0"/>
                    <w:snapToGrid w:val="0"/>
                    <w:spacing w:line="276" w:lineRule="auto"/>
                    <w:jc w:val="center"/>
                    <w:rPr>
                      <w:rFonts w:hint="eastAsia"/>
                      <w:b/>
                      <w:color w:val="000000"/>
                      <w:szCs w:val="21"/>
                    </w:rPr>
                  </w:pPr>
                  <w:r>
                    <w:rPr>
                      <w:rFonts w:hint="eastAsia"/>
                      <w:b/>
                      <w:color w:val="000000"/>
                      <w:szCs w:val="21"/>
                    </w:rPr>
                    <w:t>符合性</w:t>
                  </w:r>
                </w:p>
              </w:tc>
            </w:tr>
            <w:tr>
              <w:tblPrEx>
                <w:tblW w:w="5000" w:type="pct"/>
                <w:tblInd w:w="113" w:type="dxa"/>
                <w:tblCellMar>
                  <w:top w:w="0" w:type="dxa"/>
                  <w:left w:w="108" w:type="dxa"/>
                  <w:bottom w:w="0" w:type="dxa"/>
                  <w:right w:w="108" w:type="dxa"/>
                </w:tblCellMar>
                <w:tblLook w:val="0000"/>
              </w:tblPrEx>
              <w:tc>
                <w:tcPr>
                  <w:tcW w:w="2268" w:type="pct"/>
                  <w:vAlign w:val="center"/>
                </w:tcPr>
                <w:p>
                  <w:pPr>
                    <w:adjustRightInd w:val="0"/>
                    <w:snapToGrid w:val="0"/>
                    <w:spacing w:line="276" w:lineRule="auto"/>
                    <w:jc w:val="left"/>
                    <w:rPr>
                      <w:color w:val="000000"/>
                      <w:szCs w:val="21"/>
                    </w:rPr>
                  </w:pPr>
                  <w:r>
                    <w:rPr>
                      <w:rFonts w:hint="eastAsia"/>
                      <w:color w:val="000000"/>
                      <w:szCs w:val="21"/>
                    </w:rPr>
                    <w:t>第十五条  施工单位施工，应当采取下列扬尘污染防治措施：</w:t>
                  </w:r>
                </w:p>
                <w:p>
                  <w:pPr>
                    <w:adjustRightInd w:val="0"/>
                    <w:snapToGrid w:val="0"/>
                    <w:spacing w:line="276" w:lineRule="auto"/>
                    <w:jc w:val="center"/>
                    <w:rPr>
                      <w:color w:val="000000"/>
                      <w:szCs w:val="21"/>
                    </w:rPr>
                  </w:pPr>
                  <w:r>
                    <w:rPr>
                      <w:rFonts w:hint="eastAsia"/>
                      <w:color w:val="000000"/>
                      <w:szCs w:val="21"/>
                    </w:rPr>
                    <w:t>（一）施工工地周围按照规范要求设置围挡或者围墙；</w:t>
                  </w:r>
                </w:p>
                <w:p>
                  <w:pPr>
                    <w:adjustRightInd w:val="0"/>
                    <w:snapToGrid w:val="0"/>
                    <w:spacing w:line="276" w:lineRule="auto"/>
                    <w:jc w:val="left"/>
                    <w:rPr>
                      <w:color w:val="000000"/>
                      <w:szCs w:val="21"/>
                    </w:rPr>
                  </w:pPr>
                  <w:r>
                    <w:rPr>
                      <w:rFonts w:hint="eastAsia"/>
                      <w:color w:val="000000"/>
                      <w:szCs w:val="21"/>
                    </w:rPr>
                    <w:t>（二）施工工地出入口进行硬化，设置车辆清洗和污水收集设施，车辆冲洗干净后方可驶出；</w:t>
                  </w:r>
                </w:p>
                <w:p>
                  <w:pPr>
                    <w:adjustRightInd w:val="0"/>
                    <w:snapToGrid w:val="0"/>
                    <w:spacing w:line="276" w:lineRule="auto"/>
                    <w:jc w:val="left"/>
                    <w:rPr>
                      <w:color w:val="000000"/>
                      <w:szCs w:val="21"/>
                    </w:rPr>
                  </w:pPr>
                  <w:r>
                    <w:rPr>
                      <w:rFonts w:hint="eastAsia"/>
                      <w:color w:val="000000"/>
                      <w:szCs w:val="21"/>
                    </w:rPr>
                    <w:t>（三）施工工地内的车行道路应当硬化，并辅以洒水等防尘措施；</w:t>
                  </w:r>
                </w:p>
                <w:p>
                  <w:pPr>
                    <w:adjustRightInd w:val="0"/>
                    <w:snapToGrid w:val="0"/>
                    <w:spacing w:line="276" w:lineRule="auto"/>
                    <w:jc w:val="left"/>
                    <w:rPr>
                      <w:color w:val="000000"/>
                      <w:szCs w:val="21"/>
                    </w:rPr>
                  </w:pPr>
                  <w:r>
                    <w:rPr>
                      <w:rFonts w:hint="eastAsia"/>
                      <w:color w:val="000000"/>
                      <w:szCs w:val="21"/>
                    </w:rPr>
                    <w:t>（四）施工工地内的裸露地面应当覆盖防尘网或者铺装、绿化；</w:t>
                  </w:r>
                </w:p>
                <w:p>
                  <w:pPr>
                    <w:adjustRightInd w:val="0"/>
                    <w:snapToGrid w:val="0"/>
                    <w:spacing w:line="276" w:lineRule="auto"/>
                    <w:jc w:val="left"/>
                    <w:rPr>
                      <w:color w:val="000000"/>
                      <w:szCs w:val="21"/>
                    </w:rPr>
                  </w:pPr>
                  <w:r>
                    <w:rPr>
                      <w:rFonts w:hint="eastAsia"/>
                      <w:color w:val="000000"/>
                      <w:szCs w:val="21"/>
                    </w:rPr>
                    <w:t>（五）施工工地内的物料堆场以及未及时清运的建筑土方、工程渣土、建筑垃圾等，应当采取覆盖、密闭、洒水等防尘措施；</w:t>
                  </w:r>
                </w:p>
                <w:p>
                  <w:pPr>
                    <w:adjustRightInd w:val="0"/>
                    <w:snapToGrid w:val="0"/>
                    <w:spacing w:line="276" w:lineRule="auto"/>
                    <w:jc w:val="left"/>
                    <w:rPr>
                      <w:color w:val="000000"/>
                      <w:szCs w:val="21"/>
                    </w:rPr>
                  </w:pPr>
                  <w:r>
                    <w:rPr>
                      <w:rFonts w:hint="eastAsia"/>
                      <w:color w:val="000000"/>
                      <w:szCs w:val="21"/>
                    </w:rPr>
                    <w:t>（六）施工工地作业产生泥浆的，应当设置泥浆池、泥浆沟，确保泥浆不溢流，废弃泥浆采用密封式罐车清运；</w:t>
                  </w:r>
                </w:p>
                <w:p>
                  <w:pPr>
                    <w:adjustRightInd w:val="0"/>
                    <w:snapToGrid w:val="0"/>
                    <w:spacing w:line="276" w:lineRule="auto"/>
                    <w:jc w:val="left"/>
                    <w:rPr>
                      <w:rFonts w:hint="eastAsia"/>
                      <w:b/>
                      <w:color w:val="000000"/>
                      <w:szCs w:val="21"/>
                    </w:rPr>
                  </w:pPr>
                  <w:r>
                    <w:rPr>
                      <w:rFonts w:hint="eastAsia"/>
                      <w:color w:val="000000"/>
                      <w:szCs w:val="21"/>
                    </w:rPr>
                    <w:t>（七）施工现场采取洒水、喷淋、保洁等防尘措施。</w:t>
                  </w:r>
                </w:p>
              </w:tc>
              <w:tc>
                <w:tcPr>
                  <w:tcW w:w="1960" w:type="pct"/>
                  <w:vAlign w:val="center"/>
                </w:tcPr>
                <w:p>
                  <w:pPr>
                    <w:adjustRightInd w:val="0"/>
                    <w:snapToGrid w:val="0"/>
                    <w:spacing w:line="276" w:lineRule="auto"/>
                    <w:jc w:val="center"/>
                    <w:rPr>
                      <w:rFonts w:hint="eastAsia"/>
                      <w:color w:val="000000"/>
                      <w:szCs w:val="21"/>
                    </w:rPr>
                  </w:pPr>
                  <w:r>
                    <w:rPr>
                      <w:rFonts w:hint="eastAsia"/>
                      <w:color w:val="000000"/>
                      <w:szCs w:val="21"/>
                    </w:rPr>
                    <w:t>拟建项目严格按照扬尘污染防治规定采取防治措施</w:t>
                  </w:r>
                </w:p>
              </w:tc>
              <w:tc>
                <w:tcPr>
                  <w:tcW w:w="772" w:type="pct"/>
                  <w:vAlign w:val="center"/>
                </w:tcPr>
                <w:p>
                  <w:pPr>
                    <w:adjustRightInd w:val="0"/>
                    <w:snapToGrid w:val="0"/>
                    <w:spacing w:line="276" w:lineRule="auto"/>
                    <w:jc w:val="center"/>
                    <w:rPr>
                      <w:rFonts w:hint="eastAsia"/>
                      <w:color w:val="000000"/>
                      <w:szCs w:val="21"/>
                    </w:rPr>
                  </w:pPr>
                  <w:r>
                    <w:rPr>
                      <w:rFonts w:hint="eastAsia"/>
                      <w:color w:val="000000"/>
                      <w:szCs w:val="21"/>
                    </w:rPr>
                    <w:t>符合</w:t>
                  </w:r>
                </w:p>
              </w:tc>
            </w:tr>
            <w:tr>
              <w:tblPrEx>
                <w:tblW w:w="5000" w:type="pct"/>
                <w:tblInd w:w="113" w:type="dxa"/>
                <w:tblCellMar>
                  <w:top w:w="0" w:type="dxa"/>
                  <w:left w:w="108" w:type="dxa"/>
                  <w:bottom w:w="0" w:type="dxa"/>
                  <w:right w:w="108" w:type="dxa"/>
                </w:tblCellMar>
                <w:tblLook w:val="0000"/>
              </w:tblPrEx>
              <w:tc>
                <w:tcPr>
                  <w:tcW w:w="2268" w:type="pct"/>
                  <w:vAlign w:val="center"/>
                </w:tcPr>
                <w:p>
                  <w:pPr>
                    <w:adjustRightInd w:val="0"/>
                    <w:snapToGrid w:val="0"/>
                    <w:spacing w:line="276" w:lineRule="auto"/>
                    <w:jc w:val="center"/>
                    <w:rPr>
                      <w:color w:val="000000"/>
                      <w:szCs w:val="21"/>
                    </w:rPr>
                  </w:pPr>
                  <w:r>
                    <w:rPr>
                      <w:rFonts w:hint="eastAsia"/>
                      <w:color w:val="000000"/>
                      <w:szCs w:val="21"/>
                    </w:rPr>
                    <w:t>第十七条  市政基础设施工程施工，除采取本条例第十五条规定的相应措施外，还应当采取下列扬尘污染防治措施：</w:t>
                  </w:r>
                </w:p>
                <w:p>
                  <w:pPr>
                    <w:adjustRightInd w:val="0"/>
                    <w:snapToGrid w:val="0"/>
                    <w:spacing w:line="276" w:lineRule="auto"/>
                    <w:jc w:val="left"/>
                    <w:rPr>
                      <w:color w:val="000000"/>
                      <w:szCs w:val="21"/>
                    </w:rPr>
                  </w:pPr>
                  <w:r>
                    <w:rPr>
                      <w:rFonts w:hint="eastAsia"/>
                      <w:color w:val="000000"/>
                      <w:szCs w:val="21"/>
                    </w:rPr>
                    <w:t>（一）采取分段开挖、分段回填的方式施工，已回填的沟槽，采取覆盖、洒水等防尘措施；</w:t>
                  </w:r>
                </w:p>
                <w:p>
                  <w:pPr>
                    <w:adjustRightInd w:val="0"/>
                    <w:snapToGrid w:val="0"/>
                    <w:spacing w:after="0" w:line="276" w:lineRule="auto"/>
                    <w:jc w:val="left"/>
                    <w:rPr>
                      <w:color w:val="000000"/>
                      <w:szCs w:val="21"/>
                    </w:rPr>
                  </w:pPr>
                </w:p>
              </w:tc>
              <w:tc>
                <w:tcPr>
                  <w:tcW w:w="1960" w:type="pct"/>
                  <w:vAlign w:val="center"/>
                </w:tcPr>
                <w:p>
                  <w:pPr>
                    <w:adjustRightInd w:val="0"/>
                    <w:snapToGrid w:val="0"/>
                    <w:spacing w:line="276" w:lineRule="auto"/>
                    <w:rPr>
                      <w:rFonts w:hint="eastAsia"/>
                      <w:color w:val="000000"/>
                      <w:szCs w:val="21"/>
                    </w:rPr>
                  </w:pPr>
                  <w:r>
                    <w:rPr>
                      <w:rFonts w:hint="eastAsia"/>
                      <w:color w:val="000000"/>
                      <w:szCs w:val="21"/>
                    </w:rPr>
                    <w:t>拟建项目根据设计及施工规范制定合理可行的施工方案，施工过程严格按照扬尘污染防治规定采取防治措施</w:t>
                  </w:r>
                </w:p>
              </w:tc>
              <w:tc>
                <w:tcPr>
                  <w:tcW w:w="772" w:type="pct"/>
                  <w:vAlign w:val="center"/>
                </w:tcPr>
                <w:p>
                  <w:pPr>
                    <w:adjustRightInd w:val="0"/>
                    <w:snapToGrid w:val="0"/>
                    <w:spacing w:line="276" w:lineRule="auto"/>
                    <w:jc w:val="center"/>
                    <w:rPr>
                      <w:rFonts w:hint="eastAsia"/>
                      <w:color w:val="000000"/>
                      <w:szCs w:val="21"/>
                    </w:rPr>
                  </w:pPr>
                  <w:r>
                    <w:rPr>
                      <w:rFonts w:hint="eastAsia"/>
                      <w:color w:val="000000"/>
                      <w:szCs w:val="21"/>
                    </w:rPr>
                    <w:t>符合</w:t>
                  </w:r>
                </w:p>
              </w:tc>
            </w:tr>
          </w:tbl>
          <w:p/>
        </w:tc>
      </w:tr>
    </w:tbl>
    <w:p>
      <w:pPr>
        <w:sectPr>
          <w:footerReference w:type="even" r:id="rId30"/>
          <w:footerReference w:type="default" r:id="rId31"/>
          <w:type w:val="nextPage"/>
          <w:pgSz w:w="11906" w:h="16838"/>
          <w:pgMar w:top="1440" w:right="1800" w:bottom="1440" w:left="1800" w:header="851" w:footer="1077" w:gutter="0"/>
          <w:pgNumType w:start="13"/>
          <w:cols w:space="708"/>
          <w:titlePg w:val="0"/>
          <w:docGrid w:linePitch="312"/>
        </w:sectPr>
      </w:pPr>
    </w:p>
    <w:tbl>
      <w:tblPr>
        <w:tblStyle w:val="TableNormal"/>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
      <w:tblGrid>
        <w:gridCol w:w="1985"/>
        <w:gridCol w:w="6520"/>
      </w:tblGrid>
      <w:tr>
        <w:tblPrEx>
          <w:tblW w:w="5104" w:type="pct"/>
          <w:tblInd w:w="-12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Ex>
        <w:trPr>
          <w:trHeight w:val="1431"/>
        </w:trPr>
        <w:tc>
          <w:tcPr>
            <w:tcW w:w="1167" w:type="pct"/>
            <w:tcMar>
              <w:top w:w="16" w:type="dxa"/>
              <w:left w:w="16" w:type="dxa"/>
              <w:right w:w="16" w:type="dxa"/>
            </w:tcMar>
            <w:vAlign w:val="center"/>
          </w:tcPr>
          <w:p/>
        </w:tc>
        <w:tc>
          <w:tcPr>
            <w:tcW w:w="3833" w:type="pct"/>
            <w:tcMar>
              <w:top w:w="16" w:type="dxa"/>
              <w:left w:w="16" w:type="dxa"/>
              <w:right w:w="16" w:type="dxa"/>
            </w:tcMar>
            <w:vAlign w:val="center"/>
          </w:tcPr>
          <w:tbl>
            <w:tblPr>
              <w:tblStyle w:val="TableNormal"/>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2938"/>
              <w:gridCol w:w="2539"/>
              <w:gridCol w:w="1001"/>
            </w:tblGrid>
            <w:tr>
              <w:tblPrEx>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c>
                <w:tcPr>
                  <w:tcW w:w="2268" w:type="pct"/>
                  <w:vAlign w:val="center"/>
                </w:tcPr>
                <w:p>
                  <w:pPr>
                    <w:adjustRightInd w:val="0"/>
                    <w:snapToGrid w:val="0"/>
                    <w:spacing w:before="0" w:line="276" w:lineRule="auto"/>
                    <w:jc w:val="left"/>
                    <w:rPr>
                      <w:color w:val="000000"/>
                      <w:szCs w:val="21"/>
                    </w:rPr>
                  </w:pPr>
                  <w:r>
                    <w:rPr>
                      <w:rFonts w:hint="eastAsia"/>
                      <w:color w:val="000000"/>
                      <w:szCs w:val="21"/>
                    </w:rPr>
                    <w:t>（二）路面切割、开挖、破碎等作业，采取洒水、喷淋等抑尘措施；</w:t>
                  </w:r>
                </w:p>
                <w:p>
                  <w:pPr>
                    <w:adjustRightInd w:val="0"/>
                    <w:snapToGrid w:val="0"/>
                    <w:spacing w:line="276" w:lineRule="auto"/>
                    <w:jc w:val="left"/>
                    <w:rPr>
                      <w:color w:val="000000"/>
                      <w:szCs w:val="21"/>
                    </w:rPr>
                  </w:pPr>
                  <w:r>
                    <w:rPr>
                      <w:rFonts w:hint="eastAsia"/>
                      <w:color w:val="000000"/>
                      <w:szCs w:val="21"/>
                    </w:rPr>
                    <w:t>（三）路面基层清扫应当采用人工洒水清扫或者使用清洗车冲刷，道路基层养护期间采取覆盖、洒水等防尘措施；</w:t>
                  </w:r>
                </w:p>
                <w:p>
                  <w:pPr>
                    <w:adjustRightInd w:val="0"/>
                    <w:snapToGrid w:val="0"/>
                    <w:spacing w:line="276" w:lineRule="auto"/>
                    <w:jc w:val="left"/>
                    <w:rPr>
                      <w:rFonts w:hint="eastAsia"/>
                      <w:color w:val="000000"/>
                      <w:szCs w:val="21"/>
                    </w:rPr>
                  </w:pPr>
                  <w:r>
                    <w:rPr>
                      <w:rFonts w:hint="eastAsia"/>
                      <w:color w:val="000000"/>
                      <w:szCs w:val="21"/>
                    </w:rPr>
                    <w:t>（四）道路或者绿地内各类管线敷设工程完工后，及时恢复路面或者绿化。</w:t>
                  </w:r>
                </w:p>
              </w:tc>
              <w:tc>
                <w:tcPr>
                  <w:tcW w:w="1960" w:type="pct"/>
                  <w:vAlign w:val="center"/>
                </w:tcPr>
                <w:p/>
              </w:tc>
              <w:tc>
                <w:tcPr>
                  <w:tcW w:w="772" w:type="pct"/>
                  <w:vAlign w:val="center"/>
                </w:tcPr>
                <w:p/>
              </w:tc>
            </w:tr>
            <w:tr>
              <w:tblPrEx>
                <w:tblW w:w="5000" w:type="pct"/>
                <w:tblInd w:w="113" w:type="dxa"/>
                <w:tblCellMar>
                  <w:top w:w="0" w:type="dxa"/>
                  <w:left w:w="108" w:type="dxa"/>
                  <w:bottom w:w="0" w:type="dxa"/>
                  <w:right w:w="108" w:type="dxa"/>
                </w:tblCellMar>
                <w:tblLook w:val="0000"/>
              </w:tblPrEx>
              <w:tc>
                <w:tcPr>
                  <w:tcW w:w="2268" w:type="pct"/>
                  <w:vAlign w:val="center"/>
                </w:tcPr>
                <w:p>
                  <w:pPr>
                    <w:pStyle w:val="NormalWeb"/>
                    <w:spacing w:before="0" w:beforeAutospacing="0" w:after="0" w:afterAutospacing="0"/>
                    <w:jc w:val="both"/>
                    <w:rPr>
                      <w:rFonts w:ascii="Times New Roman" w:hAnsi="Times New Roman"/>
                      <w:color w:val="000000"/>
                      <w:kern w:val="2"/>
                      <w:sz w:val="21"/>
                      <w:szCs w:val="21"/>
                    </w:rPr>
                  </w:pPr>
                  <w:r>
                    <w:rPr>
                      <w:rFonts w:ascii="Times New Roman" w:hAnsi="Times New Roman"/>
                      <w:color w:val="000000"/>
                      <w:kern w:val="2"/>
                      <w:sz w:val="21"/>
                      <w:szCs w:val="21"/>
                    </w:rPr>
                    <w:t>第二十条 物料堆放场所应当采取下列扬尘污染防治措施：</w:t>
                  </w:r>
                </w:p>
                <w:p>
                  <w:pPr>
                    <w:pStyle w:val="NormalWeb"/>
                    <w:spacing w:before="0" w:beforeAutospacing="0" w:after="0" w:afterAutospacing="0"/>
                    <w:jc w:val="both"/>
                    <w:rPr>
                      <w:rFonts w:ascii="Times New Roman" w:hAnsi="Times New Roman"/>
                      <w:color w:val="000000"/>
                      <w:kern w:val="2"/>
                      <w:sz w:val="21"/>
                      <w:szCs w:val="21"/>
                    </w:rPr>
                  </w:pPr>
                  <w:r>
                    <w:rPr>
                      <w:rFonts w:ascii="Times New Roman" w:hAnsi="Times New Roman"/>
                      <w:color w:val="000000"/>
                      <w:kern w:val="2"/>
                      <w:sz w:val="21"/>
                      <w:szCs w:val="21"/>
                    </w:rPr>
                    <w:t>（一）物料堆放区域应当与道路隔离，及时清除散落的物料，保持物料堆放区域和道路整洁；</w:t>
                  </w:r>
                </w:p>
                <w:p>
                  <w:pPr>
                    <w:pStyle w:val="NormalWeb"/>
                    <w:spacing w:before="0" w:beforeAutospacing="0" w:after="0" w:afterAutospacing="0"/>
                    <w:jc w:val="both"/>
                    <w:rPr>
                      <w:rFonts w:ascii="Times New Roman" w:hAnsi="Times New Roman"/>
                      <w:color w:val="000000"/>
                      <w:kern w:val="2"/>
                      <w:sz w:val="21"/>
                      <w:szCs w:val="21"/>
                    </w:rPr>
                  </w:pPr>
                  <w:r>
                    <w:rPr>
                      <w:rFonts w:ascii="Times New Roman" w:hAnsi="Times New Roman"/>
                      <w:color w:val="000000"/>
                      <w:kern w:val="2"/>
                      <w:sz w:val="21"/>
                      <w:szCs w:val="21"/>
                    </w:rPr>
                    <w:t>（二）堆场的场坪、路面应当进行硬化处理；</w:t>
                  </w:r>
                </w:p>
                <w:p>
                  <w:pPr>
                    <w:pStyle w:val="NormalWeb"/>
                    <w:spacing w:before="0" w:beforeAutospacing="0" w:after="0" w:afterAutospacing="0"/>
                    <w:jc w:val="both"/>
                    <w:rPr>
                      <w:rFonts w:ascii="Times New Roman" w:hAnsi="Times New Roman"/>
                      <w:color w:val="000000"/>
                      <w:kern w:val="2"/>
                      <w:sz w:val="21"/>
                      <w:szCs w:val="21"/>
                    </w:rPr>
                  </w:pPr>
                  <w:r>
                    <w:rPr>
                      <w:rFonts w:ascii="Times New Roman" w:hAnsi="Times New Roman"/>
                      <w:color w:val="000000"/>
                      <w:kern w:val="2"/>
                      <w:sz w:val="21"/>
                      <w:szCs w:val="21"/>
                    </w:rPr>
                    <w:t>（三）堆场物料应当采取密闭方式贮存，不能密闭的，堆场周边应当配备高于堆存物料的围挡、防风抑尘网等设施，料堆采取相应的覆盖、喷淋等防风抑尘措施；</w:t>
                  </w:r>
                </w:p>
                <w:p>
                  <w:pPr>
                    <w:pStyle w:val="NormalWeb"/>
                    <w:spacing w:before="0" w:beforeAutospacing="0" w:after="0" w:afterAutospacing="0"/>
                    <w:jc w:val="both"/>
                    <w:rPr>
                      <w:rFonts w:ascii="Times New Roman" w:hAnsi="Times New Roman"/>
                      <w:color w:val="000000"/>
                      <w:kern w:val="2"/>
                      <w:sz w:val="21"/>
                      <w:szCs w:val="21"/>
                    </w:rPr>
                  </w:pPr>
                  <w:r>
                    <w:rPr>
                      <w:rFonts w:ascii="Times New Roman" w:hAnsi="Times New Roman"/>
                      <w:color w:val="000000"/>
                      <w:kern w:val="2"/>
                      <w:sz w:val="21"/>
                      <w:szCs w:val="21"/>
                    </w:rPr>
                    <w:t>（四）装卸物料应当采取密闭方式，露天装卸物料应当强化洒水、喷淋等抑尘措施；</w:t>
                  </w:r>
                </w:p>
                <w:p>
                  <w:pPr>
                    <w:pStyle w:val="NormalWeb"/>
                    <w:spacing w:before="0" w:beforeAutospacing="0" w:after="0" w:afterAutospacing="0"/>
                    <w:jc w:val="both"/>
                    <w:rPr>
                      <w:rFonts w:ascii="Times New Roman" w:hAnsi="Times New Roman"/>
                      <w:color w:val="000000"/>
                      <w:kern w:val="2"/>
                      <w:sz w:val="21"/>
                      <w:szCs w:val="21"/>
                    </w:rPr>
                  </w:pPr>
                  <w:r>
                    <w:rPr>
                      <w:rFonts w:ascii="Times New Roman" w:hAnsi="Times New Roman"/>
                      <w:color w:val="000000"/>
                      <w:kern w:val="2"/>
                      <w:sz w:val="21"/>
                      <w:szCs w:val="21"/>
                    </w:rPr>
                    <w:t>（五）采用密闭输送设备作业的，在装卸处配备吸尘、喷淋等防尘设施，并且保持防尘设施的正常使用；</w:t>
                  </w:r>
                </w:p>
                <w:p>
                  <w:pPr>
                    <w:pStyle w:val="NormalWeb"/>
                    <w:spacing w:before="0" w:beforeAutospacing="0" w:after="0" w:afterAutospacing="0"/>
                    <w:jc w:val="both"/>
                    <w:rPr>
                      <w:color w:val="000000"/>
                      <w:szCs w:val="21"/>
                    </w:rPr>
                  </w:pPr>
                  <w:r>
                    <w:rPr>
                      <w:rFonts w:ascii="Times New Roman" w:hAnsi="Times New Roman"/>
                      <w:color w:val="000000"/>
                      <w:kern w:val="2"/>
                      <w:sz w:val="21"/>
                      <w:szCs w:val="21"/>
                    </w:rPr>
                    <w:t>（六）堆场场区出入口应当配置车辆清洗设施，车辆冲洗干净方可驶出</w:t>
                  </w:r>
                </w:p>
              </w:tc>
              <w:tc>
                <w:tcPr>
                  <w:tcW w:w="1960" w:type="pct"/>
                  <w:vAlign w:val="center"/>
                </w:tcPr>
                <w:p>
                  <w:pPr>
                    <w:adjustRightInd w:val="0"/>
                    <w:snapToGrid w:val="0"/>
                    <w:rPr>
                      <w:rFonts w:hint="eastAsia"/>
                      <w:color w:val="000000"/>
                      <w:szCs w:val="21"/>
                    </w:rPr>
                  </w:pPr>
                  <w:r>
                    <w:rPr>
                      <w:rFonts w:hint="eastAsia"/>
                      <w:color w:val="000000"/>
                      <w:szCs w:val="21"/>
                    </w:rPr>
                    <w:t>拟建项目堆场场坪、路面进行硬化处理，路面保持整洁。</w:t>
                  </w:r>
                </w:p>
                <w:p>
                  <w:pPr>
                    <w:adjustRightInd w:val="0"/>
                    <w:snapToGrid w:val="0"/>
                    <w:rPr>
                      <w:rFonts w:hint="eastAsia"/>
                      <w:color w:val="000000"/>
                      <w:szCs w:val="21"/>
                    </w:rPr>
                  </w:pPr>
                  <w:r>
                    <w:rPr>
                      <w:rFonts w:hint="eastAsia"/>
                      <w:color w:val="000000"/>
                      <w:szCs w:val="21"/>
                    </w:rPr>
                    <w:t>施工采取定期洒水等抑尘措施。</w:t>
                  </w:r>
                </w:p>
                <w:p>
                  <w:pPr>
                    <w:adjustRightInd w:val="0"/>
                    <w:snapToGrid w:val="0"/>
                    <w:rPr>
                      <w:rFonts w:hint="eastAsia"/>
                      <w:color w:val="000000"/>
                      <w:szCs w:val="21"/>
                    </w:rPr>
                  </w:pPr>
                  <w:r>
                    <w:rPr>
                      <w:rFonts w:hint="eastAsia"/>
                      <w:color w:val="000000"/>
                      <w:szCs w:val="21"/>
                    </w:rPr>
                    <w:t>施工场地外围设置围挡等防风抑尘设施。</w:t>
                  </w:r>
                </w:p>
                <w:p>
                  <w:pPr>
                    <w:adjustRightInd w:val="0"/>
                    <w:snapToGrid w:val="0"/>
                    <w:rPr>
                      <w:rFonts w:hint="eastAsia"/>
                      <w:color w:val="000000"/>
                      <w:szCs w:val="21"/>
                    </w:rPr>
                  </w:pPr>
                  <w:r>
                    <w:rPr>
                      <w:rFonts w:hint="eastAsia"/>
                      <w:color w:val="000000"/>
                      <w:szCs w:val="21"/>
                    </w:rPr>
                    <w:t>装卸物料采取密闭、喷淋洒水等抑尘措施。</w:t>
                  </w:r>
                </w:p>
                <w:p>
                  <w:pPr>
                    <w:adjustRightInd w:val="0"/>
                    <w:snapToGrid w:val="0"/>
                    <w:rPr>
                      <w:rFonts w:hint="eastAsia"/>
                      <w:color w:val="000000"/>
                      <w:szCs w:val="21"/>
                    </w:rPr>
                  </w:pPr>
                  <w:r>
                    <w:rPr>
                      <w:rFonts w:hint="eastAsia"/>
                      <w:color w:val="000000"/>
                      <w:szCs w:val="21"/>
                    </w:rPr>
                    <w:t>设置清洗专用场地和设施，并配套防溢、导流、收集、沉淀等清洗水循环利用设施。</w:t>
                  </w:r>
                </w:p>
              </w:tc>
              <w:tc>
                <w:tcPr>
                  <w:tcW w:w="772" w:type="pct"/>
                  <w:vAlign w:val="center"/>
                </w:tcPr>
                <w:p>
                  <w:pPr>
                    <w:adjustRightInd w:val="0"/>
                    <w:snapToGrid w:val="0"/>
                    <w:jc w:val="center"/>
                    <w:rPr>
                      <w:rFonts w:hint="eastAsia"/>
                      <w:color w:val="000000"/>
                      <w:szCs w:val="21"/>
                    </w:rPr>
                  </w:pPr>
                  <w:r>
                    <w:rPr>
                      <w:rFonts w:hint="eastAsia"/>
                      <w:color w:val="000000"/>
                      <w:szCs w:val="21"/>
                    </w:rPr>
                    <w:t>符合</w:t>
                  </w:r>
                </w:p>
              </w:tc>
            </w:tr>
          </w:tbl>
          <w:p>
            <w:pPr>
              <w:adjustRightInd w:val="0"/>
              <w:snapToGrid w:val="0"/>
              <w:spacing w:line="360" w:lineRule="auto"/>
              <w:ind w:firstLine="470" w:firstLineChars="196"/>
              <w:rPr>
                <w:rFonts w:hint="eastAsia"/>
                <w:color w:val="000000"/>
                <w:sz w:val="24"/>
              </w:rPr>
            </w:pPr>
            <w:r>
              <w:rPr>
                <w:color w:val="000000"/>
                <w:sz w:val="24"/>
              </w:rPr>
              <w:t>综上所述，拟建项目符合</w:t>
            </w:r>
            <w:r>
              <w:rPr>
                <w:rFonts w:hint="eastAsia"/>
                <w:color w:val="000000"/>
                <w:sz w:val="24"/>
              </w:rPr>
              <w:t>《德州市扬尘污染防治条例》</w:t>
            </w:r>
            <w:r>
              <w:rPr>
                <w:color w:val="000000"/>
                <w:sz w:val="24"/>
              </w:rPr>
              <w:t>的相关要求。</w:t>
            </w:r>
          </w:p>
          <w:p>
            <w:pPr>
              <w:autoSpaceDE w:val="0"/>
              <w:autoSpaceDN w:val="0"/>
              <w:adjustRightInd w:val="0"/>
              <w:snapToGrid w:val="0"/>
              <w:spacing w:line="360" w:lineRule="auto"/>
              <w:rPr>
                <w:rFonts w:hint="eastAsia"/>
                <w:color w:val="000000"/>
                <w:kern w:val="0"/>
                <w:sz w:val="24"/>
              </w:rPr>
            </w:pPr>
          </w:p>
          <w:p>
            <w:pPr>
              <w:autoSpaceDE w:val="0"/>
              <w:autoSpaceDN w:val="0"/>
              <w:adjustRightInd w:val="0"/>
              <w:snapToGrid w:val="0"/>
              <w:spacing w:line="360" w:lineRule="auto"/>
              <w:rPr>
                <w:rFonts w:hint="eastAsia"/>
                <w:color w:val="000000"/>
                <w:kern w:val="0"/>
                <w:sz w:val="24"/>
              </w:rPr>
            </w:pPr>
          </w:p>
          <w:p>
            <w:pPr>
              <w:autoSpaceDE w:val="0"/>
              <w:autoSpaceDN w:val="0"/>
              <w:adjustRightInd w:val="0"/>
              <w:snapToGrid w:val="0"/>
              <w:spacing w:line="360" w:lineRule="auto"/>
              <w:rPr>
                <w:rFonts w:hint="eastAsia"/>
                <w:color w:val="000000"/>
                <w:kern w:val="0"/>
                <w:sz w:val="24"/>
              </w:rPr>
            </w:pPr>
          </w:p>
          <w:p>
            <w:pPr>
              <w:autoSpaceDE w:val="0"/>
              <w:autoSpaceDN w:val="0"/>
              <w:adjustRightInd w:val="0"/>
              <w:snapToGrid w:val="0"/>
              <w:spacing w:line="360" w:lineRule="auto"/>
              <w:rPr>
                <w:rFonts w:hint="eastAsia"/>
                <w:color w:val="000000"/>
                <w:kern w:val="0"/>
                <w:sz w:val="24"/>
              </w:rPr>
            </w:pPr>
          </w:p>
          <w:p>
            <w:pPr>
              <w:autoSpaceDE w:val="0"/>
              <w:autoSpaceDN w:val="0"/>
              <w:adjustRightInd w:val="0"/>
              <w:snapToGrid w:val="0"/>
              <w:spacing w:line="360" w:lineRule="auto"/>
              <w:rPr>
                <w:rFonts w:hint="eastAsia"/>
                <w:color w:val="000000"/>
                <w:kern w:val="0"/>
                <w:sz w:val="24"/>
              </w:rPr>
            </w:pPr>
          </w:p>
          <w:p>
            <w:pPr>
              <w:autoSpaceDE w:val="0"/>
              <w:autoSpaceDN w:val="0"/>
              <w:adjustRightInd w:val="0"/>
              <w:snapToGrid w:val="0"/>
              <w:spacing w:line="360" w:lineRule="auto"/>
              <w:rPr>
                <w:rFonts w:hint="eastAsia"/>
                <w:color w:val="000000"/>
                <w:kern w:val="0"/>
                <w:sz w:val="24"/>
              </w:rPr>
            </w:pPr>
          </w:p>
          <w:p>
            <w:pPr>
              <w:autoSpaceDE w:val="0"/>
              <w:autoSpaceDN w:val="0"/>
              <w:adjustRightInd w:val="0"/>
              <w:snapToGrid w:val="0"/>
              <w:spacing w:line="360" w:lineRule="auto"/>
              <w:rPr>
                <w:color w:val="000000"/>
                <w:kern w:val="0"/>
                <w:sz w:val="24"/>
              </w:rPr>
            </w:pPr>
          </w:p>
        </w:tc>
      </w:tr>
    </w:tbl>
    <w:p>
      <w:pPr>
        <w:spacing w:line="360" w:lineRule="auto"/>
        <w:outlineLvl w:val="0"/>
        <w:rPr>
          <w:rFonts w:eastAsia="黑体"/>
          <w:color w:val="000000"/>
          <w:sz w:val="30"/>
        </w:rPr>
        <w:sectPr>
          <w:footerReference w:type="even" r:id="rId32"/>
          <w:footerReference w:type="default" r:id="rId33"/>
          <w:type w:val="nextPage"/>
          <w:pgSz w:w="11906" w:h="16838"/>
          <w:pgMar w:top="1440" w:right="1800" w:bottom="1440" w:left="1800" w:header="851" w:footer="1077" w:gutter="0"/>
          <w:pgNumType w:start="14"/>
          <w:cols w:space="708"/>
          <w:titlePg w:val="0"/>
          <w:docGrid w:linePitch="312"/>
        </w:sectPr>
      </w:pPr>
    </w:p>
    <w:p>
      <w:pPr>
        <w:pStyle w:val="NormalWeb"/>
        <w:jc w:val="center"/>
        <w:outlineLvl w:val="0"/>
        <w:rPr>
          <w:rFonts w:ascii="黑体" w:eastAsia="黑体" w:hAnsi="黑体"/>
          <w:b/>
          <w:snapToGrid w:val="0"/>
          <w:color w:val="000000"/>
          <w:sz w:val="30"/>
          <w:szCs w:val="30"/>
        </w:rPr>
      </w:pPr>
      <w:r>
        <w:rPr>
          <w:rFonts w:ascii="黑体" w:eastAsia="黑体" w:hAnsi="黑体" w:hint="eastAsia"/>
          <w:b/>
          <w:snapToGrid w:val="0"/>
          <w:color w:val="000000"/>
          <w:sz w:val="30"/>
          <w:szCs w:val="30"/>
        </w:rPr>
        <w:t>二、建设内容</w:t>
      </w: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2"/>
        <w:gridCol w:w="8076"/>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1497"/>
          <w:jc w:val="center"/>
        </w:trPr>
        <w:tc>
          <w:tcPr>
            <w:tcW w:w="308" w:type="pct"/>
            <w:vAlign w:val="center"/>
          </w:tcPr>
          <w:p>
            <w:pPr>
              <w:adjustRightInd w:val="0"/>
              <w:snapToGrid w:val="0"/>
              <w:jc w:val="center"/>
              <w:rPr>
                <w:rFonts w:ascii="宋体" w:hAnsi="宋体" w:cs="宋体"/>
                <w:color w:val="000000"/>
                <w:kern w:val="0"/>
                <w:sz w:val="24"/>
              </w:rPr>
            </w:pPr>
            <w:r>
              <w:rPr>
                <w:rFonts w:ascii="宋体" w:hAnsi="宋体" w:cs="宋体" w:hint="eastAsia"/>
                <w:color w:val="000000"/>
                <w:kern w:val="0"/>
                <w:sz w:val="24"/>
              </w:rPr>
              <w:t>地理位置</w:t>
            </w:r>
          </w:p>
        </w:tc>
        <w:tc>
          <w:tcPr>
            <w:tcW w:w="4692" w:type="pct"/>
            <w:vAlign w:val="center"/>
          </w:tcPr>
          <w:p>
            <w:pPr>
              <w:adjustRightInd w:val="0"/>
              <w:snapToGrid w:val="0"/>
              <w:spacing w:line="360" w:lineRule="auto"/>
              <w:ind w:firstLine="480" w:firstLineChars="200"/>
              <w:jc w:val="left"/>
              <w:rPr>
                <w:rFonts w:hint="eastAsia"/>
                <w:color w:val="000000"/>
                <w:sz w:val="24"/>
              </w:rPr>
            </w:pPr>
            <w:r>
              <w:rPr>
                <w:color w:val="000000"/>
                <w:kern w:val="0"/>
                <w:sz w:val="24"/>
              </w:rPr>
              <w:t>项目位于</w:t>
            </w:r>
            <w:r>
              <w:rPr>
                <w:color w:val="000000"/>
                <w:sz w:val="24"/>
              </w:rPr>
              <w:t>德州市宁津县城区西（起于三岭大街与宁德路交叉口，止于宁津小店桥）</w:t>
            </w:r>
            <w:r>
              <w:rPr>
                <w:rFonts w:hint="eastAsia"/>
                <w:color w:val="000000"/>
                <w:kern w:val="0"/>
                <w:sz w:val="24"/>
              </w:rPr>
              <w:t>。地理坐标</w:t>
            </w:r>
            <w:r>
              <w:rPr>
                <w:rFonts w:hint="eastAsia"/>
                <w:color w:val="000000"/>
                <w:sz w:val="24"/>
              </w:rPr>
              <w:t>起点：</w:t>
            </w:r>
            <w:r>
              <w:rPr>
                <w:color w:val="000000"/>
                <w:sz w:val="24"/>
                <w:u w:val="single"/>
              </w:rPr>
              <w:t xml:space="preserve"> </w:t>
            </w:r>
            <w:r>
              <w:rPr>
                <w:rFonts w:hint="eastAsia"/>
                <w:color w:val="000000"/>
                <w:sz w:val="24"/>
                <w:u w:val="single"/>
              </w:rPr>
              <w:t>116</w:t>
            </w:r>
            <w:r>
              <w:rPr>
                <w:color w:val="000000"/>
                <w:sz w:val="24"/>
                <w:u w:val="single"/>
              </w:rPr>
              <w:t xml:space="preserve"> </w:t>
            </w:r>
            <w:r>
              <w:rPr>
                <w:color w:val="000000"/>
                <w:sz w:val="24"/>
              </w:rPr>
              <w:t>度</w:t>
            </w:r>
            <w:r>
              <w:rPr>
                <w:color w:val="000000"/>
                <w:sz w:val="24"/>
                <w:u w:val="single"/>
              </w:rPr>
              <w:t xml:space="preserve"> </w:t>
            </w:r>
            <w:r>
              <w:rPr>
                <w:rFonts w:hint="eastAsia"/>
                <w:color w:val="000000"/>
                <w:sz w:val="24"/>
                <w:u w:val="single"/>
              </w:rPr>
              <w:t>46</w:t>
            </w:r>
            <w:r>
              <w:rPr>
                <w:color w:val="000000"/>
                <w:sz w:val="24"/>
                <w:u w:val="single"/>
              </w:rPr>
              <w:t xml:space="preserve"> </w:t>
            </w:r>
            <w:r>
              <w:rPr>
                <w:color w:val="000000"/>
                <w:sz w:val="24"/>
              </w:rPr>
              <w:t>分</w:t>
            </w:r>
            <w:r>
              <w:rPr>
                <w:color w:val="000000"/>
                <w:sz w:val="24"/>
                <w:u w:val="single"/>
              </w:rPr>
              <w:t xml:space="preserve"> </w:t>
            </w:r>
            <w:r>
              <w:rPr>
                <w:rFonts w:hint="eastAsia"/>
                <w:color w:val="000000"/>
                <w:sz w:val="24"/>
                <w:u w:val="single"/>
              </w:rPr>
              <w:t>27.372</w:t>
            </w:r>
            <w:r>
              <w:rPr>
                <w:color w:val="000000"/>
                <w:sz w:val="24"/>
                <w:u w:val="single"/>
              </w:rPr>
              <w:t xml:space="preserve"> </w:t>
            </w:r>
            <w:r>
              <w:rPr>
                <w:color w:val="000000"/>
                <w:sz w:val="24"/>
              </w:rPr>
              <w:t>秒，</w:t>
            </w:r>
            <w:r>
              <w:rPr>
                <w:color w:val="000000"/>
                <w:sz w:val="24"/>
                <w:u w:val="single"/>
              </w:rPr>
              <w:t xml:space="preserve"> </w:t>
            </w:r>
            <w:r>
              <w:rPr>
                <w:rFonts w:hint="eastAsia"/>
                <w:color w:val="000000"/>
                <w:sz w:val="24"/>
                <w:u w:val="single"/>
              </w:rPr>
              <w:t>37</w:t>
            </w:r>
            <w:r>
              <w:rPr>
                <w:color w:val="000000"/>
                <w:sz w:val="24"/>
                <w:u w:val="single"/>
              </w:rPr>
              <w:t xml:space="preserve"> </w:t>
            </w:r>
            <w:r>
              <w:rPr>
                <w:color w:val="000000"/>
                <w:sz w:val="24"/>
              </w:rPr>
              <w:t>度</w:t>
            </w:r>
            <w:r>
              <w:rPr>
                <w:color w:val="000000"/>
                <w:sz w:val="24"/>
                <w:u w:val="single"/>
              </w:rPr>
              <w:t xml:space="preserve"> </w:t>
            </w:r>
            <w:r>
              <w:rPr>
                <w:rFonts w:hint="eastAsia"/>
                <w:color w:val="000000"/>
                <w:sz w:val="24"/>
                <w:u w:val="single"/>
              </w:rPr>
              <w:t>37</w:t>
            </w:r>
            <w:r>
              <w:rPr>
                <w:color w:val="000000"/>
                <w:sz w:val="24"/>
                <w:u w:val="single"/>
              </w:rPr>
              <w:t xml:space="preserve"> </w:t>
            </w:r>
            <w:r>
              <w:rPr>
                <w:color w:val="000000"/>
                <w:sz w:val="24"/>
              </w:rPr>
              <w:t>分</w:t>
            </w:r>
            <w:r>
              <w:rPr>
                <w:color w:val="000000"/>
                <w:sz w:val="24"/>
                <w:u w:val="single"/>
              </w:rPr>
              <w:t xml:space="preserve"> </w:t>
            </w:r>
            <w:r>
              <w:rPr>
                <w:rFonts w:hint="eastAsia"/>
                <w:color w:val="000000"/>
                <w:sz w:val="24"/>
                <w:u w:val="single"/>
              </w:rPr>
              <w:t>4.152</w:t>
            </w:r>
            <w:r>
              <w:rPr>
                <w:color w:val="000000"/>
                <w:sz w:val="24"/>
                <w:u w:val="single"/>
              </w:rPr>
              <w:t xml:space="preserve"> </w:t>
            </w:r>
            <w:r>
              <w:rPr>
                <w:color w:val="000000"/>
                <w:sz w:val="24"/>
              </w:rPr>
              <w:t>秒</w:t>
            </w:r>
            <w:r>
              <w:rPr>
                <w:rFonts w:hint="eastAsia"/>
                <w:color w:val="000000"/>
                <w:sz w:val="24"/>
              </w:rPr>
              <w:t>，终点：</w:t>
            </w:r>
            <w:r>
              <w:rPr>
                <w:rFonts w:hint="eastAsia"/>
                <w:color w:val="000000"/>
                <w:sz w:val="24"/>
                <w:u w:val="single"/>
              </w:rPr>
              <w:t xml:space="preserve"> 116</w:t>
            </w:r>
            <w:r>
              <w:rPr>
                <w:color w:val="000000"/>
                <w:sz w:val="24"/>
                <w:u w:val="single"/>
              </w:rPr>
              <w:t xml:space="preserve"> </w:t>
            </w:r>
            <w:r>
              <w:rPr>
                <w:color w:val="000000"/>
                <w:sz w:val="24"/>
              </w:rPr>
              <w:t>度</w:t>
            </w:r>
            <w:r>
              <w:rPr>
                <w:color w:val="000000"/>
                <w:sz w:val="24"/>
                <w:u w:val="single"/>
              </w:rPr>
              <w:t xml:space="preserve"> </w:t>
            </w:r>
            <w:r>
              <w:rPr>
                <w:rFonts w:hint="eastAsia"/>
                <w:color w:val="000000"/>
                <w:sz w:val="24"/>
                <w:u w:val="single"/>
              </w:rPr>
              <w:t>46</w:t>
            </w:r>
            <w:r>
              <w:rPr>
                <w:color w:val="000000"/>
                <w:sz w:val="24"/>
                <w:u w:val="single"/>
              </w:rPr>
              <w:t xml:space="preserve"> </w:t>
            </w:r>
            <w:r>
              <w:rPr>
                <w:color w:val="000000"/>
                <w:sz w:val="24"/>
              </w:rPr>
              <w:t>分</w:t>
            </w:r>
            <w:r>
              <w:rPr>
                <w:color w:val="000000"/>
                <w:sz w:val="24"/>
                <w:u w:val="single"/>
              </w:rPr>
              <w:t xml:space="preserve"> </w:t>
            </w:r>
            <w:r>
              <w:rPr>
                <w:rFonts w:hint="eastAsia"/>
                <w:color w:val="000000"/>
                <w:sz w:val="24"/>
                <w:u w:val="single"/>
              </w:rPr>
              <w:t>25.104</w:t>
            </w:r>
            <w:r>
              <w:rPr>
                <w:color w:val="000000"/>
                <w:sz w:val="24"/>
                <w:u w:val="single"/>
              </w:rPr>
              <w:t xml:space="preserve"> </w:t>
            </w:r>
            <w:r>
              <w:rPr>
                <w:color w:val="000000"/>
                <w:sz w:val="24"/>
              </w:rPr>
              <w:t>秒，</w:t>
            </w:r>
            <w:r>
              <w:rPr>
                <w:color w:val="000000"/>
                <w:sz w:val="24"/>
                <w:u w:val="single"/>
              </w:rPr>
              <w:t xml:space="preserve"> </w:t>
            </w:r>
            <w:r>
              <w:rPr>
                <w:rFonts w:hint="eastAsia"/>
                <w:color w:val="000000"/>
                <w:sz w:val="24"/>
                <w:u w:val="single"/>
              </w:rPr>
              <w:t>37</w:t>
            </w:r>
            <w:r>
              <w:rPr>
                <w:color w:val="000000"/>
                <w:sz w:val="24"/>
                <w:u w:val="single"/>
              </w:rPr>
              <w:t xml:space="preserve"> </w:t>
            </w:r>
            <w:r>
              <w:rPr>
                <w:color w:val="000000"/>
                <w:sz w:val="24"/>
              </w:rPr>
              <w:t>度</w:t>
            </w:r>
            <w:r>
              <w:rPr>
                <w:color w:val="000000"/>
                <w:sz w:val="24"/>
                <w:u w:val="single"/>
              </w:rPr>
              <w:t xml:space="preserve"> </w:t>
            </w:r>
            <w:r>
              <w:rPr>
                <w:rFonts w:hint="eastAsia"/>
                <w:color w:val="000000"/>
                <w:sz w:val="24"/>
                <w:u w:val="single"/>
              </w:rPr>
              <w:t>34</w:t>
            </w:r>
            <w:r>
              <w:rPr>
                <w:color w:val="000000"/>
                <w:sz w:val="24"/>
                <w:u w:val="single"/>
              </w:rPr>
              <w:t xml:space="preserve"> </w:t>
            </w:r>
            <w:r>
              <w:rPr>
                <w:color w:val="000000"/>
                <w:sz w:val="24"/>
              </w:rPr>
              <w:t>分</w:t>
            </w:r>
            <w:r>
              <w:rPr>
                <w:color w:val="000000"/>
                <w:sz w:val="24"/>
                <w:u w:val="single"/>
              </w:rPr>
              <w:t xml:space="preserve"> </w:t>
            </w:r>
            <w:r>
              <w:rPr>
                <w:rFonts w:hint="eastAsia"/>
                <w:color w:val="000000"/>
                <w:sz w:val="24"/>
                <w:u w:val="single"/>
              </w:rPr>
              <w:t>20.460</w:t>
            </w:r>
            <w:r>
              <w:rPr>
                <w:color w:val="000000"/>
                <w:sz w:val="24"/>
                <w:u w:val="single"/>
              </w:rPr>
              <w:t xml:space="preserve"> </w:t>
            </w:r>
            <w:r>
              <w:rPr>
                <w:color w:val="000000"/>
                <w:sz w:val="24"/>
              </w:rPr>
              <w:t>秒</w:t>
            </w:r>
            <w:r>
              <w:rPr>
                <w:rFonts w:hint="eastAsia"/>
                <w:color w:val="000000"/>
                <w:sz w:val="24"/>
              </w:rPr>
              <w:t>。</w:t>
            </w:r>
          </w:p>
          <w:p>
            <w:pPr>
              <w:adjustRightInd w:val="0"/>
              <w:snapToGrid w:val="0"/>
              <w:spacing w:line="360" w:lineRule="auto"/>
              <w:ind w:firstLine="480" w:firstLineChars="200"/>
              <w:jc w:val="left"/>
              <w:rPr>
                <w:color w:val="000000"/>
                <w:kern w:val="0"/>
                <w:sz w:val="24"/>
              </w:rPr>
            </w:pPr>
            <w:r>
              <w:rPr>
                <w:color w:val="000000"/>
                <w:kern w:val="0"/>
                <w:sz w:val="24"/>
              </w:rPr>
              <w:t>由于本项目建设路线较短</w:t>
            </w:r>
            <w:r>
              <w:rPr>
                <w:rFonts w:hint="eastAsia"/>
                <w:color w:val="000000"/>
                <w:kern w:val="0"/>
                <w:sz w:val="24"/>
              </w:rPr>
              <w:t>，</w:t>
            </w:r>
            <w:r>
              <w:rPr>
                <w:color w:val="000000"/>
                <w:kern w:val="0"/>
                <w:sz w:val="24"/>
              </w:rPr>
              <w:t>项目</w:t>
            </w:r>
            <w:r>
              <w:rPr>
                <w:rFonts w:hint="eastAsia"/>
                <w:color w:val="000000"/>
                <w:kern w:val="0"/>
                <w:sz w:val="24"/>
              </w:rPr>
              <w:t>水稳料、沥青混凝土、混凝土等筑路材料向宁津县通达工程有限公司采购，不配套</w:t>
            </w:r>
            <w:r>
              <w:rPr>
                <w:color w:val="000000"/>
                <w:kern w:val="0"/>
                <w:sz w:val="24"/>
              </w:rPr>
              <w:t>建设临时拌合站、临时预制厂等临时工程</w:t>
            </w:r>
            <w:r>
              <w:rPr>
                <w:rFonts w:hint="eastAsia"/>
                <w:color w:val="000000"/>
                <w:kern w:val="0"/>
                <w:sz w:val="24"/>
              </w:rPr>
              <w:t>。</w:t>
            </w:r>
          </w:p>
        </w:tc>
      </w:tr>
      <w:tr>
        <w:tblPrEx>
          <w:tblW w:w="5000" w:type="pct"/>
          <w:jc w:val="center"/>
          <w:tblCellMar>
            <w:top w:w="0" w:type="dxa"/>
            <w:left w:w="108" w:type="dxa"/>
            <w:bottom w:w="0" w:type="dxa"/>
            <w:right w:w="108" w:type="dxa"/>
          </w:tblCellMar>
          <w:tblLook w:val="0000"/>
        </w:tblPrEx>
        <w:trPr>
          <w:trHeight w:val="2542"/>
          <w:jc w:val="center"/>
        </w:trPr>
        <w:tc>
          <w:tcPr>
            <w:tcW w:w="308" w:type="pct"/>
            <w:vAlign w:val="center"/>
          </w:tcPr>
          <w:p>
            <w:pPr>
              <w:adjustRightInd w:val="0"/>
              <w:snapToGrid w:val="0"/>
              <w:jc w:val="center"/>
              <w:rPr>
                <w:rFonts w:ascii="宋体" w:hAnsi="宋体" w:cs="宋体"/>
                <w:color w:val="000000"/>
                <w:kern w:val="0"/>
                <w:sz w:val="24"/>
              </w:rPr>
            </w:pPr>
            <w:r>
              <w:rPr>
                <w:rFonts w:ascii="宋体" w:hAnsi="宋体" w:cs="宋体" w:hint="eastAsia"/>
                <w:color w:val="000000"/>
                <w:kern w:val="0"/>
                <w:sz w:val="24"/>
              </w:rPr>
              <w:t>项目组成及规模</w:t>
            </w:r>
          </w:p>
        </w:tc>
        <w:tc>
          <w:tcPr>
            <w:tcW w:w="4692" w:type="pct"/>
            <w:vAlign w:val="center"/>
          </w:tcPr>
          <w:p>
            <w:pPr>
              <w:pStyle w:val="BodyText2"/>
              <w:spacing w:after="0" w:line="360" w:lineRule="auto"/>
              <w:rPr>
                <w:b/>
                <w:color w:val="000000"/>
                <w:kern w:val="0"/>
                <w:sz w:val="24"/>
              </w:rPr>
            </w:pPr>
            <w:r>
              <w:rPr>
                <w:rFonts w:hint="eastAsia"/>
                <w:b/>
                <w:color w:val="000000"/>
                <w:kern w:val="0"/>
                <w:sz w:val="24"/>
              </w:rPr>
              <w:t>一</w:t>
            </w:r>
            <w:r>
              <w:rPr>
                <w:b/>
                <w:color w:val="000000"/>
                <w:kern w:val="0"/>
                <w:sz w:val="24"/>
              </w:rPr>
              <w:t>、</w:t>
            </w:r>
            <w:r>
              <w:rPr>
                <w:rFonts w:hint="eastAsia"/>
                <w:b/>
                <w:color w:val="000000"/>
                <w:kern w:val="0"/>
                <w:sz w:val="24"/>
              </w:rPr>
              <w:t>项目名称、地点、建设单位及性质</w:t>
            </w:r>
          </w:p>
          <w:p>
            <w:pPr>
              <w:adjustRightInd w:val="0"/>
              <w:snapToGrid w:val="0"/>
              <w:spacing w:line="360" w:lineRule="auto"/>
              <w:ind w:firstLine="480" w:firstLineChars="200"/>
              <w:rPr>
                <w:b/>
                <w:color w:val="000000"/>
                <w:sz w:val="24"/>
              </w:rPr>
            </w:pPr>
            <w:r>
              <w:rPr>
                <w:color w:val="000000"/>
                <w:sz w:val="24"/>
              </w:rPr>
              <w:t>项目名称：</w:t>
            </w:r>
            <w:r>
              <w:rPr>
                <w:rFonts w:hint="eastAsia"/>
                <w:color w:val="000000"/>
                <w:sz w:val="24"/>
              </w:rPr>
              <w:t>S324宁武线（三岭大街西至小店桥段）改建工程</w:t>
            </w:r>
          </w:p>
          <w:p>
            <w:pPr>
              <w:adjustRightInd w:val="0"/>
              <w:snapToGrid w:val="0"/>
              <w:spacing w:line="360" w:lineRule="auto"/>
              <w:ind w:firstLine="480" w:firstLineChars="200"/>
              <w:rPr>
                <w:color w:val="000000"/>
                <w:spacing w:val="-2"/>
                <w:sz w:val="24"/>
              </w:rPr>
            </w:pPr>
            <w:r>
              <w:rPr>
                <w:rFonts w:hint="eastAsia"/>
                <w:color w:val="000000"/>
                <w:spacing w:val="-2"/>
                <w:sz w:val="24"/>
              </w:rPr>
              <w:t>建设地点：</w:t>
            </w:r>
            <w:r>
              <w:rPr>
                <w:rFonts w:ascii="宋体" w:hAnsi="宋体" w:cs="宋体" w:hint="eastAsia"/>
                <w:color w:val="000000"/>
                <w:sz w:val="24"/>
              </w:rPr>
              <w:t>德州市宁津县城区西</w:t>
            </w:r>
            <w:r>
              <w:rPr>
                <w:color w:val="000000"/>
                <w:sz w:val="24"/>
              </w:rPr>
              <w:t>（起于三岭大街与宁德路交叉口（K4+234），止于宁津小店桥（K9+140））</w:t>
            </w:r>
          </w:p>
          <w:p>
            <w:pPr>
              <w:adjustRightInd w:val="0"/>
              <w:snapToGrid w:val="0"/>
              <w:spacing w:line="360" w:lineRule="auto"/>
              <w:ind w:firstLine="480" w:firstLineChars="200"/>
              <w:rPr>
                <w:color w:val="000000"/>
                <w:spacing w:val="-2"/>
                <w:sz w:val="24"/>
              </w:rPr>
            </w:pPr>
            <w:r>
              <w:rPr>
                <w:color w:val="000000"/>
                <w:spacing w:val="-2"/>
                <w:sz w:val="24"/>
              </w:rPr>
              <w:t>建设单位：</w:t>
            </w:r>
            <w:r>
              <w:rPr>
                <w:rFonts w:hint="eastAsia"/>
                <w:color w:val="000000"/>
                <w:sz w:val="24"/>
              </w:rPr>
              <w:t>宁津县交通运输局</w:t>
            </w:r>
          </w:p>
          <w:p>
            <w:pPr>
              <w:adjustRightInd w:val="0"/>
              <w:snapToGrid w:val="0"/>
              <w:spacing w:line="360" w:lineRule="auto"/>
              <w:ind w:firstLine="480" w:firstLineChars="200"/>
              <w:rPr>
                <w:color w:val="000000"/>
                <w:spacing w:val="-2"/>
                <w:sz w:val="24"/>
              </w:rPr>
            </w:pPr>
            <w:r>
              <w:rPr>
                <w:color w:val="000000"/>
                <w:spacing w:val="-2"/>
                <w:sz w:val="24"/>
              </w:rPr>
              <w:t>建设性质：</w:t>
            </w:r>
            <w:r>
              <w:rPr>
                <w:rFonts w:hint="eastAsia"/>
                <w:color w:val="000000"/>
                <w:spacing w:val="-2"/>
                <w:sz w:val="24"/>
              </w:rPr>
              <w:t>改建</w:t>
            </w:r>
          </w:p>
          <w:p>
            <w:pPr>
              <w:adjustRightInd w:val="0"/>
              <w:snapToGrid w:val="0"/>
              <w:spacing w:line="360" w:lineRule="auto"/>
              <w:ind w:firstLine="480" w:firstLineChars="200"/>
              <w:rPr>
                <w:rFonts w:hint="eastAsia"/>
                <w:color w:val="000000"/>
                <w:sz w:val="24"/>
              </w:rPr>
            </w:pPr>
            <w:r>
              <w:rPr>
                <w:color w:val="000000"/>
                <w:sz w:val="24"/>
              </w:rPr>
              <w:t>项目投资：项目总投资</w:t>
            </w:r>
            <w:r>
              <w:rPr>
                <w:rFonts w:hint="eastAsia"/>
                <w:color w:val="000000"/>
                <w:sz w:val="24"/>
              </w:rPr>
              <w:t>65</w:t>
            </w:r>
            <w:r>
              <w:rPr>
                <w:color w:val="000000"/>
                <w:sz w:val="24"/>
              </w:rPr>
              <w:t>00万元</w:t>
            </w:r>
          </w:p>
          <w:p>
            <w:pPr>
              <w:adjustRightInd w:val="0"/>
              <w:snapToGrid w:val="0"/>
              <w:spacing w:line="360" w:lineRule="auto"/>
              <w:rPr>
                <w:rFonts w:hint="eastAsia"/>
                <w:b/>
                <w:color w:val="000000"/>
                <w:sz w:val="24"/>
              </w:rPr>
            </w:pPr>
            <w:r>
              <w:rPr>
                <w:rFonts w:hint="eastAsia"/>
                <w:b/>
                <w:color w:val="000000"/>
                <w:sz w:val="24"/>
              </w:rPr>
              <w:t>二、项目工程组成</w:t>
            </w:r>
          </w:p>
          <w:p>
            <w:pPr>
              <w:adjustRightInd w:val="0"/>
              <w:snapToGrid w:val="0"/>
              <w:spacing w:line="360" w:lineRule="auto"/>
              <w:ind w:firstLine="480" w:firstLineChars="200"/>
              <w:rPr>
                <w:rFonts w:hint="eastAsia"/>
                <w:color w:val="000000"/>
                <w:sz w:val="24"/>
              </w:rPr>
            </w:pPr>
            <w:r>
              <w:rPr>
                <w:rFonts w:hint="eastAsia"/>
                <w:color w:val="000000"/>
                <w:sz w:val="24"/>
              </w:rPr>
              <w:t>项目主要工程内容统计见下表：</w:t>
            </w:r>
          </w:p>
          <w:p>
            <w:pPr>
              <w:adjustRightInd w:val="0"/>
              <w:snapToGrid w:val="0"/>
              <w:jc w:val="center"/>
              <w:rPr>
                <w:rFonts w:hint="eastAsia"/>
                <w:b/>
                <w:color w:val="000000"/>
                <w:sz w:val="24"/>
              </w:rPr>
            </w:pPr>
            <w:r>
              <w:rPr>
                <w:rFonts w:hint="eastAsia"/>
                <w:b/>
                <w:color w:val="000000"/>
                <w:sz w:val="24"/>
              </w:rPr>
              <w:t>表2-1  项目主要工程内容一览表</w:t>
            </w:r>
          </w:p>
          <w:tbl>
            <w:tblPr>
              <w:tblStyle w:val="TableNorm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665"/>
              <w:gridCol w:w="839"/>
              <w:gridCol w:w="560"/>
              <w:gridCol w:w="1"/>
              <w:gridCol w:w="5672"/>
            </w:tblGrid>
            <w:tr>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trPr>
              <w:tc>
                <w:tcPr>
                  <w:tcW w:w="2093" w:type="dxa"/>
                  <w:gridSpan w:val="3"/>
                  <w:vAlign w:val="center"/>
                </w:tcPr>
                <w:p>
                  <w:pPr>
                    <w:adjustRightInd w:val="0"/>
                    <w:snapToGrid w:val="0"/>
                    <w:jc w:val="center"/>
                    <w:rPr>
                      <w:rFonts w:hint="eastAsia"/>
                      <w:color w:val="000000"/>
                      <w:szCs w:val="21"/>
                    </w:rPr>
                  </w:pPr>
                  <w:r>
                    <w:rPr>
                      <w:rFonts w:hint="eastAsia"/>
                      <w:color w:val="000000"/>
                      <w:szCs w:val="21"/>
                    </w:rPr>
                    <w:t>项目组成</w:t>
                  </w:r>
                </w:p>
              </w:tc>
              <w:tc>
                <w:tcPr>
                  <w:tcW w:w="5750" w:type="dxa"/>
                  <w:gridSpan w:val="2"/>
                  <w:vAlign w:val="center"/>
                </w:tcPr>
                <w:p>
                  <w:pPr>
                    <w:adjustRightInd w:val="0"/>
                    <w:snapToGrid w:val="0"/>
                    <w:jc w:val="center"/>
                    <w:rPr>
                      <w:rFonts w:hint="eastAsia"/>
                      <w:color w:val="000000"/>
                      <w:szCs w:val="21"/>
                    </w:rPr>
                  </w:pPr>
                  <w:r>
                    <w:rPr>
                      <w:rFonts w:hint="eastAsia"/>
                      <w:color w:val="000000"/>
                      <w:szCs w:val="21"/>
                    </w:rPr>
                    <w:t>内容</w:t>
                  </w:r>
                </w:p>
              </w:tc>
            </w:tr>
            <w:tr>
              <w:tblPrEx>
                <w:tblW w:w="0" w:type="auto"/>
                <w:tblInd w:w="113" w:type="dxa"/>
                <w:tblCellMar>
                  <w:top w:w="0" w:type="dxa"/>
                  <w:left w:w="108" w:type="dxa"/>
                  <w:bottom w:w="0" w:type="dxa"/>
                  <w:right w:w="108" w:type="dxa"/>
                </w:tblCellMar>
                <w:tblLook w:val="0000"/>
              </w:tblPrEx>
              <w:trPr>
                <w:trHeight w:val="454"/>
              </w:trPr>
              <w:tc>
                <w:tcPr>
                  <w:tcW w:w="674" w:type="dxa"/>
                  <w:vMerge w:val="restart"/>
                  <w:vAlign w:val="center"/>
                </w:tcPr>
                <w:p>
                  <w:pPr>
                    <w:adjustRightInd w:val="0"/>
                    <w:snapToGrid w:val="0"/>
                    <w:jc w:val="center"/>
                    <w:rPr>
                      <w:rFonts w:hint="eastAsia"/>
                      <w:color w:val="000000"/>
                      <w:szCs w:val="21"/>
                    </w:rPr>
                  </w:pPr>
                  <w:r>
                    <w:rPr>
                      <w:rFonts w:hint="eastAsia"/>
                      <w:color w:val="000000"/>
                      <w:szCs w:val="21"/>
                    </w:rPr>
                    <w:t>主体工程</w:t>
                  </w:r>
                </w:p>
              </w:tc>
              <w:tc>
                <w:tcPr>
                  <w:tcW w:w="851" w:type="dxa"/>
                  <w:vAlign w:val="center"/>
                </w:tcPr>
                <w:p>
                  <w:pPr>
                    <w:adjustRightInd w:val="0"/>
                    <w:snapToGrid w:val="0"/>
                    <w:jc w:val="center"/>
                    <w:rPr>
                      <w:rFonts w:hint="eastAsia"/>
                      <w:color w:val="000000"/>
                      <w:szCs w:val="21"/>
                    </w:rPr>
                  </w:pPr>
                  <w:r>
                    <w:rPr>
                      <w:rFonts w:hint="eastAsia"/>
                      <w:color w:val="000000"/>
                      <w:szCs w:val="21"/>
                    </w:rPr>
                    <w:t>路基</w:t>
                  </w:r>
                </w:p>
                <w:p>
                  <w:pPr>
                    <w:adjustRightInd w:val="0"/>
                    <w:snapToGrid w:val="0"/>
                    <w:jc w:val="center"/>
                    <w:rPr>
                      <w:rFonts w:hint="eastAsia"/>
                      <w:color w:val="000000"/>
                      <w:szCs w:val="21"/>
                    </w:rPr>
                  </w:pPr>
                  <w:r>
                    <w:rPr>
                      <w:rFonts w:hint="eastAsia"/>
                      <w:color w:val="000000"/>
                      <w:szCs w:val="21"/>
                    </w:rPr>
                    <w:t>工程</w:t>
                  </w:r>
                </w:p>
              </w:tc>
              <w:tc>
                <w:tcPr>
                  <w:tcW w:w="568" w:type="dxa"/>
                  <w:vAlign w:val="center"/>
                </w:tcPr>
                <w:p>
                  <w:pPr>
                    <w:adjustRightInd w:val="0"/>
                    <w:snapToGrid w:val="0"/>
                    <w:jc w:val="center"/>
                    <w:rPr>
                      <w:rFonts w:hint="eastAsia"/>
                      <w:color w:val="000000"/>
                      <w:szCs w:val="21"/>
                    </w:rPr>
                  </w:pPr>
                  <w:r>
                    <w:rPr>
                      <w:rFonts w:hint="eastAsia"/>
                      <w:color w:val="000000"/>
                      <w:szCs w:val="21"/>
                    </w:rPr>
                    <w:t>横断</w:t>
                  </w:r>
                </w:p>
              </w:tc>
              <w:tc>
                <w:tcPr>
                  <w:tcW w:w="5750" w:type="dxa"/>
                  <w:gridSpan w:val="2"/>
                  <w:vAlign w:val="center"/>
                </w:tcPr>
                <w:p>
                  <w:pPr>
                    <w:ind w:firstLine="420" w:firstLineChars="200"/>
                    <w:rPr>
                      <w:rFonts w:hint="eastAsia"/>
                      <w:color w:val="000000"/>
                      <w:spacing w:val="9"/>
                      <w:kern w:val="0"/>
                      <w:szCs w:val="21"/>
                    </w:rPr>
                  </w:pPr>
                  <w:r>
                    <w:rPr>
                      <w:rFonts w:hint="eastAsia"/>
                      <w:color w:val="000000"/>
                      <w:spacing w:val="9"/>
                      <w:kern w:val="0"/>
                      <w:szCs w:val="21"/>
                    </w:rPr>
                    <w:t>本段路线全长4.906km，公路等级为一级公路，设计速度</w:t>
                  </w:r>
                  <w:r>
                    <w:rPr>
                      <w:color w:val="000000"/>
                      <w:spacing w:val="9"/>
                      <w:kern w:val="0"/>
                      <w:szCs w:val="21"/>
                    </w:rPr>
                    <w:t>80</w:t>
                  </w:r>
                  <w:r>
                    <w:rPr>
                      <w:rFonts w:hint="eastAsia"/>
                      <w:color w:val="000000"/>
                      <w:spacing w:val="9"/>
                      <w:kern w:val="0"/>
                      <w:szCs w:val="21"/>
                    </w:rPr>
                    <w:t>k</w:t>
                  </w:r>
                  <w:r>
                    <w:rPr>
                      <w:color w:val="000000"/>
                      <w:spacing w:val="9"/>
                      <w:kern w:val="0"/>
                      <w:szCs w:val="21"/>
                    </w:rPr>
                    <w:t>m/h</w:t>
                  </w:r>
                  <w:r>
                    <w:rPr>
                      <w:rFonts w:hint="eastAsia"/>
                      <w:color w:val="000000"/>
                      <w:spacing w:val="9"/>
                      <w:kern w:val="0"/>
                      <w:szCs w:val="21"/>
                    </w:rPr>
                    <w:t>。</w:t>
                  </w:r>
                </w:p>
                <w:p>
                  <w:pPr>
                    <w:ind w:firstLine="420" w:firstLineChars="200"/>
                    <w:rPr>
                      <w:rFonts w:hint="eastAsia"/>
                      <w:bCs/>
                      <w:color w:val="000000"/>
                      <w:spacing w:val="9"/>
                      <w:kern w:val="0"/>
                      <w:szCs w:val="21"/>
                    </w:rPr>
                  </w:pPr>
                  <w:r>
                    <w:rPr>
                      <w:bCs/>
                      <w:color w:val="000000"/>
                      <w:spacing w:val="9"/>
                      <w:kern w:val="0"/>
                      <w:szCs w:val="21"/>
                    </w:rPr>
                    <w:t>K</w:t>
                  </w:r>
                  <w:r>
                    <w:rPr>
                      <w:rFonts w:hint="eastAsia"/>
                      <w:bCs/>
                      <w:color w:val="000000"/>
                      <w:spacing w:val="9"/>
                      <w:kern w:val="0"/>
                      <w:szCs w:val="21"/>
                    </w:rPr>
                    <w:t>4+234～</w:t>
                  </w:r>
                  <w:r>
                    <w:rPr>
                      <w:bCs/>
                      <w:color w:val="000000"/>
                      <w:spacing w:val="9"/>
                      <w:kern w:val="0"/>
                      <w:szCs w:val="21"/>
                    </w:rPr>
                    <w:t>K</w:t>
                  </w:r>
                  <w:r>
                    <w:rPr>
                      <w:rFonts w:hint="eastAsia"/>
                      <w:bCs/>
                      <w:color w:val="000000"/>
                      <w:spacing w:val="9"/>
                      <w:kern w:val="0"/>
                      <w:szCs w:val="21"/>
                    </w:rPr>
                    <w:t>6</w:t>
                  </w:r>
                  <w:r>
                    <w:rPr>
                      <w:bCs/>
                      <w:color w:val="000000"/>
                      <w:spacing w:val="9"/>
                      <w:kern w:val="0"/>
                      <w:szCs w:val="21"/>
                    </w:rPr>
                    <w:t>+</w:t>
                  </w:r>
                  <w:r>
                    <w:rPr>
                      <w:rFonts w:hint="eastAsia"/>
                      <w:bCs/>
                      <w:color w:val="000000"/>
                      <w:spacing w:val="9"/>
                      <w:kern w:val="0"/>
                      <w:szCs w:val="21"/>
                    </w:rPr>
                    <w:t>072路段：</w:t>
                  </w:r>
                  <w:r>
                    <w:rPr>
                      <w:bCs/>
                      <w:color w:val="000000"/>
                      <w:spacing w:val="9"/>
                      <w:kern w:val="0"/>
                      <w:szCs w:val="21"/>
                    </w:rPr>
                    <w:t>B=</w:t>
                  </w:r>
                  <w:r>
                    <w:rPr>
                      <w:rFonts w:hint="eastAsia"/>
                      <w:bCs/>
                      <w:color w:val="000000"/>
                      <w:spacing w:val="9"/>
                      <w:kern w:val="0"/>
                      <w:szCs w:val="21"/>
                    </w:rPr>
                    <w:t>绿化带4m+人行道2m+主路行车道23m+人行道2m +绿化带4m =35m。</w:t>
                  </w:r>
                </w:p>
                <w:p>
                  <w:pPr>
                    <w:ind w:firstLine="420" w:firstLineChars="200"/>
                    <w:rPr>
                      <w:rFonts w:hint="eastAsia"/>
                      <w:bCs/>
                      <w:color w:val="000000"/>
                      <w:spacing w:val="9"/>
                      <w:kern w:val="0"/>
                      <w:szCs w:val="21"/>
                    </w:rPr>
                  </w:pPr>
                  <w:r>
                    <w:rPr>
                      <w:bCs/>
                      <w:color w:val="000000"/>
                      <w:spacing w:val="9"/>
                      <w:kern w:val="0"/>
                      <w:szCs w:val="21"/>
                    </w:rPr>
                    <w:t>K</w:t>
                  </w:r>
                  <w:r>
                    <w:rPr>
                      <w:rFonts w:hint="eastAsia"/>
                      <w:bCs/>
                      <w:color w:val="000000"/>
                      <w:spacing w:val="9"/>
                      <w:kern w:val="0"/>
                      <w:szCs w:val="21"/>
                    </w:rPr>
                    <w:t>6+072～</w:t>
                  </w:r>
                  <w:r>
                    <w:rPr>
                      <w:bCs/>
                      <w:color w:val="000000"/>
                      <w:spacing w:val="9"/>
                      <w:kern w:val="0"/>
                      <w:szCs w:val="21"/>
                    </w:rPr>
                    <w:t>K</w:t>
                  </w:r>
                  <w:r>
                    <w:rPr>
                      <w:rFonts w:hint="eastAsia"/>
                      <w:bCs/>
                      <w:color w:val="000000"/>
                      <w:spacing w:val="9"/>
                      <w:kern w:val="0"/>
                      <w:szCs w:val="21"/>
                    </w:rPr>
                    <w:t>6</w:t>
                  </w:r>
                  <w:r>
                    <w:rPr>
                      <w:bCs/>
                      <w:color w:val="000000"/>
                      <w:spacing w:val="9"/>
                      <w:kern w:val="0"/>
                      <w:szCs w:val="21"/>
                    </w:rPr>
                    <w:t>+</w:t>
                  </w:r>
                  <w:r>
                    <w:rPr>
                      <w:rFonts w:hint="eastAsia"/>
                      <w:bCs/>
                      <w:color w:val="000000"/>
                      <w:spacing w:val="9"/>
                      <w:kern w:val="0"/>
                      <w:szCs w:val="21"/>
                    </w:rPr>
                    <w:t>600路段：</w:t>
                  </w:r>
                  <w:r>
                    <w:rPr>
                      <w:bCs/>
                      <w:color w:val="000000"/>
                      <w:spacing w:val="9"/>
                      <w:kern w:val="0"/>
                      <w:szCs w:val="21"/>
                    </w:rPr>
                    <w:t>B=</w:t>
                  </w:r>
                  <w:r>
                    <w:rPr>
                      <w:rFonts w:hint="eastAsia"/>
                      <w:bCs/>
                      <w:color w:val="000000"/>
                      <w:spacing w:val="9"/>
                      <w:kern w:val="0"/>
                      <w:szCs w:val="21"/>
                    </w:rPr>
                    <w:t>绿化带4m+人行道2m+主路行车道23m+人行道2m +绿化带4m =35m。</w:t>
                  </w:r>
                </w:p>
                <w:p>
                  <w:pPr>
                    <w:ind w:firstLine="420" w:firstLineChars="200"/>
                    <w:rPr>
                      <w:rFonts w:hint="eastAsia"/>
                      <w:color w:val="000000"/>
                      <w:spacing w:val="9"/>
                      <w:kern w:val="0"/>
                      <w:szCs w:val="21"/>
                    </w:rPr>
                  </w:pPr>
                  <w:r>
                    <w:rPr>
                      <w:bCs/>
                      <w:color w:val="000000"/>
                      <w:spacing w:val="9"/>
                      <w:kern w:val="0"/>
                      <w:szCs w:val="21"/>
                    </w:rPr>
                    <w:t>K</w:t>
                  </w:r>
                  <w:r>
                    <w:rPr>
                      <w:rFonts w:hint="eastAsia"/>
                      <w:bCs/>
                      <w:color w:val="000000"/>
                      <w:spacing w:val="9"/>
                      <w:kern w:val="0"/>
                      <w:szCs w:val="21"/>
                    </w:rPr>
                    <w:t>6+600～</w:t>
                  </w:r>
                  <w:r>
                    <w:rPr>
                      <w:bCs/>
                      <w:color w:val="000000"/>
                      <w:spacing w:val="9"/>
                      <w:kern w:val="0"/>
                      <w:szCs w:val="21"/>
                    </w:rPr>
                    <w:t>K</w:t>
                  </w:r>
                  <w:r>
                    <w:rPr>
                      <w:rFonts w:hint="eastAsia"/>
                      <w:bCs/>
                      <w:color w:val="000000"/>
                      <w:spacing w:val="9"/>
                      <w:kern w:val="0"/>
                      <w:szCs w:val="21"/>
                    </w:rPr>
                    <w:t>9+020路段：</w:t>
                  </w:r>
                  <w:r>
                    <w:rPr>
                      <w:bCs/>
                      <w:color w:val="000000"/>
                      <w:spacing w:val="9"/>
                      <w:kern w:val="0"/>
                      <w:szCs w:val="21"/>
                    </w:rPr>
                    <w:t>B=</w:t>
                  </w:r>
                  <w:r>
                    <w:rPr>
                      <w:rFonts w:hint="eastAsia"/>
                      <w:bCs/>
                      <w:color w:val="000000"/>
                      <w:spacing w:val="9"/>
                      <w:kern w:val="0"/>
                      <w:szCs w:val="21"/>
                    </w:rPr>
                    <w:t>绿化带4m+人行道2m+主路行车道23m+人行道2m +绿化带4m =35m。</w:t>
                  </w:r>
                </w:p>
                <w:p>
                  <w:pPr>
                    <w:ind w:firstLine="420" w:firstLineChars="200"/>
                    <w:rPr>
                      <w:color w:val="000000"/>
                      <w:spacing w:val="9"/>
                      <w:kern w:val="0"/>
                      <w:szCs w:val="21"/>
                    </w:rPr>
                  </w:pPr>
                  <w:r>
                    <w:rPr>
                      <w:color w:val="000000"/>
                      <w:spacing w:val="9"/>
                      <w:kern w:val="0"/>
                      <w:szCs w:val="21"/>
                    </w:rPr>
                    <w:t>K</w:t>
                  </w:r>
                  <w:r>
                    <w:rPr>
                      <w:rFonts w:hint="eastAsia"/>
                      <w:color w:val="000000"/>
                      <w:spacing w:val="9"/>
                      <w:kern w:val="0"/>
                      <w:szCs w:val="21"/>
                    </w:rPr>
                    <w:t>9+020～</w:t>
                  </w:r>
                  <w:r>
                    <w:rPr>
                      <w:color w:val="000000"/>
                      <w:spacing w:val="9"/>
                      <w:kern w:val="0"/>
                      <w:szCs w:val="21"/>
                    </w:rPr>
                    <w:t>K</w:t>
                  </w:r>
                  <w:r>
                    <w:rPr>
                      <w:rFonts w:hint="eastAsia"/>
                      <w:color w:val="000000"/>
                      <w:spacing w:val="9"/>
                      <w:kern w:val="0"/>
                      <w:szCs w:val="21"/>
                    </w:rPr>
                    <w:t>9+140路基渐变段，路面宽度由23m渐变至15m。</w:t>
                  </w:r>
                </w:p>
              </w:tc>
            </w:tr>
            <w:tr>
              <w:tblPrEx>
                <w:tblW w:w="0" w:type="auto"/>
                <w:tblInd w:w="113" w:type="dxa"/>
                <w:tblCellMar>
                  <w:top w:w="0" w:type="dxa"/>
                  <w:left w:w="108" w:type="dxa"/>
                  <w:bottom w:w="0" w:type="dxa"/>
                  <w:right w:w="108" w:type="dxa"/>
                </w:tblCellMar>
                <w:tblLook w:val="0000"/>
              </w:tblPrEx>
              <w:trPr>
                <w:trHeight w:val="454"/>
              </w:trPr>
              <w:tc>
                <w:tcPr>
                  <w:tcW w:w="674" w:type="dxa"/>
                  <w:vMerge/>
                  <w:vAlign w:val="center"/>
                </w:tcPr>
                <w:p>
                  <w:pPr>
                    <w:adjustRightInd w:val="0"/>
                    <w:snapToGrid w:val="0"/>
                    <w:jc w:val="center"/>
                    <w:rPr>
                      <w:rFonts w:hint="eastAsia"/>
                      <w:color w:val="000000"/>
                      <w:szCs w:val="21"/>
                    </w:rPr>
                  </w:pPr>
                </w:p>
              </w:tc>
              <w:tc>
                <w:tcPr>
                  <w:tcW w:w="1419" w:type="dxa"/>
                  <w:gridSpan w:val="2"/>
                  <w:vAlign w:val="center"/>
                </w:tcPr>
                <w:p>
                  <w:pPr>
                    <w:adjustRightInd w:val="0"/>
                    <w:snapToGrid w:val="0"/>
                    <w:jc w:val="center"/>
                    <w:rPr>
                      <w:rFonts w:hint="eastAsia"/>
                      <w:color w:val="000000"/>
                      <w:szCs w:val="21"/>
                    </w:rPr>
                  </w:pPr>
                  <w:r>
                    <w:rPr>
                      <w:rFonts w:hint="eastAsia"/>
                      <w:color w:val="000000"/>
                      <w:szCs w:val="21"/>
                    </w:rPr>
                    <w:t>路面工程</w:t>
                  </w:r>
                </w:p>
              </w:tc>
              <w:tc>
                <w:tcPr>
                  <w:tcW w:w="5750" w:type="dxa"/>
                  <w:gridSpan w:val="2"/>
                  <w:vAlign w:val="center"/>
                </w:tcPr>
                <w:p>
                  <w:pPr>
                    <w:ind w:firstLine="420" w:firstLineChars="200"/>
                    <w:rPr>
                      <w:b/>
                      <w:bCs/>
                      <w:color w:val="000000"/>
                      <w:spacing w:val="9"/>
                      <w:kern w:val="0"/>
                      <w:szCs w:val="21"/>
                    </w:rPr>
                  </w:pPr>
                  <w:r>
                    <w:rPr>
                      <w:rFonts w:hint="eastAsia"/>
                      <w:bCs/>
                      <w:color w:val="000000"/>
                      <w:spacing w:val="9"/>
                      <w:kern w:val="0"/>
                      <w:szCs w:val="21"/>
                    </w:rPr>
                    <w:t>主路行车道加宽部分路面结构</w:t>
                  </w:r>
                  <w:r>
                    <w:rPr>
                      <w:color w:val="000000"/>
                      <w:spacing w:val="9"/>
                      <w:kern w:val="0"/>
                      <w:szCs w:val="21"/>
                    </w:rPr>
                    <w:t>为</w:t>
                  </w:r>
                  <w:r>
                    <w:rPr>
                      <w:rFonts w:hint="eastAsia"/>
                      <w:color w:val="000000"/>
                      <w:spacing w:val="9"/>
                      <w:kern w:val="0"/>
                      <w:szCs w:val="21"/>
                    </w:rPr>
                    <w:t>：3.5cm细粒式沥青砼(AC-13) +黏层+ 5cm中粒式沥青混合料（AC-20）+热沥青预拌碎石下封层+透层+16cm水泥稳定碎石上基层(参考水泥剂量5%)+16cm水泥稳定碎石基层(参考水泥剂量5%)+16cm水泥稳定碎石底基层(参考水泥剂量5%)。</w:t>
                  </w:r>
                </w:p>
                <w:p>
                  <w:pPr>
                    <w:spacing w:after="0"/>
                    <w:ind w:firstLine="525" w:firstLineChars="250"/>
                    <w:rPr>
                      <w:color w:val="000000"/>
                      <w:szCs w:val="21"/>
                    </w:rPr>
                  </w:pPr>
                </w:p>
              </w:tc>
            </w:tr>
          </w:tbl>
          <w:p/>
        </w:tc>
      </w:tr>
    </w:tbl>
    <w:p>
      <w:pPr>
        <w:sectPr>
          <w:footerReference w:type="even" r:id="rId34"/>
          <w:footerReference w:type="default" r:id="rId35"/>
          <w:pgSz w:w="11906" w:h="16838"/>
          <w:pgMar w:top="1440" w:right="1797" w:bottom="1440" w:left="1797" w:header="851" w:footer="1077" w:gutter="0"/>
          <w:pgNumType w:start="15"/>
          <w:cols w:space="708"/>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2"/>
        <w:gridCol w:w="8076"/>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2542"/>
          <w:jc w:val="center"/>
        </w:trPr>
        <w:tc>
          <w:tcPr>
            <w:tcW w:w="308" w:type="pct"/>
            <w:vAlign w:val="center"/>
          </w:tcPr>
          <w:p/>
        </w:tc>
        <w:tc>
          <w:tcPr>
            <w:tcW w:w="4692" w:type="pct"/>
            <w:vAlign w:val="center"/>
          </w:tcPr>
          <w:tbl>
            <w:tblPr>
              <w:tblStyle w:val="TableNorm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665"/>
              <w:gridCol w:w="1400"/>
              <w:gridCol w:w="5672"/>
            </w:tblGrid>
            <w:tr>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trPr>
              <w:tc>
                <w:tcPr>
                  <w:tcW w:w="674" w:type="dxa"/>
                  <w:vMerge w:val="restart"/>
                  <w:vAlign w:val="center"/>
                </w:tcPr>
                <w:p/>
              </w:tc>
              <w:tc>
                <w:tcPr>
                  <w:tcW w:w="1419" w:type="dxa"/>
                  <w:vAlign w:val="center"/>
                </w:tcPr>
                <w:p/>
              </w:tc>
              <w:tc>
                <w:tcPr>
                  <w:tcW w:w="5750" w:type="dxa"/>
                  <w:vAlign w:val="center"/>
                </w:tcPr>
                <w:p>
                  <w:pPr>
                    <w:spacing w:before="0"/>
                    <w:ind w:firstLine="525" w:firstLineChars="250"/>
                    <w:rPr>
                      <w:color w:val="000000"/>
                      <w:szCs w:val="21"/>
                    </w:rPr>
                  </w:pPr>
                  <w:r>
                    <w:rPr>
                      <w:rFonts w:hint="eastAsia"/>
                      <w:color w:val="000000"/>
                      <w:spacing w:val="9"/>
                      <w:kern w:val="0"/>
                      <w:szCs w:val="21"/>
                    </w:rPr>
                    <w:t>人行道路面结构为：6cm混凝土彩色人行道砖+2cmM7.5水泥砂浆卧层+10cmC15混凝土+15cm水泥稳定土（参考水泥剂量为6%）。</w:t>
                  </w:r>
                </w:p>
              </w:tc>
            </w:tr>
            <w:tr>
              <w:tblPrEx>
                <w:tblW w:w="0" w:type="auto"/>
                <w:tblInd w:w="113" w:type="dxa"/>
                <w:tblCellMar>
                  <w:top w:w="0" w:type="dxa"/>
                  <w:left w:w="108" w:type="dxa"/>
                  <w:bottom w:w="0" w:type="dxa"/>
                  <w:right w:w="108" w:type="dxa"/>
                </w:tblCellMar>
                <w:tblLook w:val="0000"/>
              </w:tblPrEx>
              <w:trPr>
                <w:trHeight w:val="454"/>
              </w:trPr>
              <w:tc>
                <w:tcPr>
                  <w:tcW w:w="674" w:type="dxa"/>
                  <w:vMerge/>
                  <w:vAlign w:val="center"/>
                </w:tcPr>
                <w:p>
                  <w:pPr>
                    <w:adjustRightInd w:val="0"/>
                    <w:snapToGrid w:val="0"/>
                    <w:jc w:val="center"/>
                    <w:rPr>
                      <w:rFonts w:hint="eastAsia"/>
                      <w:color w:val="000000"/>
                      <w:szCs w:val="21"/>
                    </w:rPr>
                  </w:pPr>
                </w:p>
              </w:tc>
              <w:tc>
                <w:tcPr>
                  <w:tcW w:w="1419" w:type="dxa"/>
                  <w:vAlign w:val="center"/>
                </w:tcPr>
                <w:p>
                  <w:pPr>
                    <w:adjustRightInd w:val="0"/>
                    <w:snapToGrid w:val="0"/>
                    <w:jc w:val="center"/>
                    <w:rPr>
                      <w:rFonts w:hint="eastAsia"/>
                      <w:color w:val="000000"/>
                      <w:szCs w:val="21"/>
                    </w:rPr>
                  </w:pPr>
                  <w:r>
                    <w:rPr>
                      <w:rFonts w:hint="eastAsia"/>
                      <w:color w:val="000000"/>
                      <w:szCs w:val="21"/>
                    </w:rPr>
                    <w:t>交叉工程</w:t>
                  </w:r>
                </w:p>
              </w:tc>
              <w:tc>
                <w:tcPr>
                  <w:tcW w:w="5750" w:type="dxa"/>
                  <w:vAlign w:val="center"/>
                </w:tcPr>
                <w:p>
                  <w:pPr>
                    <w:adjustRightInd w:val="0"/>
                    <w:snapToGrid w:val="0"/>
                    <w:ind w:firstLine="420" w:firstLineChars="200"/>
                    <w:jc w:val="left"/>
                    <w:rPr>
                      <w:rFonts w:hint="eastAsia"/>
                      <w:color w:val="000000"/>
                      <w:szCs w:val="21"/>
                    </w:rPr>
                  </w:pPr>
                  <w:r>
                    <w:rPr>
                      <w:rFonts w:hint="eastAsia"/>
                      <w:color w:val="000000"/>
                      <w:szCs w:val="21"/>
                    </w:rPr>
                    <w:t>与本项目相交的城市道路及县道有4处，分别为三岭大街、长江大街、惠宁南街、X056，其余均为村村通及机耕道。</w:t>
                  </w:r>
                </w:p>
                <w:p>
                  <w:pPr>
                    <w:adjustRightInd w:val="0"/>
                    <w:snapToGrid w:val="0"/>
                    <w:ind w:firstLine="420" w:firstLineChars="200"/>
                    <w:jc w:val="left"/>
                    <w:rPr>
                      <w:color w:val="000000"/>
                      <w:szCs w:val="21"/>
                    </w:rPr>
                  </w:pPr>
                  <w:r>
                    <w:rPr>
                      <w:rFonts w:hint="eastAsia"/>
                      <w:color w:val="000000"/>
                      <w:szCs w:val="21"/>
                    </w:rPr>
                    <w:t>本项目设置右进右出接入口16处，主要为村村通及机耕道路，均进行加铺转角设计，并对适当长度的被交路进行顺接处理，使其与主线相交处纵坡顺适。</w:t>
                  </w:r>
                </w:p>
              </w:tc>
            </w:tr>
            <w:tr>
              <w:tblPrEx>
                <w:tblW w:w="0" w:type="auto"/>
                <w:tblInd w:w="113" w:type="dxa"/>
                <w:tblCellMar>
                  <w:top w:w="0" w:type="dxa"/>
                  <w:left w:w="108" w:type="dxa"/>
                  <w:bottom w:w="0" w:type="dxa"/>
                  <w:right w:w="108" w:type="dxa"/>
                </w:tblCellMar>
                <w:tblLook w:val="0000"/>
              </w:tblPrEx>
              <w:trPr>
                <w:trHeight w:val="875"/>
              </w:trPr>
              <w:tc>
                <w:tcPr>
                  <w:tcW w:w="674" w:type="dxa"/>
                  <w:vMerge/>
                  <w:vAlign w:val="center"/>
                </w:tcPr>
                <w:p>
                  <w:pPr>
                    <w:adjustRightInd w:val="0"/>
                    <w:snapToGrid w:val="0"/>
                    <w:jc w:val="center"/>
                    <w:rPr>
                      <w:rFonts w:hint="eastAsia"/>
                      <w:color w:val="000000"/>
                      <w:szCs w:val="21"/>
                    </w:rPr>
                  </w:pPr>
                </w:p>
              </w:tc>
              <w:tc>
                <w:tcPr>
                  <w:tcW w:w="1419" w:type="dxa"/>
                  <w:vAlign w:val="center"/>
                </w:tcPr>
                <w:p>
                  <w:pPr>
                    <w:adjustRightInd w:val="0"/>
                    <w:snapToGrid w:val="0"/>
                    <w:jc w:val="center"/>
                    <w:rPr>
                      <w:rFonts w:hint="eastAsia"/>
                      <w:color w:val="000000"/>
                      <w:szCs w:val="21"/>
                    </w:rPr>
                  </w:pPr>
                  <w:r>
                    <w:rPr>
                      <w:rFonts w:hint="eastAsia"/>
                      <w:color w:val="000000"/>
                      <w:szCs w:val="21"/>
                    </w:rPr>
                    <w:t>涵洞</w:t>
                  </w:r>
                </w:p>
              </w:tc>
              <w:tc>
                <w:tcPr>
                  <w:tcW w:w="5750" w:type="dxa"/>
                  <w:vAlign w:val="center"/>
                </w:tcPr>
                <w:p>
                  <w:pPr>
                    <w:ind w:firstLine="420" w:firstLineChars="200"/>
                    <w:rPr>
                      <w:rFonts w:hint="eastAsia"/>
                      <w:color w:val="000000"/>
                      <w:spacing w:val="9"/>
                      <w:kern w:val="0"/>
                      <w:szCs w:val="21"/>
                    </w:rPr>
                  </w:pPr>
                  <w:r>
                    <w:rPr>
                      <w:rFonts w:hint="eastAsia"/>
                      <w:color w:val="000000"/>
                      <w:spacing w:val="9"/>
                      <w:kern w:val="0"/>
                      <w:szCs w:val="21"/>
                    </w:rPr>
                    <w:t>本路段涵洞共7道，其中1道新建，4道接长利用，2道废弃（完全堵死，失去排水作用）。</w:t>
                  </w:r>
                </w:p>
              </w:tc>
            </w:tr>
            <w:tr>
              <w:tblPrEx>
                <w:tblW w:w="0" w:type="auto"/>
                <w:tblInd w:w="113" w:type="dxa"/>
                <w:tblCellMar>
                  <w:top w:w="0" w:type="dxa"/>
                  <w:left w:w="108" w:type="dxa"/>
                  <w:bottom w:w="0" w:type="dxa"/>
                  <w:right w:w="108" w:type="dxa"/>
                </w:tblCellMar>
                <w:tblLook w:val="0000"/>
              </w:tblPrEx>
              <w:trPr>
                <w:trHeight w:val="454"/>
              </w:trPr>
              <w:tc>
                <w:tcPr>
                  <w:tcW w:w="674" w:type="dxa"/>
                  <w:vMerge/>
                  <w:vAlign w:val="center"/>
                </w:tcPr>
                <w:p>
                  <w:pPr>
                    <w:adjustRightInd w:val="0"/>
                    <w:snapToGrid w:val="0"/>
                    <w:jc w:val="center"/>
                    <w:rPr>
                      <w:rFonts w:hint="eastAsia"/>
                      <w:color w:val="000000"/>
                      <w:szCs w:val="21"/>
                    </w:rPr>
                  </w:pPr>
                </w:p>
              </w:tc>
              <w:tc>
                <w:tcPr>
                  <w:tcW w:w="1419" w:type="dxa"/>
                  <w:vAlign w:val="center"/>
                </w:tcPr>
                <w:p>
                  <w:pPr>
                    <w:adjustRightInd w:val="0"/>
                    <w:snapToGrid w:val="0"/>
                    <w:jc w:val="center"/>
                    <w:rPr>
                      <w:rFonts w:hint="eastAsia"/>
                      <w:color w:val="000000"/>
                      <w:szCs w:val="21"/>
                    </w:rPr>
                  </w:pPr>
                  <w:r>
                    <w:rPr>
                      <w:rFonts w:hint="eastAsia"/>
                      <w:color w:val="000000"/>
                      <w:szCs w:val="21"/>
                    </w:rPr>
                    <w:t>交通工程</w:t>
                  </w:r>
                </w:p>
              </w:tc>
              <w:tc>
                <w:tcPr>
                  <w:tcW w:w="5750" w:type="dxa"/>
                  <w:vAlign w:val="center"/>
                </w:tcPr>
                <w:p>
                  <w:pPr>
                    <w:adjustRightInd w:val="0"/>
                    <w:snapToGrid w:val="0"/>
                    <w:ind w:firstLine="315" w:firstLineChars="150"/>
                    <w:jc w:val="left"/>
                    <w:rPr>
                      <w:color w:val="000000"/>
                      <w:szCs w:val="21"/>
                    </w:rPr>
                  </w:pPr>
                  <w:r>
                    <w:rPr>
                      <w:rFonts w:hint="eastAsia"/>
                      <w:color w:val="000000"/>
                      <w:spacing w:val="9"/>
                      <w:kern w:val="0"/>
                      <w:szCs w:val="21"/>
                    </w:rPr>
                    <w:t>路段</w:t>
                  </w:r>
                  <w:r>
                    <w:rPr>
                      <w:color w:val="000000"/>
                      <w:spacing w:val="9"/>
                      <w:kern w:val="0"/>
                      <w:szCs w:val="21"/>
                    </w:rPr>
                    <w:t>因加宽后升级为一级路，</w:t>
                  </w:r>
                  <w:r>
                    <w:rPr>
                      <w:color w:val="000000"/>
                      <w:szCs w:val="21"/>
                    </w:rPr>
                    <w:t>沿线设置交通标志牌、路面标线等</w:t>
                  </w:r>
                  <w:r>
                    <w:rPr>
                      <w:color w:val="000000"/>
                      <w:spacing w:val="9"/>
                      <w:kern w:val="0"/>
                      <w:szCs w:val="21"/>
                    </w:rPr>
                    <w:t>安全设施。</w:t>
                  </w:r>
                </w:p>
              </w:tc>
            </w:tr>
            <w:tr>
              <w:tblPrEx>
                <w:tblW w:w="0" w:type="auto"/>
                <w:tblInd w:w="113" w:type="dxa"/>
                <w:tblCellMar>
                  <w:top w:w="0" w:type="dxa"/>
                  <w:left w:w="108" w:type="dxa"/>
                  <w:bottom w:w="0" w:type="dxa"/>
                  <w:right w:w="108" w:type="dxa"/>
                </w:tblCellMar>
                <w:tblLook w:val="0000"/>
              </w:tblPrEx>
              <w:trPr>
                <w:trHeight w:val="454"/>
              </w:trPr>
              <w:tc>
                <w:tcPr>
                  <w:tcW w:w="674" w:type="dxa"/>
                  <w:vAlign w:val="center"/>
                </w:tcPr>
                <w:p>
                  <w:pPr>
                    <w:adjustRightInd w:val="0"/>
                    <w:snapToGrid w:val="0"/>
                    <w:jc w:val="center"/>
                    <w:rPr>
                      <w:rFonts w:hint="eastAsia"/>
                      <w:color w:val="000000"/>
                      <w:szCs w:val="21"/>
                    </w:rPr>
                  </w:pPr>
                  <w:r>
                    <w:rPr>
                      <w:rFonts w:hint="eastAsia"/>
                      <w:color w:val="000000"/>
                      <w:szCs w:val="21"/>
                    </w:rPr>
                    <w:t>公用工程</w:t>
                  </w:r>
                </w:p>
              </w:tc>
              <w:tc>
                <w:tcPr>
                  <w:tcW w:w="1419" w:type="dxa"/>
                  <w:vAlign w:val="center"/>
                </w:tcPr>
                <w:p>
                  <w:pPr>
                    <w:adjustRightInd w:val="0"/>
                    <w:snapToGrid w:val="0"/>
                    <w:jc w:val="center"/>
                    <w:rPr>
                      <w:rFonts w:hint="eastAsia"/>
                      <w:color w:val="000000"/>
                      <w:szCs w:val="21"/>
                    </w:rPr>
                  </w:pPr>
                  <w:r>
                    <w:rPr>
                      <w:rFonts w:hint="eastAsia"/>
                      <w:color w:val="000000"/>
                      <w:szCs w:val="21"/>
                    </w:rPr>
                    <w:t>雨水、污水等管线</w:t>
                  </w:r>
                </w:p>
              </w:tc>
              <w:tc>
                <w:tcPr>
                  <w:tcW w:w="5750" w:type="dxa"/>
                  <w:vAlign w:val="center"/>
                </w:tcPr>
                <w:p>
                  <w:pPr>
                    <w:ind w:firstLine="420" w:firstLineChars="200"/>
                    <w:rPr>
                      <w:color w:val="000000"/>
                      <w:spacing w:val="9"/>
                      <w:kern w:val="0"/>
                      <w:szCs w:val="21"/>
                    </w:rPr>
                  </w:pPr>
                  <w:r>
                    <w:rPr>
                      <w:color w:val="000000"/>
                      <w:spacing w:val="9"/>
                      <w:kern w:val="0"/>
                      <w:szCs w:val="21"/>
                    </w:rPr>
                    <w:t>雨水排水：</w:t>
                  </w:r>
                </w:p>
                <w:p>
                  <w:pPr>
                    <w:ind w:firstLine="420" w:firstLineChars="200"/>
                    <w:rPr>
                      <w:color w:val="000000"/>
                      <w:spacing w:val="9"/>
                      <w:kern w:val="0"/>
                      <w:szCs w:val="21"/>
                    </w:rPr>
                  </w:pPr>
                  <w:r>
                    <w:rPr>
                      <w:color w:val="000000"/>
                      <w:spacing w:val="9"/>
                      <w:kern w:val="0"/>
                      <w:szCs w:val="21"/>
                    </w:rPr>
                    <w:t>道路东侧新建一道DN1000雨水主管道，管道位置位于绿化带内距路面边缘2.5m处；管道最终接入原有雨水排水管道或河沟之中，其中K4+234 (三岭路)～K6+570 (惠宁大街)段自中间分别向北向南汇入三岭路及惠宁大街已建雨水管道中。K6+570 (惠宁大街)～K8+700段自中间分别向北向南汇入惠宁大街已建雨水管道及附近沟渠中。K8+700～K9+020段自南向北汇入附近沟渠中；每隔约50m设置一座雨水检查井，于行车道边缘设置偏沟式双箅雨水口，通过DN300支管汇入检查井内；路西侧同样设置雨水口，通过过路横管排入东侧雨水管道中。</w:t>
                  </w:r>
                </w:p>
                <w:p>
                  <w:pPr>
                    <w:ind w:firstLine="420" w:firstLineChars="200"/>
                    <w:rPr>
                      <w:color w:val="000000"/>
                      <w:spacing w:val="9"/>
                      <w:kern w:val="0"/>
                      <w:szCs w:val="21"/>
                    </w:rPr>
                  </w:pPr>
                  <w:r>
                    <w:rPr>
                      <w:color w:val="000000"/>
                      <w:spacing w:val="9"/>
                      <w:kern w:val="0"/>
                      <w:szCs w:val="21"/>
                    </w:rPr>
                    <w:t>污水</w:t>
                  </w:r>
                  <w:r>
                    <w:rPr>
                      <w:rFonts w:hint="eastAsia"/>
                      <w:color w:val="000000"/>
                      <w:spacing w:val="9"/>
                      <w:kern w:val="0"/>
                      <w:szCs w:val="21"/>
                    </w:rPr>
                    <w:t>排水：</w:t>
                  </w:r>
                </w:p>
                <w:p>
                  <w:pPr>
                    <w:ind w:firstLine="420" w:firstLineChars="200"/>
                    <w:rPr>
                      <w:rFonts w:hint="eastAsia"/>
                      <w:color w:val="000000"/>
                      <w:spacing w:val="9"/>
                      <w:kern w:val="0"/>
                      <w:szCs w:val="21"/>
                    </w:rPr>
                  </w:pPr>
                  <w:r>
                    <w:rPr>
                      <w:rFonts w:hint="eastAsia"/>
                      <w:color w:val="000000"/>
                      <w:spacing w:val="9"/>
                      <w:kern w:val="0"/>
                      <w:szCs w:val="21"/>
                    </w:rPr>
                    <w:t>道路东侧（</w:t>
                  </w:r>
                  <w:r>
                    <w:rPr>
                      <w:color w:val="000000"/>
                      <w:spacing w:val="9"/>
                      <w:kern w:val="0"/>
                      <w:szCs w:val="21"/>
                    </w:rPr>
                    <w:t>K</w:t>
                  </w:r>
                  <w:r>
                    <w:rPr>
                      <w:rFonts w:hint="eastAsia"/>
                      <w:color w:val="000000"/>
                      <w:spacing w:val="9"/>
                      <w:kern w:val="0"/>
                      <w:szCs w:val="21"/>
                    </w:rPr>
                    <w:t>6</w:t>
                  </w:r>
                  <w:r>
                    <w:rPr>
                      <w:color w:val="000000"/>
                      <w:spacing w:val="9"/>
                      <w:kern w:val="0"/>
                      <w:szCs w:val="21"/>
                    </w:rPr>
                    <w:t>+</w:t>
                  </w:r>
                  <w:r>
                    <w:rPr>
                      <w:rFonts w:hint="eastAsia"/>
                      <w:color w:val="000000"/>
                      <w:spacing w:val="9"/>
                      <w:kern w:val="0"/>
                      <w:szCs w:val="21"/>
                    </w:rPr>
                    <w:t>600～</w:t>
                  </w:r>
                  <w:r>
                    <w:rPr>
                      <w:color w:val="000000"/>
                      <w:spacing w:val="9"/>
                      <w:kern w:val="0"/>
                      <w:szCs w:val="21"/>
                    </w:rPr>
                    <w:t>K</w:t>
                  </w:r>
                  <w:r>
                    <w:rPr>
                      <w:rFonts w:hint="eastAsia"/>
                      <w:color w:val="000000"/>
                      <w:spacing w:val="9"/>
                      <w:kern w:val="0"/>
                      <w:szCs w:val="21"/>
                    </w:rPr>
                    <w:t>7+790）路段新建一道DN600污水主管道，管道位置位于绿化带内距路面边缘4.5m处；每隔约50m设置一座污水检查井，自南向北汇入惠宁大街污水管道中</w:t>
                  </w:r>
                  <w:r>
                    <w:rPr>
                      <w:color w:val="000000"/>
                      <w:spacing w:val="9"/>
                      <w:kern w:val="0"/>
                      <w:szCs w:val="21"/>
                    </w:rPr>
                    <w:t>。</w:t>
                  </w:r>
                </w:p>
              </w:tc>
            </w:tr>
            <w:tr>
              <w:tblPrEx>
                <w:tblW w:w="0" w:type="auto"/>
                <w:tblInd w:w="113" w:type="dxa"/>
                <w:tblCellMar>
                  <w:top w:w="0" w:type="dxa"/>
                  <w:left w:w="108" w:type="dxa"/>
                  <w:bottom w:w="0" w:type="dxa"/>
                  <w:right w:w="108" w:type="dxa"/>
                </w:tblCellMar>
                <w:tblLook w:val="0000"/>
              </w:tblPrEx>
              <w:trPr>
                <w:trHeight w:val="454"/>
              </w:trPr>
              <w:tc>
                <w:tcPr>
                  <w:tcW w:w="674" w:type="dxa"/>
                  <w:vMerge w:val="restart"/>
                  <w:vAlign w:val="center"/>
                </w:tcPr>
                <w:p>
                  <w:pPr>
                    <w:adjustRightInd w:val="0"/>
                    <w:snapToGrid w:val="0"/>
                    <w:jc w:val="center"/>
                    <w:rPr>
                      <w:rFonts w:hint="eastAsia"/>
                      <w:color w:val="000000"/>
                      <w:szCs w:val="21"/>
                    </w:rPr>
                  </w:pPr>
                  <w:r>
                    <w:rPr>
                      <w:rFonts w:hint="eastAsia"/>
                      <w:color w:val="000000"/>
                      <w:szCs w:val="21"/>
                    </w:rPr>
                    <w:t>环保工程</w:t>
                  </w:r>
                </w:p>
              </w:tc>
              <w:tc>
                <w:tcPr>
                  <w:tcW w:w="1419" w:type="dxa"/>
                  <w:vAlign w:val="center"/>
                </w:tcPr>
                <w:p>
                  <w:pPr>
                    <w:adjustRightInd w:val="0"/>
                    <w:snapToGrid w:val="0"/>
                    <w:jc w:val="center"/>
                    <w:rPr>
                      <w:rFonts w:hint="eastAsia"/>
                      <w:color w:val="000000"/>
                      <w:szCs w:val="21"/>
                    </w:rPr>
                  </w:pPr>
                  <w:r>
                    <w:rPr>
                      <w:rFonts w:hint="eastAsia"/>
                      <w:color w:val="000000"/>
                      <w:szCs w:val="21"/>
                    </w:rPr>
                    <w:t>废气</w:t>
                  </w:r>
                </w:p>
              </w:tc>
              <w:tc>
                <w:tcPr>
                  <w:tcW w:w="5750" w:type="dxa"/>
                  <w:vAlign w:val="center"/>
                </w:tcPr>
                <w:p>
                  <w:pPr>
                    <w:adjustRightInd w:val="0"/>
                    <w:snapToGrid w:val="0"/>
                    <w:ind w:firstLine="420" w:firstLineChars="200"/>
                    <w:jc w:val="left"/>
                    <w:rPr>
                      <w:rFonts w:hint="eastAsia"/>
                      <w:color w:val="000000"/>
                      <w:szCs w:val="21"/>
                      <w:highlight w:val="yellow"/>
                    </w:rPr>
                  </w:pPr>
                  <w:r>
                    <w:rPr>
                      <w:rFonts w:hint="eastAsia"/>
                      <w:color w:val="000000"/>
                      <w:szCs w:val="21"/>
                    </w:rPr>
                    <w:t>施工期废气主要扬尘和沥青烟，扬尘采取洒水抑尘、施工现场设置围挡、堆场覆盖防尘抑尘网等措施，沥青烟采取</w:t>
                  </w:r>
                  <w:r>
                    <w:rPr>
                      <w:rFonts w:hint="eastAsia"/>
                      <w:bCs/>
                      <w:color w:val="000000"/>
                      <w:szCs w:val="21"/>
                    </w:rPr>
                    <w:t>运输沥青混凝土的车辆全封密，加快施工进度等措施；运营期废气</w:t>
                  </w:r>
                  <w:r>
                    <w:rPr>
                      <w:rFonts w:hint="eastAsia"/>
                      <w:color w:val="000000"/>
                      <w:szCs w:val="21"/>
                    </w:rPr>
                    <w:t>主要是汽车尾气，两侧地面增设一些具有良好空气净化作用的植物以吸收尾气。</w:t>
                  </w:r>
                </w:p>
              </w:tc>
            </w:tr>
            <w:tr>
              <w:tblPrEx>
                <w:tblW w:w="0" w:type="auto"/>
                <w:tblInd w:w="113" w:type="dxa"/>
                <w:tblCellMar>
                  <w:top w:w="0" w:type="dxa"/>
                  <w:left w:w="108" w:type="dxa"/>
                  <w:bottom w:w="0" w:type="dxa"/>
                  <w:right w:w="108" w:type="dxa"/>
                </w:tblCellMar>
                <w:tblLook w:val="0000"/>
              </w:tblPrEx>
              <w:trPr>
                <w:trHeight w:val="454"/>
              </w:trPr>
              <w:tc>
                <w:tcPr>
                  <w:tcW w:w="674" w:type="dxa"/>
                  <w:vMerge/>
                  <w:vAlign w:val="center"/>
                </w:tcPr>
                <w:p>
                  <w:pPr>
                    <w:adjustRightInd w:val="0"/>
                    <w:snapToGrid w:val="0"/>
                    <w:jc w:val="center"/>
                    <w:rPr>
                      <w:rFonts w:hint="eastAsia"/>
                      <w:color w:val="000000"/>
                      <w:szCs w:val="21"/>
                    </w:rPr>
                  </w:pPr>
                </w:p>
              </w:tc>
              <w:tc>
                <w:tcPr>
                  <w:tcW w:w="1419" w:type="dxa"/>
                  <w:vAlign w:val="center"/>
                </w:tcPr>
                <w:p>
                  <w:pPr>
                    <w:adjustRightInd w:val="0"/>
                    <w:snapToGrid w:val="0"/>
                    <w:jc w:val="center"/>
                    <w:rPr>
                      <w:rFonts w:hint="eastAsia"/>
                      <w:color w:val="000000"/>
                      <w:szCs w:val="21"/>
                    </w:rPr>
                  </w:pPr>
                  <w:r>
                    <w:rPr>
                      <w:rFonts w:hint="eastAsia"/>
                      <w:color w:val="000000"/>
                      <w:szCs w:val="21"/>
                    </w:rPr>
                    <w:t>固废</w:t>
                  </w:r>
                </w:p>
              </w:tc>
              <w:tc>
                <w:tcPr>
                  <w:tcW w:w="5750" w:type="dxa"/>
                  <w:vAlign w:val="center"/>
                </w:tcPr>
                <w:p>
                  <w:pPr>
                    <w:adjustRightInd w:val="0"/>
                    <w:snapToGrid w:val="0"/>
                    <w:ind w:firstLine="420" w:firstLineChars="200"/>
                    <w:jc w:val="left"/>
                    <w:rPr>
                      <w:rFonts w:hint="eastAsia"/>
                      <w:color w:val="000000"/>
                      <w:szCs w:val="21"/>
                      <w:highlight w:val="yellow"/>
                    </w:rPr>
                  </w:pPr>
                  <w:r>
                    <w:rPr>
                      <w:rFonts w:hint="eastAsia"/>
                      <w:color w:val="000000"/>
                      <w:szCs w:val="21"/>
                    </w:rPr>
                    <w:t>施工期固废</w:t>
                  </w:r>
                  <w:r>
                    <w:rPr>
                      <w:rFonts w:hint="eastAsia"/>
                      <w:bCs/>
                      <w:color w:val="000000"/>
                      <w:szCs w:val="21"/>
                    </w:rPr>
                    <w:t>包括施工弃土（石）方、施工人员的日常生活垃圾，施工弃土（石）方运至政府指定的弃土场堆放，施工人员租住附近的小区，生活垃圾集中收集后依托租住小区的生活垃圾系统，最终由环卫部门清运处理；运营期不产生固废</w:t>
                  </w:r>
                </w:p>
              </w:tc>
            </w:tr>
            <w:tr>
              <w:tblPrEx>
                <w:tblW w:w="0" w:type="auto"/>
                <w:tblInd w:w="113" w:type="dxa"/>
                <w:tblCellMar>
                  <w:top w:w="0" w:type="dxa"/>
                  <w:left w:w="108" w:type="dxa"/>
                  <w:bottom w:w="0" w:type="dxa"/>
                  <w:right w:w="108" w:type="dxa"/>
                </w:tblCellMar>
                <w:tblLook w:val="0000"/>
              </w:tblPrEx>
              <w:trPr>
                <w:trHeight w:val="454"/>
              </w:trPr>
              <w:tc>
                <w:tcPr>
                  <w:tcW w:w="674" w:type="dxa"/>
                  <w:vMerge/>
                  <w:vAlign w:val="center"/>
                </w:tcPr>
                <w:p>
                  <w:pPr>
                    <w:adjustRightInd w:val="0"/>
                    <w:snapToGrid w:val="0"/>
                    <w:jc w:val="center"/>
                    <w:rPr>
                      <w:rFonts w:hint="eastAsia"/>
                      <w:color w:val="000000"/>
                      <w:szCs w:val="21"/>
                    </w:rPr>
                  </w:pPr>
                </w:p>
              </w:tc>
              <w:tc>
                <w:tcPr>
                  <w:tcW w:w="1419" w:type="dxa"/>
                  <w:vAlign w:val="center"/>
                </w:tcPr>
                <w:p>
                  <w:pPr>
                    <w:adjustRightInd w:val="0"/>
                    <w:snapToGrid w:val="0"/>
                    <w:jc w:val="center"/>
                    <w:rPr>
                      <w:rFonts w:hint="eastAsia"/>
                      <w:color w:val="000000"/>
                      <w:szCs w:val="21"/>
                    </w:rPr>
                  </w:pPr>
                  <w:r>
                    <w:rPr>
                      <w:rFonts w:hint="eastAsia"/>
                      <w:color w:val="000000"/>
                      <w:szCs w:val="21"/>
                    </w:rPr>
                    <w:t>废水</w:t>
                  </w:r>
                </w:p>
              </w:tc>
              <w:tc>
                <w:tcPr>
                  <w:tcW w:w="5750" w:type="dxa"/>
                  <w:vAlign w:val="center"/>
                </w:tcPr>
                <w:p>
                  <w:pPr>
                    <w:adjustRightInd w:val="0"/>
                    <w:snapToGrid w:val="0"/>
                    <w:ind w:firstLine="420" w:firstLineChars="200"/>
                    <w:rPr>
                      <w:rFonts w:hint="eastAsia"/>
                      <w:color w:val="000000"/>
                      <w:szCs w:val="21"/>
                      <w:highlight w:val="yellow"/>
                    </w:rPr>
                  </w:pPr>
                  <w:r>
                    <w:rPr>
                      <w:rFonts w:hint="eastAsia"/>
                      <w:color w:val="000000"/>
                      <w:szCs w:val="21"/>
                    </w:rPr>
                    <w:t>施工废水设置临时隔油沉淀池，经隔油沉淀处理后用于场地洒水降尘；</w:t>
                  </w:r>
                  <w:r>
                    <w:rPr>
                      <w:rFonts w:hint="eastAsia"/>
                      <w:bCs/>
                      <w:color w:val="000000"/>
                      <w:szCs w:val="21"/>
                    </w:rPr>
                    <w:t>施工人员拟定全部租住在附近的小区，不住在工地，施工人员生活区生活污水依托租住小区污水处理系统预处理后，通过市政污水管网排入污水处理厂集中处理</w:t>
                  </w:r>
                  <w:r>
                    <w:rPr>
                      <w:rFonts w:hint="eastAsia"/>
                      <w:color w:val="000000"/>
                      <w:szCs w:val="21"/>
                    </w:rPr>
                    <w:t>；</w:t>
                  </w:r>
                  <w:r>
                    <w:rPr>
                      <w:rFonts w:hint="eastAsia"/>
                      <w:bCs/>
                      <w:color w:val="000000"/>
                      <w:szCs w:val="21"/>
                    </w:rPr>
                    <w:t>施工人员现场施工时利用施工区附近或沿线公厕</w:t>
                  </w:r>
                  <w:r>
                    <w:rPr>
                      <w:bCs/>
                      <w:color w:val="000000"/>
                      <w:szCs w:val="21"/>
                    </w:rPr>
                    <w:t>，</w:t>
                  </w:r>
                  <w:r>
                    <w:rPr>
                      <w:rFonts w:hint="eastAsia"/>
                      <w:bCs/>
                      <w:color w:val="000000"/>
                      <w:szCs w:val="21"/>
                    </w:rPr>
                    <w:t>生活污水经施工区附近或沿线公厕化粪池处理后，由环卫部门清运处置。</w:t>
                  </w:r>
                  <w:r>
                    <w:rPr>
                      <w:rFonts w:hint="eastAsia"/>
                      <w:color w:val="000000"/>
                      <w:szCs w:val="21"/>
                    </w:rPr>
                    <w:t>运营期废水主要为路面初期雨水，排水系统排入两侧雨水管网</w:t>
                  </w:r>
                </w:p>
              </w:tc>
            </w:tr>
            <w:tr>
              <w:tblPrEx>
                <w:tblW w:w="0" w:type="auto"/>
                <w:tblInd w:w="113" w:type="dxa"/>
                <w:tblCellMar>
                  <w:top w:w="0" w:type="dxa"/>
                  <w:left w:w="108" w:type="dxa"/>
                  <w:bottom w:w="0" w:type="dxa"/>
                  <w:right w:w="108" w:type="dxa"/>
                </w:tblCellMar>
                <w:tblLook w:val="0000"/>
              </w:tblPrEx>
              <w:trPr>
                <w:trHeight w:val="454"/>
              </w:trPr>
              <w:tc>
                <w:tcPr>
                  <w:tcW w:w="674" w:type="dxa"/>
                  <w:vMerge/>
                  <w:vAlign w:val="center"/>
                </w:tcPr>
                <w:p>
                  <w:pPr>
                    <w:adjustRightInd w:val="0"/>
                    <w:snapToGrid w:val="0"/>
                    <w:jc w:val="center"/>
                    <w:rPr>
                      <w:rFonts w:hint="eastAsia"/>
                      <w:color w:val="000000"/>
                      <w:szCs w:val="21"/>
                    </w:rPr>
                  </w:pPr>
                </w:p>
              </w:tc>
              <w:tc>
                <w:tcPr>
                  <w:tcW w:w="1419" w:type="dxa"/>
                  <w:vAlign w:val="center"/>
                </w:tcPr>
                <w:p>
                  <w:pPr>
                    <w:adjustRightInd w:val="0"/>
                    <w:snapToGrid w:val="0"/>
                    <w:jc w:val="center"/>
                    <w:rPr>
                      <w:rFonts w:hint="eastAsia"/>
                      <w:color w:val="000000"/>
                      <w:szCs w:val="21"/>
                    </w:rPr>
                  </w:pPr>
                  <w:r>
                    <w:rPr>
                      <w:rFonts w:hint="eastAsia"/>
                      <w:color w:val="000000"/>
                      <w:szCs w:val="21"/>
                    </w:rPr>
                    <w:t>噪声</w:t>
                  </w:r>
                </w:p>
              </w:tc>
              <w:tc>
                <w:tcPr>
                  <w:tcW w:w="5750" w:type="dxa"/>
                  <w:vAlign w:val="center"/>
                </w:tcPr>
                <w:p>
                  <w:pPr>
                    <w:adjustRightInd w:val="0"/>
                    <w:snapToGrid w:val="0"/>
                    <w:ind w:firstLine="420" w:firstLineChars="200"/>
                    <w:jc w:val="left"/>
                    <w:rPr>
                      <w:rFonts w:hint="eastAsia"/>
                      <w:color w:val="000000"/>
                      <w:szCs w:val="21"/>
                      <w:highlight w:val="yellow"/>
                    </w:rPr>
                  </w:pPr>
                  <w:r>
                    <w:rPr>
                      <w:rFonts w:hint="eastAsia"/>
                      <w:color w:val="000000"/>
                      <w:szCs w:val="21"/>
                    </w:rPr>
                    <w:t>施工期噪声主要采取选用先进低噪声设备、加强施工管理、设置声屏障等措施；运营期交通噪声主要降噪措施是路面加强维护、低噪声路面等</w:t>
                  </w:r>
                </w:p>
              </w:tc>
            </w:tr>
          </w:tbl>
          <w:p/>
        </w:tc>
      </w:tr>
    </w:tbl>
    <w:p>
      <w:pPr>
        <w:sectPr>
          <w:footerReference w:type="even" r:id="rId36"/>
          <w:footerReference w:type="default" r:id="rId37"/>
          <w:type w:val="nextPage"/>
          <w:pgSz w:w="11906" w:h="16838"/>
          <w:pgMar w:top="1440" w:right="1797" w:bottom="1440" w:left="1797" w:header="851" w:footer="1077" w:gutter="0"/>
          <w:pgNumType w:start="16"/>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2"/>
        <w:gridCol w:w="8076"/>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2542"/>
          <w:jc w:val="center"/>
        </w:trPr>
        <w:tc>
          <w:tcPr>
            <w:tcW w:w="308" w:type="pct"/>
            <w:vAlign w:val="center"/>
          </w:tcPr>
          <w:p/>
        </w:tc>
        <w:tc>
          <w:tcPr>
            <w:tcW w:w="4692" w:type="pct"/>
            <w:vAlign w:val="center"/>
          </w:tcPr>
          <w:tbl>
            <w:tblPr>
              <w:tblStyle w:val="TableNorm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665"/>
              <w:gridCol w:w="1400"/>
              <w:gridCol w:w="5672"/>
            </w:tblGrid>
            <w:tr>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54"/>
              </w:trPr>
              <w:tc>
                <w:tcPr>
                  <w:tcW w:w="674" w:type="dxa"/>
                  <w:vAlign w:val="center"/>
                </w:tcPr>
                <w:p>
                  <w:pPr>
                    <w:adjustRightInd w:val="0"/>
                    <w:snapToGrid w:val="0"/>
                    <w:jc w:val="center"/>
                    <w:rPr>
                      <w:rFonts w:hint="eastAsia"/>
                      <w:color w:val="000000"/>
                      <w:szCs w:val="21"/>
                    </w:rPr>
                  </w:pPr>
                  <w:r>
                    <w:rPr>
                      <w:rFonts w:hint="eastAsia"/>
                      <w:color w:val="000000"/>
                      <w:szCs w:val="21"/>
                    </w:rPr>
                    <w:t>辅助工程</w:t>
                  </w:r>
                </w:p>
              </w:tc>
              <w:tc>
                <w:tcPr>
                  <w:tcW w:w="1419" w:type="dxa"/>
                  <w:vAlign w:val="center"/>
                </w:tcPr>
                <w:p>
                  <w:pPr>
                    <w:adjustRightInd w:val="0"/>
                    <w:snapToGrid w:val="0"/>
                    <w:jc w:val="center"/>
                    <w:rPr>
                      <w:rFonts w:hint="eastAsia"/>
                      <w:color w:val="000000"/>
                      <w:szCs w:val="21"/>
                    </w:rPr>
                  </w:pPr>
                  <w:r>
                    <w:rPr>
                      <w:rFonts w:hint="eastAsia"/>
                      <w:color w:val="000000"/>
                      <w:szCs w:val="21"/>
                    </w:rPr>
                    <w:t>筑路材料料场</w:t>
                  </w:r>
                </w:p>
              </w:tc>
              <w:tc>
                <w:tcPr>
                  <w:tcW w:w="5750" w:type="dxa"/>
                  <w:vAlign w:val="center"/>
                </w:tcPr>
                <w:p>
                  <w:pPr>
                    <w:adjustRightInd w:val="0"/>
                    <w:snapToGrid w:val="0"/>
                    <w:ind w:firstLine="420" w:firstLineChars="200"/>
                    <w:rPr>
                      <w:rFonts w:hint="eastAsia"/>
                      <w:color w:val="000000"/>
                      <w:szCs w:val="21"/>
                      <w:highlight w:val="yellow"/>
                    </w:rPr>
                  </w:pPr>
                  <w:r>
                    <w:rPr>
                      <w:rFonts w:hint="eastAsia"/>
                      <w:color w:val="000000"/>
                      <w:szCs w:val="21"/>
                    </w:rPr>
                    <w:t>筑路材料外购，暂时堆放于临时堆料场</w:t>
                  </w:r>
                </w:p>
              </w:tc>
            </w:tr>
            <w:tr>
              <w:tblPrEx>
                <w:tblW w:w="0" w:type="auto"/>
                <w:tblInd w:w="113" w:type="dxa"/>
                <w:tblCellMar>
                  <w:top w:w="0" w:type="dxa"/>
                  <w:left w:w="108" w:type="dxa"/>
                  <w:bottom w:w="0" w:type="dxa"/>
                  <w:right w:w="108" w:type="dxa"/>
                </w:tblCellMar>
                <w:tblLook w:val="0000"/>
              </w:tblPrEx>
              <w:trPr>
                <w:trHeight w:val="454"/>
              </w:trPr>
              <w:tc>
                <w:tcPr>
                  <w:tcW w:w="674" w:type="dxa"/>
                  <w:vAlign w:val="center"/>
                </w:tcPr>
                <w:p>
                  <w:pPr>
                    <w:adjustRightInd w:val="0"/>
                    <w:snapToGrid w:val="0"/>
                    <w:jc w:val="center"/>
                    <w:rPr>
                      <w:rFonts w:hint="eastAsia"/>
                      <w:color w:val="000000"/>
                      <w:szCs w:val="21"/>
                    </w:rPr>
                  </w:pPr>
                  <w:r>
                    <w:rPr>
                      <w:rFonts w:hint="eastAsia"/>
                      <w:color w:val="000000"/>
                      <w:szCs w:val="21"/>
                    </w:rPr>
                    <w:t>临时工程</w:t>
                  </w:r>
                </w:p>
              </w:tc>
              <w:tc>
                <w:tcPr>
                  <w:tcW w:w="1419" w:type="dxa"/>
                  <w:vAlign w:val="center"/>
                </w:tcPr>
                <w:p>
                  <w:pPr>
                    <w:adjustRightInd w:val="0"/>
                    <w:snapToGrid w:val="0"/>
                    <w:jc w:val="center"/>
                    <w:rPr>
                      <w:rFonts w:hint="eastAsia"/>
                      <w:color w:val="000000"/>
                      <w:szCs w:val="21"/>
                    </w:rPr>
                  </w:pPr>
                  <w:r>
                    <w:rPr>
                      <w:rFonts w:hint="eastAsia"/>
                      <w:color w:val="000000"/>
                      <w:szCs w:val="21"/>
                    </w:rPr>
                    <w:t>临时拌合站</w:t>
                  </w:r>
                </w:p>
              </w:tc>
              <w:tc>
                <w:tcPr>
                  <w:tcW w:w="5750" w:type="dxa"/>
                  <w:vAlign w:val="center"/>
                </w:tcPr>
                <w:p>
                  <w:pPr>
                    <w:adjustRightInd w:val="0"/>
                    <w:snapToGrid w:val="0"/>
                    <w:ind w:firstLine="420" w:firstLineChars="200"/>
                    <w:jc w:val="left"/>
                    <w:rPr>
                      <w:rFonts w:hint="eastAsia"/>
                      <w:color w:val="000000"/>
                      <w:szCs w:val="21"/>
                      <w:highlight w:val="yellow"/>
                      <w:u w:val="single"/>
                    </w:rPr>
                  </w:pPr>
                  <w:r>
                    <w:rPr>
                      <w:color w:val="000000"/>
                      <w:kern w:val="0"/>
                      <w:szCs w:val="21"/>
                    </w:rPr>
                    <w:t>由于本项目建设路线较短</w:t>
                  </w:r>
                  <w:r>
                    <w:rPr>
                      <w:rFonts w:hint="eastAsia"/>
                      <w:color w:val="000000"/>
                      <w:kern w:val="0"/>
                      <w:szCs w:val="21"/>
                    </w:rPr>
                    <w:t>，</w:t>
                  </w:r>
                  <w:r>
                    <w:rPr>
                      <w:color w:val="000000"/>
                      <w:kern w:val="0"/>
                      <w:szCs w:val="21"/>
                    </w:rPr>
                    <w:t>项目</w:t>
                  </w:r>
                  <w:r>
                    <w:rPr>
                      <w:rFonts w:hint="eastAsia"/>
                      <w:color w:val="000000"/>
                      <w:kern w:val="0"/>
                      <w:szCs w:val="21"/>
                    </w:rPr>
                    <w:t>水稳料、沥青混凝土、混凝土等筑路材料向宁津县通达工程有限公司采购，不配套</w:t>
                  </w:r>
                  <w:r>
                    <w:rPr>
                      <w:color w:val="000000"/>
                      <w:kern w:val="0"/>
                      <w:szCs w:val="21"/>
                    </w:rPr>
                    <w:t>建设临时拌合站、临时预制厂等临时工程</w:t>
                  </w:r>
                  <w:r>
                    <w:rPr>
                      <w:rFonts w:hint="eastAsia"/>
                      <w:color w:val="000000"/>
                      <w:kern w:val="0"/>
                      <w:szCs w:val="21"/>
                    </w:rPr>
                    <w:t>。</w:t>
                  </w:r>
                </w:p>
              </w:tc>
            </w:tr>
          </w:tbl>
          <w:p>
            <w:pPr>
              <w:adjustRightInd w:val="0"/>
              <w:snapToGrid w:val="0"/>
              <w:spacing w:line="360" w:lineRule="auto"/>
              <w:rPr>
                <w:b/>
                <w:color w:val="000000"/>
                <w:sz w:val="24"/>
              </w:rPr>
            </w:pPr>
            <w:r>
              <w:rPr>
                <w:rFonts w:hint="eastAsia"/>
                <w:b/>
                <w:color w:val="000000"/>
                <w:sz w:val="24"/>
              </w:rPr>
              <w:t>三、建设规模及技术指标</w:t>
            </w:r>
          </w:p>
          <w:p>
            <w:pPr>
              <w:adjustRightInd w:val="0"/>
              <w:snapToGrid w:val="0"/>
              <w:spacing w:line="360" w:lineRule="auto"/>
              <w:ind w:firstLine="480" w:firstLineChars="200"/>
              <w:rPr>
                <w:rFonts w:hint="eastAsia"/>
                <w:color w:val="000000"/>
                <w:sz w:val="24"/>
              </w:rPr>
            </w:pPr>
            <w:r>
              <w:rPr>
                <w:rFonts w:hint="eastAsia"/>
                <w:color w:val="000000"/>
                <w:sz w:val="24"/>
              </w:rPr>
              <w:t>1、建设规模</w:t>
            </w:r>
          </w:p>
          <w:p>
            <w:pPr>
              <w:adjustRightInd w:val="0"/>
              <w:snapToGrid w:val="0"/>
              <w:spacing w:line="360" w:lineRule="auto"/>
              <w:ind w:firstLine="480" w:firstLineChars="200"/>
              <w:rPr>
                <w:rFonts w:hint="eastAsia"/>
                <w:color w:val="000000"/>
                <w:sz w:val="24"/>
              </w:rPr>
            </w:pPr>
            <w:r>
              <w:rPr>
                <w:rFonts w:hint="eastAsia"/>
                <w:color w:val="000000"/>
                <w:sz w:val="24"/>
              </w:rPr>
              <w:t>本项目为等级公路</w:t>
            </w:r>
            <w:r>
              <w:rPr>
                <w:color w:val="000000"/>
                <w:sz w:val="24"/>
              </w:rPr>
              <w:t>，</w:t>
            </w:r>
            <w:r>
              <w:rPr>
                <w:rFonts w:hint="eastAsia"/>
                <w:color w:val="000000"/>
                <w:sz w:val="24"/>
              </w:rPr>
              <w:t>路线全长4.906km，设计速度8</w:t>
            </w:r>
            <w:r>
              <w:rPr>
                <w:color w:val="000000"/>
                <w:sz w:val="24"/>
              </w:rPr>
              <w:t>0km/h</w:t>
            </w:r>
            <w:r>
              <w:rPr>
                <w:rFonts w:hint="eastAsia"/>
                <w:color w:val="000000"/>
                <w:sz w:val="24"/>
              </w:rPr>
              <w:t>，双向四车道；平面交叉4处。</w:t>
            </w:r>
          </w:p>
          <w:p>
            <w:pPr>
              <w:adjustRightInd w:val="0"/>
              <w:snapToGrid w:val="0"/>
              <w:spacing w:line="360" w:lineRule="auto"/>
              <w:ind w:firstLine="480" w:firstLineChars="200"/>
              <w:rPr>
                <w:rFonts w:hint="eastAsia"/>
                <w:color w:val="000000"/>
                <w:sz w:val="96"/>
              </w:rPr>
            </w:pPr>
            <w:r>
              <w:rPr>
                <w:rFonts w:hint="eastAsia"/>
                <w:color w:val="000000"/>
                <w:sz w:val="24"/>
              </w:rPr>
              <w:t>项目技术指标详见下表：</w:t>
            </w:r>
          </w:p>
          <w:p>
            <w:pPr>
              <w:adjustRightInd w:val="0"/>
              <w:snapToGrid w:val="0"/>
              <w:jc w:val="center"/>
              <w:rPr>
                <w:rFonts w:hint="eastAsia"/>
                <w:b/>
                <w:color w:val="000000"/>
                <w:sz w:val="24"/>
              </w:rPr>
            </w:pPr>
            <w:r>
              <w:rPr>
                <w:rFonts w:hint="eastAsia"/>
                <w:b/>
                <w:color w:val="000000"/>
                <w:sz w:val="24"/>
              </w:rPr>
              <w:t>表2-2  项目技术指标情况一览表</w:t>
            </w:r>
          </w:p>
          <w:tbl>
            <w:tblPr>
              <w:tblStyle w:val="TableNorm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665"/>
              <w:gridCol w:w="2429"/>
              <w:gridCol w:w="1547"/>
              <w:gridCol w:w="1548"/>
              <w:gridCol w:w="1548"/>
            </w:tblGrid>
            <w:tr>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r>
                    <w:rPr>
                      <w:rFonts w:hint="eastAsia"/>
                      <w:color w:val="000000"/>
                      <w:szCs w:val="21"/>
                    </w:rPr>
                    <w:t>序号</w:t>
                  </w:r>
                </w:p>
              </w:tc>
              <w:tc>
                <w:tcPr>
                  <w:tcW w:w="2462" w:type="dxa"/>
                  <w:vAlign w:val="center"/>
                </w:tcPr>
                <w:p>
                  <w:pPr>
                    <w:adjustRightInd w:val="0"/>
                    <w:snapToGrid w:val="0"/>
                    <w:jc w:val="center"/>
                    <w:rPr>
                      <w:color w:val="000000"/>
                      <w:szCs w:val="21"/>
                    </w:rPr>
                  </w:pPr>
                  <w:r>
                    <w:rPr>
                      <w:rFonts w:hint="eastAsia"/>
                      <w:color w:val="000000"/>
                      <w:szCs w:val="21"/>
                    </w:rPr>
                    <w:t>指标名称</w:t>
                  </w:r>
                </w:p>
              </w:tc>
              <w:tc>
                <w:tcPr>
                  <w:tcW w:w="1568" w:type="dxa"/>
                  <w:vAlign w:val="center"/>
                </w:tcPr>
                <w:p>
                  <w:pPr>
                    <w:adjustRightInd w:val="0"/>
                    <w:snapToGrid w:val="0"/>
                    <w:jc w:val="center"/>
                    <w:rPr>
                      <w:color w:val="000000"/>
                      <w:szCs w:val="21"/>
                    </w:rPr>
                  </w:pPr>
                  <w:r>
                    <w:rPr>
                      <w:rFonts w:hint="eastAsia"/>
                      <w:color w:val="000000"/>
                      <w:szCs w:val="21"/>
                    </w:rPr>
                    <w:t>单位</w:t>
                  </w:r>
                </w:p>
              </w:tc>
              <w:tc>
                <w:tcPr>
                  <w:tcW w:w="1569" w:type="dxa"/>
                  <w:vAlign w:val="center"/>
                </w:tcPr>
                <w:p>
                  <w:pPr>
                    <w:adjustRightInd w:val="0"/>
                    <w:snapToGrid w:val="0"/>
                    <w:jc w:val="center"/>
                    <w:rPr>
                      <w:color w:val="000000"/>
                      <w:szCs w:val="21"/>
                    </w:rPr>
                  </w:pPr>
                  <w:r>
                    <w:rPr>
                      <w:rFonts w:hint="eastAsia"/>
                      <w:color w:val="000000"/>
                      <w:szCs w:val="21"/>
                    </w:rPr>
                    <w:t>数量</w:t>
                  </w:r>
                </w:p>
              </w:tc>
              <w:tc>
                <w:tcPr>
                  <w:tcW w:w="1569" w:type="dxa"/>
                  <w:vAlign w:val="center"/>
                </w:tcPr>
                <w:p>
                  <w:pPr>
                    <w:adjustRightInd w:val="0"/>
                    <w:snapToGrid w:val="0"/>
                    <w:jc w:val="center"/>
                    <w:rPr>
                      <w:color w:val="000000"/>
                      <w:szCs w:val="21"/>
                    </w:rPr>
                  </w:pPr>
                  <w:r>
                    <w:rPr>
                      <w:rFonts w:hint="eastAsia"/>
                      <w:color w:val="000000"/>
                      <w:szCs w:val="21"/>
                    </w:rPr>
                    <w:t>备注</w:t>
                  </w: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p>
              </w:tc>
              <w:tc>
                <w:tcPr>
                  <w:tcW w:w="2462" w:type="dxa"/>
                  <w:vAlign w:val="center"/>
                </w:tcPr>
                <w:p>
                  <w:pPr>
                    <w:adjustRightInd w:val="0"/>
                    <w:snapToGrid w:val="0"/>
                    <w:jc w:val="center"/>
                    <w:rPr>
                      <w:color w:val="000000"/>
                      <w:szCs w:val="21"/>
                    </w:rPr>
                  </w:pPr>
                  <w:r>
                    <w:rPr>
                      <w:rFonts w:hint="eastAsia"/>
                      <w:color w:val="000000"/>
                      <w:szCs w:val="21"/>
                    </w:rPr>
                    <w:t>一、基本指标</w:t>
                  </w:r>
                </w:p>
              </w:tc>
              <w:tc>
                <w:tcPr>
                  <w:tcW w:w="1568" w:type="dxa"/>
                  <w:vAlign w:val="center"/>
                </w:tcPr>
                <w:p>
                  <w:pPr>
                    <w:adjustRightInd w:val="0"/>
                    <w:snapToGrid w:val="0"/>
                    <w:jc w:val="center"/>
                    <w:rPr>
                      <w:color w:val="000000"/>
                      <w:szCs w:val="21"/>
                    </w:rPr>
                  </w:pPr>
                </w:p>
              </w:tc>
              <w:tc>
                <w:tcPr>
                  <w:tcW w:w="1569" w:type="dxa"/>
                  <w:vAlign w:val="center"/>
                </w:tcPr>
                <w:p>
                  <w:pPr>
                    <w:adjustRightInd w:val="0"/>
                    <w:snapToGrid w:val="0"/>
                    <w:jc w:val="center"/>
                    <w:rPr>
                      <w:color w:val="000000"/>
                      <w:szCs w:val="21"/>
                    </w:rPr>
                  </w:pP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r>
                    <w:rPr>
                      <w:rFonts w:hint="eastAsia"/>
                      <w:color w:val="000000"/>
                      <w:szCs w:val="21"/>
                    </w:rPr>
                    <w:t>1</w:t>
                  </w:r>
                </w:p>
              </w:tc>
              <w:tc>
                <w:tcPr>
                  <w:tcW w:w="2462" w:type="dxa"/>
                  <w:vAlign w:val="center"/>
                </w:tcPr>
                <w:p>
                  <w:pPr>
                    <w:adjustRightInd w:val="0"/>
                    <w:snapToGrid w:val="0"/>
                    <w:jc w:val="center"/>
                    <w:rPr>
                      <w:color w:val="000000"/>
                      <w:szCs w:val="21"/>
                    </w:rPr>
                  </w:pPr>
                  <w:r>
                    <w:rPr>
                      <w:rFonts w:hint="eastAsia"/>
                      <w:color w:val="000000"/>
                      <w:szCs w:val="21"/>
                    </w:rPr>
                    <w:t>道路断面</w:t>
                  </w:r>
                </w:p>
              </w:tc>
              <w:tc>
                <w:tcPr>
                  <w:tcW w:w="1568" w:type="dxa"/>
                  <w:vAlign w:val="center"/>
                </w:tcPr>
                <w:p>
                  <w:pPr>
                    <w:adjustRightInd w:val="0"/>
                    <w:snapToGrid w:val="0"/>
                    <w:jc w:val="center"/>
                    <w:rPr>
                      <w:color w:val="000000"/>
                      <w:szCs w:val="21"/>
                    </w:rPr>
                  </w:pPr>
                </w:p>
              </w:tc>
              <w:tc>
                <w:tcPr>
                  <w:tcW w:w="1569" w:type="dxa"/>
                  <w:vAlign w:val="center"/>
                </w:tcPr>
                <w:p>
                  <w:pPr>
                    <w:adjustRightInd w:val="0"/>
                    <w:snapToGrid w:val="0"/>
                    <w:jc w:val="center"/>
                    <w:rPr>
                      <w:color w:val="000000"/>
                      <w:szCs w:val="21"/>
                    </w:rPr>
                  </w:pPr>
                  <w:r>
                    <w:rPr>
                      <w:rFonts w:hint="eastAsia"/>
                      <w:color w:val="000000"/>
                      <w:szCs w:val="21"/>
                    </w:rPr>
                    <w:t>双向四车道</w:t>
                  </w:r>
                </w:p>
              </w:tc>
              <w:tc>
                <w:tcPr>
                  <w:tcW w:w="1569" w:type="dxa"/>
                  <w:vAlign w:val="center"/>
                </w:tcPr>
                <w:p>
                  <w:pPr>
                    <w:adjustRightInd w:val="0"/>
                    <w:snapToGrid w:val="0"/>
                    <w:jc w:val="center"/>
                    <w:rPr>
                      <w:color w:val="000000"/>
                      <w:szCs w:val="21"/>
                    </w:rPr>
                  </w:pPr>
                  <w:r>
                    <w:rPr>
                      <w:rFonts w:hint="eastAsia"/>
                      <w:color w:val="000000"/>
                      <w:szCs w:val="21"/>
                    </w:rPr>
                    <w:t>等级公路</w:t>
                  </w: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r>
                    <w:rPr>
                      <w:rFonts w:hint="eastAsia"/>
                      <w:color w:val="000000"/>
                      <w:szCs w:val="21"/>
                    </w:rPr>
                    <w:t>2</w:t>
                  </w:r>
                </w:p>
              </w:tc>
              <w:tc>
                <w:tcPr>
                  <w:tcW w:w="2462" w:type="dxa"/>
                  <w:vAlign w:val="center"/>
                </w:tcPr>
                <w:p>
                  <w:pPr>
                    <w:adjustRightInd w:val="0"/>
                    <w:snapToGrid w:val="0"/>
                    <w:jc w:val="center"/>
                    <w:rPr>
                      <w:color w:val="000000"/>
                      <w:szCs w:val="21"/>
                    </w:rPr>
                  </w:pPr>
                  <w:r>
                    <w:rPr>
                      <w:rFonts w:hint="eastAsia"/>
                      <w:color w:val="000000"/>
                      <w:szCs w:val="21"/>
                    </w:rPr>
                    <w:t>设计速度</w:t>
                  </w:r>
                </w:p>
              </w:tc>
              <w:tc>
                <w:tcPr>
                  <w:tcW w:w="1568" w:type="dxa"/>
                  <w:vAlign w:val="center"/>
                </w:tcPr>
                <w:p>
                  <w:pPr>
                    <w:adjustRightInd w:val="0"/>
                    <w:snapToGrid w:val="0"/>
                    <w:jc w:val="center"/>
                    <w:rPr>
                      <w:color w:val="000000"/>
                      <w:szCs w:val="21"/>
                    </w:rPr>
                  </w:pPr>
                  <w:r>
                    <w:rPr>
                      <w:rFonts w:hint="eastAsia"/>
                      <w:color w:val="000000"/>
                      <w:szCs w:val="21"/>
                    </w:rPr>
                    <w:t>千米/小时</w:t>
                  </w:r>
                </w:p>
              </w:tc>
              <w:tc>
                <w:tcPr>
                  <w:tcW w:w="1569" w:type="dxa"/>
                  <w:vAlign w:val="center"/>
                </w:tcPr>
                <w:p>
                  <w:pPr>
                    <w:adjustRightInd w:val="0"/>
                    <w:snapToGrid w:val="0"/>
                    <w:jc w:val="center"/>
                    <w:rPr>
                      <w:color w:val="000000"/>
                      <w:szCs w:val="21"/>
                    </w:rPr>
                  </w:pPr>
                  <w:r>
                    <w:rPr>
                      <w:rFonts w:hint="eastAsia"/>
                      <w:color w:val="000000"/>
                      <w:szCs w:val="21"/>
                    </w:rPr>
                    <w:t>80</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r>
                    <w:rPr>
                      <w:rFonts w:hint="eastAsia"/>
                      <w:color w:val="000000"/>
                      <w:szCs w:val="21"/>
                    </w:rPr>
                    <w:t>3</w:t>
                  </w:r>
                </w:p>
              </w:tc>
              <w:tc>
                <w:tcPr>
                  <w:tcW w:w="2462" w:type="dxa"/>
                  <w:vAlign w:val="center"/>
                </w:tcPr>
                <w:p>
                  <w:pPr>
                    <w:adjustRightInd w:val="0"/>
                    <w:snapToGrid w:val="0"/>
                    <w:jc w:val="center"/>
                    <w:rPr>
                      <w:color w:val="000000"/>
                      <w:szCs w:val="21"/>
                    </w:rPr>
                  </w:pPr>
                  <w:r>
                    <w:rPr>
                      <w:rFonts w:hint="eastAsia"/>
                      <w:color w:val="000000"/>
                      <w:szCs w:val="21"/>
                    </w:rPr>
                    <w:t>交通量</w:t>
                  </w:r>
                </w:p>
              </w:tc>
              <w:tc>
                <w:tcPr>
                  <w:tcW w:w="1568" w:type="dxa"/>
                  <w:vAlign w:val="center"/>
                </w:tcPr>
                <w:p>
                  <w:pPr>
                    <w:adjustRightInd w:val="0"/>
                    <w:snapToGrid w:val="0"/>
                    <w:jc w:val="center"/>
                    <w:rPr>
                      <w:color w:val="000000"/>
                      <w:szCs w:val="21"/>
                    </w:rPr>
                  </w:pPr>
                  <w:r>
                    <w:rPr>
                      <w:color w:val="000000"/>
                      <w:szCs w:val="21"/>
                    </w:rPr>
                    <w:t>Pcu/d</w:t>
                  </w:r>
                </w:p>
              </w:tc>
              <w:tc>
                <w:tcPr>
                  <w:tcW w:w="1569" w:type="dxa"/>
                  <w:vAlign w:val="center"/>
                </w:tcPr>
                <w:p>
                  <w:pPr>
                    <w:adjustRightInd w:val="0"/>
                    <w:snapToGrid w:val="0"/>
                    <w:jc w:val="center"/>
                    <w:rPr>
                      <w:color w:val="000000"/>
                      <w:szCs w:val="21"/>
                    </w:rPr>
                  </w:pPr>
                  <w:r>
                    <w:rPr>
                      <w:rFonts w:hint="eastAsia"/>
                      <w:color w:val="000000"/>
                      <w:szCs w:val="21"/>
                    </w:rPr>
                    <w:t>6936</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r>
                    <w:rPr>
                      <w:rFonts w:hint="eastAsia"/>
                      <w:color w:val="000000"/>
                      <w:szCs w:val="21"/>
                    </w:rPr>
                    <w:t>4</w:t>
                  </w:r>
                </w:p>
              </w:tc>
              <w:tc>
                <w:tcPr>
                  <w:tcW w:w="2462" w:type="dxa"/>
                  <w:vAlign w:val="center"/>
                </w:tcPr>
                <w:p>
                  <w:pPr>
                    <w:adjustRightInd w:val="0"/>
                    <w:snapToGrid w:val="0"/>
                    <w:jc w:val="center"/>
                    <w:rPr>
                      <w:color w:val="000000"/>
                      <w:szCs w:val="21"/>
                    </w:rPr>
                  </w:pPr>
                  <w:r>
                    <w:rPr>
                      <w:rFonts w:hint="eastAsia"/>
                      <w:color w:val="000000"/>
                      <w:szCs w:val="21"/>
                    </w:rPr>
                    <w:t>占用土地（永久占地）</w:t>
                  </w:r>
                </w:p>
              </w:tc>
              <w:tc>
                <w:tcPr>
                  <w:tcW w:w="1568" w:type="dxa"/>
                  <w:vAlign w:val="center"/>
                </w:tcPr>
                <w:p>
                  <w:pPr>
                    <w:adjustRightInd w:val="0"/>
                    <w:snapToGrid w:val="0"/>
                    <w:jc w:val="center"/>
                    <w:rPr>
                      <w:color w:val="000000"/>
                      <w:szCs w:val="21"/>
                    </w:rPr>
                  </w:pPr>
                  <w:r>
                    <w:rPr>
                      <w:rFonts w:hint="eastAsia"/>
                      <w:color w:val="000000"/>
                      <w:szCs w:val="21"/>
                    </w:rPr>
                    <w:t>平方米</w:t>
                  </w:r>
                </w:p>
              </w:tc>
              <w:tc>
                <w:tcPr>
                  <w:tcW w:w="1569" w:type="dxa"/>
                  <w:vAlign w:val="center"/>
                </w:tcPr>
                <w:p>
                  <w:pPr>
                    <w:adjustRightInd w:val="0"/>
                    <w:snapToGrid w:val="0"/>
                    <w:jc w:val="center"/>
                    <w:rPr>
                      <w:color w:val="000000"/>
                      <w:szCs w:val="21"/>
                    </w:rPr>
                  </w:pPr>
                  <w:r>
                    <w:rPr>
                      <w:rFonts w:hint="eastAsia"/>
                      <w:color w:val="000000"/>
                      <w:szCs w:val="21"/>
                    </w:rPr>
                    <w:t>48470</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r>
                    <w:rPr>
                      <w:rFonts w:hint="eastAsia"/>
                      <w:color w:val="000000"/>
                      <w:szCs w:val="21"/>
                    </w:rPr>
                    <w:t>5</w:t>
                  </w:r>
                </w:p>
              </w:tc>
              <w:tc>
                <w:tcPr>
                  <w:tcW w:w="2462" w:type="dxa"/>
                  <w:vAlign w:val="center"/>
                </w:tcPr>
                <w:p>
                  <w:pPr>
                    <w:adjustRightInd w:val="0"/>
                    <w:snapToGrid w:val="0"/>
                    <w:jc w:val="center"/>
                    <w:rPr>
                      <w:color w:val="000000"/>
                      <w:szCs w:val="21"/>
                    </w:rPr>
                  </w:pPr>
                  <w:r>
                    <w:rPr>
                      <w:rFonts w:hint="eastAsia"/>
                      <w:color w:val="000000"/>
                      <w:szCs w:val="21"/>
                    </w:rPr>
                    <w:t>估算总金额</w:t>
                  </w:r>
                </w:p>
              </w:tc>
              <w:tc>
                <w:tcPr>
                  <w:tcW w:w="1568" w:type="dxa"/>
                  <w:vAlign w:val="center"/>
                </w:tcPr>
                <w:p>
                  <w:pPr>
                    <w:adjustRightInd w:val="0"/>
                    <w:snapToGrid w:val="0"/>
                    <w:jc w:val="center"/>
                    <w:rPr>
                      <w:color w:val="000000"/>
                      <w:szCs w:val="21"/>
                    </w:rPr>
                  </w:pPr>
                  <w:r>
                    <w:rPr>
                      <w:rFonts w:hint="eastAsia"/>
                      <w:color w:val="000000"/>
                      <w:szCs w:val="21"/>
                    </w:rPr>
                    <w:t>万元</w:t>
                  </w:r>
                </w:p>
              </w:tc>
              <w:tc>
                <w:tcPr>
                  <w:tcW w:w="1569" w:type="dxa"/>
                  <w:vAlign w:val="center"/>
                </w:tcPr>
                <w:p>
                  <w:pPr>
                    <w:adjustRightInd w:val="0"/>
                    <w:snapToGrid w:val="0"/>
                    <w:jc w:val="center"/>
                    <w:rPr>
                      <w:color w:val="000000"/>
                      <w:szCs w:val="21"/>
                    </w:rPr>
                  </w:pPr>
                  <w:r>
                    <w:rPr>
                      <w:rFonts w:hint="eastAsia"/>
                      <w:color w:val="000000"/>
                      <w:szCs w:val="21"/>
                    </w:rPr>
                    <w:t>6500</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r>
                    <w:rPr>
                      <w:rFonts w:hint="eastAsia"/>
                      <w:color w:val="000000"/>
                      <w:szCs w:val="21"/>
                    </w:rPr>
                    <w:t>6</w:t>
                  </w:r>
                </w:p>
              </w:tc>
              <w:tc>
                <w:tcPr>
                  <w:tcW w:w="2462" w:type="dxa"/>
                  <w:vAlign w:val="center"/>
                </w:tcPr>
                <w:p>
                  <w:pPr>
                    <w:adjustRightInd w:val="0"/>
                    <w:snapToGrid w:val="0"/>
                    <w:jc w:val="center"/>
                    <w:rPr>
                      <w:color w:val="000000"/>
                      <w:szCs w:val="21"/>
                    </w:rPr>
                  </w:pPr>
                  <w:r>
                    <w:rPr>
                      <w:rFonts w:hint="eastAsia"/>
                      <w:color w:val="000000"/>
                      <w:szCs w:val="21"/>
                    </w:rPr>
                    <w:t>平均每公里造价</w:t>
                  </w:r>
                </w:p>
              </w:tc>
              <w:tc>
                <w:tcPr>
                  <w:tcW w:w="1568" w:type="dxa"/>
                  <w:vAlign w:val="center"/>
                </w:tcPr>
                <w:p>
                  <w:pPr>
                    <w:adjustRightInd w:val="0"/>
                    <w:snapToGrid w:val="0"/>
                    <w:jc w:val="center"/>
                    <w:rPr>
                      <w:color w:val="000000"/>
                      <w:szCs w:val="21"/>
                    </w:rPr>
                  </w:pPr>
                  <w:r>
                    <w:rPr>
                      <w:rFonts w:hint="eastAsia"/>
                      <w:color w:val="000000"/>
                      <w:szCs w:val="21"/>
                    </w:rPr>
                    <w:t>万元</w:t>
                  </w:r>
                </w:p>
              </w:tc>
              <w:tc>
                <w:tcPr>
                  <w:tcW w:w="1569" w:type="dxa"/>
                  <w:vAlign w:val="center"/>
                </w:tcPr>
                <w:p>
                  <w:pPr>
                    <w:adjustRightInd w:val="0"/>
                    <w:snapToGrid w:val="0"/>
                    <w:jc w:val="center"/>
                    <w:rPr>
                      <w:color w:val="000000"/>
                      <w:szCs w:val="21"/>
                    </w:rPr>
                  </w:pPr>
                  <w:r>
                    <w:rPr>
                      <w:rFonts w:hint="eastAsia"/>
                      <w:color w:val="000000"/>
                      <w:szCs w:val="21"/>
                    </w:rPr>
                    <w:t>1324.9</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p>
              </w:tc>
              <w:tc>
                <w:tcPr>
                  <w:tcW w:w="2462" w:type="dxa"/>
                  <w:vAlign w:val="center"/>
                </w:tcPr>
                <w:p>
                  <w:pPr>
                    <w:adjustRightInd w:val="0"/>
                    <w:snapToGrid w:val="0"/>
                    <w:jc w:val="center"/>
                    <w:rPr>
                      <w:color w:val="000000"/>
                      <w:szCs w:val="21"/>
                    </w:rPr>
                  </w:pPr>
                  <w:r>
                    <w:rPr>
                      <w:rFonts w:hint="eastAsia"/>
                      <w:color w:val="000000"/>
                      <w:szCs w:val="21"/>
                    </w:rPr>
                    <w:t>二、路线</w:t>
                  </w:r>
                </w:p>
              </w:tc>
              <w:tc>
                <w:tcPr>
                  <w:tcW w:w="1568" w:type="dxa"/>
                  <w:vAlign w:val="center"/>
                </w:tcPr>
                <w:p>
                  <w:pPr>
                    <w:adjustRightInd w:val="0"/>
                    <w:snapToGrid w:val="0"/>
                    <w:jc w:val="center"/>
                    <w:rPr>
                      <w:color w:val="000000"/>
                      <w:szCs w:val="21"/>
                    </w:rPr>
                  </w:pPr>
                </w:p>
              </w:tc>
              <w:tc>
                <w:tcPr>
                  <w:tcW w:w="1569" w:type="dxa"/>
                  <w:vAlign w:val="center"/>
                </w:tcPr>
                <w:p>
                  <w:pPr>
                    <w:adjustRightInd w:val="0"/>
                    <w:snapToGrid w:val="0"/>
                    <w:jc w:val="center"/>
                    <w:rPr>
                      <w:color w:val="000000"/>
                      <w:szCs w:val="21"/>
                    </w:rPr>
                  </w:pP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r>
                    <w:rPr>
                      <w:rFonts w:hint="eastAsia"/>
                      <w:color w:val="000000"/>
                      <w:szCs w:val="21"/>
                    </w:rPr>
                    <w:t>7</w:t>
                  </w:r>
                </w:p>
              </w:tc>
              <w:tc>
                <w:tcPr>
                  <w:tcW w:w="2462" w:type="dxa"/>
                  <w:vAlign w:val="center"/>
                </w:tcPr>
                <w:p>
                  <w:pPr>
                    <w:adjustRightInd w:val="0"/>
                    <w:snapToGrid w:val="0"/>
                    <w:jc w:val="center"/>
                    <w:rPr>
                      <w:color w:val="000000"/>
                      <w:szCs w:val="21"/>
                    </w:rPr>
                  </w:pPr>
                  <w:r>
                    <w:rPr>
                      <w:rFonts w:hint="eastAsia"/>
                      <w:color w:val="000000"/>
                      <w:szCs w:val="21"/>
                    </w:rPr>
                    <w:t>路线总长（建设里程）</w:t>
                  </w:r>
                </w:p>
              </w:tc>
              <w:tc>
                <w:tcPr>
                  <w:tcW w:w="1568" w:type="dxa"/>
                  <w:vAlign w:val="center"/>
                </w:tcPr>
                <w:p>
                  <w:pPr>
                    <w:adjustRightInd w:val="0"/>
                    <w:snapToGrid w:val="0"/>
                    <w:jc w:val="center"/>
                    <w:rPr>
                      <w:color w:val="000000"/>
                      <w:szCs w:val="21"/>
                    </w:rPr>
                  </w:pPr>
                  <w:r>
                    <w:rPr>
                      <w:rFonts w:hint="eastAsia"/>
                      <w:color w:val="000000"/>
                      <w:szCs w:val="21"/>
                    </w:rPr>
                    <w:t>公里</w:t>
                  </w:r>
                </w:p>
              </w:tc>
              <w:tc>
                <w:tcPr>
                  <w:tcW w:w="1569" w:type="dxa"/>
                  <w:vAlign w:val="center"/>
                </w:tcPr>
                <w:p>
                  <w:pPr>
                    <w:adjustRightInd w:val="0"/>
                    <w:snapToGrid w:val="0"/>
                    <w:jc w:val="center"/>
                    <w:rPr>
                      <w:color w:val="000000"/>
                      <w:szCs w:val="21"/>
                    </w:rPr>
                  </w:pPr>
                  <w:r>
                    <w:rPr>
                      <w:rFonts w:hint="eastAsia"/>
                      <w:color w:val="000000"/>
                      <w:szCs w:val="21"/>
                    </w:rPr>
                    <w:t>4.906</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p>
              </w:tc>
              <w:tc>
                <w:tcPr>
                  <w:tcW w:w="2462" w:type="dxa"/>
                  <w:vAlign w:val="center"/>
                </w:tcPr>
                <w:p>
                  <w:pPr>
                    <w:adjustRightInd w:val="0"/>
                    <w:snapToGrid w:val="0"/>
                    <w:jc w:val="center"/>
                    <w:rPr>
                      <w:color w:val="000000"/>
                      <w:szCs w:val="21"/>
                    </w:rPr>
                  </w:pPr>
                  <w:r>
                    <w:rPr>
                      <w:rFonts w:hint="eastAsia"/>
                      <w:color w:val="000000"/>
                      <w:szCs w:val="21"/>
                    </w:rPr>
                    <w:t>三、路基、路面</w:t>
                  </w:r>
                </w:p>
              </w:tc>
              <w:tc>
                <w:tcPr>
                  <w:tcW w:w="1568" w:type="dxa"/>
                  <w:vAlign w:val="center"/>
                </w:tcPr>
                <w:p>
                  <w:pPr>
                    <w:adjustRightInd w:val="0"/>
                    <w:snapToGrid w:val="0"/>
                    <w:jc w:val="center"/>
                    <w:rPr>
                      <w:color w:val="000000"/>
                      <w:szCs w:val="21"/>
                    </w:rPr>
                  </w:pPr>
                </w:p>
              </w:tc>
              <w:tc>
                <w:tcPr>
                  <w:tcW w:w="1569" w:type="dxa"/>
                  <w:vAlign w:val="center"/>
                </w:tcPr>
                <w:p>
                  <w:pPr>
                    <w:adjustRightInd w:val="0"/>
                    <w:snapToGrid w:val="0"/>
                    <w:jc w:val="center"/>
                    <w:rPr>
                      <w:color w:val="000000"/>
                      <w:szCs w:val="21"/>
                    </w:rPr>
                  </w:pP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r>
                    <w:rPr>
                      <w:rFonts w:hint="eastAsia"/>
                      <w:color w:val="000000"/>
                      <w:szCs w:val="21"/>
                    </w:rPr>
                    <w:t>8</w:t>
                  </w:r>
                </w:p>
              </w:tc>
              <w:tc>
                <w:tcPr>
                  <w:tcW w:w="2462" w:type="dxa"/>
                  <w:vAlign w:val="center"/>
                </w:tcPr>
                <w:p>
                  <w:pPr>
                    <w:adjustRightInd w:val="0"/>
                    <w:snapToGrid w:val="0"/>
                    <w:jc w:val="center"/>
                    <w:rPr>
                      <w:color w:val="000000"/>
                      <w:szCs w:val="21"/>
                    </w:rPr>
                  </w:pPr>
                  <w:r>
                    <w:rPr>
                      <w:rFonts w:hint="eastAsia"/>
                      <w:color w:val="000000"/>
                      <w:szCs w:val="21"/>
                    </w:rPr>
                    <w:t>路基宽度</w:t>
                  </w:r>
                </w:p>
              </w:tc>
              <w:tc>
                <w:tcPr>
                  <w:tcW w:w="1568" w:type="dxa"/>
                  <w:vAlign w:val="center"/>
                </w:tcPr>
                <w:p>
                  <w:pPr>
                    <w:adjustRightInd w:val="0"/>
                    <w:snapToGrid w:val="0"/>
                    <w:jc w:val="center"/>
                    <w:rPr>
                      <w:color w:val="000000"/>
                      <w:szCs w:val="21"/>
                    </w:rPr>
                  </w:pPr>
                </w:p>
              </w:tc>
              <w:tc>
                <w:tcPr>
                  <w:tcW w:w="1569" w:type="dxa"/>
                  <w:vAlign w:val="center"/>
                </w:tcPr>
                <w:p>
                  <w:pPr>
                    <w:adjustRightInd w:val="0"/>
                    <w:snapToGrid w:val="0"/>
                    <w:jc w:val="center"/>
                    <w:rPr>
                      <w:color w:val="000000"/>
                      <w:szCs w:val="21"/>
                    </w:rPr>
                  </w:pP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rFonts w:hint="eastAsia"/>
                      <w:color w:val="000000"/>
                      <w:szCs w:val="21"/>
                    </w:rPr>
                  </w:pPr>
                </w:p>
              </w:tc>
              <w:tc>
                <w:tcPr>
                  <w:tcW w:w="2462" w:type="dxa"/>
                  <w:vAlign w:val="center"/>
                </w:tcPr>
                <w:p>
                  <w:pPr>
                    <w:adjustRightInd w:val="0"/>
                    <w:snapToGrid w:val="0"/>
                    <w:jc w:val="center"/>
                    <w:rPr>
                      <w:rFonts w:hint="eastAsia"/>
                      <w:color w:val="000000"/>
                      <w:szCs w:val="21"/>
                    </w:rPr>
                  </w:pPr>
                  <w:r>
                    <w:rPr>
                      <w:bCs/>
                      <w:color w:val="000000"/>
                      <w:spacing w:val="9"/>
                      <w:kern w:val="0"/>
                      <w:szCs w:val="21"/>
                    </w:rPr>
                    <w:t>K</w:t>
                  </w:r>
                  <w:r>
                    <w:rPr>
                      <w:rFonts w:hint="eastAsia"/>
                      <w:bCs/>
                      <w:color w:val="000000"/>
                      <w:spacing w:val="9"/>
                      <w:kern w:val="0"/>
                      <w:szCs w:val="21"/>
                    </w:rPr>
                    <w:t>4+234～</w:t>
                  </w:r>
                  <w:r>
                    <w:rPr>
                      <w:bCs/>
                      <w:color w:val="000000"/>
                      <w:spacing w:val="9"/>
                      <w:kern w:val="0"/>
                      <w:szCs w:val="21"/>
                    </w:rPr>
                    <w:t>K</w:t>
                  </w:r>
                  <w:r>
                    <w:rPr>
                      <w:rFonts w:hint="eastAsia"/>
                      <w:bCs/>
                      <w:color w:val="000000"/>
                      <w:spacing w:val="9"/>
                      <w:kern w:val="0"/>
                      <w:szCs w:val="21"/>
                    </w:rPr>
                    <w:t>9+020</w:t>
                  </w:r>
                  <w:r>
                    <w:rPr>
                      <w:color w:val="000000"/>
                      <w:szCs w:val="21"/>
                    </w:rPr>
                    <w:t>段</w:t>
                  </w:r>
                </w:p>
              </w:tc>
              <w:tc>
                <w:tcPr>
                  <w:tcW w:w="1568" w:type="dxa"/>
                  <w:vAlign w:val="center"/>
                </w:tcPr>
                <w:p>
                  <w:pPr>
                    <w:adjustRightInd w:val="0"/>
                    <w:snapToGrid w:val="0"/>
                    <w:jc w:val="center"/>
                    <w:rPr>
                      <w:rFonts w:hint="eastAsia"/>
                      <w:color w:val="000000"/>
                      <w:szCs w:val="21"/>
                    </w:rPr>
                  </w:pPr>
                  <w:r>
                    <w:rPr>
                      <w:rFonts w:hint="eastAsia"/>
                      <w:color w:val="000000"/>
                      <w:szCs w:val="21"/>
                    </w:rPr>
                    <w:t>米</w:t>
                  </w:r>
                </w:p>
              </w:tc>
              <w:tc>
                <w:tcPr>
                  <w:tcW w:w="1569" w:type="dxa"/>
                  <w:vAlign w:val="center"/>
                </w:tcPr>
                <w:p>
                  <w:pPr>
                    <w:adjustRightInd w:val="0"/>
                    <w:snapToGrid w:val="0"/>
                    <w:jc w:val="center"/>
                    <w:rPr>
                      <w:rFonts w:hint="eastAsia"/>
                      <w:color w:val="000000"/>
                      <w:szCs w:val="21"/>
                    </w:rPr>
                  </w:pPr>
                  <w:r>
                    <w:rPr>
                      <w:rFonts w:hint="eastAsia"/>
                      <w:color w:val="000000"/>
                      <w:szCs w:val="21"/>
                    </w:rPr>
                    <w:t>35</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rFonts w:hint="eastAsia"/>
                      <w:color w:val="000000"/>
                      <w:szCs w:val="21"/>
                    </w:rPr>
                  </w:pPr>
                </w:p>
              </w:tc>
              <w:tc>
                <w:tcPr>
                  <w:tcW w:w="2462" w:type="dxa"/>
                  <w:vAlign w:val="center"/>
                </w:tcPr>
                <w:p>
                  <w:pPr>
                    <w:adjustRightInd w:val="0"/>
                    <w:snapToGrid w:val="0"/>
                    <w:jc w:val="center"/>
                    <w:rPr>
                      <w:rFonts w:hint="eastAsia"/>
                      <w:color w:val="000000"/>
                      <w:szCs w:val="21"/>
                    </w:rPr>
                  </w:pPr>
                  <w:r>
                    <w:rPr>
                      <w:color w:val="000000"/>
                      <w:szCs w:val="21"/>
                    </w:rPr>
                    <w:t>K</w:t>
                  </w:r>
                  <w:r>
                    <w:rPr>
                      <w:rFonts w:hint="eastAsia"/>
                      <w:color w:val="000000"/>
                      <w:szCs w:val="21"/>
                    </w:rPr>
                    <w:t>9+020～</w:t>
                  </w:r>
                  <w:r>
                    <w:rPr>
                      <w:color w:val="000000"/>
                      <w:szCs w:val="21"/>
                    </w:rPr>
                    <w:t>K</w:t>
                  </w:r>
                  <w:r>
                    <w:rPr>
                      <w:rFonts w:hint="eastAsia"/>
                      <w:color w:val="000000"/>
                      <w:szCs w:val="21"/>
                    </w:rPr>
                    <w:t>9+140路基渐变段</w:t>
                  </w:r>
                </w:p>
              </w:tc>
              <w:tc>
                <w:tcPr>
                  <w:tcW w:w="1568" w:type="dxa"/>
                  <w:vAlign w:val="center"/>
                </w:tcPr>
                <w:p>
                  <w:pPr>
                    <w:adjustRightInd w:val="0"/>
                    <w:snapToGrid w:val="0"/>
                    <w:jc w:val="center"/>
                    <w:rPr>
                      <w:rFonts w:hint="eastAsia"/>
                      <w:color w:val="000000"/>
                      <w:szCs w:val="21"/>
                    </w:rPr>
                  </w:pPr>
                  <w:r>
                    <w:rPr>
                      <w:rFonts w:hint="eastAsia"/>
                      <w:color w:val="000000"/>
                      <w:szCs w:val="21"/>
                    </w:rPr>
                    <w:t>米</w:t>
                  </w:r>
                </w:p>
              </w:tc>
              <w:tc>
                <w:tcPr>
                  <w:tcW w:w="1569" w:type="dxa"/>
                  <w:vAlign w:val="center"/>
                </w:tcPr>
                <w:p>
                  <w:pPr>
                    <w:adjustRightInd w:val="0"/>
                    <w:snapToGrid w:val="0"/>
                    <w:jc w:val="center"/>
                    <w:rPr>
                      <w:rFonts w:hint="eastAsia"/>
                      <w:color w:val="000000"/>
                      <w:szCs w:val="21"/>
                    </w:rPr>
                  </w:pPr>
                  <w:r>
                    <w:rPr>
                      <w:rFonts w:hint="eastAsia"/>
                      <w:color w:val="000000"/>
                      <w:szCs w:val="21"/>
                    </w:rPr>
                    <w:t>由23m渐变至15m</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r>
                    <w:rPr>
                      <w:rFonts w:hint="eastAsia"/>
                      <w:color w:val="000000"/>
                      <w:szCs w:val="21"/>
                    </w:rPr>
                    <w:t>9</w:t>
                  </w:r>
                </w:p>
              </w:tc>
              <w:tc>
                <w:tcPr>
                  <w:tcW w:w="2462" w:type="dxa"/>
                  <w:vAlign w:val="center"/>
                </w:tcPr>
                <w:p>
                  <w:pPr>
                    <w:adjustRightInd w:val="0"/>
                    <w:snapToGrid w:val="0"/>
                    <w:jc w:val="center"/>
                    <w:rPr>
                      <w:color w:val="000000"/>
                      <w:szCs w:val="21"/>
                    </w:rPr>
                  </w:pPr>
                  <w:r>
                    <w:rPr>
                      <w:rFonts w:hint="eastAsia"/>
                      <w:color w:val="000000"/>
                      <w:szCs w:val="21"/>
                    </w:rPr>
                    <w:t>路基土石方数量</w:t>
                  </w:r>
                </w:p>
              </w:tc>
              <w:tc>
                <w:tcPr>
                  <w:tcW w:w="1568" w:type="dxa"/>
                  <w:vAlign w:val="center"/>
                </w:tcPr>
                <w:p>
                  <w:pPr>
                    <w:adjustRightInd w:val="0"/>
                    <w:snapToGrid w:val="0"/>
                    <w:jc w:val="center"/>
                    <w:rPr>
                      <w:color w:val="000000"/>
                      <w:szCs w:val="21"/>
                    </w:rPr>
                  </w:pPr>
                </w:p>
              </w:tc>
              <w:tc>
                <w:tcPr>
                  <w:tcW w:w="1569" w:type="dxa"/>
                  <w:vAlign w:val="center"/>
                </w:tcPr>
                <w:p>
                  <w:pPr>
                    <w:adjustRightInd w:val="0"/>
                    <w:snapToGrid w:val="0"/>
                    <w:jc w:val="center"/>
                    <w:rPr>
                      <w:color w:val="000000"/>
                      <w:szCs w:val="21"/>
                    </w:rPr>
                  </w:pP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p>
              </w:tc>
              <w:tc>
                <w:tcPr>
                  <w:tcW w:w="2462" w:type="dxa"/>
                  <w:vAlign w:val="center"/>
                </w:tcPr>
                <w:p>
                  <w:pPr>
                    <w:adjustRightInd w:val="0"/>
                    <w:snapToGrid w:val="0"/>
                    <w:jc w:val="center"/>
                    <w:rPr>
                      <w:color w:val="000000"/>
                      <w:szCs w:val="21"/>
                    </w:rPr>
                  </w:pPr>
                  <w:r>
                    <w:rPr>
                      <w:rFonts w:hint="eastAsia"/>
                      <w:color w:val="000000"/>
                      <w:szCs w:val="21"/>
                    </w:rPr>
                    <w:t>（1）填方</w:t>
                  </w:r>
                </w:p>
              </w:tc>
              <w:tc>
                <w:tcPr>
                  <w:tcW w:w="1568" w:type="dxa"/>
                  <w:vAlign w:val="center"/>
                </w:tcPr>
                <w:p>
                  <w:pPr>
                    <w:adjustRightInd w:val="0"/>
                    <w:snapToGrid w:val="0"/>
                    <w:jc w:val="center"/>
                    <w:rPr>
                      <w:color w:val="000000"/>
                      <w:szCs w:val="21"/>
                    </w:rPr>
                  </w:pPr>
                  <w:r>
                    <w:rPr>
                      <w:rFonts w:hint="eastAsia"/>
                      <w:color w:val="000000"/>
                      <w:szCs w:val="21"/>
                    </w:rPr>
                    <w:t>立方米</w:t>
                  </w:r>
                </w:p>
              </w:tc>
              <w:tc>
                <w:tcPr>
                  <w:tcW w:w="1569" w:type="dxa"/>
                  <w:vAlign w:val="center"/>
                </w:tcPr>
                <w:p>
                  <w:pPr>
                    <w:adjustRightInd w:val="0"/>
                    <w:snapToGrid w:val="0"/>
                    <w:jc w:val="center"/>
                    <w:rPr>
                      <w:color w:val="000000"/>
                      <w:szCs w:val="21"/>
                    </w:rPr>
                  </w:pPr>
                  <w:r>
                    <w:rPr>
                      <w:rFonts w:hint="eastAsia"/>
                      <w:color w:val="000000"/>
                      <w:szCs w:val="21"/>
                    </w:rPr>
                    <w:t>187797</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p>
              </w:tc>
              <w:tc>
                <w:tcPr>
                  <w:tcW w:w="2462" w:type="dxa"/>
                  <w:vAlign w:val="center"/>
                </w:tcPr>
                <w:p>
                  <w:pPr>
                    <w:adjustRightInd w:val="0"/>
                    <w:snapToGrid w:val="0"/>
                    <w:jc w:val="center"/>
                    <w:rPr>
                      <w:color w:val="000000"/>
                      <w:szCs w:val="21"/>
                    </w:rPr>
                  </w:pPr>
                  <w:r>
                    <w:rPr>
                      <w:rFonts w:hint="eastAsia"/>
                      <w:color w:val="000000"/>
                      <w:szCs w:val="21"/>
                    </w:rPr>
                    <w:t>（2）挖方</w:t>
                  </w:r>
                </w:p>
              </w:tc>
              <w:tc>
                <w:tcPr>
                  <w:tcW w:w="1568" w:type="dxa"/>
                  <w:vAlign w:val="center"/>
                </w:tcPr>
                <w:p>
                  <w:pPr>
                    <w:adjustRightInd w:val="0"/>
                    <w:snapToGrid w:val="0"/>
                    <w:jc w:val="center"/>
                    <w:rPr>
                      <w:color w:val="000000"/>
                      <w:szCs w:val="21"/>
                    </w:rPr>
                  </w:pPr>
                  <w:r>
                    <w:rPr>
                      <w:rFonts w:hint="eastAsia"/>
                      <w:color w:val="000000"/>
                      <w:szCs w:val="21"/>
                    </w:rPr>
                    <w:t>立方米</w:t>
                  </w:r>
                </w:p>
              </w:tc>
              <w:tc>
                <w:tcPr>
                  <w:tcW w:w="1569" w:type="dxa"/>
                  <w:vAlign w:val="center"/>
                </w:tcPr>
                <w:p>
                  <w:pPr>
                    <w:adjustRightInd w:val="0"/>
                    <w:snapToGrid w:val="0"/>
                    <w:jc w:val="center"/>
                    <w:rPr>
                      <w:color w:val="000000"/>
                      <w:szCs w:val="21"/>
                    </w:rPr>
                  </w:pPr>
                  <w:r>
                    <w:rPr>
                      <w:rFonts w:hint="eastAsia"/>
                      <w:color w:val="000000"/>
                      <w:szCs w:val="21"/>
                    </w:rPr>
                    <w:t>92524</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r>
                    <w:rPr>
                      <w:rFonts w:hint="eastAsia"/>
                      <w:color w:val="000000"/>
                      <w:szCs w:val="21"/>
                    </w:rPr>
                    <w:t>10</w:t>
                  </w:r>
                </w:p>
              </w:tc>
              <w:tc>
                <w:tcPr>
                  <w:tcW w:w="2462" w:type="dxa"/>
                  <w:vAlign w:val="center"/>
                </w:tcPr>
                <w:p>
                  <w:pPr>
                    <w:adjustRightInd w:val="0"/>
                    <w:snapToGrid w:val="0"/>
                    <w:jc w:val="center"/>
                    <w:rPr>
                      <w:color w:val="000000"/>
                      <w:szCs w:val="21"/>
                    </w:rPr>
                  </w:pPr>
                  <w:r>
                    <w:rPr>
                      <w:rFonts w:hint="eastAsia"/>
                      <w:color w:val="000000"/>
                      <w:szCs w:val="21"/>
                    </w:rPr>
                    <w:t>排水及防护</w:t>
                  </w:r>
                </w:p>
              </w:tc>
              <w:tc>
                <w:tcPr>
                  <w:tcW w:w="1568" w:type="dxa"/>
                  <w:vAlign w:val="center"/>
                </w:tcPr>
                <w:p>
                  <w:pPr>
                    <w:adjustRightInd w:val="0"/>
                    <w:snapToGrid w:val="0"/>
                    <w:jc w:val="center"/>
                    <w:rPr>
                      <w:color w:val="000000"/>
                      <w:szCs w:val="21"/>
                    </w:rPr>
                  </w:pPr>
                  <w:r>
                    <w:rPr>
                      <w:rFonts w:hint="eastAsia"/>
                      <w:color w:val="000000"/>
                      <w:szCs w:val="21"/>
                    </w:rPr>
                    <w:t>千米</w:t>
                  </w:r>
                </w:p>
              </w:tc>
              <w:tc>
                <w:tcPr>
                  <w:tcW w:w="1569" w:type="dxa"/>
                  <w:vAlign w:val="center"/>
                </w:tcPr>
                <w:p>
                  <w:pPr>
                    <w:adjustRightInd w:val="0"/>
                    <w:snapToGrid w:val="0"/>
                    <w:jc w:val="center"/>
                    <w:rPr>
                      <w:color w:val="000000"/>
                      <w:szCs w:val="21"/>
                    </w:rPr>
                  </w:pPr>
                  <w:r>
                    <w:rPr>
                      <w:rFonts w:hint="eastAsia"/>
                      <w:color w:val="000000"/>
                      <w:szCs w:val="21"/>
                    </w:rPr>
                    <w:t>9.812</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r>
                    <w:rPr>
                      <w:rFonts w:hint="eastAsia"/>
                      <w:color w:val="000000"/>
                      <w:szCs w:val="21"/>
                    </w:rPr>
                    <w:t>11</w:t>
                  </w:r>
                </w:p>
              </w:tc>
              <w:tc>
                <w:tcPr>
                  <w:tcW w:w="2462" w:type="dxa"/>
                  <w:vAlign w:val="center"/>
                </w:tcPr>
                <w:p>
                  <w:pPr>
                    <w:adjustRightInd w:val="0"/>
                    <w:snapToGrid w:val="0"/>
                    <w:jc w:val="center"/>
                    <w:rPr>
                      <w:color w:val="000000"/>
                      <w:szCs w:val="21"/>
                    </w:rPr>
                  </w:pPr>
                  <w:r>
                    <w:rPr>
                      <w:rFonts w:hint="eastAsia"/>
                      <w:color w:val="000000"/>
                      <w:szCs w:val="21"/>
                    </w:rPr>
                    <w:t>路面工程</w:t>
                  </w:r>
                </w:p>
              </w:tc>
              <w:tc>
                <w:tcPr>
                  <w:tcW w:w="1568" w:type="dxa"/>
                  <w:vAlign w:val="center"/>
                </w:tcPr>
                <w:p>
                  <w:pPr>
                    <w:adjustRightInd w:val="0"/>
                    <w:snapToGrid w:val="0"/>
                    <w:jc w:val="center"/>
                    <w:rPr>
                      <w:color w:val="000000"/>
                      <w:szCs w:val="21"/>
                    </w:rPr>
                  </w:pPr>
                </w:p>
              </w:tc>
              <w:tc>
                <w:tcPr>
                  <w:tcW w:w="1569" w:type="dxa"/>
                  <w:vAlign w:val="center"/>
                </w:tcPr>
                <w:p>
                  <w:pPr>
                    <w:adjustRightInd w:val="0"/>
                    <w:snapToGrid w:val="0"/>
                    <w:jc w:val="center"/>
                    <w:rPr>
                      <w:color w:val="000000"/>
                      <w:szCs w:val="21"/>
                    </w:rPr>
                  </w:pP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p>
              </w:tc>
              <w:tc>
                <w:tcPr>
                  <w:tcW w:w="2462" w:type="dxa"/>
                  <w:vAlign w:val="center"/>
                </w:tcPr>
                <w:p>
                  <w:pPr>
                    <w:adjustRightInd w:val="0"/>
                    <w:snapToGrid w:val="0"/>
                    <w:jc w:val="center"/>
                    <w:rPr>
                      <w:color w:val="000000"/>
                      <w:szCs w:val="21"/>
                    </w:rPr>
                  </w:pPr>
                  <w:r>
                    <w:rPr>
                      <w:rFonts w:hint="eastAsia"/>
                      <w:color w:val="000000"/>
                      <w:szCs w:val="21"/>
                    </w:rPr>
                    <w:t>沥青混凝土路面</w:t>
                  </w:r>
                </w:p>
              </w:tc>
              <w:tc>
                <w:tcPr>
                  <w:tcW w:w="1568" w:type="dxa"/>
                  <w:vAlign w:val="center"/>
                </w:tcPr>
                <w:p>
                  <w:pPr>
                    <w:adjustRightInd w:val="0"/>
                    <w:snapToGrid w:val="0"/>
                    <w:jc w:val="center"/>
                    <w:rPr>
                      <w:color w:val="000000"/>
                      <w:szCs w:val="21"/>
                    </w:rPr>
                  </w:pPr>
                  <w:r>
                    <w:rPr>
                      <w:rFonts w:hint="eastAsia"/>
                      <w:color w:val="000000"/>
                      <w:szCs w:val="21"/>
                    </w:rPr>
                    <w:t>平方米</w:t>
                  </w:r>
                </w:p>
              </w:tc>
              <w:tc>
                <w:tcPr>
                  <w:tcW w:w="1569" w:type="dxa"/>
                  <w:vAlign w:val="center"/>
                </w:tcPr>
                <w:p>
                  <w:pPr>
                    <w:adjustRightInd w:val="0"/>
                    <w:snapToGrid w:val="0"/>
                    <w:jc w:val="center"/>
                    <w:rPr>
                      <w:color w:val="000000"/>
                      <w:szCs w:val="21"/>
                    </w:rPr>
                  </w:pPr>
                  <w:r>
                    <w:rPr>
                      <w:rFonts w:hint="eastAsia"/>
                      <w:color w:val="000000"/>
                      <w:szCs w:val="21"/>
                    </w:rPr>
                    <w:t>39599</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p>
              </w:tc>
              <w:tc>
                <w:tcPr>
                  <w:tcW w:w="2462" w:type="dxa"/>
                  <w:vAlign w:val="center"/>
                </w:tcPr>
                <w:p>
                  <w:pPr>
                    <w:adjustRightInd w:val="0"/>
                    <w:snapToGrid w:val="0"/>
                    <w:jc w:val="center"/>
                    <w:rPr>
                      <w:rFonts w:hint="eastAsia"/>
                      <w:color w:val="000000"/>
                      <w:szCs w:val="21"/>
                    </w:rPr>
                  </w:pPr>
                  <w:r>
                    <w:rPr>
                      <w:rFonts w:hint="eastAsia"/>
                      <w:color w:val="000000"/>
                      <w:szCs w:val="21"/>
                    </w:rPr>
                    <w:t>路面设计标准轴载</w:t>
                  </w:r>
                </w:p>
              </w:tc>
              <w:tc>
                <w:tcPr>
                  <w:tcW w:w="1568" w:type="dxa"/>
                  <w:vAlign w:val="center"/>
                </w:tcPr>
                <w:p>
                  <w:pPr>
                    <w:adjustRightInd w:val="0"/>
                    <w:snapToGrid w:val="0"/>
                    <w:jc w:val="center"/>
                    <w:rPr>
                      <w:rFonts w:hint="eastAsia"/>
                      <w:color w:val="000000"/>
                      <w:szCs w:val="21"/>
                    </w:rPr>
                  </w:pPr>
                  <w:r>
                    <w:rPr>
                      <w:rFonts w:hint="eastAsia"/>
                      <w:color w:val="000000"/>
                      <w:szCs w:val="21"/>
                    </w:rPr>
                    <w:t>/</w:t>
                  </w:r>
                </w:p>
              </w:tc>
              <w:tc>
                <w:tcPr>
                  <w:tcW w:w="1569" w:type="dxa"/>
                  <w:vAlign w:val="center"/>
                </w:tcPr>
                <w:p>
                  <w:pPr>
                    <w:adjustRightInd w:val="0"/>
                    <w:snapToGrid w:val="0"/>
                    <w:jc w:val="center"/>
                    <w:rPr>
                      <w:color w:val="000000"/>
                      <w:szCs w:val="21"/>
                    </w:rPr>
                  </w:pPr>
                  <w:r>
                    <w:rPr>
                      <w:rFonts w:hint="eastAsia"/>
                      <w:color w:val="000000"/>
                      <w:szCs w:val="21"/>
                    </w:rPr>
                    <w:t>双轮组单轴轴载100KN</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p>
              </w:tc>
              <w:tc>
                <w:tcPr>
                  <w:tcW w:w="2462" w:type="dxa"/>
                  <w:vAlign w:val="center"/>
                </w:tcPr>
                <w:p>
                  <w:pPr>
                    <w:adjustRightInd w:val="0"/>
                    <w:snapToGrid w:val="0"/>
                    <w:jc w:val="center"/>
                    <w:rPr>
                      <w:rFonts w:hint="eastAsia"/>
                      <w:color w:val="000000"/>
                      <w:szCs w:val="21"/>
                    </w:rPr>
                  </w:pPr>
                  <w:r>
                    <w:rPr>
                      <w:rFonts w:hint="eastAsia"/>
                      <w:color w:val="000000"/>
                      <w:szCs w:val="21"/>
                    </w:rPr>
                    <w:t>一般最小平曲线半径</w:t>
                  </w:r>
                </w:p>
              </w:tc>
              <w:tc>
                <w:tcPr>
                  <w:tcW w:w="1568" w:type="dxa"/>
                  <w:vAlign w:val="center"/>
                </w:tcPr>
                <w:p>
                  <w:pPr>
                    <w:adjustRightInd w:val="0"/>
                    <w:snapToGrid w:val="0"/>
                    <w:jc w:val="center"/>
                    <w:rPr>
                      <w:rFonts w:hint="eastAsia"/>
                      <w:color w:val="000000"/>
                      <w:szCs w:val="21"/>
                    </w:rPr>
                  </w:pPr>
                  <w:r>
                    <w:rPr>
                      <w:rFonts w:hint="eastAsia"/>
                      <w:color w:val="000000"/>
                      <w:szCs w:val="21"/>
                    </w:rPr>
                    <w:t>m</w:t>
                  </w:r>
                </w:p>
              </w:tc>
              <w:tc>
                <w:tcPr>
                  <w:tcW w:w="1569" w:type="dxa"/>
                  <w:vAlign w:val="center"/>
                </w:tcPr>
                <w:p>
                  <w:pPr>
                    <w:adjustRightInd w:val="0"/>
                    <w:snapToGrid w:val="0"/>
                    <w:jc w:val="center"/>
                    <w:rPr>
                      <w:rFonts w:hint="eastAsia"/>
                      <w:color w:val="000000"/>
                      <w:szCs w:val="21"/>
                    </w:rPr>
                  </w:pPr>
                  <w:r>
                    <w:rPr>
                      <w:rFonts w:hint="eastAsia"/>
                      <w:color w:val="000000"/>
                      <w:szCs w:val="21"/>
                    </w:rPr>
                    <w:t>400</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p>
              </w:tc>
              <w:tc>
                <w:tcPr>
                  <w:tcW w:w="2462" w:type="dxa"/>
                  <w:vAlign w:val="center"/>
                </w:tcPr>
                <w:p>
                  <w:pPr>
                    <w:adjustRightInd w:val="0"/>
                    <w:snapToGrid w:val="0"/>
                    <w:jc w:val="center"/>
                    <w:rPr>
                      <w:rFonts w:hint="eastAsia"/>
                      <w:color w:val="000000"/>
                      <w:szCs w:val="21"/>
                    </w:rPr>
                  </w:pPr>
                  <w:r>
                    <w:rPr>
                      <w:rFonts w:hint="eastAsia"/>
                      <w:color w:val="000000"/>
                      <w:szCs w:val="21"/>
                    </w:rPr>
                    <w:t>停车视距</w:t>
                  </w:r>
                </w:p>
              </w:tc>
              <w:tc>
                <w:tcPr>
                  <w:tcW w:w="1568" w:type="dxa"/>
                  <w:vAlign w:val="center"/>
                </w:tcPr>
                <w:p>
                  <w:pPr>
                    <w:adjustRightInd w:val="0"/>
                    <w:snapToGrid w:val="0"/>
                    <w:jc w:val="center"/>
                    <w:rPr>
                      <w:rFonts w:hint="eastAsia"/>
                      <w:color w:val="000000"/>
                      <w:szCs w:val="21"/>
                    </w:rPr>
                  </w:pPr>
                  <w:r>
                    <w:rPr>
                      <w:rFonts w:hint="eastAsia"/>
                      <w:color w:val="000000"/>
                      <w:szCs w:val="21"/>
                    </w:rPr>
                    <w:t>m</w:t>
                  </w:r>
                </w:p>
              </w:tc>
              <w:tc>
                <w:tcPr>
                  <w:tcW w:w="1569" w:type="dxa"/>
                  <w:vAlign w:val="center"/>
                </w:tcPr>
                <w:p>
                  <w:pPr>
                    <w:adjustRightInd w:val="0"/>
                    <w:snapToGrid w:val="0"/>
                    <w:jc w:val="center"/>
                    <w:rPr>
                      <w:rFonts w:hint="eastAsia"/>
                      <w:color w:val="000000"/>
                      <w:szCs w:val="21"/>
                    </w:rPr>
                  </w:pPr>
                  <w:r>
                    <w:rPr>
                      <w:rFonts w:hint="eastAsia"/>
                      <w:color w:val="000000"/>
                      <w:szCs w:val="21"/>
                    </w:rPr>
                    <w:t>110</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p>
              </w:tc>
              <w:tc>
                <w:tcPr>
                  <w:tcW w:w="2462" w:type="dxa"/>
                  <w:vAlign w:val="center"/>
                </w:tcPr>
                <w:p>
                  <w:pPr>
                    <w:adjustRightInd w:val="0"/>
                    <w:snapToGrid w:val="0"/>
                    <w:jc w:val="center"/>
                    <w:rPr>
                      <w:rFonts w:hint="eastAsia"/>
                      <w:color w:val="000000"/>
                      <w:szCs w:val="21"/>
                    </w:rPr>
                  </w:pPr>
                  <w:r>
                    <w:rPr>
                      <w:rFonts w:hint="eastAsia"/>
                      <w:color w:val="000000"/>
                      <w:szCs w:val="21"/>
                    </w:rPr>
                    <w:t>最大纵坡</w:t>
                  </w:r>
                </w:p>
              </w:tc>
              <w:tc>
                <w:tcPr>
                  <w:tcW w:w="1568" w:type="dxa"/>
                  <w:vAlign w:val="center"/>
                </w:tcPr>
                <w:p>
                  <w:pPr>
                    <w:adjustRightInd w:val="0"/>
                    <w:snapToGrid w:val="0"/>
                    <w:jc w:val="center"/>
                    <w:rPr>
                      <w:rFonts w:hint="eastAsia"/>
                      <w:color w:val="000000"/>
                      <w:szCs w:val="21"/>
                    </w:rPr>
                  </w:pPr>
                  <w:r>
                    <w:rPr>
                      <w:color w:val="000000"/>
                      <w:szCs w:val="21"/>
                    </w:rPr>
                    <w:t>%</w:t>
                  </w:r>
                </w:p>
              </w:tc>
              <w:tc>
                <w:tcPr>
                  <w:tcW w:w="1569" w:type="dxa"/>
                  <w:vAlign w:val="center"/>
                </w:tcPr>
                <w:p>
                  <w:pPr>
                    <w:adjustRightInd w:val="0"/>
                    <w:snapToGrid w:val="0"/>
                    <w:jc w:val="center"/>
                    <w:rPr>
                      <w:rFonts w:hint="eastAsia"/>
                      <w:color w:val="000000"/>
                      <w:szCs w:val="21"/>
                    </w:rPr>
                  </w:pPr>
                  <w:r>
                    <w:rPr>
                      <w:rFonts w:hint="eastAsia"/>
                      <w:color w:val="000000"/>
                      <w:szCs w:val="21"/>
                    </w:rPr>
                    <w:t>0.188</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p>
              </w:tc>
              <w:tc>
                <w:tcPr>
                  <w:tcW w:w="2462" w:type="dxa"/>
                  <w:vAlign w:val="center"/>
                </w:tcPr>
                <w:p>
                  <w:pPr>
                    <w:adjustRightInd w:val="0"/>
                    <w:snapToGrid w:val="0"/>
                    <w:jc w:val="center"/>
                    <w:rPr>
                      <w:color w:val="000000"/>
                      <w:szCs w:val="21"/>
                    </w:rPr>
                  </w:pPr>
                  <w:r>
                    <w:rPr>
                      <w:rFonts w:hint="eastAsia"/>
                      <w:color w:val="000000"/>
                      <w:szCs w:val="21"/>
                    </w:rPr>
                    <w:t>四、路线交叉</w:t>
                  </w:r>
                </w:p>
              </w:tc>
              <w:tc>
                <w:tcPr>
                  <w:tcW w:w="1568" w:type="dxa"/>
                  <w:vAlign w:val="center"/>
                </w:tcPr>
                <w:p>
                  <w:pPr>
                    <w:adjustRightInd w:val="0"/>
                    <w:snapToGrid w:val="0"/>
                    <w:jc w:val="center"/>
                    <w:rPr>
                      <w:color w:val="000000"/>
                      <w:szCs w:val="21"/>
                    </w:rPr>
                  </w:pPr>
                </w:p>
              </w:tc>
              <w:tc>
                <w:tcPr>
                  <w:tcW w:w="1569" w:type="dxa"/>
                  <w:vAlign w:val="center"/>
                </w:tcPr>
                <w:p>
                  <w:pPr>
                    <w:adjustRightInd w:val="0"/>
                    <w:snapToGrid w:val="0"/>
                    <w:jc w:val="center"/>
                    <w:rPr>
                      <w:color w:val="000000"/>
                      <w:szCs w:val="21"/>
                    </w:rPr>
                  </w:pP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r>
                    <w:rPr>
                      <w:rFonts w:hint="eastAsia"/>
                      <w:color w:val="000000"/>
                      <w:szCs w:val="21"/>
                    </w:rPr>
                    <w:t>13</w:t>
                  </w:r>
                </w:p>
              </w:tc>
              <w:tc>
                <w:tcPr>
                  <w:tcW w:w="2462" w:type="dxa"/>
                  <w:vAlign w:val="center"/>
                </w:tcPr>
                <w:p>
                  <w:pPr>
                    <w:adjustRightInd w:val="0"/>
                    <w:snapToGrid w:val="0"/>
                    <w:jc w:val="center"/>
                    <w:rPr>
                      <w:color w:val="000000"/>
                      <w:szCs w:val="21"/>
                    </w:rPr>
                  </w:pPr>
                  <w:r>
                    <w:rPr>
                      <w:rFonts w:hint="eastAsia"/>
                      <w:color w:val="000000"/>
                      <w:szCs w:val="21"/>
                    </w:rPr>
                    <w:t>平面交叉</w:t>
                  </w:r>
                </w:p>
              </w:tc>
              <w:tc>
                <w:tcPr>
                  <w:tcW w:w="1568" w:type="dxa"/>
                  <w:vAlign w:val="center"/>
                </w:tcPr>
                <w:p>
                  <w:pPr>
                    <w:adjustRightInd w:val="0"/>
                    <w:snapToGrid w:val="0"/>
                    <w:jc w:val="center"/>
                    <w:rPr>
                      <w:color w:val="000000"/>
                      <w:szCs w:val="21"/>
                    </w:rPr>
                  </w:pPr>
                  <w:r>
                    <w:rPr>
                      <w:rFonts w:hint="eastAsia"/>
                      <w:color w:val="000000"/>
                      <w:szCs w:val="21"/>
                    </w:rPr>
                    <w:t>处</w:t>
                  </w:r>
                </w:p>
              </w:tc>
              <w:tc>
                <w:tcPr>
                  <w:tcW w:w="1569" w:type="dxa"/>
                  <w:vAlign w:val="center"/>
                </w:tcPr>
                <w:p>
                  <w:pPr>
                    <w:adjustRightInd w:val="0"/>
                    <w:snapToGrid w:val="0"/>
                    <w:jc w:val="center"/>
                    <w:rPr>
                      <w:color w:val="000000"/>
                      <w:szCs w:val="21"/>
                    </w:rPr>
                  </w:pPr>
                  <w:r>
                    <w:rPr>
                      <w:rFonts w:hint="eastAsia"/>
                      <w:color w:val="000000"/>
                      <w:szCs w:val="21"/>
                    </w:rPr>
                    <w:t>4</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p>
              </w:tc>
              <w:tc>
                <w:tcPr>
                  <w:tcW w:w="2462" w:type="dxa"/>
                  <w:vAlign w:val="center"/>
                </w:tcPr>
                <w:p>
                  <w:pPr>
                    <w:adjustRightInd w:val="0"/>
                    <w:snapToGrid w:val="0"/>
                    <w:jc w:val="center"/>
                    <w:rPr>
                      <w:rFonts w:hint="eastAsia"/>
                      <w:color w:val="000000"/>
                      <w:szCs w:val="21"/>
                    </w:rPr>
                  </w:pPr>
                  <w:r>
                    <w:rPr>
                      <w:rFonts w:hint="eastAsia"/>
                      <w:color w:val="000000"/>
                      <w:szCs w:val="21"/>
                    </w:rPr>
                    <w:t>五、沿线设施</w:t>
                  </w:r>
                </w:p>
              </w:tc>
              <w:tc>
                <w:tcPr>
                  <w:tcW w:w="1568" w:type="dxa"/>
                  <w:vAlign w:val="center"/>
                </w:tcPr>
                <w:p>
                  <w:pPr>
                    <w:adjustRightInd w:val="0"/>
                    <w:snapToGrid w:val="0"/>
                    <w:jc w:val="center"/>
                    <w:rPr>
                      <w:rFonts w:hint="eastAsia"/>
                      <w:color w:val="000000"/>
                      <w:szCs w:val="21"/>
                    </w:rPr>
                  </w:pPr>
                </w:p>
              </w:tc>
              <w:tc>
                <w:tcPr>
                  <w:tcW w:w="1569" w:type="dxa"/>
                  <w:vAlign w:val="center"/>
                </w:tcPr>
                <w:p>
                  <w:pPr>
                    <w:adjustRightInd w:val="0"/>
                    <w:snapToGrid w:val="0"/>
                    <w:jc w:val="center"/>
                    <w:rPr>
                      <w:rFonts w:hint="eastAsia"/>
                      <w:color w:val="000000"/>
                      <w:szCs w:val="21"/>
                    </w:rPr>
                  </w:pPr>
                </w:p>
              </w:tc>
              <w:tc>
                <w:tcPr>
                  <w:tcW w:w="1569" w:type="dxa"/>
                  <w:vAlign w:val="center"/>
                </w:tcPr>
                <w:p>
                  <w:pPr>
                    <w:adjustRightInd w:val="0"/>
                    <w:snapToGrid w:val="0"/>
                    <w:jc w:val="center"/>
                    <w:rPr>
                      <w:color w:val="000000"/>
                      <w:szCs w:val="21"/>
                    </w:rPr>
                  </w:pPr>
                </w:p>
              </w:tc>
            </w:tr>
          </w:tbl>
          <w:p/>
        </w:tc>
      </w:tr>
    </w:tbl>
    <w:p>
      <w:pPr>
        <w:sectPr>
          <w:footerReference w:type="even" r:id="rId38"/>
          <w:footerReference w:type="default" r:id="rId39"/>
          <w:type w:val="nextPage"/>
          <w:pgSz w:w="11906" w:h="16838"/>
          <w:pgMar w:top="1440" w:right="1797" w:bottom="1440" w:left="1797" w:header="851" w:footer="1077" w:gutter="0"/>
          <w:pgNumType w:start="17"/>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2"/>
        <w:gridCol w:w="8076"/>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2542"/>
          <w:jc w:val="center"/>
        </w:trPr>
        <w:tc>
          <w:tcPr>
            <w:tcW w:w="308" w:type="pct"/>
            <w:vAlign w:val="center"/>
          </w:tcPr>
          <w:p/>
        </w:tc>
        <w:tc>
          <w:tcPr>
            <w:tcW w:w="4692" w:type="pct"/>
            <w:vAlign w:val="center"/>
          </w:tcPr>
          <w:tbl>
            <w:tblPr>
              <w:tblStyle w:val="TableNorm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665"/>
              <w:gridCol w:w="2429"/>
              <w:gridCol w:w="1547"/>
              <w:gridCol w:w="1548"/>
              <w:gridCol w:w="1548"/>
            </w:tblGrid>
            <w:tr>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r>
                    <w:rPr>
                      <w:rFonts w:hint="eastAsia"/>
                      <w:color w:val="000000"/>
                      <w:szCs w:val="21"/>
                    </w:rPr>
                    <w:t>14</w:t>
                  </w:r>
                </w:p>
              </w:tc>
              <w:tc>
                <w:tcPr>
                  <w:tcW w:w="2462" w:type="dxa"/>
                  <w:vAlign w:val="center"/>
                </w:tcPr>
                <w:p>
                  <w:pPr>
                    <w:adjustRightInd w:val="0"/>
                    <w:snapToGrid w:val="0"/>
                    <w:jc w:val="center"/>
                    <w:rPr>
                      <w:rFonts w:hint="eastAsia"/>
                      <w:color w:val="000000"/>
                      <w:szCs w:val="21"/>
                    </w:rPr>
                  </w:pPr>
                  <w:r>
                    <w:rPr>
                      <w:rFonts w:hint="eastAsia"/>
                      <w:color w:val="000000"/>
                      <w:szCs w:val="21"/>
                    </w:rPr>
                    <w:t>安全设施</w:t>
                  </w:r>
                </w:p>
              </w:tc>
              <w:tc>
                <w:tcPr>
                  <w:tcW w:w="1568" w:type="dxa"/>
                  <w:vAlign w:val="center"/>
                </w:tcPr>
                <w:p>
                  <w:pPr>
                    <w:adjustRightInd w:val="0"/>
                    <w:snapToGrid w:val="0"/>
                    <w:jc w:val="center"/>
                    <w:rPr>
                      <w:rFonts w:hint="eastAsia"/>
                      <w:color w:val="000000"/>
                      <w:szCs w:val="21"/>
                    </w:rPr>
                  </w:pPr>
                  <w:r>
                    <w:rPr>
                      <w:rFonts w:hint="eastAsia"/>
                      <w:color w:val="000000"/>
                      <w:szCs w:val="21"/>
                    </w:rPr>
                    <w:t>公里</w:t>
                  </w:r>
                </w:p>
              </w:tc>
              <w:tc>
                <w:tcPr>
                  <w:tcW w:w="1569" w:type="dxa"/>
                  <w:vAlign w:val="center"/>
                </w:tcPr>
                <w:p>
                  <w:pPr>
                    <w:adjustRightInd w:val="0"/>
                    <w:snapToGrid w:val="0"/>
                    <w:jc w:val="center"/>
                    <w:rPr>
                      <w:rFonts w:hint="eastAsia"/>
                      <w:color w:val="000000"/>
                      <w:szCs w:val="21"/>
                    </w:rPr>
                  </w:pPr>
                  <w:r>
                    <w:rPr>
                      <w:rFonts w:hint="eastAsia"/>
                      <w:color w:val="000000"/>
                      <w:szCs w:val="21"/>
                    </w:rPr>
                    <w:t>4.906</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r>
                    <w:rPr>
                      <w:rFonts w:hint="eastAsia"/>
                      <w:color w:val="000000"/>
                      <w:szCs w:val="21"/>
                    </w:rPr>
                    <w:t>15</w:t>
                  </w:r>
                </w:p>
              </w:tc>
              <w:tc>
                <w:tcPr>
                  <w:tcW w:w="2462" w:type="dxa"/>
                  <w:vAlign w:val="center"/>
                </w:tcPr>
                <w:p>
                  <w:pPr>
                    <w:adjustRightInd w:val="0"/>
                    <w:snapToGrid w:val="0"/>
                    <w:jc w:val="center"/>
                    <w:rPr>
                      <w:rFonts w:hint="eastAsia"/>
                      <w:color w:val="000000"/>
                      <w:szCs w:val="21"/>
                    </w:rPr>
                  </w:pPr>
                  <w:r>
                    <w:rPr>
                      <w:rFonts w:hint="eastAsia"/>
                      <w:color w:val="000000"/>
                      <w:szCs w:val="21"/>
                    </w:rPr>
                    <w:t>服务区</w:t>
                  </w:r>
                </w:p>
              </w:tc>
              <w:tc>
                <w:tcPr>
                  <w:tcW w:w="1568" w:type="dxa"/>
                  <w:vAlign w:val="center"/>
                </w:tcPr>
                <w:p>
                  <w:pPr>
                    <w:adjustRightInd w:val="0"/>
                    <w:snapToGrid w:val="0"/>
                    <w:jc w:val="center"/>
                    <w:rPr>
                      <w:rFonts w:hint="eastAsia"/>
                      <w:color w:val="000000"/>
                      <w:szCs w:val="21"/>
                    </w:rPr>
                  </w:pPr>
                  <w:r>
                    <w:rPr>
                      <w:rFonts w:hint="eastAsia"/>
                      <w:color w:val="000000"/>
                      <w:szCs w:val="21"/>
                    </w:rPr>
                    <w:t>处</w:t>
                  </w:r>
                </w:p>
              </w:tc>
              <w:tc>
                <w:tcPr>
                  <w:tcW w:w="1569" w:type="dxa"/>
                  <w:vAlign w:val="center"/>
                </w:tcPr>
                <w:p>
                  <w:pPr>
                    <w:adjustRightInd w:val="0"/>
                    <w:snapToGrid w:val="0"/>
                    <w:jc w:val="center"/>
                    <w:rPr>
                      <w:rFonts w:hint="eastAsia"/>
                      <w:color w:val="000000"/>
                      <w:szCs w:val="21"/>
                    </w:rPr>
                  </w:pPr>
                  <w:r>
                    <w:rPr>
                      <w:rFonts w:hint="eastAsia"/>
                      <w:color w:val="000000"/>
                      <w:szCs w:val="21"/>
                    </w:rPr>
                    <w:t>0</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r>
                    <w:rPr>
                      <w:rFonts w:hint="eastAsia"/>
                      <w:color w:val="000000"/>
                      <w:szCs w:val="21"/>
                    </w:rPr>
                    <w:t>16</w:t>
                  </w:r>
                </w:p>
              </w:tc>
              <w:tc>
                <w:tcPr>
                  <w:tcW w:w="2462" w:type="dxa"/>
                  <w:vAlign w:val="center"/>
                </w:tcPr>
                <w:p>
                  <w:pPr>
                    <w:adjustRightInd w:val="0"/>
                    <w:snapToGrid w:val="0"/>
                    <w:jc w:val="center"/>
                    <w:rPr>
                      <w:rFonts w:hint="eastAsia"/>
                      <w:color w:val="000000"/>
                      <w:szCs w:val="21"/>
                    </w:rPr>
                  </w:pPr>
                  <w:r>
                    <w:rPr>
                      <w:rFonts w:hint="eastAsia"/>
                      <w:color w:val="000000"/>
                      <w:szCs w:val="21"/>
                    </w:rPr>
                    <w:t>停车区</w:t>
                  </w:r>
                </w:p>
              </w:tc>
              <w:tc>
                <w:tcPr>
                  <w:tcW w:w="1568" w:type="dxa"/>
                  <w:vAlign w:val="center"/>
                </w:tcPr>
                <w:p>
                  <w:pPr>
                    <w:adjustRightInd w:val="0"/>
                    <w:snapToGrid w:val="0"/>
                    <w:jc w:val="center"/>
                    <w:rPr>
                      <w:rFonts w:hint="eastAsia"/>
                      <w:color w:val="000000"/>
                      <w:szCs w:val="21"/>
                    </w:rPr>
                  </w:pPr>
                  <w:r>
                    <w:rPr>
                      <w:rFonts w:hint="eastAsia"/>
                      <w:color w:val="000000"/>
                      <w:szCs w:val="21"/>
                    </w:rPr>
                    <w:t>处</w:t>
                  </w:r>
                </w:p>
              </w:tc>
              <w:tc>
                <w:tcPr>
                  <w:tcW w:w="1569" w:type="dxa"/>
                  <w:vAlign w:val="center"/>
                </w:tcPr>
                <w:p>
                  <w:pPr>
                    <w:adjustRightInd w:val="0"/>
                    <w:snapToGrid w:val="0"/>
                    <w:jc w:val="center"/>
                    <w:rPr>
                      <w:rFonts w:hint="eastAsia"/>
                      <w:color w:val="000000"/>
                      <w:szCs w:val="21"/>
                    </w:rPr>
                  </w:pPr>
                  <w:r>
                    <w:rPr>
                      <w:rFonts w:hint="eastAsia"/>
                      <w:color w:val="000000"/>
                      <w:szCs w:val="21"/>
                    </w:rPr>
                    <w:t>0</w:t>
                  </w: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p>
              </w:tc>
              <w:tc>
                <w:tcPr>
                  <w:tcW w:w="2462" w:type="dxa"/>
                  <w:vAlign w:val="center"/>
                </w:tcPr>
                <w:p>
                  <w:pPr>
                    <w:adjustRightInd w:val="0"/>
                    <w:snapToGrid w:val="0"/>
                    <w:jc w:val="center"/>
                    <w:rPr>
                      <w:rFonts w:hint="eastAsia"/>
                      <w:color w:val="000000"/>
                      <w:szCs w:val="21"/>
                    </w:rPr>
                  </w:pPr>
                  <w:r>
                    <w:rPr>
                      <w:rFonts w:hint="eastAsia"/>
                      <w:color w:val="000000"/>
                      <w:szCs w:val="21"/>
                    </w:rPr>
                    <w:t>六、环境保护</w:t>
                  </w:r>
                </w:p>
              </w:tc>
              <w:tc>
                <w:tcPr>
                  <w:tcW w:w="1568" w:type="dxa"/>
                  <w:vAlign w:val="center"/>
                </w:tcPr>
                <w:p>
                  <w:pPr>
                    <w:adjustRightInd w:val="0"/>
                    <w:snapToGrid w:val="0"/>
                    <w:jc w:val="center"/>
                    <w:rPr>
                      <w:rFonts w:hint="eastAsia"/>
                      <w:color w:val="000000"/>
                      <w:szCs w:val="21"/>
                    </w:rPr>
                  </w:pPr>
                </w:p>
              </w:tc>
              <w:tc>
                <w:tcPr>
                  <w:tcW w:w="1569" w:type="dxa"/>
                  <w:vAlign w:val="center"/>
                </w:tcPr>
                <w:p>
                  <w:pPr>
                    <w:adjustRightInd w:val="0"/>
                    <w:snapToGrid w:val="0"/>
                    <w:jc w:val="center"/>
                    <w:rPr>
                      <w:rFonts w:hint="eastAsia"/>
                      <w:color w:val="000000"/>
                      <w:szCs w:val="21"/>
                    </w:rPr>
                  </w:pPr>
                </w:p>
              </w:tc>
              <w:tc>
                <w:tcPr>
                  <w:tcW w:w="1569" w:type="dxa"/>
                  <w:vAlign w:val="center"/>
                </w:tcPr>
                <w:p>
                  <w:pPr>
                    <w:adjustRightInd w:val="0"/>
                    <w:snapToGrid w:val="0"/>
                    <w:jc w:val="center"/>
                    <w:rPr>
                      <w:color w:val="000000"/>
                      <w:szCs w:val="21"/>
                    </w:rPr>
                  </w:pPr>
                </w:p>
              </w:tc>
            </w:tr>
            <w:tr>
              <w:tblPrEx>
                <w:tblW w:w="0" w:type="auto"/>
                <w:tblInd w:w="113" w:type="dxa"/>
                <w:tblCellMar>
                  <w:top w:w="0" w:type="dxa"/>
                  <w:left w:w="108" w:type="dxa"/>
                  <w:bottom w:w="0" w:type="dxa"/>
                  <w:right w:w="108" w:type="dxa"/>
                </w:tblCellMar>
                <w:tblLook w:val="0000"/>
              </w:tblPrEx>
              <w:trPr>
                <w:trHeight w:val="340"/>
              </w:trPr>
              <w:tc>
                <w:tcPr>
                  <w:tcW w:w="674" w:type="dxa"/>
                  <w:vAlign w:val="center"/>
                </w:tcPr>
                <w:p>
                  <w:pPr>
                    <w:adjustRightInd w:val="0"/>
                    <w:snapToGrid w:val="0"/>
                    <w:jc w:val="center"/>
                    <w:rPr>
                      <w:color w:val="000000"/>
                      <w:szCs w:val="21"/>
                    </w:rPr>
                  </w:pPr>
                  <w:r>
                    <w:rPr>
                      <w:rFonts w:hint="eastAsia"/>
                      <w:color w:val="000000"/>
                      <w:szCs w:val="21"/>
                    </w:rPr>
                    <w:t>17</w:t>
                  </w:r>
                </w:p>
              </w:tc>
              <w:tc>
                <w:tcPr>
                  <w:tcW w:w="2462" w:type="dxa"/>
                  <w:vAlign w:val="center"/>
                </w:tcPr>
                <w:p>
                  <w:pPr>
                    <w:adjustRightInd w:val="0"/>
                    <w:snapToGrid w:val="0"/>
                    <w:jc w:val="center"/>
                    <w:rPr>
                      <w:rFonts w:hint="eastAsia"/>
                      <w:color w:val="000000"/>
                      <w:szCs w:val="21"/>
                    </w:rPr>
                  </w:pPr>
                  <w:r>
                    <w:rPr>
                      <w:rFonts w:hint="eastAsia"/>
                      <w:color w:val="000000"/>
                      <w:szCs w:val="21"/>
                    </w:rPr>
                    <w:t>边坡防护</w:t>
                  </w:r>
                </w:p>
              </w:tc>
              <w:tc>
                <w:tcPr>
                  <w:tcW w:w="1568" w:type="dxa"/>
                  <w:vAlign w:val="center"/>
                </w:tcPr>
                <w:p>
                  <w:pPr>
                    <w:adjustRightInd w:val="0"/>
                    <w:snapToGrid w:val="0"/>
                    <w:jc w:val="center"/>
                    <w:rPr>
                      <w:rFonts w:hint="eastAsia"/>
                      <w:color w:val="000000"/>
                      <w:szCs w:val="21"/>
                    </w:rPr>
                  </w:pPr>
                  <w:r>
                    <w:rPr>
                      <w:rFonts w:hint="eastAsia"/>
                      <w:color w:val="000000"/>
                      <w:szCs w:val="21"/>
                    </w:rPr>
                    <w:t>公里</w:t>
                  </w:r>
                </w:p>
              </w:tc>
              <w:tc>
                <w:tcPr>
                  <w:tcW w:w="1569" w:type="dxa"/>
                  <w:vAlign w:val="center"/>
                </w:tcPr>
                <w:p>
                  <w:pPr>
                    <w:adjustRightInd w:val="0"/>
                    <w:snapToGrid w:val="0"/>
                    <w:jc w:val="center"/>
                    <w:rPr>
                      <w:rFonts w:hint="eastAsia"/>
                      <w:color w:val="000000"/>
                      <w:szCs w:val="21"/>
                    </w:rPr>
                  </w:pPr>
                  <w:r>
                    <w:rPr>
                      <w:rFonts w:hint="eastAsia"/>
                      <w:color w:val="000000"/>
                      <w:szCs w:val="21"/>
                    </w:rPr>
                    <w:t>4.906</w:t>
                  </w:r>
                </w:p>
              </w:tc>
              <w:tc>
                <w:tcPr>
                  <w:tcW w:w="1569" w:type="dxa"/>
                  <w:vAlign w:val="center"/>
                </w:tcPr>
                <w:p>
                  <w:pPr>
                    <w:adjustRightInd w:val="0"/>
                    <w:snapToGrid w:val="0"/>
                    <w:jc w:val="center"/>
                    <w:rPr>
                      <w:color w:val="000000"/>
                      <w:szCs w:val="21"/>
                    </w:rPr>
                  </w:pPr>
                </w:p>
              </w:tc>
            </w:tr>
          </w:tbl>
          <w:p>
            <w:pPr>
              <w:adjustRightInd w:val="0"/>
              <w:snapToGrid w:val="0"/>
              <w:spacing w:line="360" w:lineRule="auto"/>
              <w:ind w:firstLine="480" w:firstLineChars="200"/>
              <w:rPr>
                <w:rFonts w:hint="eastAsia"/>
                <w:color w:val="000000"/>
                <w:sz w:val="24"/>
              </w:rPr>
            </w:pPr>
            <w:r>
              <w:rPr>
                <w:rFonts w:hint="eastAsia"/>
                <w:color w:val="000000"/>
                <w:sz w:val="24"/>
              </w:rPr>
              <w:t>2、交通量预测</w:t>
            </w:r>
          </w:p>
          <w:p>
            <w:pPr>
              <w:adjustRightInd w:val="0"/>
              <w:snapToGrid w:val="0"/>
              <w:spacing w:line="360" w:lineRule="auto"/>
              <w:ind w:firstLine="480" w:firstLineChars="200"/>
              <w:rPr>
                <w:rFonts w:hint="eastAsia"/>
                <w:color w:val="000000"/>
                <w:sz w:val="24"/>
              </w:rPr>
            </w:pPr>
            <w:r>
              <w:rPr>
                <w:rFonts w:hint="eastAsia"/>
                <w:color w:val="000000"/>
                <w:sz w:val="24"/>
              </w:rPr>
              <w:t>本项目选取</w:t>
            </w:r>
            <w:r>
              <w:rPr>
                <w:color w:val="000000"/>
                <w:sz w:val="24"/>
              </w:rPr>
              <w:t>202</w:t>
            </w:r>
            <w:r>
              <w:rPr>
                <w:rFonts w:hint="eastAsia"/>
                <w:color w:val="000000"/>
                <w:sz w:val="24"/>
              </w:rPr>
              <w:t>3年、</w:t>
            </w:r>
            <w:r>
              <w:rPr>
                <w:color w:val="000000"/>
                <w:sz w:val="24"/>
              </w:rPr>
              <w:t>202</w:t>
            </w:r>
            <w:r>
              <w:rPr>
                <w:rFonts w:hint="eastAsia"/>
                <w:color w:val="000000"/>
                <w:sz w:val="24"/>
              </w:rPr>
              <w:t>9年、</w:t>
            </w:r>
            <w:r>
              <w:rPr>
                <w:color w:val="000000"/>
                <w:sz w:val="24"/>
              </w:rPr>
              <w:t>203</w:t>
            </w:r>
            <w:r>
              <w:rPr>
                <w:rFonts w:hint="eastAsia"/>
                <w:color w:val="000000"/>
                <w:sz w:val="24"/>
              </w:rPr>
              <w:t>7年分为运营近期、中期、远期。本项目运营期交通量预测结果见表2-3。</w:t>
            </w:r>
          </w:p>
          <w:p>
            <w:pPr>
              <w:adjustRightInd w:val="0"/>
              <w:snapToGrid w:val="0"/>
              <w:jc w:val="center"/>
              <w:rPr>
                <w:rFonts w:hint="eastAsia"/>
                <w:b/>
                <w:color w:val="000000"/>
                <w:sz w:val="24"/>
              </w:rPr>
            </w:pPr>
            <w:r>
              <w:rPr>
                <w:rFonts w:hint="eastAsia"/>
                <w:b/>
                <w:color w:val="000000"/>
                <w:sz w:val="24"/>
              </w:rPr>
              <w:t>表2-3</w:t>
            </w:r>
            <w:r>
              <w:rPr>
                <w:b/>
                <w:color w:val="000000"/>
                <w:sz w:val="24"/>
              </w:rPr>
              <w:t xml:space="preserve"> </w:t>
            </w:r>
            <w:r>
              <w:rPr>
                <w:rFonts w:hint="eastAsia"/>
                <w:b/>
                <w:color w:val="000000"/>
                <w:sz w:val="24"/>
              </w:rPr>
              <w:t>本项目运营期交通量预测结果   单位：</w:t>
            </w:r>
            <w:r>
              <w:rPr>
                <w:b/>
                <w:color w:val="000000"/>
                <w:sz w:val="24"/>
              </w:rPr>
              <w:t>Pcu/d</w:t>
            </w:r>
          </w:p>
          <w:tbl>
            <w:tblPr>
              <w:tblStyle w:val="TableNormal"/>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569"/>
              <w:gridCol w:w="1570"/>
              <w:gridCol w:w="1570"/>
              <w:gridCol w:w="1570"/>
              <w:gridCol w:w="1571"/>
            </w:tblGrid>
            <w:tr>
              <w:tblPrEx>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trPr>
              <w:tc>
                <w:tcPr>
                  <w:tcW w:w="999" w:type="pct"/>
                  <w:vAlign w:val="center"/>
                </w:tcPr>
                <w:p>
                  <w:pPr>
                    <w:adjustRightInd w:val="0"/>
                    <w:snapToGrid w:val="0"/>
                    <w:jc w:val="center"/>
                    <w:rPr>
                      <w:color w:val="000000"/>
                      <w:szCs w:val="21"/>
                    </w:rPr>
                  </w:pPr>
                  <w:r>
                    <w:rPr>
                      <w:rFonts w:hint="eastAsia"/>
                      <w:color w:val="000000"/>
                      <w:szCs w:val="21"/>
                    </w:rPr>
                    <w:t>路段</w:t>
                  </w:r>
                </w:p>
              </w:tc>
              <w:tc>
                <w:tcPr>
                  <w:tcW w:w="1000" w:type="pct"/>
                  <w:vAlign w:val="center"/>
                </w:tcPr>
                <w:p>
                  <w:pPr>
                    <w:adjustRightInd w:val="0"/>
                    <w:snapToGrid w:val="0"/>
                    <w:jc w:val="center"/>
                    <w:rPr>
                      <w:color w:val="000000"/>
                      <w:szCs w:val="21"/>
                    </w:rPr>
                  </w:pPr>
                  <w:r>
                    <w:rPr>
                      <w:rFonts w:hint="eastAsia"/>
                      <w:color w:val="000000"/>
                      <w:szCs w:val="21"/>
                    </w:rPr>
                    <w:t>年份</w:t>
                  </w:r>
                </w:p>
              </w:tc>
              <w:tc>
                <w:tcPr>
                  <w:tcW w:w="1000" w:type="pct"/>
                  <w:vAlign w:val="center"/>
                </w:tcPr>
                <w:p>
                  <w:pPr>
                    <w:adjustRightInd w:val="0"/>
                    <w:snapToGrid w:val="0"/>
                    <w:jc w:val="center"/>
                    <w:rPr>
                      <w:color w:val="000000"/>
                      <w:szCs w:val="21"/>
                    </w:rPr>
                  </w:pPr>
                  <w:r>
                    <w:rPr>
                      <w:rFonts w:hint="eastAsia"/>
                      <w:color w:val="000000"/>
                      <w:szCs w:val="21"/>
                    </w:rPr>
                    <w:t>2023</w:t>
                  </w:r>
                </w:p>
              </w:tc>
              <w:tc>
                <w:tcPr>
                  <w:tcW w:w="1000" w:type="pct"/>
                  <w:vAlign w:val="center"/>
                </w:tcPr>
                <w:p>
                  <w:pPr>
                    <w:adjustRightInd w:val="0"/>
                    <w:snapToGrid w:val="0"/>
                    <w:jc w:val="center"/>
                    <w:rPr>
                      <w:color w:val="000000"/>
                      <w:szCs w:val="21"/>
                    </w:rPr>
                  </w:pPr>
                  <w:r>
                    <w:rPr>
                      <w:rFonts w:hint="eastAsia"/>
                      <w:color w:val="000000"/>
                      <w:szCs w:val="21"/>
                    </w:rPr>
                    <w:t>2029</w:t>
                  </w:r>
                </w:p>
              </w:tc>
              <w:tc>
                <w:tcPr>
                  <w:tcW w:w="1000" w:type="pct"/>
                  <w:vAlign w:val="center"/>
                </w:tcPr>
                <w:p>
                  <w:pPr>
                    <w:adjustRightInd w:val="0"/>
                    <w:snapToGrid w:val="0"/>
                    <w:jc w:val="center"/>
                    <w:rPr>
                      <w:color w:val="000000"/>
                      <w:szCs w:val="21"/>
                    </w:rPr>
                  </w:pPr>
                  <w:r>
                    <w:rPr>
                      <w:rFonts w:hint="eastAsia"/>
                      <w:color w:val="000000"/>
                      <w:szCs w:val="21"/>
                    </w:rPr>
                    <w:t>2037</w:t>
                  </w:r>
                </w:p>
              </w:tc>
            </w:tr>
            <w:tr>
              <w:tblPrEx>
                <w:tblW w:w="5000" w:type="pct"/>
                <w:tblInd w:w="113" w:type="dxa"/>
                <w:tblCellMar>
                  <w:top w:w="0" w:type="dxa"/>
                  <w:left w:w="108" w:type="dxa"/>
                  <w:bottom w:w="0" w:type="dxa"/>
                  <w:right w:w="108" w:type="dxa"/>
                </w:tblCellMar>
                <w:tblLook w:val="0000"/>
              </w:tblPrEx>
              <w:trPr>
                <w:trHeight w:val="340"/>
              </w:trPr>
              <w:tc>
                <w:tcPr>
                  <w:tcW w:w="999" w:type="pct"/>
                  <w:vAlign w:val="center"/>
                </w:tcPr>
                <w:p>
                  <w:pPr>
                    <w:adjustRightInd w:val="0"/>
                    <w:snapToGrid w:val="0"/>
                    <w:jc w:val="center"/>
                    <w:rPr>
                      <w:color w:val="000000"/>
                      <w:szCs w:val="21"/>
                    </w:rPr>
                  </w:pPr>
                  <w:r>
                    <w:rPr>
                      <w:color w:val="000000"/>
                      <w:szCs w:val="21"/>
                    </w:rPr>
                    <w:t>S324宁武线（三岭大街西至小店桥段）</w:t>
                  </w:r>
                </w:p>
              </w:tc>
              <w:tc>
                <w:tcPr>
                  <w:tcW w:w="1000" w:type="pct"/>
                  <w:vAlign w:val="center"/>
                </w:tcPr>
                <w:p>
                  <w:pPr>
                    <w:adjustRightInd w:val="0"/>
                    <w:snapToGrid w:val="0"/>
                    <w:jc w:val="center"/>
                    <w:rPr>
                      <w:color w:val="000000"/>
                      <w:szCs w:val="21"/>
                    </w:rPr>
                  </w:pPr>
                  <w:r>
                    <w:rPr>
                      <w:rFonts w:hint="eastAsia"/>
                      <w:color w:val="000000"/>
                      <w:szCs w:val="21"/>
                    </w:rPr>
                    <w:t>车流量</w:t>
                  </w:r>
                </w:p>
              </w:tc>
              <w:tc>
                <w:tcPr>
                  <w:tcW w:w="1000" w:type="pct"/>
                  <w:vAlign w:val="center"/>
                </w:tcPr>
                <w:p>
                  <w:pPr>
                    <w:adjustRightInd w:val="0"/>
                    <w:snapToGrid w:val="0"/>
                    <w:jc w:val="center"/>
                    <w:rPr>
                      <w:color w:val="000000"/>
                      <w:szCs w:val="21"/>
                    </w:rPr>
                  </w:pPr>
                  <w:r>
                    <w:rPr>
                      <w:rFonts w:hint="eastAsia"/>
                      <w:color w:val="000000"/>
                      <w:szCs w:val="21"/>
                    </w:rPr>
                    <w:t>6936</w:t>
                  </w:r>
                </w:p>
              </w:tc>
              <w:tc>
                <w:tcPr>
                  <w:tcW w:w="1000" w:type="pct"/>
                  <w:vAlign w:val="center"/>
                </w:tcPr>
                <w:p>
                  <w:pPr>
                    <w:adjustRightInd w:val="0"/>
                    <w:snapToGrid w:val="0"/>
                    <w:jc w:val="center"/>
                    <w:rPr>
                      <w:color w:val="000000"/>
                      <w:szCs w:val="21"/>
                    </w:rPr>
                  </w:pPr>
                  <w:r>
                    <w:rPr>
                      <w:rFonts w:hint="eastAsia"/>
                      <w:color w:val="000000"/>
                      <w:szCs w:val="21"/>
                    </w:rPr>
                    <w:t>7976</w:t>
                  </w:r>
                </w:p>
              </w:tc>
              <w:tc>
                <w:tcPr>
                  <w:tcW w:w="1000" w:type="pct"/>
                  <w:vAlign w:val="center"/>
                </w:tcPr>
                <w:p>
                  <w:pPr>
                    <w:adjustRightInd w:val="0"/>
                    <w:snapToGrid w:val="0"/>
                    <w:jc w:val="center"/>
                    <w:rPr>
                      <w:color w:val="000000"/>
                      <w:szCs w:val="21"/>
                    </w:rPr>
                  </w:pPr>
                  <w:r>
                    <w:rPr>
                      <w:rFonts w:hint="eastAsia"/>
                      <w:color w:val="000000"/>
                      <w:szCs w:val="21"/>
                    </w:rPr>
                    <w:t>8933</w:t>
                  </w:r>
                </w:p>
              </w:tc>
            </w:tr>
          </w:tbl>
          <w:p>
            <w:pPr>
              <w:adjustRightInd w:val="0"/>
              <w:snapToGrid w:val="0"/>
              <w:spacing w:line="360" w:lineRule="auto"/>
              <w:rPr>
                <w:rFonts w:hint="eastAsia"/>
                <w:b/>
                <w:color w:val="000000"/>
                <w:sz w:val="24"/>
              </w:rPr>
            </w:pPr>
            <w:r>
              <w:rPr>
                <w:rFonts w:hint="eastAsia"/>
                <w:b/>
                <w:bCs/>
                <w:color w:val="000000"/>
                <w:sz w:val="24"/>
              </w:rPr>
              <w:t>四</w:t>
            </w:r>
            <w:r>
              <w:rPr>
                <w:rFonts w:hint="eastAsia"/>
                <w:b/>
                <w:color w:val="000000"/>
                <w:sz w:val="24"/>
              </w:rPr>
              <w:t>、主要工程方案</w:t>
            </w:r>
          </w:p>
          <w:p>
            <w:pPr>
              <w:adjustRightInd w:val="0"/>
              <w:snapToGrid w:val="0"/>
              <w:spacing w:line="360" w:lineRule="auto"/>
              <w:ind w:firstLine="480" w:firstLineChars="200"/>
              <w:rPr>
                <w:color w:val="000000"/>
                <w:sz w:val="24"/>
              </w:rPr>
            </w:pPr>
            <w:r>
              <w:rPr>
                <w:color w:val="000000"/>
                <w:sz w:val="24"/>
              </w:rPr>
              <w:t>1</w:t>
            </w:r>
            <w:r>
              <w:rPr>
                <w:rFonts w:hint="eastAsia"/>
                <w:color w:val="000000"/>
                <w:sz w:val="24"/>
              </w:rPr>
              <w:t>、路基工程</w:t>
            </w:r>
          </w:p>
          <w:p>
            <w:pPr>
              <w:spacing w:line="360" w:lineRule="auto"/>
              <w:ind w:firstLine="480" w:firstLineChars="200"/>
              <w:rPr>
                <w:rFonts w:hint="eastAsia"/>
                <w:color w:val="000000"/>
                <w:sz w:val="24"/>
              </w:rPr>
            </w:pPr>
            <w:r>
              <w:rPr>
                <w:rFonts w:hint="eastAsia"/>
                <w:color w:val="000000"/>
                <w:sz w:val="24"/>
              </w:rPr>
              <w:t>（1）路基宽度</w:t>
            </w:r>
          </w:p>
          <w:p>
            <w:pPr>
              <w:spacing w:line="360" w:lineRule="auto"/>
              <w:ind w:firstLine="480" w:firstLineChars="200"/>
              <w:rPr>
                <w:rFonts w:hint="eastAsia"/>
                <w:color w:val="000000"/>
                <w:sz w:val="24"/>
              </w:rPr>
            </w:pPr>
            <w:r>
              <w:rPr>
                <w:rFonts w:hint="eastAsia"/>
                <w:color w:val="000000"/>
                <w:sz w:val="24"/>
              </w:rPr>
              <w:t>本项目采用设计速度为8</w:t>
            </w:r>
            <w:r>
              <w:rPr>
                <w:color w:val="000000"/>
                <w:sz w:val="24"/>
              </w:rPr>
              <w:t>0</w:t>
            </w:r>
            <w:r>
              <w:rPr>
                <w:rFonts w:hint="eastAsia"/>
                <w:color w:val="000000"/>
                <w:sz w:val="24"/>
              </w:rPr>
              <w:t>k</w:t>
            </w:r>
            <w:r>
              <w:rPr>
                <w:color w:val="000000"/>
                <w:sz w:val="24"/>
              </w:rPr>
              <w:t xml:space="preserve">m/h </w:t>
            </w:r>
            <w:r>
              <w:rPr>
                <w:rFonts w:hint="eastAsia"/>
                <w:color w:val="000000"/>
                <w:sz w:val="24"/>
              </w:rPr>
              <w:t>的双向四车道道路。</w:t>
            </w:r>
          </w:p>
          <w:p>
            <w:pPr>
              <w:spacing w:line="360" w:lineRule="auto"/>
              <w:ind w:firstLine="480" w:firstLineChars="200"/>
              <w:rPr>
                <w:rFonts w:hint="eastAsia"/>
                <w:color w:val="000000"/>
                <w:spacing w:val="9"/>
                <w:kern w:val="0"/>
                <w:sz w:val="24"/>
              </w:rPr>
            </w:pPr>
            <w:r>
              <w:rPr>
                <w:bCs/>
                <w:color w:val="000000"/>
                <w:spacing w:val="9"/>
                <w:kern w:val="0"/>
                <w:sz w:val="24"/>
              </w:rPr>
              <w:t>K</w:t>
            </w:r>
            <w:r>
              <w:rPr>
                <w:rFonts w:hint="eastAsia"/>
                <w:bCs/>
                <w:color w:val="000000"/>
                <w:spacing w:val="9"/>
                <w:kern w:val="0"/>
                <w:sz w:val="24"/>
              </w:rPr>
              <w:t>4+234～</w:t>
            </w:r>
            <w:r>
              <w:rPr>
                <w:bCs/>
                <w:color w:val="000000"/>
                <w:spacing w:val="9"/>
                <w:kern w:val="0"/>
                <w:sz w:val="24"/>
              </w:rPr>
              <w:t>K</w:t>
            </w:r>
            <w:r>
              <w:rPr>
                <w:rFonts w:hint="eastAsia"/>
                <w:bCs/>
                <w:color w:val="000000"/>
                <w:spacing w:val="9"/>
                <w:kern w:val="0"/>
                <w:sz w:val="24"/>
              </w:rPr>
              <w:t>6</w:t>
            </w:r>
            <w:r>
              <w:rPr>
                <w:bCs/>
                <w:color w:val="000000"/>
                <w:spacing w:val="9"/>
                <w:kern w:val="0"/>
                <w:sz w:val="24"/>
              </w:rPr>
              <w:t>+</w:t>
            </w:r>
            <w:r>
              <w:rPr>
                <w:rFonts w:hint="eastAsia"/>
                <w:bCs/>
                <w:color w:val="000000"/>
                <w:spacing w:val="9"/>
                <w:kern w:val="0"/>
                <w:sz w:val="24"/>
              </w:rPr>
              <w:t>072路段：</w:t>
            </w:r>
            <w:r>
              <w:rPr>
                <w:bCs/>
                <w:color w:val="000000"/>
                <w:spacing w:val="9"/>
                <w:kern w:val="0"/>
                <w:sz w:val="24"/>
              </w:rPr>
              <w:t>B=</w:t>
            </w:r>
            <w:r>
              <w:rPr>
                <w:rFonts w:hint="eastAsia"/>
                <w:bCs/>
                <w:color w:val="000000"/>
                <w:spacing w:val="9"/>
                <w:kern w:val="0"/>
                <w:sz w:val="24"/>
              </w:rPr>
              <w:t>绿化带4m+人行道2m+主路行车道23m+人行道2m +绿化带4m =35m。</w:t>
            </w:r>
          </w:p>
          <w:p>
            <w:pPr>
              <w:spacing w:line="360" w:lineRule="auto"/>
              <w:rPr>
                <w:rFonts w:hint="eastAsia"/>
                <w:color w:val="000000"/>
                <w:spacing w:val="9"/>
                <w:kern w:val="0"/>
                <w:sz w:val="24"/>
              </w:rPr>
            </w:pPr>
            <w:r>
              <w:rPr>
                <w:rFonts w:hint="eastAsia"/>
                <w:color w:val="000000"/>
                <w:spacing w:val="9"/>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89.3pt;height:177.75pt;mso-position-horizontal-relative:page;mso-position-vertical-relative:page;mso-wrap-style:square" filled="f" stroked="f">
                  <v:stroke linestyle="single"/>
                  <v:imagedata r:id="rId40" o:title="微信截图_20220529154646"/>
                  <v:path o:extrusionok="f"/>
                  <o:lock v:ext="edit" aspectratio="t"/>
                </v:shape>
              </w:pict>
            </w:r>
          </w:p>
          <w:p>
            <w:pPr>
              <w:adjustRightInd w:val="0"/>
              <w:snapToGrid w:val="0"/>
              <w:spacing w:line="360" w:lineRule="auto"/>
              <w:jc w:val="center"/>
              <w:rPr>
                <w:rFonts w:hint="eastAsia"/>
                <w:b/>
                <w:color w:val="000000"/>
                <w:sz w:val="24"/>
              </w:rPr>
            </w:pPr>
            <w:r>
              <w:rPr>
                <w:rFonts w:hint="eastAsia"/>
                <w:b/>
                <w:color w:val="000000"/>
                <w:sz w:val="24"/>
              </w:rPr>
              <w:t>图2-1 路基标准横断面图（</w:t>
            </w:r>
            <w:r>
              <w:rPr>
                <w:b/>
                <w:bCs/>
                <w:color w:val="000000"/>
                <w:sz w:val="24"/>
              </w:rPr>
              <w:t>K</w:t>
            </w:r>
            <w:r>
              <w:rPr>
                <w:rFonts w:hint="eastAsia"/>
                <w:b/>
                <w:bCs/>
                <w:color w:val="000000"/>
                <w:sz w:val="24"/>
              </w:rPr>
              <w:t>4+234～</w:t>
            </w:r>
            <w:r>
              <w:rPr>
                <w:b/>
                <w:bCs/>
                <w:color w:val="000000"/>
                <w:sz w:val="24"/>
              </w:rPr>
              <w:t>K</w:t>
            </w:r>
            <w:r>
              <w:rPr>
                <w:rFonts w:hint="eastAsia"/>
                <w:b/>
                <w:bCs/>
                <w:color w:val="000000"/>
                <w:sz w:val="24"/>
              </w:rPr>
              <w:t>6</w:t>
            </w:r>
            <w:r>
              <w:rPr>
                <w:b/>
                <w:bCs/>
                <w:color w:val="000000"/>
                <w:sz w:val="24"/>
              </w:rPr>
              <w:t>+</w:t>
            </w:r>
            <w:r>
              <w:rPr>
                <w:rFonts w:hint="eastAsia"/>
                <w:b/>
                <w:bCs/>
                <w:color w:val="000000"/>
                <w:sz w:val="24"/>
              </w:rPr>
              <w:t>072</w:t>
            </w:r>
            <w:r>
              <w:rPr>
                <w:rFonts w:hint="eastAsia"/>
                <w:b/>
                <w:color w:val="000000"/>
                <w:sz w:val="24"/>
              </w:rPr>
              <w:t>路段）</w:t>
            </w:r>
          </w:p>
          <w:p>
            <w:pPr>
              <w:spacing w:line="360" w:lineRule="auto"/>
              <w:ind w:firstLine="480" w:firstLineChars="200"/>
              <w:rPr>
                <w:rFonts w:hint="eastAsia"/>
                <w:color w:val="000000"/>
                <w:spacing w:val="9"/>
                <w:kern w:val="0"/>
                <w:sz w:val="24"/>
              </w:rPr>
            </w:pPr>
            <w:r>
              <w:rPr>
                <w:bCs/>
                <w:color w:val="000000"/>
                <w:spacing w:val="9"/>
                <w:kern w:val="0"/>
                <w:sz w:val="24"/>
              </w:rPr>
              <w:t>K</w:t>
            </w:r>
            <w:r>
              <w:rPr>
                <w:rFonts w:hint="eastAsia"/>
                <w:bCs/>
                <w:color w:val="000000"/>
                <w:spacing w:val="9"/>
                <w:kern w:val="0"/>
                <w:sz w:val="24"/>
              </w:rPr>
              <w:t>6+072～</w:t>
            </w:r>
            <w:r>
              <w:rPr>
                <w:bCs/>
                <w:color w:val="000000"/>
                <w:spacing w:val="9"/>
                <w:kern w:val="0"/>
                <w:sz w:val="24"/>
              </w:rPr>
              <w:t>K</w:t>
            </w:r>
            <w:r>
              <w:rPr>
                <w:rFonts w:hint="eastAsia"/>
                <w:bCs/>
                <w:color w:val="000000"/>
                <w:spacing w:val="9"/>
                <w:kern w:val="0"/>
                <w:sz w:val="24"/>
              </w:rPr>
              <w:t>6</w:t>
            </w:r>
            <w:r>
              <w:rPr>
                <w:bCs/>
                <w:color w:val="000000"/>
                <w:spacing w:val="9"/>
                <w:kern w:val="0"/>
                <w:sz w:val="24"/>
              </w:rPr>
              <w:t>+</w:t>
            </w:r>
            <w:r>
              <w:rPr>
                <w:rFonts w:hint="eastAsia"/>
                <w:bCs/>
                <w:color w:val="000000"/>
                <w:spacing w:val="9"/>
                <w:kern w:val="0"/>
                <w:sz w:val="24"/>
              </w:rPr>
              <w:t>600路段：</w:t>
            </w:r>
            <w:r>
              <w:rPr>
                <w:bCs/>
                <w:color w:val="000000"/>
                <w:spacing w:val="9"/>
                <w:kern w:val="0"/>
                <w:sz w:val="24"/>
              </w:rPr>
              <w:t>B=</w:t>
            </w:r>
            <w:r>
              <w:rPr>
                <w:rFonts w:hint="eastAsia"/>
                <w:bCs/>
                <w:color w:val="000000"/>
                <w:spacing w:val="9"/>
                <w:kern w:val="0"/>
                <w:sz w:val="24"/>
              </w:rPr>
              <w:t>绿化带4m+人行道2m+主路行车道23m+人行道2m +绿化带4m =35m。</w:t>
            </w:r>
          </w:p>
          <w:p>
            <w:pPr>
              <w:spacing w:line="360" w:lineRule="auto"/>
              <w:ind w:firstLine="480" w:firstLineChars="200"/>
              <w:rPr>
                <w:rFonts w:hint="eastAsia"/>
                <w:color w:val="000000"/>
                <w:spacing w:val="9"/>
                <w:kern w:val="0"/>
                <w:sz w:val="24"/>
              </w:rPr>
            </w:pPr>
          </w:p>
          <w:p>
            <w:pPr>
              <w:spacing w:line="360" w:lineRule="auto"/>
              <w:ind w:firstLine="480" w:firstLineChars="200"/>
              <w:rPr>
                <w:rFonts w:hint="eastAsia"/>
                <w:color w:val="000000"/>
                <w:spacing w:val="9"/>
                <w:kern w:val="0"/>
                <w:sz w:val="24"/>
              </w:rPr>
            </w:pPr>
          </w:p>
          <w:p>
            <w:pPr>
              <w:spacing w:line="360" w:lineRule="auto"/>
              <w:ind w:firstLine="480" w:firstLineChars="200"/>
              <w:rPr>
                <w:rFonts w:hint="eastAsia"/>
                <w:color w:val="000000"/>
                <w:spacing w:val="9"/>
                <w:kern w:val="0"/>
                <w:sz w:val="24"/>
              </w:rPr>
            </w:pPr>
          </w:p>
        </w:tc>
      </w:tr>
    </w:tbl>
    <w:p>
      <w:pPr>
        <w:sectPr>
          <w:footerReference w:type="even" r:id="rId41"/>
          <w:footerReference w:type="default" r:id="rId42"/>
          <w:type w:val="nextPage"/>
          <w:pgSz w:w="11906" w:h="16838"/>
          <w:pgMar w:top="1440" w:right="1797" w:bottom="1440" w:left="1797" w:header="851" w:footer="1077" w:gutter="0"/>
          <w:pgNumType w:start="18"/>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2"/>
        <w:gridCol w:w="8076"/>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2542"/>
          <w:jc w:val="center"/>
        </w:trPr>
        <w:tc>
          <w:tcPr>
            <w:tcW w:w="308" w:type="pct"/>
            <w:vAlign w:val="center"/>
          </w:tcPr>
          <w:p/>
        </w:tc>
        <w:tc>
          <w:tcPr>
            <w:tcW w:w="4692" w:type="pct"/>
            <w:vAlign w:val="center"/>
          </w:tcPr>
          <w:p>
            <w:pPr>
              <w:spacing w:line="360" w:lineRule="auto"/>
              <w:rPr>
                <w:rFonts w:hint="eastAsia"/>
                <w:color w:val="000000"/>
                <w:spacing w:val="9"/>
                <w:kern w:val="0"/>
                <w:sz w:val="24"/>
              </w:rPr>
            </w:pPr>
            <w:r>
              <w:rPr>
                <w:rFonts w:hint="eastAsia"/>
                <w:color w:val="000000"/>
                <w:spacing w:val="9"/>
                <w:kern w:val="0"/>
                <w:sz w:val="24"/>
              </w:rPr>
              <w:pict>
                <v:shape id="图片 2" o:spid="_x0000_i1026" type="#_x0000_t75" style="width:392.39pt;height:175.5pt;mso-position-horizontal-relative:page;mso-position-vertical-relative:page;mso-wrap-style:square" filled="f" stroked="f">
                  <v:stroke linestyle="single"/>
                  <v:imagedata r:id="rId43" o:title="微信截图_20220529154918"/>
                  <v:path o:extrusionok="f"/>
                  <o:lock v:ext="edit" aspectratio="t"/>
                </v:shape>
              </w:pict>
            </w:r>
          </w:p>
          <w:p>
            <w:pPr>
              <w:spacing w:line="360" w:lineRule="auto"/>
              <w:jc w:val="center"/>
              <w:rPr>
                <w:rFonts w:hint="eastAsia"/>
                <w:color w:val="000000"/>
                <w:spacing w:val="9"/>
                <w:kern w:val="0"/>
                <w:sz w:val="24"/>
              </w:rPr>
            </w:pPr>
            <w:r>
              <w:rPr>
                <w:rFonts w:hint="eastAsia"/>
                <w:b/>
                <w:color w:val="000000"/>
                <w:sz w:val="24"/>
              </w:rPr>
              <w:t>图2-2 路基标准横断面图（</w:t>
            </w:r>
            <w:r>
              <w:rPr>
                <w:b/>
                <w:bCs/>
                <w:color w:val="000000"/>
                <w:spacing w:val="9"/>
                <w:kern w:val="0"/>
                <w:sz w:val="24"/>
              </w:rPr>
              <w:t>K</w:t>
            </w:r>
            <w:r>
              <w:rPr>
                <w:rFonts w:hint="eastAsia"/>
                <w:b/>
                <w:bCs/>
                <w:color w:val="000000"/>
                <w:spacing w:val="9"/>
                <w:kern w:val="0"/>
                <w:sz w:val="24"/>
              </w:rPr>
              <w:t>6+072～</w:t>
            </w:r>
            <w:r>
              <w:rPr>
                <w:b/>
                <w:bCs/>
                <w:color w:val="000000"/>
                <w:spacing w:val="9"/>
                <w:kern w:val="0"/>
                <w:sz w:val="24"/>
              </w:rPr>
              <w:t>K</w:t>
            </w:r>
            <w:r>
              <w:rPr>
                <w:rFonts w:hint="eastAsia"/>
                <w:b/>
                <w:bCs/>
                <w:color w:val="000000"/>
                <w:spacing w:val="9"/>
                <w:kern w:val="0"/>
                <w:sz w:val="24"/>
              </w:rPr>
              <w:t>6</w:t>
            </w:r>
            <w:r>
              <w:rPr>
                <w:b/>
                <w:bCs/>
                <w:color w:val="000000"/>
                <w:spacing w:val="9"/>
                <w:kern w:val="0"/>
                <w:sz w:val="24"/>
              </w:rPr>
              <w:t>+</w:t>
            </w:r>
            <w:r>
              <w:rPr>
                <w:rFonts w:hint="eastAsia"/>
                <w:b/>
                <w:bCs/>
                <w:color w:val="000000"/>
                <w:spacing w:val="9"/>
                <w:kern w:val="0"/>
                <w:sz w:val="24"/>
              </w:rPr>
              <w:t>600</w:t>
            </w:r>
            <w:r>
              <w:rPr>
                <w:rFonts w:hint="eastAsia"/>
                <w:b/>
                <w:color w:val="000000"/>
                <w:sz w:val="24"/>
              </w:rPr>
              <w:t>路段）</w:t>
            </w:r>
          </w:p>
          <w:p>
            <w:pPr>
              <w:spacing w:line="360" w:lineRule="auto"/>
              <w:ind w:firstLine="480" w:firstLineChars="200"/>
              <w:rPr>
                <w:rFonts w:hint="eastAsia"/>
                <w:bCs/>
                <w:color w:val="000000"/>
                <w:spacing w:val="9"/>
                <w:kern w:val="0"/>
                <w:sz w:val="24"/>
              </w:rPr>
            </w:pPr>
            <w:r>
              <w:rPr>
                <w:bCs/>
                <w:color w:val="000000"/>
                <w:spacing w:val="9"/>
                <w:kern w:val="0"/>
                <w:sz w:val="24"/>
              </w:rPr>
              <w:t>K</w:t>
            </w:r>
            <w:r>
              <w:rPr>
                <w:rFonts w:hint="eastAsia"/>
                <w:bCs/>
                <w:color w:val="000000"/>
                <w:spacing w:val="9"/>
                <w:kern w:val="0"/>
                <w:sz w:val="24"/>
              </w:rPr>
              <w:t>6+600～</w:t>
            </w:r>
            <w:r>
              <w:rPr>
                <w:bCs/>
                <w:color w:val="000000"/>
                <w:spacing w:val="9"/>
                <w:kern w:val="0"/>
                <w:sz w:val="24"/>
              </w:rPr>
              <w:t>K</w:t>
            </w:r>
            <w:r>
              <w:rPr>
                <w:rFonts w:hint="eastAsia"/>
                <w:bCs/>
                <w:color w:val="000000"/>
                <w:spacing w:val="9"/>
                <w:kern w:val="0"/>
                <w:sz w:val="24"/>
              </w:rPr>
              <w:t>9+020路段：</w:t>
            </w:r>
            <w:r>
              <w:rPr>
                <w:bCs/>
                <w:color w:val="000000"/>
                <w:spacing w:val="9"/>
                <w:kern w:val="0"/>
                <w:sz w:val="24"/>
              </w:rPr>
              <w:t>B=</w:t>
            </w:r>
            <w:r>
              <w:rPr>
                <w:rFonts w:hint="eastAsia"/>
                <w:bCs/>
                <w:color w:val="000000"/>
                <w:spacing w:val="9"/>
                <w:kern w:val="0"/>
                <w:sz w:val="24"/>
              </w:rPr>
              <w:t>绿化带4m+人行道2m+主路行车道23m+人行道2m +绿化带4m=35m。</w:t>
            </w:r>
          </w:p>
          <w:p>
            <w:pPr>
              <w:spacing w:line="360" w:lineRule="auto"/>
              <w:rPr>
                <w:rFonts w:hint="eastAsia"/>
                <w:color w:val="000000"/>
                <w:spacing w:val="9"/>
                <w:kern w:val="0"/>
                <w:sz w:val="24"/>
              </w:rPr>
            </w:pPr>
            <w:r>
              <w:rPr>
                <w:rFonts w:hint="eastAsia"/>
                <w:color w:val="000000"/>
                <w:spacing w:val="9"/>
                <w:kern w:val="0"/>
                <w:sz w:val="24"/>
              </w:rPr>
              <w:pict>
                <v:shape id="图片 3" o:spid="_x0000_i1027" type="#_x0000_t75" style="width:392.38pt;height:183.05pt;mso-position-horizontal-relative:page;mso-position-vertical-relative:page;mso-wrap-style:square" filled="f" stroked="f">
                  <v:stroke linestyle="single"/>
                  <v:imagedata r:id="rId44" o:title="微信截图_20220529155128"/>
                  <v:path o:extrusionok="f"/>
                  <o:lock v:ext="edit" aspectratio="t"/>
                </v:shape>
              </w:pict>
            </w:r>
          </w:p>
          <w:p>
            <w:pPr>
              <w:spacing w:line="360" w:lineRule="auto"/>
              <w:jc w:val="center"/>
              <w:rPr>
                <w:rFonts w:hint="eastAsia"/>
                <w:color w:val="000000"/>
                <w:spacing w:val="9"/>
                <w:kern w:val="0"/>
                <w:sz w:val="24"/>
              </w:rPr>
            </w:pPr>
            <w:r>
              <w:rPr>
                <w:rFonts w:hint="eastAsia"/>
                <w:b/>
                <w:color w:val="000000"/>
                <w:sz w:val="24"/>
              </w:rPr>
              <w:t>图2-3 路基标准横断面图（</w:t>
            </w:r>
            <w:r>
              <w:rPr>
                <w:b/>
                <w:bCs/>
                <w:color w:val="000000"/>
                <w:spacing w:val="9"/>
                <w:kern w:val="0"/>
                <w:sz w:val="24"/>
              </w:rPr>
              <w:t>K</w:t>
            </w:r>
            <w:r>
              <w:rPr>
                <w:rFonts w:hint="eastAsia"/>
                <w:b/>
                <w:bCs/>
                <w:color w:val="000000"/>
                <w:spacing w:val="9"/>
                <w:kern w:val="0"/>
                <w:sz w:val="24"/>
              </w:rPr>
              <w:t>6+600～</w:t>
            </w:r>
            <w:r>
              <w:rPr>
                <w:b/>
                <w:bCs/>
                <w:color w:val="000000"/>
                <w:spacing w:val="9"/>
                <w:kern w:val="0"/>
                <w:sz w:val="24"/>
              </w:rPr>
              <w:t>K</w:t>
            </w:r>
            <w:r>
              <w:rPr>
                <w:rFonts w:hint="eastAsia"/>
                <w:b/>
                <w:bCs/>
                <w:color w:val="000000"/>
                <w:spacing w:val="9"/>
                <w:kern w:val="0"/>
                <w:sz w:val="24"/>
              </w:rPr>
              <w:t>9+020</w:t>
            </w:r>
            <w:r>
              <w:rPr>
                <w:rFonts w:hint="eastAsia"/>
                <w:b/>
                <w:color w:val="000000"/>
                <w:sz w:val="24"/>
              </w:rPr>
              <w:t>路段）</w:t>
            </w:r>
          </w:p>
          <w:p>
            <w:pPr>
              <w:spacing w:line="360" w:lineRule="auto"/>
              <w:ind w:firstLine="480" w:firstLineChars="200"/>
              <w:rPr>
                <w:rFonts w:hint="eastAsia"/>
                <w:color w:val="000000"/>
                <w:spacing w:val="9"/>
                <w:kern w:val="0"/>
                <w:sz w:val="24"/>
              </w:rPr>
            </w:pPr>
            <w:r>
              <w:rPr>
                <w:color w:val="000000"/>
                <w:spacing w:val="9"/>
                <w:kern w:val="0"/>
                <w:sz w:val="24"/>
              </w:rPr>
              <w:t>K</w:t>
            </w:r>
            <w:r>
              <w:rPr>
                <w:rFonts w:hint="eastAsia"/>
                <w:color w:val="000000"/>
                <w:spacing w:val="9"/>
                <w:kern w:val="0"/>
                <w:sz w:val="24"/>
              </w:rPr>
              <w:t>9+020～</w:t>
            </w:r>
            <w:r>
              <w:rPr>
                <w:color w:val="000000"/>
                <w:spacing w:val="9"/>
                <w:kern w:val="0"/>
                <w:sz w:val="24"/>
              </w:rPr>
              <w:t>K</w:t>
            </w:r>
            <w:r>
              <w:rPr>
                <w:rFonts w:hint="eastAsia"/>
                <w:color w:val="000000"/>
                <w:spacing w:val="9"/>
                <w:kern w:val="0"/>
                <w:sz w:val="24"/>
              </w:rPr>
              <w:t>9+140路基渐变段，路面宽度由23m渐变至15m。</w:t>
            </w:r>
          </w:p>
          <w:p>
            <w:pPr>
              <w:spacing w:line="360" w:lineRule="auto"/>
              <w:rPr>
                <w:rFonts w:hint="eastAsia"/>
                <w:color w:val="000000"/>
                <w:spacing w:val="9"/>
                <w:kern w:val="0"/>
                <w:sz w:val="24"/>
              </w:rPr>
            </w:pPr>
            <w:r>
              <w:rPr>
                <w:rFonts w:hint="eastAsia"/>
                <w:color w:val="000000"/>
                <w:spacing w:val="9"/>
                <w:kern w:val="0"/>
                <w:sz w:val="24"/>
              </w:rPr>
              <w:pict>
                <v:shape id="图片 4" o:spid="_x0000_i1028" type="#_x0000_t75" style="width:396.4pt;height:138.81pt;mso-position-horizontal-relative:page;mso-position-vertical-relative:page;mso-wrap-style:square" filled="f" stroked="f">
                  <v:stroke linestyle="single"/>
                  <v:imagedata r:id="rId45" o:title="微信截图_20220529155241"/>
                  <v:path o:extrusionok="f"/>
                  <o:lock v:ext="edit" aspectratio="t"/>
                </v:shape>
              </w:pict>
            </w:r>
          </w:p>
          <w:p>
            <w:pPr>
              <w:spacing w:line="360" w:lineRule="auto"/>
              <w:jc w:val="center"/>
              <w:rPr>
                <w:rFonts w:hint="eastAsia"/>
                <w:color w:val="000000"/>
                <w:spacing w:val="9"/>
                <w:kern w:val="0"/>
                <w:sz w:val="24"/>
              </w:rPr>
            </w:pPr>
            <w:r>
              <w:rPr>
                <w:rFonts w:hint="eastAsia"/>
                <w:b/>
                <w:color w:val="000000"/>
                <w:sz w:val="24"/>
              </w:rPr>
              <w:t>图2-4 路基标准横断面图（</w:t>
            </w:r>
            <w:r>
              <w:rPr>
                <w:b/>
                <w:bCs/>
                <w:color w:val="000000"/>
                <w:spacing w:val="9"/>
                <w:kern w:val="0"/>
                <w:sz w:val="24"/>
              </w:rPr>
              <w:t>K</w:t>
            </w:r>
            <w:r>
              <w:rPr>
                <w:rFonts w:hint="eastAsia"/>
                <w:b/>
                <w:bCs/>
                <w:color w:val="000000"/>
                <w:spacing w:val="9"/>
                <w:kern w:val="0"/>
                <w:sz w:val="24"/>
              </w:rPr>
              <w:t>9+020～</w:t>
            </w:r>
            <w:r>
              <w:rPr>
                <w:b/>
                <w:bCs/>
                <w:color w:val="000000"/>
                <w:spacing w:val="9"/>
                <w:kern w:val="0"/>
                <w:sz w:val="24"/>
              </w:rPr>
              <w:t>K</w:t>
            </w:r>
            <w:r>
              <w:rPr>
                <w:rFonts w:hint="eastAsia"/>
                <w:b/>
                <w:bCs/>
                <w:color w:val="000000"/>
                <w:spacing w:val="9"/>
                <w:kern w:val="0"/>
                <w:sz w:val="24"/>
              </w:rPr>
              <w:t>9+140路基渐变段</w:t>
            </w:r>
            <w:r>
              <w:rPr>
                <w:rFonts w:hint="eastAsia"/>
                <w:b/>
                <w:color w:val="000000"/>
                <w:sz w:val="24"/>
              </w:rPr>
              <w:t>）</w:t>
            </w:r>
          </w:p>
          <w:p>
            <w:pPr>
              <w:adjustRightInd w:val="0"/>
              <w:snapToGrid w:val="0"/>
              <w:spacing w:line="360" w:lineRule="auto"/>
              <w:ind w:firstLine="480" w:firstLineChars="200"/>
              <w:rPr>
                <w:rFonts w:hint="eastAsia"/>
                <w:color w:val="000000"/>
                <w:sz w:val="24"/>
              </w:rPr>
            </w:pPr>
            <w:r>
              <w:rPr>
                <w:rFonts w:hint="eastAsia"/>
                <w:color w:val="000000"/>
                <w:sz w:val="24"/>
              </w:rPr>
              <w:t>（2）路基设计</w:t>
            </w:r>
          </w:p>
        </w:tc>
      </w:tr>
    </w:tbl>
    <w:p>
      <w:pPr>
        <w:sectPr>
          <w:footerReference w:type="even" r:id="rId46"/>
          <w:footerReference w:type="default" r:id="rId47"/>
          <w:type w:val="nextPage"/>
          <w:pgSz w:w="11906" w:h="16838"/>
          <w:pgMar w:top="1440" w:right="1797" w:bottom="1440" w:left="1797" w:header="851" w:footer="1077" w:gutter="0"/>
          <w:pgNumType w:start="19"/>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2"/>
        <w:gridCol w:w="8076"/>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2542"/>
          <w:jc w:val="center"/>
        </w:trPr>
        <w:tc>
          <w:tcPr>
            <w:tcW w:w="308" w:type="pct"/>
            <w:vAlign w:val="center"/>
          </w:tcPr>
          <w:p/>
        </w:tc>
        <w:tc>
          <w:tcPr>
            <w:tcW w:w="4692" w:type="pct"/>
            <w:vAlign w:val="center"/>
          </w:tcPr>
          <w:p>
            <w:pPr>
              <w:adjustRightInd w:val="0"/>
              <w:snapToGrid w:val="0"/>
              <w:spacing w:line="360" w:lineRule="auto"/>
              <w:ind w:firstLine="480" w:firstLineChars="200"/>
              <w:rPr>
                <w:rFonts w:hint="eastAsia"/>
                <w:color w:val="000000"/>
                <w:sz w:val="24"/>
              </w:rPr>
            </w:pPr>
            <w:r>
              <w:rPr>
                <w:rFonts w:hint="eastAsia"/>
                <w:color w:val="000000"/>
                <w:sz w:val="24"/>
              </w:rPr>
              <w:t xml:space="preserve">1）路拱横坡 </w:t>
            </w:r>
          </w:p>
          <w:p>
            <w:pPr>
              <w:adjustRightInd w:val="0"/>
              <w:snapToGrid w:val="0"/>
              <w:spacing w:line="360" w:lineRule="auto"/>
              <w:ind w:firstLine="480" w:firstLineChars="200"/>
              <w:rPr>
                <w:rFonts w:hint="eastAsia"/>
                <w:color w:val="000000"/>
                <w:sz w:val="24"/>
              </w:rPr>
            </w:pPr>
            <w:r>
              <w:rPr>
                <w:rFonts w:hint="eastAsia"/>
                <w:color w:val="000000"/>
                <w:sz w:val="24"/>
              </w:rPr>
              <w:t>行车道和硬路肩横坡均为</w:t>
            </w:r>
            <w:r>
              <w:rPr>
                <w:color w:val="000000"/>
                <w:sz w:val="24"/>
              </w:rPr>
              <w:t>2%</w:t>
            </w:r>
            <w:r>
              <w:rPr>
                <w:rFonts w:hint="eastAsia"/>
                <w:color w:val="000000"/>
                <w:sz w:val="24"/>
              </w:rPr>
              <w:t>，人行道-1%，土路肩横坡为3</w:t>
            </w:r>
            <w:r>
              <w:rPr>
                <w:color w:val="000000"/>
                <w:sz w:val="24"/>
              </w:rPr>
              <w:t>%</w:t>
            </w:r>
            <w:r>
              <w:rPr>
                <w:rFonts w:hint="eastAsia"/>
                <w:color w:val="000000"/>
                <w:sz w:val="24"/>
              </w:rPr>
              <w:t>。</w:t>
            </w:r>
          </w:p>
          <w:p>
            <w:pPr>
              <w:adjustRightInd w:val="0"/>
              <w:snapToGrid w:val="0"/>
              <w:spacing w:line="360" w:lineRule="auto"/>
              <w:ind w:firstLine="480" w:firstLineChars="200"/>
              <w:rPr>
                <w:rFonts w:hint="eastAsia"/>
                <w:color w:val="000000"/>
                <w:sz w:val="24"/>
              </w:rPr>
            </w:pPr>
            <w:r>
              <w:rPr>
                <w:rFonts w:hint="eastAsia"/>
                <w:color w:val="000000"/>
                <w:sz w:val="24"/>
              </w:rPr>
              <w:t xml:space="preserve">2）超高方式 </w:t>
            </w:r>
          </w:p>
          <w:p>
            <w:pPr>
              <w:adjustRightInd w:val="0"/>
              <w:snapToGrid w:val="0"/>
              <w:spacing w:line="360" w:lineRule="auto"/>
              <w:ind w:firstLine="480" w:firstLineChars="200"/>
              <w:rPr>
                <w:rFonts w:hint="eastAsia"/>
                <w:color w:val="000000"/>
                <w:sz w:val="24"/>
              </w:rPr>
            </w:pPr>
            <w:r>
              <w:rPr>
                <w:rFonts w:hint="eastAsia"/>
                <w:color w:val="000000"/>
                <w:sz w:val="24"/>
              </w:rPr>
              <w:t>本段无超高。</w:t>
            </w:r>
          </w:p>
          <w:p>
            <w:pPr>
              <w:adjustRightInd w:val="0"/>
              <w:snapToGrid w:val="0"/>
              <w:spacing w:line="360" w:lineRule="auto"/>
              <w:ind w:firstLine="480" w:firstLineChars="200"/>
              <w:rPr>
                <w:rFonts w:hint="eastAsia"/>
                <w:color w:val="000000"/>
                <w:sz w:val="24"/>
              </w:rPr>
            </w:pPr>
            <w:r>
              <w:rPr>
                <w:rFonts w:hint="eastAsia"/>
                <w:color w:val="000000"/>
                <w:sz w:val="24"/>
              </w:rPr>
              <w:t xml:space="preserve">3）路基边坡 </w:t>
            </w:r>
          </w:p>
          <w:p>
            <w:pPr>
              <w:adjustRightInd w:val="0"/>
              <w:snapToGrid w:val="0"/>
              <w:spacing w:line="360" w:lineRule="auto"/>
              <w:ind w:firstLine="480" w:firstLineChars="200"/>
              <w:rPr>
                <w:rFonts w:hint="eastAsia"/>
                <w:color w:val="000000"/>
                <w:sz w:val="24"/>
              </w:rPr>
            </w:pPr>
            <w:r>
              <w:rPr>
                <w:rFonts w:hint="eastAsia"/>
                <w:color w:val="000000"/>
                <w:sz w:val="24"/>
              </w:rPr>
              <w:t>本项目全线均为填方路基，采用1:1.5的路基边坡。</w:t>
            </w:r>
          </w:p>
          <w:p>
            <w:pPr>
              <w:adjustRightInd w:val="0"/>
              <w:snapToGrid w:val="0"/>
              <w:spacing w:line="360" w:lineRule="auto"/>
              <w:ind w:firstLine="480" w:firstLineChars="200"/>
              <w:rPr>
                <w:rFonts w:hint="eastAsia"/>
                <w:color w:val="000000"/>
                <w:sz w:val="24"/>
              </w:rPr>
            </w:pPr>
            <w:r>
              <w:rPr>
                <w:rFonts w:hint="eastAsia"/>
                <w:color w:val="000000"/>
                <w:sz w:val="24"/>
              </w:rPr>
              <w:t xml:space="preserve">4）用地范围 </w:t>
            </w:r>
          </w:p>
          <w:p>
            <w:pPr>
              <w:adjustRightInd w:val="0"/>
              <w:snapToGrid w:val="0"/>
              <w:spacing w:line="360" w:lineRule="auto"/>
              <w:ind w:firstLine="480" w:firstLineChars="200"/>
              <w:rPr>
                <w:rFonts w:hint="eastAsia"/>
                <w:color w:val="000000"/>
                <w:sz w:val="24"/>
              </w:rPr>
            </w:pPr>
            <w:r>
              <w:rPr>
                <w:rFonts w:hint="eastAsia"/>
                <w:color w:val="000000"/>
                <w:sz w:val="24"/>
              </w:rPr>
              <w:t>路基坡脚外1.0m为公路用地范围。</w:t>
            </w:r>
          </w:p>
          <w:p>
            <w:pPr>
              <w:adjustRightInd w:val="0"/>
              <w:snapToGrid w:val="0"/>
              <w:spacing w:line="360" w:lineRule="auto"/>
              <w:ind w:firstLine="360" w:firstLineChars="150"/>
              <w:rPr>
                <w:rFonts w:hint="eastAsia"/>
                <w:color w:val="000000"/>
                <w:sz w:val="24"/>
              </w:rPr>
            </w:pPr>
            <w:r>
              <w:rPr>
                <w:rFonts w:hint="eastAsia"/>
                <w:color w:val="000000"/>
                <w:sz w:val="24"/>
              </w:rPr>
              <w:t>（3）路基压实标准</w:t>
            </w:r>
          </w:p>
          <w:p>
            <w:pPr>
              <w:adjustRightInd w:val="0"/>
              <w:snapToGrid w:val="0"/>
              <w:spacing w:line="360" w:lineRule="auto"/>
              <w:ind w:firstLine="480" w:firstLineChars="200"/>
              <w:rPr>
                <w:color w:val="000000"/>
                <w:sz w:val="24"/>
              </w:rPr>
            </w:pPr>
            <w:r>
              <w:rPr>
                <w:rFonts w:hint="eastAsia"/>
                <w:color w:val="000000"/>
                <w:sz w:val="24"/>
              </w:rPr>
              <w:t>填方路基应分层铺筑并均匀压实。路基压实度应符合《公路工程技术标准》（</w:t>
            </w:r>
            <w:r>
              <w:rPr>
                <w:color w:val="000000"/>
                <w:sz w:val="24"/>
              </w:rPr>
              <w:t>JTG</w:t>
            </w:r>
            <w:r>
              <w:rPr>
                <w:rFonts w:hint="eastAsia"/>
                <w:color w:val="000000"/>
                <w:sz w:val="24"/>
              </w:rPr>
              <w:t xml:space="preserve"> </w:t>
            </w:r>
            <w:r>
              <w:rPr>
                <w:color w:val="000000"/>
                <w:sz w:val="24"/>
              </w:rPr>
              <w:t>B01-2014</w:t>
            </w:r>
            <w:r>
              <w:rPr>
                <w:rFonts w:hint="eastAsia"/>
                <w:color w:val="000000"/>
                <w:sz w:val="24"/>
              </w:rPr>
              <w:t>）规定的重型击实标准，应不低于下表的指标值。不能因为地下水位高，含水量大而降低压实标准，必要时应采用晾晒、掺石灰、水泥等处理措施以保证路基压实质量。</w:t>
            </w:r>
          </w:p>
          <w:p>
            <w:pPr>
              <w:adjustRightInd w:val="0"/>
              <w:snapToGrid w:val="0"/>
              <w:spacing w:line="360" w:lineRule="auto"/>
              <w:ind w:firstLine="480" w:firstLineChars="200"/>
              <w:rPr>
                <w:rFonts w:hint="eastAsia"/>
                <w:color w:val="000000"/>
                <w:sz w:val="24"/>
              </w:rPr>
            </w:pPr>
            <w:r>
              <w:rPr>
                <w:rFonts w:hint="eastAsia"/>
                <w:color w:val="000000"/>
                <w:sz w:val="24"/>
              </w:rPr>
              <w:t>主路行车道加宽部分按一级路标准分层铺筑，逐层均匀压实，采用重型压实标准。</w:t>
            </w:r>
          </w:p>
          <w:p>
            <w:pPr>
              <w:adjustRightInd w:val="0"/>
              <w:snapToGrid w:val="0"/>
              <w:spacing w:line="360" w:lineRule="auto"/>
              <w:ind w:firstLine="480" w:firstLineChars="200"/>
              <w:rPr>
                <w:rFonts w:hint="eastAsia"/>
                <w:color w:val="000000"/>
                <w:sz w:val="24"/>
              </w:rPr>
            </w:pPr>
            <w:r>
              <w:rPr>
                <w:rFonts w:hint="eastAsia"/>
                <w:color w:val="000000"/>
                <w:sz w:val="24"/>
              </w:rPr>
              <w:t>非机动车道按二级路标准分层铺筑，逐层均匀压实，采用重型压实标准。</w:t>
            </w:r>
          </w:p>
          <w:p>
            <w:pPr>
              <w:adjustRightInd w:val="0"/>
              <w:snapToGrid w:val="0"/>
              <w:spacing w:line="360" w:lineRule="auto"/>
              <w:ind w:firstLine="480" w:firstLineChars="200"/>
              <w:rPr>
                <w:rFonts w:hint="eastAsia"/>
                <w:color w:val="000000"/>
                <w:sz w:val="24"/>
              </w:rPr>
            </w:pPr>
            <w:r>
              <w:rPr>
                <w:rFonts w:hint="eastAsia"/>
                <w:color w:val="000000"/>
                <w:sz w:val="24"/>
              </w:rPr>
              <w:t>（4）路基填料</w:t>
            </w:r>
          </w:p>
          <w:p>
            <w:pPr>
              <w:adjustRightInd w:val="0"/>
              <w:snapToGrid w:val="0"/>
              <w:spacing w:line="360" w:lineRule="auto"/>
              <w:ind w:firstLine="480" w:firstLineChars="200"/>
              <w:rPr>
                <w:rFonts w:hint="eastAsia"/>
                <w:color w:val="000000"/>
                <w:sz w:val="24"/>
              </w:rPr>
            </w:pPr>
            <w:r>
              <w:rPr>
                <w:rFonts w:hint="eastAsia"/>
                <w:color w:val="000000"/>
                <w:sz w:val="24"/>
              </w:rPr>
              <w:t>路基填料不得使用淤泥、沼泽土、有机土、含草皮土、生活垃圾、树根和含有腐朽物质的土，不得使用易溶盐超过允许含量的土。液限大于</w:t>
            </w:r>
            <w:r>
              <w:rPr>
                <w:color w:val="000000"/>
                <w:sz w:val="24"/>
              </w:rPr>
              <w:t>50%</w:t>
            </w:r>
            <w:r>
              <w:rPr>
                <w:rFonts w:hint="eastAsia"/>
                <w:color w:val="000000"/>
                <w:sz w:val="24"/>
              </w:rPr>
              <w:t>、塑性指数大于</w:t>
            </w:r>
            <w:r>
              <w:rPr>
                <w:color w:val="000000"/>
                <w:sz w:val="24"/>
              </w:rPr>
              <w:t>26</w:t>
            </w:r>
            <w:r>
              <w:rPr>
                <w:rFonts w:hint="eastAsia"/>
                <w:color w:val="000000"/>
                <w:sz w:val="24"/>
              </w:rPr>
              <w:t>的细粒土以及含水量超过规定的土，不得直接作为路基填料，应采取晾晒或掺入石灰、固化材料等技术措施进行处理，经检查合格后方可使用。</w:t>
            </w:r>
          </w:p>
          <w:p>
            <w:pPr>
              <w:adjustRightInd w:val="0"/>
              <w:snapToGrid w:val="0"/>
              <w:spacing w:line="360" w:lineRule="auto"/>
              <w:ind w:firstLine="480" w:firstLineChars="200"/>
              <w:rPr>
                <w:rFonts w:hint="eastAsia"/>
                <w:color w:val="000000"/>
                <w:sz w:val="24"/>
              </w:rPr>
            </w:pPr>
            <w:r>
              <w:rPr>
                <w:rFonts w:hint="eastAsia"/>
                <w:color w:val="000000"/>
                <w:sz w:val="24"/>
              </w:rPr>
              <w:t>（5）清除表土及低填浅挖</w:t>
            </w:r>
          </w:p>
          <w:p>
            <w:pPr>
              <w:adjustRightInd w:val="0"/>
              <w:snapToGrid w:val="0"/>
              <w:spacing w:line="360" w:lineRule="auto"/>
              <w:ind w:firstLine="480" w:firstLineChars="200"/>
              <w:rPr>
                <w:color w:val="000000"/>
                <w:sz w:val="24"/>
              </w:rPr>
            </w:pPr>
            <w:r>
              <w:rPr>
                <w:rFonts w:hint="eastAsia"/>
                <w:color w:val="000000"/>
                <w:sz w:val="24"/>
              </w:rPr>
              <w:t>加宽路基填筑前需清除表土并进行超挖回填处理，以消减新老路基拼接拓宽的差异变形。根据本地土质及多年施工经验，清除表土厚度按</w:t>
            </w:r>
            <w:r>
              <w:rPr>
                <w:color w:val="000000"/>
                <w:sz w:val="24"/>
              </w:rPr>
              <w:t>20cm</w:t>
            </w:r>
            <w:r>
              <w:rPr>
                <w:rFonts w:hint="eastAsia"/>
                <w:color w:val="000000"/>
                <w:sz w:val="24"/>
              </w:rPr>
              <w:t>计。清表至坡脚外</w:t>
            </w:r>
            <w:r>
              <w:rPr>
                <w:color w:val="000000"/>
                <w:sz w:val="24"/>
              </w:rPr>
              <w:t>1.0m</w:t>
            </w:r>
            <w:r>
              <w:rPr>
                <w:rFonts w:hint="eastAsia"/>
                <w:color w:val="000000"/>
                <w:sz w:val="24"/>
              </w:rPr>
              <w:t>。</w:t>
            </w:r>
          </w:p>
          <w:p>
            <w:pPr>
              <w:adjustRightInd w:val="0"/>
              <w:snapToGrid w:val="0"/>
              <w:spacing w:line="360" w:lineRule="auto"/>
              <w:ind w:firstLine="480" w:firstLineChars="200"/>
              <w:rPr>
                <w:rFonts w:hint="eastAsia"/>
                <w:color w:val="000000"/>
                <w:sz w:val="24"/>
              </w:rPr>
            </w:pPr>
            <w:r>
              <w:rPr>
                <w:rFonts w:hint="eastAsia"/>
                <w:color w:val="000000"/>
                <w:sz w:val="24"/>
              </w:rPr>
              <w:t>对加宽路段路床顶面以下</w:t>
            </w:r>
            <w:r>
              <w:rPr>
                <w:color w:val="000000"/>
                <w:sz w:val="24"/>
              </w:rPr>
              <w:t>0</w:t>
            </w:r>
            <w:r>
              <w:rPr>
                <w:rFonts w:hint="eastAsia"/>
                <w:color w:val="000000"/>
                <w:sz w:val="24"/>
              </w:rPr>
              <w:t>～</w:t>
            </w:r>
            <w:r>
              <w:rPr>
                <w:color w:val="000000"/>
                <w:sz w:val="24"/>
              </w:rPr>
              <w:t>60cm</w:t>
            </w:r>
            <w:r>
              <w:rPr>
                <w:rFonts w:hint="eastAsia"/>
                <w:color w:val="000000"/>
                <w:sz w:val="24"/>
              </w:rPr>
              <w:t>范围进行超挖，然后对基底进行冲击碾压处理，下沉量按</w:t>
            </w:r>
            <w:r>
              <w:rPr>
                <w:color w:val="000000"/>
                <w:sz w:val="24"/>
              </w:rPr>
              <w:t>20cm</w:t>
            </w:r>
            <w:r>
              <w:rPr>
                <w:rFonts w:hint="eastAsia"/>
                <w:color w:val="000000"/>
                <w:sz w:val="24"/>
              </w:rPr>
              <w:t>计量，然后分层回填碾压</w:t>
            </w:r>
            <w:r>
              <w:rPr>
                <w:color w:val="000000"/>
                <w:sz w:val="24"/>
              </w:rPr>
              <w:t>80cm</w:t>
            </w:r>
            <w:r>
              <w:rPr>
                <w:rFonts w:hint="eastAsia"/>
                <w:color w:val="000000"/>
                <w:sz w:val="24"/>
              </w:rPr>
              <w:t>路床。冲击碾压范围至路面边外</w:t>
            </w:r>
            <w:r>
              <w:rPr>
                <w:color w:val="000000"/>
                <w:sz w:val="24"/>
              </w:rPr>
              <w:t>2.0m</w:t>
            </w:r>
            <w:r>
              <w:rPr>
                <w:rFonts w:hint="eastAsia"/>
                <w:color w:val="000000"/>
                <w:sz w:val="24"/>
              </w:rPr>
              <w:t>。</w:t>
            </w:r>
          </w:p>
        </w:tc>
      </w:tr>
    </w:tbl>
    <w:p>
      <w:pPr>
        <w:sectPr>
          <w:footerReference w:type="even" r:id="rId48"/>
          <w:footerReference w:type="default" r:id="rId49"/>
          <w:type w:val="nextPage"/>
          <w:pgSz w:w="11906" w:h="16838"/>
          <w:pgMar w:top="1440" w:right="1797" w:bottom="1440" w:left="1797" w:header="851" w:footer="1077" w:gutter="0"/>
          <w:pgNumType w:start="20"/>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2"/>
        <w:gridCol w:w="8076"/>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2542"/>
          <w:jc w:val="center"/>
        </w:trPr>
        <w:tc>
          <w:tcPr>
            <w:tcW w:w="308" w:type="pct"/>
            <w:vAlign w:val="center"/>
          </w:tcPr>
          <w:p/>
        </w:tc>
        <w:tc>
          <w:tcPr>
            <w:tcW w:w="4692" w:type="pct"/>
            <w:vAlign w:val="center"/>
          </w:tcPr>
          <w:p>
            <w:pPr>
              <w:adjustRightInd w:val="0"/>
              <w:snapToGrid w:val="0"/>
              <w:spacing w:line="360" w:lineRule="auto"/>
              <w:ind w:firstLine="480" w:firstLineChars="200"/>
              <w:rPr>
                <w:rFonts w:hint="eastAsia"/>
                <w:color w:val="000000"/>
                <w:sz w:val="24"/>
              </w:rPr>
            </w:pPr>
            <w:r>
              <w:rPr>
                <w:rFonts w:hint="eastAsia"/>
                <w:color w:val="000000"/>
                <w:sz w:val="24"/>
              </w:rPr>
              <w:t xml:space="preserve">（6）路基填土掺灰原则及要求 </w:t>
            </w:r>
          </w:p>
          <w:p>
            <w:pPr>
              <w:adjustRightInd w:val="0"/>
              <w:snapToGrid w:val="0"/>
              <w:spacing w:line="360" w:lineRule="auto"/>
              <w:ind w:firstLine="480" w:firstLineChars="200"/>
              <w:rPr>
                <w:rFonts w:hint="eastAsia"/>
                <w:color w:val="000000"/>
                <w:sz w:val="24"/>
              </w:rPr>
            </w:pPr>
            <w:r>
              <w:rPr>
                <w:rFonts w:hint="eastAsia"/>
                <w:color w:val="000000"/>
                <w:sz w:val="24"/>
              </w:rPr>
              <w:t xml:space="preserve">本项目结合本地区近几年设计施工经验，路基填土方案如下： </w:t>
            </w:r>
          </w:p>
          <w:p>
            <w:pPr>
              <w:adjustRightInd w:val="0"/>
              <w:snapToGrid w:val="0"/>
              <w:spacing w:line="360" w:lineRule="auto"/>
              <w:ind w:firstLine="480" w:firstLineChars="200"/>
              <w:rPr>
                <w:rFonts w:hint="eastAsia"/>
                <w:color w:val="000000"/>
                <w:sz w:val="24"/>
              </w:rPr>
            </w:pPr>
            <w:r>
              <w:rPr>
                <w:rFonts w:hint="eastAsia"/>
                <w:color w:val="000000"/>
                <w:sz w:val="24"/>
              </w:rPr>
              <w:t>1）占压大沟路段</w:t>
            </w:r>
          </w:p>
          <w:p>
            <w:pPr>
              <w:adjustRightInd w:val="0"/>
              <w:snapToGrid w:val="0"/>
              <w:spacing w:line="360" w:lineRule="auto"/>
              <w:ind w:firstLine="480" w:firstLineChars="200"/>
              <w:rPr>
                <w:rFonts w:hint="eastAsia"/>
                <w:color w:val="000000"/>
                <w:sz w:val="24"/>
              </w:rPr>
            </w:pPr>
            <w:r>
              <w:rPr>
                <w:rFonts w:hint="eastAsia"/>
                <w:color w:val="000000"/>
                <w:sz w:val="24"/>
              </w:rPr>
              <w:t>路侧部分占压既有沟渠路段，路基采用清淤换填建筑砾料的处理。池塘完成清淤后，回填50cm建筑砾料，分层压实稳定后，再进行路床底部的冲碾处治。</w:t>
            </w:r>
          </w:p>
          <w:p>
            <w:pPr>
              <w:adjustRightInd w:val="0"/>
              <w:snapToGrid w:val="0"/>
              <w:spacing w:line="360" w:lineRule="auto"/>
              <w:ind w:firstLine="480" w:firstLineChars="200"/>
              <w:rPr>
                <w:rFonts w:hint="eastAsia"/>
                <w:color w:val="000000"/>
                <w:sz w:val="24"/>
              </w:rPr>
            </w:pPr>
            <w:r>
              <w:rPr>
                <w:rFonts w:hint="eastAsia"/>
                <w:color w:val="000000"/>
                <w:sz w:val="24"/>
              </w:rPr>
              <w:t>2）路床处理</w:t>
            </w:r>
          </w:p>
          <w:p>
            <w:pPr>
              <w:adjustRightInd w:val="0"/>
              <w:snapToGrid w:val="0"/>
              <w:spacing w:line="360" w:lineRule="auto"/>
              <w:ind w:firstLine="480" w:firstLineChars="200"/>
              <w:rPr>
                <w:rFonts w:hint="eastAsia"/>
                <w:color w:val="000000"/>
                <w:sz w:val="24"/>
              </w:rPr>
            </w:pPr>
            <w:r>
              <w:rPr>
                <w:rFonts w:hint="eastAsia"/>
                <w:color w:val="000000"/>
                <w:sz w:val="24"/>
              </w:rPr>
              <w:t xml:space="preserve">结合本地区近几年设计施工经验，对路基路床处理方案如下： </w:t>
            </w:r>
          </w:p>
          <w:p>
            <w:pPr>
              <w:adjustRightInd w:val="0"/>
              <w:snapToGrid w:val="0"/>
              <w:spacing w:line="360" w:lineRule="auto"/>
              <w:ind w:firstLine="480" w:firstLineChars="200"/>
              <w:rPr>
                <w:rFonts w:hint="eastAsia"/>
                <w:color w:val="000000"/>
                <w:sz w:val="24"/>
              </w:rPr>
            </w:pPr>
            <w:r>
              <w:rPr>
                <w:rFonts w:hint="eastAsia"/>
                <w:color w:val="000000"/>
                <w:sz w:val="24"/>
              </w:rPr>
              <w:t>对主线行车道加宽部分路床顶面以下0～40cm进行掺5%水泥处理；对非机动车道路床顶面以下0～20cm掺5%水泥处理。</w:t>
            </w:r>
          </w:p>
          <w:p>
            <w:pPr>
              <w:adjustRightInd w:val="0"/>
              <w:snapToGrid w:val="0"/>
              <w:spacing w:line="360" w:lineRule="auto"/>
              <w:ind w:firstLine="480" w:firstLineChars="200"/>
              <w:rPr>
                <w:rFonts w:hint="eastAsia"/>
                <w:color w:val="000000"/>
                <w:sz w:val="24"/>
              </w:rPr>
            </w:pPr>
            <w:r>
              <w:rPr>
                <w:rFonts w:hint="eastAsia"/>
                <w:color w:val="000000"/>
                <w:sz w:val="24"/>
              </w:rPr>
              <w:t xml:space="preserve">（7）新老路基衔接处理 </w:t>
            </w:r>
          </w:p>
          <w:p>
            <w:pPr>
              <w:adjustRightInd w:val="0"/>
              <w:snapToGrid w:val="0"/>
              <w:spacing w:line="360" w:lineRule="auto"/>
              <w:ind w:firstLine="480" w:firstLineChars="200"/>
              <w:rPr>
                <w:rFonts w:hint="eastAsia"/>
                <w:color w:val="000000"/>
                <w:sz w:val="24"/>
              </w:rPr>
            </w:pPr>
            <w:r>
              <w:rPr>
                <w:rFonts w:hint="eastAsia"/>
                <w:color w:val="000000"/>
                <w:sz w:val="24"/>
              </w:rPr>
              <w:t>本项目路基填高较低段，拼宽路基进行低填超挖处理，保证新旧路基稳定，路基填方坡度大于</w:t>
            </w:r>
            <w:r>
              <w:rPr>
                <w:color w:val="000000"/>
                <w:sz w:val="24"/>
              </w:rPr>
              <w:t>1:5</w:t>
            </w:r>
            <w:r>
              <w:rPr>
                <w:rFonts w:hint="eastAsia"/>
                <w:color w:val="000000"/>
                <w:sz w:val="24"/>
              </w:rPr>
              <w:t>时应进行挖台阶处理，台阶宽度不小于</w:t>
            </w:r>
            <w:r>
              <w:rPr>
                <w:color w:val="000000"/>
                <w:sz w:val="24"/>
              </w:rPr>
              <w:t>2.5m</w:t>
            </w:r>
            <w:r>
              <w:rPr>
                <w:rFonts w:hint="eastAsia"/>
                <w:color w:val="000000"/>
                <w:sz w:val="24"/>
              </w:rPr>
              <w:t>，台阶底应有不小于</w:t>
            </w:r>
            <w:r>
              <w:rPr>
                <w:color w:val="000000"/>
                <w:sz w:val="24"/>
              </w:rPr>
              <w:t>4%</w:t>
            </w:r>
            <w:r>
              <w:rPr>
                <w:rFonts w:hint="eastAsia"/>
                <w:color w:val="000000"/>
                <w:sz w:val="24"/>
              </w:rPr>
              <w:t>向内倾斜的坡度。</w:t>
            </w:r>
          </w:p>
          <w:p>
            <w:pPr>
              <w:adjustRightInd w:val="0"/>
              <w:snapToGrid w:val="0"/>
              <w:spacing w:line="360" w:lineRule="auto"/>
              <w:ind w:firstLine="480" w:firstLineChars="200"/>
              <w:rPr>
                <w:rFonts w:hint="eastAsia"/>
                <w:color w:val="000000"/>
                <w:sz w:val="24"/>
              </w:rPr>
            </w:pPr>
            <w:r>
              <w:rPr>
                <w:rFonts w:hint="eastAsia"/>
                <w:color w:val="000000"/>
                <w:sz w:val="24"/>
              </w:rPr>
              <w:t>2、路面工程</w:t>
            </w:r>
          </w:p>
          <w:p>
            <w:pPr>
              <w:adjustRightInd w:val="0"/>
              <w:snapToGrid w:val="0"/>
              <w:spacing w:line="360" w:lineRule="auto"/>
              <w:ind w:firstLine="480" w:firstLineChars="200"/>
              <w:rPr>
                <w:rFonts w:hint="eastAsia"/>
                <w:color w:val="000000"/>
                <w:sz w:val="24"/>
              </w:rPr>
            </w:pPr>
            <w:r>
              <w:rPr>
                <w:rFonts w:hint="eastAsia"/>
                <w:color w:val="000000"/>
                <w:sz w:val="24"/>
              </w:rPr>
              <w:t>沥青混凝土路面设计采用以双轮组单轴轴载 100KN为标准轴载，主路行车道设计使用年限为15年，非机动车道设计使用年限为12年。</w:t>
            </w:r>
          </w:p>
          <w:p>
            <w:pPr>
              <w:adjustRightInd w:val="0"/>
              <w:snapToGrid w:val="0"/>
              <w:spacing w:line="360" w:lineRule="auto"/>
              <w:ind w:firstLine="480" w:firstLineChars="200"/>
              <w:rPr>
                <w:rFonts w:hint="eastAsia"/>
                <w:color w:val="000000"/>
                <w:sz w:val="24"/>
              </w:rPr>
            </w:pPr>
            <w:r>
              <w:rPr>
                <w:rFonts w:hint="eastAsia"/>
                <w:color w:val="000000"/>
                <w:sz w:val="24"/>
              </w:rPr>
              <w:t>路面结构设计时应根据设计交通量，使用要求及土质、气候、水文、气象等自然条件，按照就地取材、降低造价、方便施工、利于养护的原则，合理确定路面结构型式，并根据土质情况进行路基、路面综合设计。根据上述原则，结合国内路面结构、材料的新发展及我市已建成公路的实践经验，拟建项目路面结构如下。</w:t>
            </w:r>
          </w:p>
          <w:p>
            <w:pPr>
              <w:adjustRightInd w:val="0"/>
              <w:snapToGrid w:val="0"/>
              <w:spacing w:line="360" w:lineRule="auto"/>
              <w:ind w:firstLine="360" w:firstLineChars="150"/>
              <w:rPr>
                <w:rFonts w:hint="eastAsia"/>
                <w:color w:val="000000"/>
                <w:sz w:val="24"/>
              </w:rPr>
            </w:pPr>
            <w:r>
              <w:rPr>
                <w:rFonts w:hint="eastAsia"/>
                <w:color w:val="000000"/>
                <w:sz w:val="24"/>
              </w:rPr>
              <w:t>（1）路面结构</w:t>
            </w:r>
          </w:p>
          <w:p>
            <w:pPr>
              <w:adjustRightInd w:val="0"/>
              <w:snapToGrid w:val="0"/>
              <w:spacing w:line="360" w:lineRule="auto"/>
              <w:ind w:firstLine="480" w:firstLineChars="200"/>
              <w:rPr>
                <w:rFonts w:hint="eastAsia"/>
                <w:color w:val="000000"/>
                <w:sz w:val="24"/>
              </w:rPr>
            </w:pPr>
            <w:r>
              <w:rPr>
                <w:rFonts w:hint="eastAsia"/>
                <w:color w:val="000000"/>
                <w:sz w:val="24"/>
              </w:rPr>
              <w:t>一级公路沥青混凝土表面层抗滑性能以横向力系数 SFC60 和路面宏观构造深度TD（mm）为主要指标，主路行车道加宽部分抗滑技术指标宜符合以下要求：横向力系数 SFC60</w:t>
            </w:r>
            <w:r>
              <w:rPr>
                <w:rFonts w:hint="eastAsia"/>
                <w:color w:val="000000"/>
                <w:sz w:val="24"/>
              </w:rPr>
              <w:t>≥</w:t>
            </w:r>
            <w:r>
              <w:rPr>
                <w:rFonts w:hint="eastAsia"/>
                <w:color w:val="000000"/>
                <w:sz w:val="24"/>
              </w:rPr>
              <w:t>50，构造深度 TD（mm）</w:t>
            </w:r>
            <w:r>
              <w:rPr>
                <w:rFonts w:hint="eastAsia"/>
                <w:color w:val="000000"/>
                <w:sz w:val="24"/>
              </w:rPr>
              <w:t>≥</w:t>
            </w:r>
            <w:r>
              <w:rPr>
                <w:rFonts w:hint="eastAsia"/>
                <w:color w:val="000000"/>
                <w:sz w:val="24"/>
              </w:rPr>
              <w:t>0.50。</w:t>
            </w:r>
          </w:p>
          <w:p>
            <w:pPr>
              <w:adjustRightInd w:val="0"/>
              <w:snapToGrid w:val="0"/>
              <w:spacing w:line="360" w:lineRule="auto"/>
              <w:ind w:firstLine="480" w:firstLineChars="200"/>
              <w:rPr>
                <w:rFonts w:hint="eastAsia"/>
                <w:color w:val="000000"/>
                <w:sz w:val="24"/>
              </w:rPr>
            </w:pPr>
            <w:r>
              <w:rPr>
                <w:rFonts w:hint="eastAsia"/>
                <w:color w:val="000000"/>
                <w:sz w:val="24"/>
              </w:rPr>
              <w:t>1）主路行车道加宽部分路面结构为：</w:t>
            </w:r>
          </w:p>
          <w:p>
            <w:pPr>
              <w:adjustRightInd w:val="0"/>
              <w:snapToGrid w:val="0"/>
              <w:spacing w:after="0" w:line="360" w:lineRule="auto"/>
              <w:ind w:firstLine="480" w:firstLineChars="200"/>
              <w:rPr>
                <w:rFonts w:hint="eastAsia"/>
                <w:color w:val="000000"/>
                <w:sz w:val="24"/>
              </w:rPr>
            </w:pPr>
            <w:r>
              <w:rPr>
                <w:color w:val="000000"/>
                <w:sz w:val="24"/>
              </w:rPr>
              <w:t xml:space="preserve">3.5cm </w:t>
            </w:r>
            <w:r>
              <w:rPr>
                <w:rFonts w:hint="eastAsia"/>
                <w:color w:val="000000"/>
                <w:sz w:val="24"/>
              </w:rPr>
              <w:t>细粒式沥青砼</w:t>
            </w:r>
            <w:r>
              <w:rPr>
                <w:color w:val="000000"/>
                <w:sz w:val="24"/>
              </w:rPr>
              <w:t>(AC-13) +</w:t>
            </w:r>
            <w:r>
              <w:rPr>
                <w:rFonts w:hint="eastAsia"/>
                <w:color w:val="000000"/>
                <w:sz w:val="24"/>
              </w:rPr>
              <w:t>黏层</w:t>
            </w:r>
            <w:r>
              <w:rPr>
                <w:color w:val="000000"/>
                <w:sz w:val="24"/>
              </w:rPr>
              <w:t>+ 5cm</w:t>
            </w:r>
            <w:r>
              <w:rPr>
                <w:rFonts w:hint="eastAsia"/>
                <w:color w:val="000000"/>
                <w:sz w:val="24"/>
              </w:rPr>
              <w:t>中粒式沥青混合料（</w:t>
            </w:r>
            <w:r>
              <w:rPr>
                <w:color w:val="000000"/>
                <w:sz w:val="24"/>
              </w:rPr>
              <w:t>AC-20</w:t>
            </w:r>
            <w:r>
              <w:rPr>
                <w:rFonts w:hint="eastAsia"/>
                <w:color w:val="000000"/>
                <w:sz w:val="24"/>
              </w:rPr>
              <w:t>）</w:t>
            </w:r>
            <w:r>
              <w:rPr>
                <w:color w:val="000000"/>
                <w:sz w:val="24"/>
              </w:rPr>
              <w:t>+</w:t>
            </w:r>
            <w:r>
              <w:rPr>
                <w:rFonts w:hint="eastAsia"/>
                <w:color w:val="000000"/>
                <w:sz w:val="24"/>
              </w:rPr>
              <w:t>热沥青预拌碎石下封层</w:t>
            </w:r>
            <w:r>
              <w:rPr>
                <w:color w:val="000000"/>
                <w:sz w:val="24"/>
              </w:rPr>
              <w:t>+</w:t>
            </w:r>
            <w:r>
              <w:rPr>
                <w:rFonts w:hint="eastAsia"/>
                <w:color w:val="000000"/>
                <w:sz w:val="24"/>
              </w:rPr>
              <w:t>透层</w:t>
            </w:r>
            <w:r>
              <w:rPr>
                <w:color w:val="000000"/>
                <w:sz w:val="24"/>
              </w:rPr>
              <w:t>+16cm</w:t>
            </w:r>
            <w:r>
              <w:rPr>
                <w:rFonts w:hint="eastAsia"/>
                <w:color w:val="000000"/>
                <w:sz w:val="24"/>
              </w:rPr>
              <w:t>水泥稳定碎石上基层</w:t>
            </w:r>
            <w:r>
              <w:rPr>
                <w:color w:val="000000"/>
                <w:sz w:val="24"/>
              </w:rPr>
              <w:t>(</w:t>
            </w:r>
            <w:r>
              <w:rPr>
                <w:rFonts w:hint="eastAsia"/>
                <w:color w:val="000000"/>
                <w:sz w:val="24"/>
              </w:rPr>
              <w:t>参考水泥剂量</w:t>
            </w:r>
          </w:p>
        </w:tc>
      </w:tr>
    </w:tbl>
    <w:p>
      <w:pPr>
        <w:sectPr>
          <w:footerReference w:type="even" r:id="rId50"/>
          <w:footerReference w:type="default" r:id="rId51"/>
          <w:type w:val="nextPage"/>
          <w:pgSz w:w="11906" w:h="16838"/>
          <w:pgMar w:top="1440" w:right="1797" w:bottom="1440" w:left="1797" w:header="851" w:footer="1077" w:gutter="0"/>
          <w:pgNumType w:start="21"/>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2"/>
        <w:gridCol w:w="8076"/>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2542"/>
          <w:jc w:val="center"/>
        </w:trPr>
        <w:tc>
          <w:tcPr>
            <w:tcW w:w="308" w:type="pct"/>
            <w:vAlign w:val="center"/>
          </w:tcPr>
          <w:p/>
        </w:tc>
        <w:tc>
          <w:tcPr>
            <w:tcW w:w="4692" w:type="pct"/>
            <w:vAlign w:val="center"/>
          </w:tcPr>
          <w:p>
            <w:pPr>
              <w:adjustRightInd w:val="0"/>
              <w:snapToGrid w:val="0"/>
              <w:spacing w:before="0" w:line="360" w:lineRule="auto"/>
              <w:ind w:firstLine="480" w:firstLineChars="200"/>
              <w:rPr>
                <w:rFonts w:hint="eastAsia"/>
                <w:color w:val="000000"/>
                <w:sz w:val="24"/>
              </w:rPr>
            </w:pPr>
            <w:r>
              <w:rPr>
                <w:color w:val="000000"/>
                <w:sz w:val="24"/>
              </w:rPr>
              <w:t>5%)+16cm</w:t>
            </w:r>
            <w:r>
              <w:rPr>
                <w:rFonts w:hint="eastAsia"/>
                <w:color w:val="000000"/>
                <w:sz w:val="24"/>
              </w:rPr>
              <w:t>水泥稳定碎石基层</w:t>
            </w:r>
            <w:r>
              <w:rPr>
                <w:color w:val="000000"/>
                <w:sz w:val="24"/>
              </w:rPr>
              <w:t>(</w:t>
            </w:r>
            <w:r>
              <w:rPr>
                <w:rFonts w:hint="eastAsia"/>
                <w:color w:val="000000"/>
                <w:sz w:val="24"/>
              </w:rPr>
              <w:t>参考水泥剂量</w:t>
            </w:r>
            <w:r>
              <w:rPr>
                <w:color w:val="000000"/>
                <w:sz w:val="24"/>
              </w:rPr>
              <w:t>5%)+16cm</w:t>
            </w:r>
            <w:r>
              <w:rPr>
                <w:rFonts w:hint="eastAsia"/>
                <w:color w:val="000000"/>
                <w:sz w:val="24"/>
              </w:rPr>
              <w:t>水泥稳定碎石底基层</w:t>
            </w:r>
            <w:r>
              <w:rPr>
                <w:color w:val="000000"/>
                <w:sz w:val="24"/>
              </w:rPr>
              <w:t>(</w:t>
            </w:r>
            <w:r>
              <w:rPr>
                <w:rFonts w:hint="eastAsia"/>
                <w:color w:val="000000"/>
                <w:sz w:val="24"/>
              </w:rPr>
              <w:t>参考水泥剂量</w:t>
            </w:r>
            <w:r>
              <w:rPr>
                <w:color w:val="000000"/>
                <w:sz w:val="24"/>
              </w:rPr>
              <w:t>5%)</w:t>
            </w:r>
            <w:r>
              <w:rPr>
                <w:rFonts w:hint="eastAsia"/>
                <w:color w:val="000000"/>
                <w:sz w:val="24"/>
              </w:rPr>
              <w:t>。</w:t>
            </w:r>
          </w:p>
          <w:p>
            <w:pPr>
              <w:adjustRightInd w:val="0"/>
              <w:snapToGrid w:val="0"/>
              <w:spacing w:line="360" w:lineRule="auto"/>
              <w:rPr>
                <w:rFonts w:hint="eastAsia"/>
                <w:color w:val="000000"/>
                <w:sz w:val="24"/>
              </w:rPr>
            </w:pPr>
            <w:r>
              <w:rPr>
                <w:rFonts w:hint="eastAsia"/>
                <w:color w:val="000000"/>
                <w:sz w:val="24"/>
              </w:rPr>
              <w:pict>
                <v:shape id="图片 5" o:spid="_x0000_i1029" type="#_x0000_t75" style="width:395.16pt;height:160.52pt;mso-position-horizontal-relative:page;mso-position-vertical-relative:page;mso-wrap-style:square" filled="f" stroked="f">
                  <v:stroke linestyle="single"/>
                  <v:imagedata r:id="rId52" o:title="微信截图_20220529161715"/>
                  <v:path o:extrusionok="f"/>
                  <o:lock v:ext="edit" aspectratio="t"/>
                </v:shape>
              </w:pict>
            </w:r>
          </w:p>
          <w:p>
            <w:pPr>
              <w:adjustRightInd w:val="0"/>
              <w:snapToGrid w:val="0"/>
              <w:spacing w:line="360" w:lineRule="auto"/>
              <w:jc w:val="center"/>
              <w:rPr>
                <w:rFonts w:hint="eastAsia"/>
                <w:color w:val="000000"/>
                <w:sz w:val="24"/>
              </w:rPr>
            </w:pPr>
            <w:r>
              <w:rPr>
                <w:rFonts w:hint="eastAsia"/>
                <w:b/>
                <w:color w:val="000000"/>
                <w:sz w:val="24"/>
              </w:rPr>
              <w:t>图2-5 路面结构设计示意图</w:t>
            </w:r>
          </w:p>
          <w:p>
            <w:pPr>
              <w:adjustRightInd w:val="0"/>
              <w:snapToGrid w:val="0"/>
              <w:spacing w:line="360" w:lineRule="auto"/>
              <w:ind w:firstLine="480" w:firstLineChars="200"/>
              <w:rPr>
                <w:rFonts w:hint="eastAsia"/>
                <w:color w:val="000000"/>
                <w:sz w:val="24"/>
              </w:rPr>
            </w:pPr>
            <w:r>
              <w:rPr>
                <w:rFonts w:hint="eastAsia"/>
                <w:color w:val="000000"/>
                <w:sz w:val="24"/>
              </w:rPr>
              <w:t>2）非机动车道路面结构为：</w:t>
            </w:r>
          </w:p>
          <w:p>
            <w:pPr>
              <w:adjustRightInd w:val="0"/>
              <w:snapToGrid w:val="0"/>
              <w:spacing w:line="360" w:lineRule="auto"/>
              <w:ind w:firstLine="480" w:firstLineChars="200"/>
              <w:rPr>
                <w:rFonts w:hint="eastAsia"/>
                <w:color w:val="000000"/>
                <w:sz w:val="24"/>
              </w:rPr>
            </w:pPr>
            <w:r>
              <w:rPr>
                <w:color w:val="000000"/>
                <w:sz w:val="24"/>
              </w:rPr>
              <w:t>6cm</w:t>
            </w:r>
            <w:r>
              <w:rPr>
                <w:rFonts w:hint="eastAsia"/>
                <w:color w:val="000000"/>
                <w:sz w:val="24"/>
              </w:rPr>
              <w:t>混凝土彩色人行道砖</w:t>
            </w:r>
            <w:r>
              <w:rPr>
                <w:color w:val="000000"/>
                <w:sz w:val="24"/>
              </w:rPr>
              <w:t>+2cmM7.5</w:t>
            </w:r>
            <w:r>
              <w:rPr>
                <w:rFonts w:hint="eastAsia"/>
                <w:color w:val="000000"/>
                <w:sz w:val="24"/>
              </w:rPr>
              <w:t>水泥砂浆卧层</w:t>
            </w:r>
            <w:r>
              <w:rPr>
                <w:color w:val="000000"/>
                <w:sz w:val="24"/>
              </w:rPr>
              <w:t>+10cmC15</w:t>
            </w:r>
            <w:r>
              <w:rPr>
                <w:rFonts w:hint="eastAsia"/>
                <w:color w:val="000000"/>
                <w:sz w:val="24"/>
              </w:rPr>
              <w:t>混凝土</w:t>
            </w:r>
            <w:r>
              <w:rPr>
                <w:color w:val="000000"/>
                <w:sz w:val="24"/>
              </w:rPr>
              <w:t>+15cm</w:t>
            </w:r>
            <w:r>
              <w:rPr>
                <w:rFonts w:hint="eastAsia"/>
                <w:color w:val="000000"/>
                <w:sz w:val="24"/>
              </w:rPr>
              <w:t>水泥稳定土（参考水泥剂量为</w:t>
            </w:r>
            <w:r>
              <w:rPr>
                <w:color w:val="000000"/>
                <w:sz w:val="24"/>
              </w:rPr>
              <w:t>6%</w:t>
            </w:r>
            <w:r>
              <w:rPr>
                <w:rFonts w:hint="eastAsia"/>
                <w:color w:val="000000"/>
                <w:sz w:val="24"/>
              </w:rPr>
              <w:t>）。</w:t>
            </w:r>
          </w:p>
          <w:p>
            <w:pPr>
              <w:adjustRightInd w:val="0"/>
              <w:snapToGrid w:val="0"/>
              <w:spacing w:line="360" w:lineRule="auto"/>
              <w:ind w:firstLine="480" w:firstLineChars="200"/>
              <w:rPr>
                <w:rFonts w:hint="eastAsia"/>
                <w:color w:val="000000"/>
                <w:sz w:val="24"/>
              </w:rPr>
            </w:pPr>
            <w:r>
              <w:rPr>
                <w:rFonts w:hint="eastAsia"/>
                <w:color w:val="000000"/>
                <w:sz w:val="24"/>
              </w:rPr>
              <w:t>3）附属设施</w:t>
            </w:r>
          </w:p>
          <w:p>
            <w:pPr>
              <w:adjustRightInd w:val="0"/>
              <w:snapToGrid w:val="0"/>
              <w:spacing w:line="360" w:lineRule="auto"/>
              <w:ind w:firstLine="480" w:firstLineChars="200"/>
              <w:rPr>
                <w:rFonts w:hint="eastAsia"/>
                <w:color w:val="000000"/>
                <w:sz w:val="24"/>
              </w:rPr>
            </w:pPr>
            <w:r>
              <w:rPr>
                <w:color w:val="000000"/>
                <w:sz w:val="24"/>
              </w:rPr>
              <w:fldChar w:fldCharType="begin"/>
            </w:r>
            <w:r>
              <w:rPr>
                <w:color w:val="000000"/>
                <w:sz w:val="24"/>
              </w:rPr>
              <w:instrText xml:space="preserve"> </w:instrText>
            </w:r>
            <w:r>
              <w:rPr>
                <w:rFonts w:hint="eastAsia"/>
                <w:color w:val="000000"/>
                <w:sz w:val="24"/>
              </w:rPr>
              <w:instrText>= 1 \* GB3</w:instrText>
            </w:r>
            <w:r>
              <w:rPr>
                <w:color w:val="000000"/>
                <w:sz w:val="24"/>
              </w:rPr>
              <w:instrText xml:space="preserve"> </w:instrText>
            </w:r>
            <w:r>
              <w:rPr>
                <w:color w:val="000000"/>
                <w:sz w:val="24"/>
              </w:rPr>
              <w:fldChar w:fldCharType="separate"/>
            </w:r>
            <w:r>
              <w:rPr>
                <w:rFonts w:hint="eastAsia"/>
                <w:color w:val="000000"/>
                <w:sz w:val="24"/>
              </w:rPr>
              <w:t>①</w:t>
            </w:r>
            <w:r>
              <w:rPr>
                <w:color w:val="000000"/>
                <w:sz w:val="24"/>
              </w:rPr>
              <w:fldChar w:fldCharType="end"/>
            </w:r>
            <w:r>
              <w:rPr>
                <w:rFonts w:hint="eastAsia"/>
                <w:color w:val="000000"/>
                <w:sz w:val="24"/>
              </w:rPr>
              <w:t>路缘石</w:t>
            </w:r>
          </w:p>
          <w:p>
            <w:pPr>
              <w:adjustRightInd w:val="0"/>
              <w:snapToGrid w:val="0"/>
              <w:spacing w:line="360" w:lineRule="auto"/>
              <w:ind w:firstLine="480" w:firstLineChars="200"/>
              <w:rPr>
                <w:color w:val="000000"/>
                <w:sz w:val="24"/>
              </w:rPr>
            </w:pPr>
            <w:r>
              <w:rPr>
                <w:rFonts w:hint="eastAsia"/>
                <w:color w:val="000000"/>
                <w:sz w:val="24"/>
              </w:rPr>
              <w:t>全线共设置</w:t>
            </w:r>
            <w:r>
              <w:rPr>
                <w:color w:val="000000"/>
                <w:sz w:val="24"/>
              </w:rPr>
              <w:t>2</w:t>
            </w:r>
            <w:r>
              <w:rPr>
                <w:rFonts w:hint="eastAsia"/>
                <w:color w:val="000000"/>
                <w:sz w:val="24"/>
              </w:rPr>
              <w:t>种路缘石形式。路缘石</w:t>
            </w:r>
            <w:r>
              <w:rPr>
                <w:color w:val="000000"/>
                <w:sz w:val="24"/>
              </w:rPr>
              <w:t xml:space="preserve">I </w:t>
            </w:r>
            <w:r>
              <w:rPr>
                <w:rFonts w:hint="eastAsia"/>
                <w:color w:val="000000"/>
                <w:sz w:val="24"/>
              </w:rPr>
              <w:t>型为采用大理石材质，路缘石尺寸为</w:t>
            </w:r>
            <w:r>
              <w:rPr>
                <w:color w:val="000000"/>
                <w:sz w:val="24"/>
              </w:rPr>
              <w:t>100</w:t>
            </w:r>
            <w:r>
              <w:rPr>
                <w:rFonts w:hint="eastAsia"/>
                <w:color w:val="000000"/>
                <w:sz w:val="24"/>
              </w:rPr>
              <w:t>×</w:t>
            </w:r>
            <w:r>
              <w:rPr>
                <w:color w:val="000000"/>
                <w:sz w:val="24"/>
              </w:rPr>
              <w:t>15</w:t>
            </w:r>
            <w:r>
              <w:rPr>
                <w:rFonts w:hint="eastAsia"/>
                <w:color w:val="000000"/>
                <w:sz w:val="24"/>
              </w:rPr>
              <w:t>×</w:t>
            </w:r>
            <w:r>
              <w:rPr>
                <w:color w:val="000000"/>
                <w:sz w:val="24"/>
              </w:rPr>
              <w:t>30cm</w:t>
            </w:r>
            <w:r>
              <w:rPr>
                <w:rFonts w:hint="eastAsia"/>
                <w:color w:val="000000"/>
                <w:sz w:val="24"/>
              </w:rPr>
              <w:t>，外露路面高度为</w:t>
            </w:r>
            <w:r>
              <w:rPr>
                <w:color w:val="000000"/>
                <w:sz w:val="24"/>
              </w:rPr>
              <w:t>18cm</w:t>
            </w:r>
            <w:r>
              <w:rPr>
                <w:rFonts w:hint="eastAsia"/>
                <w:color w:val="000000"/>
                <w:sz w:val="24"/>
              </w:rPr>
              <w:t>，应用于</w:t>
            </w:r>
            <w:r>
              <w:rPr>
                <w:color w:val="000000"/>
                <w:sz w:val="24"/>
              </w:rPr>
              <w:t>K4+234</w:t>
            </w:r>
            <w:r>
              <w:rPr>
                <w:rFonts w:hint="eastAsia"/>
                <w:color w:val="000000"/>
                <w:sz w:val="24"/>
              </w:rPr>
              <w:t>～</w:t>
            </w:r>
            <w:r>
              <w:rPr>
                <w:color w:val="000000"/>
                <w:sz w:val="24"/>
              </w:rPr>
              <w:t>K9+020</w:t>
            </w:r>
            <w:r>
              <w:rPr>
                <w:rFonts w:hint="eastAsia"/>
                <w:color w:val="000000"/>
                <w:sz w:val="24"/>
              </w:rPr>
              <w:t>路段；路缘石</w:t>
            </w:r>
            <w:r>
              <w:rPr>
                <w:rFonts w:hint="eastAsia"/>
                <w:color w:val="000000"/>
                <w:sz w:val="24"/>
              </w:rPr>
              <w:t>Ⅱ</w:t>
            </w:r>
            <w:r>
              <w:rPr>
                <w:rFonts w:hint="eastAsia"/>
                <w:color w:val="000000"/>
                <w:sz w:val="24"/>
              </w:rPr>
              <w:t>型采用</w:t>
            </w:r>
            <w:r>
              <w:rPr>
                <w:color w:val="000000"/>
                <w:sz w:val="24"/>
              </w:rPr>
              <w:t>C30</w:t>
            </w:r>
            <w:r>
              <w:rPr>
                <w:rFonts w:hint="eastAsia"/>
                <w:color w:val="000000"/>
                <w:sz w:val="24"/>
              </w:rPr>
              <w:t>预制平路缘石，应用于</w:t>
            </w:r>
            <w:r>
              <w:rPr>
                <w:color w:val="000000"/>
                <w:sz w:val="24"/>
              </w:rPr>
              <w:t>K9+020</w:t>
            </w:r>
            <w:r>
              <w:rPr>
                <w:rFonts w:hint="eastAsia"/>
                <w:color w:val="000000"/>
                <w:sz w:val="24"/>
              </w:rPr>
              <w:t>～</w:t>
            </w:r>
            <w:r>
              <w:rPr>
                <w:color w:val="000000"/>
                <w:sz w:val="24"/>
              </w:rPr>
              <w:t>K9+140</w:t>
            </w:r>
            <w:r>
              <w:rPr>
                <w:rFonts w:hint="eastAsia"/>
                <w:color w:val="000000"/>
                <w:sz w:val="24"/>
              </w:rPr>
              <w:t>路段，工程量已计入《</w:t>
            </w:r>
            <w:r>
              <w:rPr>
                <w:color w:val="000000"/>
                <w:sz w:val="24"/>
              </w:rPr>
              <w:t>S324</w:t>
            </w:r>
            <w:r>
              <w:rPr>
                <w:rFonts w:hint="eastAsia"/>
                <w:color w:val="000000"/>
                <w:sz w:val="24"/>
              </w:rPr>
              <w:t>宁武线宁津大祁北路西口至陵城</w:t>
            </w:r>
            <w:r>
              <w:rPr>
                <w:color w:val="000000"/>
                <w:sz w:val="24"/>
              </w:rPr>
              <w:t xml:space="preserve">X013 </w:t>
            </w:r>
            <w:r>
              <w:rPr>
                <w:rFonts w:hint="eastAsia"/>
                <w:color w:val="000000"/>
                <w:sz w:val="24"/>
              </w:rPr>
              <w:t>路口段大修工程》，本项目不再计量。</w:t>
            </w:r>
          </w:p>
          <w:p>
            <w:pPr>
              <w:adjustRightInd w:val="0"/>
              <w:snapToGrid w:val="0"/>
              <w:spacing w:line="360" w:lineRule="auto"/>
              <w:ind w:firstLine="480" w:firstLineChars="200"/>
              <w:rPr>
                <w:rFonts w:hint="eastAsia"/>
                <w:color w:val="000000"/>
                <w:sz w:val="24"/>
              </w:rPr>
            </w:pPr>
            <w:r>
              <w:rPr>
                <w:rFonts w:hint="eastAsia"/>
                <w:color w:val="000000"/>
                <w:sz w:val="24"/>
              </w:rPr>
              <w:t>为了使路缘石安放平稳，安放前在其底部铺筑</w:t>
            </w:r>
            <w:r>
              <w:rPr>
                <w:color w:val="000000"/>
                <w:sz w:val="24"/>
              </w:rPr>
              <w:t>2cm</w:t>
            </w:r>
            <w:r>
              <w:rPr>
                <w:rFonts w:hint="eastAsia"/>
                <w:color w:val="000000"/>
                <w:sz w:val="24"/>
              </w:rPr>
              <w:t>厚</w:t>
            </w:r>
            <w:r>
              <w:rPr>
                <w:color w:val="000000"/>
                <w:sz w:val="24"/>
              </w:rPr>
              <w:t>M7.5</w:t>
            </w:r>
            <w:r>
              <w:rPr>
                <w:rFonts w:hint="eastAsia"/>
                <w:color w:val="000000"/>
                <w:sz w:val="24"/>
              </w:rPr>
              <w:t>水泥砂浆找平层。</w:t>
            </w:r>
          </w:p>
          <w:p>
            <w:pPr>
              <w:adjustRightInd w:val="0"/>
              <w:snapToGrid w:val="0"/>
              <w:spacing w:line="360" w:lineRule="auto"/>
              <w:ind w:firstLine="480" w:firstLineChars="200"/>
              <w:rPr>
                <w:rFonts w:hint="eastAsia"/>
                <w:color w:val="000000"/>
                <w:sz w:val="24"/>
              </w:rPr>
            </w:pPr>
            <w:r>
              <w:rPr>
                <w:color w:val="000000"/>
                <w:sz w:val="24"/>
              </w:rPr>
              <w:fldChar w:fldCharType="begin"/>
            </w:r>
            <w:r>
              <w:rPr>
                <w:color w:val="000000"/>
                <w:sz w:val="24"/>
              </w:rPr>
              <w:instrText xml:space="preserve"> </w:instrText>
            </w:r>
            <w:r>
              <w:rPr>
                <w:rFonts w:hint="eastAsia"/>
                <w:color w:val="000000"/>
                <w:sz w:val="24"/>
              </w:rPr>
              <w:instrText>= 2 \* GB3</w:instrText>
            </w:r>
            <w:r>
              <w:rPr>
                <w:color w:val="000000"/>
                <w:sz w:val="24"/>
              </w:rPr>
              <w:instrText xml:space="preserve"> </w:instrText>
            </w:r>
            <w:r>
              <w:rPr>
                <w:color w:val="000000"/>
                <w:sz w:val="24"/>
              </w:rPr>
              <w:fldChar w:fldCharType="separate"/>
            </w:r>
            <w:r>
              <w:rPr>
                <w:rFonts w:hint="eastAsia"/>
                <w:color w:val="000000"/>
                <w:sz w:val="24"/>
              </w:rPr>
              <w:t>②</w:t>
            </w:r>
            <w:r>
              <w:rPr>
                <w:color w:val="000000"/>
                <w:sz w:val="24"/>
              </w:rPr>
              <w:fldChar w:fldCharType="end"/>
            </w:r>
            <w:r>
              <w:rPr>
                <w:rFonts w:hint="eastAsia"/>
                <w:color w:val="000000"/>
                <w:sz w:val="24"/>
              </w:rPr>
              <w:t>公交车停靠站</w:t>
            </w:r>
          </w:p>
          <w:p>
            <w:pPr>
              <w:adjustRightInd w:val="0"/>
              <w:snapToGrid w:val="0"/>
              <w:spacing w:line="360" w:lineRule="auto"/>
              <w:ind w:firstLine="480" w:firstLineChars="200"/>
              <w:rPr>
                <w:color w:val="000000"/>
                <w:sz w:val="24"/>
              </w:rPr>
            </w:pPr>
            <w:r>
              <w:rPr>
                <w:rFonts w:hint="eastAsia"/>
                <w:color w:val="000000"/>
                <w:sz w:val="24"/>
              </w:rPr>
              <w:t>在路面边外设置公交车停靠站，公交车停靠站路面同行车道路面结构。停靠站站台范围内分隔带按人行道设计。</w:t>
            </w:r>
          </w:p>
          <w:p>
            <w:pPr>
              <w:adjustRightInd w:val="0"/>
              <w:snapToGrid w:val="0"/>
              <w:spacing w:line="360" w:lineRule="auto"/>
              <w:ind w:firstLine="480" w:firstLineChars="200"/>
              <w:rPr>
                <w:color w:val="000000"/>
                <w:sz w:val="24"/>
              </w:rPr>
            </w:pPr>
            <w:r>
              <w:rPr>
                <w:rFonts w:hint="eastAsia"/>
                <w:color w:val="000000"/>
                <w:sz w:val="24"/>
              </w:rPr>
              <w:t>人行道砖采用混凝土路面砖，尺寸为</w:t>
            </w:r>
            <w:r>
              <w:rPr>
                <w:color w:val="000000"/>
                <w:sz w:val="24"/>
              </w:rPr>
              <w:t>12.5</w:t>
            </w:r>
            <w:r>
              <w:rPr>
                <w:rFonts w:hint="eastAsia"/>
                <w:color w:val="000000"/>
                <w:sz w:val="24"/>
              </w:rPr>
              <w:t>×</w:t>
            </w:r>
            <w:r>
              <w:rPr>
                <w:color w:val="000000"/>
                <w:sz w:val="24"/>
              </w:rPr>
              <w:t>25</w:t>
            </w:r>
            <w:r>
              <w:rPr>
                <w:rFonts w:hint="eastAsia"/>
                <w:color w:val="000000"/>
                <w:sz w:val="24"/>
              </w:rPr>
              <w:t>×</w:t>
            </w:r>
            <w:r>
              <w:rPr>
                <w:color w:val="000000"/>
                <w:sz w:val="24"/>
              </w:rPr>
              <w:t>6cm</w:t>
            </w:r>
            <w:r>
              <w:rPr>
                <w:rFonts w:hint="eastAsia"/>
                <w:color w:val="000000"/>
                <w:sz w:val="24"/>
              </w:rPr>
              <w:t>。</w:t>
            </w:r>
          </w:p>
          <w:p>
            <w:pPr>
              <w:adjustRightInd w:val="0"/>
              <w:snapToGrid w:val="0"/>
              <w:spacing w:line="360" w:lineRule="auto"/>
              <w:ind w:firstLine="480" w:firstLineChars="200"/>
              <w:rPr>
                <w:rFonts w:hint="eastAsia"/>
                <w:color w:val="000000"/>
                <w:sz w:val="24"/>
              </w:rPr>
            </w:pPr>
            <w:r>
              <w:rPr>
                <w:rFonts w:hint="eastAsia"/>
                <w:color w:val="000000"/>
                <w:sz w:val="24"/>
              </w:rPr>
              <w:t>路面结构：</w:t>
            </w:r>
            <w:r>
              <w:rPr>
                <w:color w:val="000000"/>
                <w:sz w:val="24"/>
              </w:rPr>
              <w:t xml:space="preserve">6cm </w:t>
            </w:r>
            <w:r>
              <w:rPr>
                <w:rFonts w:hint="eastAsia"/>
                <w:color w:val="000000"/>
                <w:sz w:val="24"/>
              </w:rPr>
              <w:t>混凝土彩色人行道砖</w:t>
            </w:r>
            <w:r>
              <w:rPr>
                <w:color w:val="000000"/>
                <w:sz w:val="24"/>
              </w:rPr>
              <w:t>+2cmM7.5</w:t>
            </w:r>
            <w:r>
              <w:rPr>
                <w:rFonts w:hint="eastAsia"/>
                <w:color w:val="000000"/>
                <w:sz w:val="24"/>
              </w:rPr>
              <w:t>水泥砂浆卧层</w:t>
            </w:r>
            <w:r>
              <w:rPr>
                <w:color w:val="000000"/>
                <w:sz w:val="24"/>
              </w:rPr>
              <w:t xml:space="preserve">+10cmC15 </w:t>
            </w:r>
            <w:r>
              <w:rPr>
                <w:rFonts w:hint="eastAsia"/>
                <w:color w:val="000000"/>
                <w:sz w:val="24"/>
              </w:rPr>
              <w:t>混凝土</w:t>
            </w:r>
            <w:r>
              <w:rPr>
                <w:color w:val="000000"/>
                <w:sz w:val="24"/>
              </w:rPr>
              <w:t>+15cm</w:t>
            </w:r>
            <w:r>
              <w:rPr>
                <w:rFonts w:hint="eastAsia"/>
                <w:color w:val="000000"/>
                <w:sz w:val="24"/>
              </w:rPr>
              <w:t>水泥稳定土（参考水泥剂量为</w:t>
            </w:r>
            <w:r>
              <w:rPr>
                <w:color w:val="000000"/>
                <w:sz w:val="24"/>
              </w:rPr>
              <w:t>6%</w:t>
            </w:r>
            <w:r>
              <w:rPr>
                <w:rFonts w:hint="eastAsia"/>
                <w:color w:val="000000"/>
                <w:sz w:val="24"/>
              </w:rPr>
              <w:t>）。</w:t>
            </w:r>
          </w:p>
          <w:p>
            <w:pPr>
              <w:adjustRightInd w:val="0"/>
              <w:snapToGrid w:val="0"/>
              <w:spacing w:line="360" w:lineRule="auto"/>
              <w:ind w:firstLine="480" w:firstLineChars="200"/>
              <w:rPr>
                <w:rFonts w:hint="eastAsia"/>
                <w:color w:val="000000"/>
                <w:sz w:val="24"/>
              </w:rPr>
            </w:pPr>
            <w:r>
              <w:rPr>
                <w:color w:val="000000"/>
                <w:sz w:val="24"/>
              </w:rPr>
              <w:fldChar w:fldCharType="begin"/>
            </w:r>
            <w:r>
              <w:rPr>
                <w:color w:val="000000"/>
                <w:sz w:val="24"/>
              </w:rPr>
              <w:instrText xml:space="preserve"> </w:instrText>
            </w:r>
            <w:r>
              <w:rPr>
                <w:rFonts w:hint="eastAsia"/>
                <w:color w:val="000000"/>
                <w:sz w:val="24"/>
              </w:rPr>
              <w:instrText>= 3 \* GB3</w:instrText>
            </w:r>
            <w:r>
              <w:rPr>
                <w:color w:val="000000"/>
                <w:sz w:val="24"/>
              </w:rPr>
              <w:instrText xml:space="preserve"> </w:instrText>
            </w:r>
            <w:r>
              <w:rPr>
                <w:color w:val="000000"/>
                <w:sz w:val="24"/>
              </w:rPr>
              <w:fldChar w:fldCharType="separate"/>
            </w:r>
            <w:r>
              <w:rPr>
                <w:rFonts w:hint="eastAsia"/>
                <w:color w:val="000000"/>
                <w:sz w:val="24"/>
              </w:rPr>
              <w:t>③</w:t>
            </w:r>
            <w:r>
              <w:rPr>
                <w:color w:val="000000"/>
                <w:sz w:val="24"/>
              </w:rPr>
              <w:fldChar w:fldCharType="end"/>
            </w:r>
            <w:r>
              <w:rPr>
                <w:rFonts w:hint="eastAsia"/>
                <w:color w:val="000000"/>
                <w:sz w:val="24"/>
              </w:rPr>
              <w:t>机非分隔带开口</w:t>
            </w:r>
          </w:p>
        </w:tc>
      </w:tr>
    </w:tbl>
    <w:p>
      <w:pPr>
        <w:sectPr>
          <w:footerReference w:type="even" r:id="rId53"/>
          <w:footerReference w:type="default" r:id="rId54"/>
          <w:type w:val="nextPage"/>
          <w:pgSz w:w="11906" w:h="16838"/>
          <w:pgMar w:top="1440" w:right="1797" w:bottom="1440" w:left="1797" w:header="851" w:footer="1077" w:gutter="0"/>
          <w:pgNumType w:start="22"/>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2"/>
        <w:gridCol w:w="8076"/>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2542"/>
          <w:jc w:val="center"/>
        </w:trPr>
        <w:tc>
          <w:tcPr>
            <w:tcW w:w="308" w:type="pct"/>
            <w:vAlign w:val="center"/>
          </w:tcPr>
          <w:p/>
        </w:tc>
        <w:tc>
          <w:tcPr>
            <w:tcW w:w="4692" w:type="pct"/>
            <w:vAlign w:val="center"/>
          </w:tcPr>
          <w:p>
            <w:pPr>
              <w:adjustRightInd w:val="0"/>
              <w:snapToGrid w:val="0"/>
              <w:spacing w:line="360" w:lineRule="auto"/>
              <w:ind w:firstLine="480" w:firstLineChars="200"/>
              <w:rPr>
                <w:color w:val="000000"/>
                <w:sz w:val="24"/>
              </w:rPr>
            </w:pPr>
            <w:r>
              <w:rPr>
                <w:rFonts w:hint="eastAsia"/>
                <w:color w:val="000000"/>
                <w:sz w:val="24"/>
              </w:rPr>
              <w:t>在路线平面交叉口及主要右进右出接入口处设置机非分隔带开口，根据被交路道路等级一般开口宽度不小于</w:t>
            </w:r>
            <w:r>
              <w:rPr>
                <w:color w:val="000000"/>
                <w:sz w:val="24"/>
              </w:rPr>
              <w:t>20m</w:t>
            </w:r>
            <w:r>
              <w:rPr>
                <w:rFonts w:hint="eastAsia"/>
                <w:color w:val="000000"/>
                <w:sz w:val="24"/>
              </w:rPr>
              <w:t>，分隔带开口路面结构同主路行车道。</w:t>
            </w:r>
          </w:p>
          <w:p>
            <w:pPr>
              <w:adjustRightInd w:val="0"/>
              <w:snapToGrid w:val="0"/>
              <w:spacing w:line="360" w:lineRule="auto"/>
              <w:ind w:firstLine="480" w:firstLineChars="200"/>
              <w:rPr>
                <w:rFonts w:hint="eastAsia"/>
                <w:color w:val="000000"/>
                <w:sz w:val="24"/>
              </w:rPr>
            </w:pPr>
            <w:r>
              <w:rPr>
                <w:rFonts w:hint="eastAsia"/>
                <w:color w:val="000000"/>
                <w:sz w:val="24"/>
              </w:rPr>
              <w:t>（2）材料要求</w:t>
            </w:r>
          </w:p>
          <w:p>
            <w:pPr>
              <w:adjustRightInd w:val="0"/>
              <w:snapToGrid w:val="0"/>
              <w:spacing w:line="360" w:lineRule="auto"/>
              <w:ind w:firstLine="480" w:firstLineChars="200"/>
              <w:rPr>
                <w:rFonts w:hint="eastAsia"/>
                <w:color w:val="000000"/>
                <w:sz w:val="24"/>
              </w:rPr>
            </w:pPr>
            <w:r>
              <w:rPr>
                <w:rFonts w:hint="eastAsia"/>
                <w:color w:val="000000"/>
                <w:sz w:val="24"/>
              </w:rPr>
              <w:t>1）沥青混凝土面层</w:t>
            </w:r>
          </w:p>
          <w:p>
            <w:pPr>
              <w:adjustRightInd w:val="0"/>
              <w:snapToGrid w:val="0"/>
              <w:spacing w:line="360" w:lineRule="auto"/>
              <w:ind w:firstLine="480" w:firstLineChars="200"/>
              <w:rPr>
                <w:rFonts w:hint="eastAsia"/>
                <w:color w:val="000000"/>
                <w:sz w:val="24"/>
              </w:rPr>
            </w:pPr>
            <w:r>
              <w:rPr>
                <w:rFonts w:hint="eastAsia"/>
                <w:color w:val="000000"/>
                <w:sz w:val="24"/>
              </w:rPr>
              <w:t>①</w:t>
            </w:r>
            <w:r>
              <w:rPr>
                <w:rFonts w:hint="eastAsia"/>
                <w:color w:val="000000"/>
                <w:sz w:val="24"/>
              </w:rPr>
              <w:t>原材料要求</w:t>
            </w:r>
          </w:p>
          <w:p>
            <w:pPr>
              <w:adjustRightInd w:val="0"/>
              <w:snapToGrid w:val="0"/>
              <w:spacing w:line="360" w:lineRule="auto"/>
              <w:ind w:firstLine="480" w:firstLineChars="200"/>
              <w:rPr>
                <w:rFonts w:hint="eastAsia"/>
                <w:color w:val="000000"/>
                <w:sz w:val="24"/>
              </w:rPr>
            </w:pPr>
            <w:r>
              <w:rPr>
                <w:rFonts w:hint="eastAsia"/>
                <w:color w:val="000000"/>
                <w:sz w:val="24"/>
              </w:rPr>
              <w:t>沥青胶结料：SBS改性沥青的基质沥青采用A级70号道路石油沥青，SBS改性沥青应满足《公路沥青路面施工技术规范》（JTG F40-2004）中SBS类改性沥青I-D的技术标准要求。相应的施工温度应当由供应商根据其沥青的技术性质和经验提供，不可采用粘温关系直接确定。</w:t>
            </w:r>
          </w:p>
          <w:p>
            <w:pPr>
              <w:adjustRightInd w:val="0"/>
              <w:snapToGrid w:val="0"/>
              <w:spacing w:line="360" w:lineRule="auto"/>
              <w:ind w:firstLine="480" w:firstLineChars="200"/>
              <w:rPr>
                <w:rFonts w:hint="eastAsia"/>
                <w:color w:val="000000"/>
                <w:sz w:val="24"/>
              </w:rPr>
            </w:pPr>
            <w:r>
              <w:rPr>
                <w:rFonts w:hint="eastAsia"/>
                <w:color w:val="000000"/>
                <w:sz w:val="24"/>
              </w:rPr>
              <w:t>粗集料：粗集料应采用石质坚硬、清洁、不含风化颗粒、近立方体颗粒的碎石，粒径大于2.36mm。上面层应采用玄武岩。下面层应采用石灰岩。应严格控制细长扁平颗粒含量，以确保粗集料的质量。</w:t>
            </w:r>
          </w:p>
          <w:p>
            <w:pPr>
              <w:adjustRightInd w:val="0"/>
              <w:snapToGrid w:val="0"/>
              <w:spacing w:line="360" w:lineRule="auto"/>
              <w:ind w:firstLine="480" w:firstLineChars="200"/>
              <w:rPr>
                <w:rFonts w:hint="eastAsia"/>
                <w:color w:val="000000"/>
                <w:sz w:val="24"/>
              </w:rPr>
            </w:pPr>
            <w:r>
              <w:rPr>
                <w:rFonts w:hint="eastAsia"/>
                <w:color w:val="000000"/>
                <w:sz w:val="24"/>
              </w:rPr>
              <w:t>细集料：面层细集料采用机制砂和石屑，细集料应具有一定的棱角型，洁净、干燥、无风化、无杂质并有适当的颗粒级配。</w:t>
            </w:r>
          </w:p>
          <w:p>
            <w:pPr>
              <w:adjustRightInd w:val="0"/>
              <w:snapToGrid w:val="0"/>
              <w:spacing w:line="360" w:lineRule="auto"/>
              <w:ind w:firstLine="480" w:firstLineChars="200"/>
              <w:rPr>
                <w:rFonts w:hint="eastAsia"/>
                <w:color w:val="000000"/>
                <w:sz w:val="24"/>
              </w:rPr>
            </w:pPr>
            <w:r>
              <w:rPr>
                <w:rFonts w:hint="eastAsia"/>
                <w:color w:val="000000"/>
                <w:sz w:val="24"/>
              </w:rPr>
              <w:t>②</w:t>
            </w:r>
            <w:r>
              <w:rPr>
                <w:rFonts w:hint="eastAsia"/>
                <w:color w:val="000000"/>
                <w:sz w:val="24"/>
              </w:rPr>
              <w:t>沥青混合料的设计和技术指标</w:t>
            </w:r>
          </w:p>
          <w:p>
            <w:pPr>
              <w:adjustRightInd w:val="0"/>
              <w:snapToGrid w:val="0"/>
              <w:spacing w:line="360" w:lineRule="auto"/>
              <w:ind w:firstLine="480" w:firstLineChars="200"/>
              <w:rPr>
                <w:rFonts w:hint="eastAsia"/>
                <w:color w:val="000000"/>
                <w:sz w:val="24"/>
              </w:rPr>
            </w:pPr>
            <w:r>
              <w:rPr>
                <w:rFonts w:hint="eastAsia"/>
                <w:color w:val="000000"/>
                <w:sz w:val="24"/>
              </w:rPr>
              <w:t>矿料的级配：密级配沥青混合料工程设计级配范围应满足下表的级配范围的要求。根据原材料所设计沥青混合料合成级配应尽可能在要求的级配范围要求内，一般小于2.36部分不宜超出该范围，其中级配曲线图采用0.45次方级配曲线图评价矿料的级配。在该级配范围内进行混合料设计需要正确的取料与试验方法。矿料筛分采用水筛法，每一级集料都要精确筛分出0.075mm以下的含量，进行合成级配计算。</w:t>
            </w:r>
          </w:p>
          <w:p>
            <w:pPr>
              <w:adjustRightInd w:val="0"/>
              <w:snapToGrid w:val="0"/>
              <w:spacing w:line="360" w:lineRule="auto"/>
              <w:ind w:firstLine="480" w:firstLineChars="200"/>
              <w:rPr>
                <w:rFonts w:hint="eastAsia"/>
                <w:color w:val="000000"/>
                <w:sz w:val="24"/>
              </w:rPr>
            </w:pPr>
            <w:r>
              <w:rPr>
                <w:rFonts w:hint="eastAsia"/>
                <w:color w:val="000000"/>
                <w:sz w:val="24"/>
              </w:rPr>
              <w:t>混合料的技术要求：密级配热拌沥青混合料设计采用马歇尔试验配合比设计方法。</w:t>
            </w:r>
          </w:p>
          <w:p>
            <w:pPr>
              <w:adjustRightInd w:val="0"/>
              <w:snapToGrid w:val="0"/>
              <w:spacing w:line="360" w:lineRule="auto"/>
              <w:ind w:firstLine="480" w:firstLineChars="200"/>
              <w:rPr>
                <w:rFonts w:hint="eastAsia"/>
                <w:color w:val="000000"/>
                <w:sz w:val="24"/>
              </w:rPr>
            </w:pPr>
            <w:r>
              <w:rPr>
                <w:rFonts w:hint="eastAsia"/>
                <w:color w:val="000000"/>
                <w:sz w:val="24"/>
              </w:rPr>
              <w:t>2）黏层</w:t>
            </w:r>
          </w:p>
          <w:p>
            <w:pPr>
              <w:adjustRightInd w:val="0"/>
              <w:snapToGrid w:val="0"/>
              <w:spacing w:line="360" w:lineRule="auto"/>
              <w:ind w:firstLine="480" w:firstLineChars="200"/>
              <w:rPr>
                <w:rFonts w:hint="eastAsia"/>
                <w:color w:val="000000"/>
                <w:sz w:val="24"/>
              </w:rPr>
            </w:pPr>
            <w:r>
              <w:rPr>
                <w:rFonts w:hint="eastAsia"/>
                <w:color w:val="000000"/>
                <w:sz w:val="24"/>
              </w:rPr>
              <w:t>热铺沥青混合料路面的沥青层之间必须喷洒黏层沥青，黏层采用改性乳化沥青，洒布量为0.3-0.6L/m</w:t>
            </w:r>
            <w:r>
              <w:rPr>
                <w:rFonts w:hint="eastAsia"/>
                <w:color w:val="000000"/>
                <w:sz w:val="24"/>
                <w:vertAlign w:val="superscript"/>
              </w:rPr>
              <w:t>2</w:t>
            </w:r>
            <w:r>
              <w:rPr>
                <w:rFonts w:hint="eastAsia"/>
                <w:color w:val="000000"/>
                <w:sz w:val="24"/>
              </w:rPr>
              <w:t>（根据下卧层的类型经过试洒后确定），乳化沥青中的残留物含量不得少于50%。</w:t>
            </w:r>
          </w:p>
          <w:p>
            <w:pPr>
              <w:adjustRightInd w:val="0"/>
              <w:snapToGrid w:val="0"/>
              <w:spacing w:line="360" w:lineRule="auto"/>
              <w:ind w:firstLine="480" w:firstLineChars="200"/>
              <w:rPr>
                <w:rFonts w:hint="eastAsia"/>
                <w:color w:val="000000"/>
                <w:sz w:val="24"/>
              </w:rPr>
            </w:pPr>
            <w:r>
              <w:rPr>
                <w:rFonts w:hint="eastAsia"/>
                <w:color w:val="000000"/>
                <w:sz w:val="24"/>
              </w:rPr>
              <w:t>3）透层油</w:t>
            </w:r>
          </w:p>
        </w:tc>
      </w:tr>
    </w:tbl>
    <w:p>
      <w:pPr>
        <w:sectPr>
          <w:footerReference w:type="even" r:id="rId55"/>
          <w:footerReference w:type="default" r:id="rId56"/>
          <w:type w:val="nextPage"/>
          <w:pgSz w:w="11906" w:h="16838"/>
          <w:pgMar w:top="1440" w:right="1797" w:bottom="1440" w:left="1797" w:header="851" w:footer="1077" w:gutter="0"/>
          <w:pgNumType w:start="23"/>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2"/>
        <w:gridCol w:w="8076"/>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2542"/>
          <w:jc w:val="center"/>
        </w:trPr>
        <w:tc>
          <w:tcPr>
            <w:tcW w:w="308" w:type="pct"/>
            <w:vAlign w:val="center"/>
          </w:tcPr>
          <w:p/>
        </w:tc>
        <w:tc>
          <w:tcPr>
            <w:tcW w:w="4692" w:type="pct"/>
            <w:vAlign w:val="center"/>
          </w:tcPr>
          <w:p>
            <w:pPr>
              <w:adjustRightInd w:val="0"/>
              <w:snapToGrid w:val="0"/>
              <w:spacing w:line="360" w:lineRule="auto"/>
              <w:ind w:firstLine="480" w:firstLineChars="200"/>
              <w:rPr>
                <w:rFonts w:hint="eastAsia"/>
                <w:color w:val="000000"/>
                <w:sz w:val="24"/>
              </w:rPr>
            </w:pPr>
            <w:r>
              <w:rPr>
                <w:rFonts w:hint="eastAsia"/>
                <w:color w:val="000000"/>
                <w:sz w:val="24"/>
              </w:rPr>
              <w:t>半刚性上基层顶面必须喷洒透层油，统一规定为</w:t>
            </w:r>
            <w:r>
              <w:rPr>
                <w:rFonts w:hint="eastAsia"/>
                <w:color w:val="000000"/>
                <w:sz w:val="24"/>
              </w:rPr>
              <w:t>“</w:t>
            </w:r>
            <w:r>
              <w:rPr>
                <w:rFonts w:hint="eastAsia"/>
                <w:color w:val="000000"/>
                <w:sz w:val="24"/>
              </w:rPr>
              <w:t>透层油在基层施工结束后表面稍干后洒布</w:t>
            </w:r>
            <w:r>
              <w:rPr>
                <w:rFonts w:hint="eastAsia"/>
                <w:color w:val="000000"/>
                <w:sz w:val="24"/>
              </w:rPr>
              <w:t>”</w:t>
            </w:r>
            <w:r>
              <w:rPr>
                <w:rFonts w:hint="eastAsia"/>
                <w:color w:val="000000"/>
                <w:sz w:val="24"/>
              </w:rPr>
              <w:t>，透层油采用慢裂乳化沥青，乳化沥青中的残留物含量不得少于50%。洒布量控制在1.0-1.5L/m</w:t>
            </w:r>
            <w:r>
              <w:rPr>
                <w:rFonts w:hint="eastAsia"/>
                <w:color w:val="000000"/>
                <w:sz w:val="24"/>
                <w:vertAlign w:val="superscript"/>
              </w:rPr>
              <w:t>2</w:t>
            </w:r>
            <w:r>
              <w:rPr>
                <w:rFonts w:hint="eastAsia"/>
                <w:color w:val="000000"/>
                <w:sz w:val="24"/>
              </w:rPr>
              <w:t>（经过试洒后确定）。</w:t>
            </w:r>
          </w:p>
          <w:p>
            <w:pPr>
              <w:adjustRightInd w:val="0"/>
              <w:snapToGrid w:val="0"/>
              <w:spacing w:line="360" w:lineRule="auto"/>
              <w:ind w:firstLine="480" w:firstLineChars="200"/>
              <w:rPr>
                <w:rFonts w:hint="eastAsia"/>
                <w:color w:val="000000"/>
                <w:sz w:val="24"/>
              </w:rPr>
            </w:pPr>
            <w:r>
              <w:rPr>
                <w:rFonts w:hint="eastAsia"/>
                <w:color w:val="000000"/>
                <w:sz w:val="24"/>
              </w:rPr>
              <w:t>4）下封层</w:t>
            </w:r>
          </w:p>
          <w:p>
            <w:pPr>
              <w:adjustRightInd w:val="0"/>
              <w:snapToGrid w:val="0"/>
              <w:spacing w:line="360" w:lineRule="auto"/>
              <w:ind w:firstLine="480" w:firstLineChars="200"/>
              <w:rPr>
                <w:rFonts w:hint="eastAsia"/>
                <w:color w:val="000000"/>
                <w:sz w:val="24"/>
              </w:rPr>
            </w:pPr>
            <w:r>
              <w:rPr>
                <w:rFonts w:hint="eastAsia"/>
                <w:color w:val="000000"/>
                <w:sz w:val="24"/>
              </w:rPr>
              <w:t>考虑半刚性基层与面层的连接及半刚性基层顶面封水，要求沥青层及水泥混凝土面层与半刚性上基层之间设下封层，下封层应于透层油洒布3天后且在下面层铺筑前施工，施工前应对路面进行清扫，然后洒布热沥青，洒布量为1.2-1.4kg/m</w:t>
            </w:r>
            <w:r>
              <w:rPr>
                <w:rFonts w:hint="eastAsia"/>
                <w:color w:val="000000"/>
                <w:sz w:val="24"/>
                <w:vertAlign w:val="superscript"/>
              </w:rPr>
              <w:t>2</w:t>
            </w:r>
            <w:r>
              <w:rPr>
                <w:rFonts w:hint="eastAsia"/>
                <w:color w:val="000000"/>
                <w:sz w:val="24"/>
              </w:rPr>
              <w:t>（经过试洒后确定），再撒布10-13mm沥青用量为0.4%的预拌碎石（石灰岩），洒布量为6-8m3/1000m</w:t>
            </w:r>
            <w:r>
              <w:rPr>
                <w:rFonts w:hint="eastAsia"/>
                <w:color w:val="000000"/>
                <w:sz w:val="24"/>
                <w:vertAlign w:val="superscript"/>
              </w:rPr>
              <w:t>2</w:t>
            </w:r>
            <w:r>
              <w:rPr>
                <w:rFonts w:hint="eastAsia"/>
                <w:color w:val="000000"/>
                <w:sz w:val="24"/>
              </w:rPr>
              <w:t>（经试撒确定）。</w:t>
            </w:r>
          </w:p>
          <w:p>
            <w:pPr>
              <w:adjustRightInd w:val="0"/>
              <w:snapToGrid w:val="0"/>
              <w:spacing w:line="360" w:lineRule="auto"/>
              <w:ind w:firstLine="480" w:firstLineChars="200"/>
              <w:rPr>
                <w:rFonts w:hint="eastAsia"/>
                <w:color w:val="000000"/>
                <w:sz w:val="24"/>
              </w:rPr>
            </w:pPr>
            <w:r>
              <w:rPr>
                <w:rFonts w:hint="eastAsia"/>
                <w:color w:val="000000"/>
                <w:sz w:val="24"/>
              </w:rPr>
              <w:t>封层在铺筑封层前，必须将表面的泥沙及一切杂物清除干净，底层必须坚实、稳定、保持干燥后才可施工。下封层施工应采用沥青洒布车喷洒沥青，洒布时应保持稳定的速度和喷洒量。沥青洒布车在整个洒布宽度内必须喷洒均匀。</w:t>
            </w:r>
          </w:p>
          <w:p>
            <w:pPr>
              <w:adjustRightInd w:val="0"/>
              <w:snapToGrid w:val="0"/>
              <w:spacing w:line="360" w:lineRule="auto"/>
              <w:ind w:firstLine="480" w:firstLineChars="200"/>
              <w:rPr>
                <w:rFonts w:hint="eastAsia"/>
                <w:color w:val="000000"/>
                <w:sz w:val="24"/>
              </w:rPr>
            </w:pPr>
            <w:r>
              <w:rPr>
                <w:rFonts w:hint="eastAsia"/>
                <w:color w:val="000000"/>
                <w:sz w:val="24"/>
              </w:rPr>
              <w:t>5）半刚性基层、底基层</w:t>
            </w:r>
          </w:p>
          <w:p>
            <w:pPr>
              <w:adjustRightInd w:val="0"/>
              <w:snapToGrid w:val="0"/>
              <w:spacing w:line="360" w:lineRule="auto"/>
              <w:ind w:firstLine="480" w:firstLineChars="200"/>
              <w:rPr>
                <w:rFonts w:hint="eastAsia"/>
                <w:color w:val="000000"/>
                <w:sz w:val="24"/>
              </w:rPr>
            </w:pPr>
            <w:r>
              <w:rPr>
                <w:color w:val="000000"/>
                <w:sz w:val="24"/>
              </w:rPr>
              <w:fldChar w:fldCharType="begin"/>
            </w:r>
            <w:r>
              <w:rPr>
                <w:color w:val="000000"/>
                <w:sz w:val="24"/>
              </w:rPr>
              <w:instrText xml:space="preserve"> </w:instrText>
            </w:r>
            <w:r>
              <w:rPr>
                <w:rFonts w:hint="eastAsia"/>
                <w:color w:val="000000"/>
                <w:sz w:val="24"/>
              </w:rPr>
              <w:instrText>= 1 \* GB3</w:instrText>
            </w:r>
            <w:r>
              <w:rPr>
                <w:color w:val="000000"/>
                <w:sz w:val="24"/>
              </w:rPr>
              <w:instrText xml:space="preserve"> </w:instrText>
            </w:r>
            <w:r>
              <w:rPr>
                <w:color w:val="000000"/>
                <w:sz w:val="24"/>
              </w:rPr>
              <w:fldChar w:fldCharType="separate"/>
            </w:r>
            <w:r>
              <w:rPr>
                <w:rFonts w:hint="eastAsia"/>
                <w:color w:val="000000"/>
                <w:sz w:val="24"/>
              </w:rPr>
              <w:t>①</w:t>
            </w:r>
            <w:r>
              <w:rPr>
                <w:color w:val="000000"/>
                <w:sz w:val="24"/>
              </w:rPr>
              <w:fldChar w:fldCharType="end"/>
            </w:r>
            <w:r>
              <w:rPr>
                <w:rFonts w:hint="eastAsia"/>
                <w:color w:val="000000"/>
                <w:sz w:val="24"/>
              </w:rPr>
              <w:t>材料</w:t>
            </w:r>
          </w:p>
          <w:p>
            <w:pPr>
              <w:adjustRightInd w:val="0"/>
              <w:snapToGrid w:val="0"/>
              <w:spacing w:line="360" w:lineRule="auto"/>
              <w:ind w:firstLine="480" w:firstLineChars="200"/>
              <w:rPr>
                <w:rFonts w:hint="eastAsia"/>
                <w:color w:val="000000"/>
                <w:sz w:val="24"/>
              </w:rPr>
            </w:pPr>
            <w:r>
              <w:rPr>
                <w:rFonts w:hint="eastAsia"/>
                <w:color w:val="000000"/>
                <w:sz w:val="24"/>
              </w:rPr>
              <w:t>集料：水泥稳定碎石中的集料是经过人工轧制的各种尺寸的碎石，高等级公路水泥稳定碎石混合料应控制集料颗粒最大粒径不超过</w:t>
            </w:r>
            <w:r>
              <w:rPr>
                <w:color w:val="000000"/>
                <w:sz w:val="24"/>
              </w:rPr>
              <w:t>31.5mm</w:t>
            </w:r>
            <w:r>
              <w:rPr>
                <w:rFonts w:hint="eastAsia"/>
                <w:color w:val="000000"/>
                <w:sz w:val="24"/>
              </w:rPr>
              <w:t>。集料以</w:t>
            </w:r>
            <w:r>
              <w:rPr>
                <w:color w:val="000000"/>
                <w:sz w:val="24"/>
              </w:rPr>
              <w:t>4.75mm</w:t>
            </w:r>
            <w:r>
              <w:rPr>
                <w:rFonts w:hint="eastAsia"/>
                <w:color w:val="000000"/>
                <w:sz w:val="24"/>
              </w:rPr>
              <w:t>为分界点，大于</w:t>
            </w:r>
            <w:r>
              <w:rPr>
                <w:color w:val="000000"/>
                <w:sz w:val="24"/>
              </w:rPr>
              <w:t>4.75mm</w:t>
            </w:r>
            <w:r>
              <w:rPr>
                <w:rFonts w:hint="eastAsia"/>
                <w:color w:val="000000"/>
                <w:sz w:val="24"/>
              </w:rPr>
              <w:t>为粗集料，实践证明，粗集料颗粒含量对水泥稳定碎石混合料的收缩特性有较大影响，因此在混合料设计中应控制细集料含量。压碎值是衡量集料力学性质的指标，其大小直接影响到基层强度的大小。规范规定对高速公路和一级公路集料压碎值不大于</w:t>
            </w:r>
            <w:r>
              <w:rPr>
                <w:color w:val="000000"/>
                <w:sz w:val="24"/>
              </w:rPr>
              <w:t>30%</w:t>
            </w:r>
            <w:r>
              <w:rPr>
                <w:rFonts w:hint="eastAsia"/>
                <w:color w:val="000000"/>
                <w:sz w:val="24"/>
              </w:rPr>
              <w:t>。细集料包括机制砂、天然砂、石屑。</w:t>
            </w:r>
          </w:p>
          <w:p>
            <w:pPr>
              <w:adjustRightInd w:val="0"/>
              <w:snapToGrid w:val="0"/>
              <w:spacing w:line="360" w:lineRule="auto"/>
              <w:ind w:firstLine="480" w:firstLineChars="200"/>
              <w:rPr>
                <w:rFonts w:hint="eastAsia"/>
                <w:color w:val="000000"/>
                <w:sz w:val="24"/>
              </w:rPr>
            </w:pPr>
            <w:r>
              <w:rPr>
                <w:rFonts w:hint="eastAsia"/>
                <w:color w:val="000000"/>
                <w:sz w:val="24"/>
              </w:rPr>
              <w:t>结合料：在水泥稳定类材料中，水泥作为结合料其质量直接影响混合料路用性能。水泥在道路修筑中不仅可以作为路面面层结合料，也可以作为路面基层结合料，这就要求水泥混合料具有较高的强度及较好的水稳性。现行国家标准对水泥细度、净浆标准稠度、凝结时间、体积安定性和强度做出了相应规定。</w:t>
            </w:r>
          </w:p>
          <w:p>
            <w:pPr>
              <w:adjustRightInd w:val="0"/>
              <w:snapToGrid w:val="0"/>
              <w:spacing w:line="360" w:lineRule="auto"/>
              <w:ind w:firstLine="480" w:firstLineChars="200"/>
              <w:rPr>
                <w:color w:val="000000"/>
                <w:sz w:val="24"/>
              </w:rPr>
            </w:pPr>
            <w:r>
              <w:rPr>
                <w:rFonts w:hint="eastAsia"/>
                <w:color w:val="000000"/>
                <w:sz w:val="24"/>
              </w:rPr>
              <w:t>水：路面基层用拌和、养护用水，一般应采用人畜能饮用的水，如非要采用其它用水时，必须符合下列要求：</w:t>
            </w:r>
          </w:p>
        </w:tc>
      </w:tr>
    </w:tbl>
    <w:p>
      <w:pPr>
        <w:sectPr>
          <w:footerReference w:type="even" r:id="rId57"/>
          <w:footerReference w:type="default" r:id="rId58"/>
          <w:type w:val="nextPage"/>
          <w:pgSz w:w="11906" w:h="16838"/>
          <w:pgMar w:top="1440" w:right="1797" w:bottom="1440" w:left="1797" w:header="851" w:footer="1077" w:gutter="0"/>
          <w:pgNumType w:start="24"/>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2"/>
        <w:gridCol w:w="8076"/>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2542"/>
          <w:jc w:val="center"/>
        </w:trPr>
        <w:tc>
          <w:tcPr>
            <w:tcW w:w="308" w:type="pct"/>
            <w:vAlign w:val="center"/>
          </w:tcPr>
          <w:p/>
        </w:tc>
        <w:tc>
          <w:tcPr>
            <w:tcW w:w="4692" w:type="pct"/>
            <w:vAlign w:val="center"/>
          </w:tcPr>
          <w:p>
            <w:pPr>
              <w:adjustRightInd w:val="0"/>
              <w:snapToGrid w:val="0"/>
              <w:spacing w:line="360" w:lineRule="auto"/>
              <w:ind w:firstLine="480" w:firstLineChars="200"/>
              <w:rPr>
                <w:color w:val="000000"/>
                <w:sz w:val="24"/>
              </w:rPr>
            </w:pPr>
            <w:r>
              <w:rPr>
                <w:rFonts w:hint="eastAsia"/>
                <w:color w:val="000000"/>
                <w:sz w:val="24"/>
              </w:rPr>
              <w:t>硫酸盐含量小于</w:t>
            </w:r>
            <w:r>
              <w:rPr>
                <w:color w:val="000000"/>
                <w:sz w:val="24"/>
              </w:rPr>
              <w:t>2.7mg/cm</w:t>
            </w:r>
            <w:r>
              <w:rPr>
                <w:color w:val="000000"/>
                <w:sz w:val="24"/>
                <w:vertAlign w:val="superscript"/>
              </w:rPr>
              <w:t>3</w:t>
            </w:r>
            <w:r>
              <w:rPr>
                <w:rFonts w:hint="eastAsia"/>
                <w:color w:val="000000"/>
                <w:sz w:val="24"/>
              </w:rPr>
              <w:t>。</w:t>
            </w:r>
          </w:p>
          <w:p>
            <w:pPr>
              <w:adjustRightInd w:val="0"/>
              <w:snapToGrid w:val="0"/>
              <w:spacing w:line="360" w:lineRule="auto"/>
              <w:ind w:firstLine="480" w:firstLineChars="200"/>
              <w:rPr>
                <w:color w:val="000000"/>
                <w:sz w:val="24"/>
              </w:rPr>
            </w:pPr>
            <w:r>
              <w:rPr>
                <w:rFonts w:hint="eastAsia"/>
                <w:color w:val="000000"/>
                <w:sz w:val="24"/>
              </w:rPr>
              <w:t>含盐量不得超过</w:t>
            </w:r>
            <w:r>
              <w:rPr>
                <w:color w:val="000000"/>
                <w:sz w:val="24"/>
              </w:rPr>
              <w:t>3.5mg/cm</w:t>
            </w:r>
            <w:r>
              <w:rPr>
                <w:color w:val="000000"/>
                <w:sz w:val="24"/>
                <w:vertAlign w:val="superscript"/>
              </w:rPr>
              <w:t>3</w:t>
            </w:r>
            <w:r>
              <w:rPr>
                <w:rFonts w:hint="eastAsia"/>
                <w:color w:val="000000"/>
                <w:sz w:val="24"/>
              </w:rPr>
              <w:t>。</w:t>
            </w:r>
          </w:p>
          <w:p>
            <w:pPr>
              <w:adjustRightInd w:val="0"/>
              <w:snapToGrid w:val="0"/>
              <w:spacing w:line="360" w:lineRule="auto"/>
              <w:ind w:firstLine="480" w:firstLineChars="200"/>
              <w:rPr>
                <w:color w:val="000000"/>
                <w:sz w:val="24"/>
              </w:rPr>
            </w:pPr>
            <w:r>
              <w:rPr>
                <w:rFonts w:hint="eastAsia"/>
                <w:color w:val="000000"/>
                <w:sz w:val="24"/>
              </w:rPr>
              <w:t>p</w:t>
            </w:r>
            <w:r>
              <w:rPr>
                <w:color w:val="000000"/>
                <w:sz w:val="24"/>
              </w:rPr>
              <w:t xml:space="preserve">H </w:t>
            </w:r>
            <w:r>
              <w:rPr>
                <w:rFonts w:hint="eastAsia"/>
                <w:color w:val="000000"/>
                <w:sz w:val="24"/>
              </w:rPr>
              <w:t>值不得小于</w:t>
            </w:r>
            <w:r>
              <w:rPr>
                <w:color w:val="000000"/>
                <w:sz w:val="24"/>
              </w:rPr>
              <w:t>4.5</w:t>
            </w:r>
            <w:r>
              <w:rPr>
                <w:rFonts w:hint="eastAsia"/>
                <w:color w:val="000000"/>
                <w:sz w:val="24"/>
              </w:rPr>
              <w:t>。</w:t>
            </w:r>
          </w:p>
          <w:p>
            <w:pPr>
              <w:adjustRightInd w:val="0"/>
              <w:snapToGrid w:val="0"/>
              <w:spacing w:line="360" w:lineRule="auto"/>
              <w:ind w:firstLine="480" w:firstLineChars="200"/>
              <w:rPr>
                <w:rFonts w:hint="eastAsia"/>
                <w:color w:val="000000"/>
                <w:sz w:val="24"/>
              </w:rPr>
            </w:pPr>
            <w:r>
              <w:rPr>
                <w:rFonts w:hint="eastAsia"/>
                <w:color w:val="000000"/>
                <w:sz w:val="24"/>
              </w:rPr>
              <w:t>未经处理的工业废水、污水、沼泽水、酸性水不得使用。</w:t>
            </w:r>
          </w:p>
          <w:p>
            <w:pPr>
              <w:adjustRightInd w:val="0"/>
              <w:snapToGrid w:val="0"/>
              <w:spacing w:line="360" w:lineRule="auto"/>
              <w:ind w:firstLine="480" w:firstLineChars="200"/>
              <w:rPr>
                <w:rFonts w:hint="eastAsia"/>
                <w:color w:val="000000"/>
                <w:sz w:val="24"/>
              </w:rPr>
            </w:pPr>
            <w:r>
              <w:rPr>
                <w:rFonts w:hint="eastAsia"/>
                <w:color w:val="000000"/>
                <w:sz w:val="24"/>
              </w:rPr>
              <w:t>混合料级配</w:t>
            </w:r>
          </w:p>
          <w:p>
            <w:pPr>
              <w:adjustRightInd w:val="0"/>
              <w:snapToGrid w:val="0"/>
              <w:spacing w:line="360" w:lineRule="auto"/>
              <w:ind w:firstLine="480" w:firstLineChars="200"/>
              <w:rPr>
                <w:rFonts w:hint="eastAsia"/>
                <w:color w:val="000000"/>
                <w:sz w:val="24"/>
              </w:rPr>
            </w:pPr>
            <w:r>
              <w:rPr>
                <w:color w:val="000000"/>
                <w:sz w:val="24"/>
              </w:rPr>
              <w:fldChar w:fldCharType="begin"/>
            </w:r>
            <w:r>
              <w:rPr>
                <w:color w:val="000000"/>
                <w:sz w:val="24"/>
              </w:rPr>
              <w:instrText xml:space="preserve"> </w:instrText>
            </w:r>
            <w:r>
              <w:rPr>
                <w:rFonts w:hint="eastAsia"/>
                <w:color w:val="000000"/>
                <w:sz w:val="24"/>
              </w:rPr>
              <w:instrText>= 2 \* GB3</w:instrText>
            </w:r>
            <w:r>
              <w:rPr>
                <w:color w:val="000000"/>
                <w:sz w:val="24"/>
              </w:rPr>
              <w:instrText xml:space="preserve"> </w:instrText>
            </w:r>
            <w:r>
              <w:rPr>
                <w:color w:val="000000"/>
                <w:sz w:val="24"/>
              </w:rPr>
              <w:fldChar w:fldCharType="separate"/>
            </w:r>
            <w:r>
              <w:rPr>
                <w:rFonts w:hint="eastAsia"/>
                <w:color w:val="000000"/>
                <w:sz w:val="24"/>
              </w:rPr>
              <w:t>②</w:t>
            </w:r>
            <w:r>
              <w:rPr>
                <w:color w:val="000000"/>
                <w:sz w:val="24"/>
              </w:rPr>
              <w:fldChar w:fldCharType="end"/>
            </w:r>
            <w:r>
              <w:rPr>
                <w:rFonts w:hint="eastAsia"/>
                <w:color w:val="000000"/>
                <w:sz w:val="24"/>
              </w:rPr>
              <w:t>路面基层水泥稳定碎石材料：</w:t>
            </w:r>
          </w:p>
          <w:p>
            <w:pPr>
              <w:adjustRightInd w:val="0"/>
              <w:snapToGrid w:val="0"/>
              <w:spacing w:line="360" w:lineRule="auto"/>
              <w:ind w:firstLine="480" w:firstLineChars="200"/>
              <w:rPr>
                <w:rFonts w:hint="eastAsia"/>
                <w:color w:val="000000"/>
                <w:sz w:val="24"/>
              </w:rPr>
            </w:pPr>
            <w:r>
              <w:rPr>
                <w:rFonts w:hint="eastAsia"/>
                <w:color w:val="000000"/>
                <w:sz w:val="24"/>
              </w:rPr>
              <w:t>水泥稳定碎石混合料作为基层首先应保证强度满足要求。国内外许多研究资料已经表明，提高稳定碎石混合料强度手段有多种，如适当增加</w:t>
            </w:r>
            <w:r>
              <w:rPr>
                <w:color w:val="000000"/>
                <w:sz w:val="24"/>
              </w:rPr>
              <w:t>0.075mm</w:t>
            </w:r>
            <w:r>
              <w:rPr>
                <w:rFonts w:hint="eastAsia"/>
                <w:color w:val="000000"/>
                <w:sz w:val="24"/>
              </w:rPr>
              <w:t>通过率、增加结合料用量及调整级配等。许多工程实践也已经证明，用同一剂量的结合料，稳定性能良好的集料级配，其强度和耐久性比稳定性能不好的级配要高得多。因此在工程中要综合考虑添加的结合料剂量和改善集料级配两方面因素，而改善集料级配以减少结合料用量是减少稳定碎石基层裂缝的主要措施之一。依据强度满足要求，抗裂能力最佳的原则，尽量减少</w:t>
            </w:r>
            <w:r>
              <w:rPr>
                <w:color w:val="000000"/>
                <w:sz w:val="24"/>
              </w:rPr>
              <w:t>0.075mm</w:t>
            </w:r>
            <w:r>
              <w:rPr>
                <w:rFonts w:hint="eastAsia"/>
                <w:color w:val="000000"/>
                <w:sz w:val="24"/>
              </w:rPr>
              <w:t>通过率，综合考虑抗裂特性及强度要求，具体级配范围（骨架密实结构）见下表：</w:t>
            </w:r>
          </w:p>
          <w:p>
            <w:pPr>
              <w:adjustRightInd w:val="0"/>
              <w:snapToGrid w:val="0"/>
              <w:jc w:val="center"/>
              <w:rPr>
                <w:rFonts w:hint="eastAsia"/>
                <w:b/>
                <w:color w:val="000000"/>
                <w:sz w:val="24"/>
              </w:rPr>
            </w:pPr>
            <w:r>
              <w:rPr>
                <w:rFonts w:hint="eastAsia"/>
                <w:b/>
                <w:color w:val="000000"/>
                <w:sz w:val="24"/>
              </w:rPr>
              <w:t>水泥稳定碎石集料级配表</w:t>
            </w:r>
          </w:p>
          <w:p>
            <w:pPr>
              <w:adjustRightInd w:val="0"/>
              <w:snapToGrid w:val="0"/>
              <w:spacing w:line="360" w:lineRule="auto"/>
              <w:ind w:left="1" w:hanging="22" w:leftChars="-10"/>
              <w:jc w:val="center"/>
              <w:rPr>
                <w:rFonts w:hint="eastAsia"/>
                <w:color w:val="000000"/>
                <w:sz w:val="24"/>
              </w:rPr>
            </w:pPr>
            <w:r>
              <w:rPr>
                <w:rFonts w:hint="eastAsia"/>
                <w:color w:val="000000"/>
                <w:sz w:val="24"/>
              </w:rPr>
              <w:pict>
                <v:shape id="图片 6" o:spid="_x0000_i1030" type="#_x0000_t75" style="width:400.63pt;height:63.02pt;mso-position-horizontal-relative:page;mso-position-vertical-relative:page;mso-wrap-style:square" filled="f" stroked="f">
                  <v:stroke linestyle="single"/>
                  <v:imagedata r:id="rId59" o:title="微信截图_20220512155605"/>
                  <v:path o:extrusionok="f"/>
                  <o:lock v:ext="edit" aspectratio="t"/>
                </v:shape>
              </w:pict>
            </w:r>
          </w:p>
          <w:p>
            <w:pPr>
              <w:adjustRightInd w:val="0"/>
              <w:snapToGrid w:val="0"/>
              <w:spacing w:line="360" w:lineRule="auto"/>
              <w:ind w:firstLine="420" w:firstLineChars="200"/>
              <w:rPr>
                <w:color w:val="000000"/>
                <w:szCs w:val="21"/>
              </w:rPr>
            </w:pPr>
            <w:r>
              <w:rPr>
                <w:rFonts w:hint="eastAsia"/>
                <w:color w:val="000000"/>
                <w:szCs w:val="21"/>
              </w:rPr>
              <w:t>注：</w:t>
            </w:r>
            <w:r>
              <w:rPr>
                <w:rFonts w:hint="eastAsia"/>
                <w:color w:val="000000"/>
                <w:szCs w:val="21"/>
              </w:rPr>
              <w:t>①</w:t>
            </w:r>
            <w:r>
              <w:rPr>
                <w:rFonts w:hint="eastAsia"/>
                <w:color w:val="000000"/>
                <w:szCs w:val="21"/>
              </w:rPr>
              <w:t>级配范围仅作为选择级配曲线的依据，不作为评定施工级配是否合格的依据，级配的选择根据原材料的相关性质确定。</w:t>
            </w:r>
          </w:p>
          <w:p>
            <w:pPr>
              <w:adjustRightInd w:val="0"/>
              <w:snapToGrid w:val="0"/>
              <w:spacing w:line="360" w:lineRule="auto"/>
              <w:ind w:firstLine="420" w:firstLineChars="200"/>
              <w:rPr>
                <w:color w:val="000000"/>
                <w:szCs w:val="21"/>
              </w:rPr>
            </w:pPr>
            <w:r>
              <w:rPr>
                <w:rFonts w:hint="eastAsia"/>
                <w:color w:val="000000"/>
                <w:szCs w:val="21"/>
              </w:rPr>
              <w:t>②</w:t>
            </w:r>
            <w:r>
              <w:rPr>
                <w:rFonts w:hint="eastAsia"/>
                <w:color w:val="000000"/>
                <w:szCs w:val="21"/>
              </w:rPr>
              <w:t>级配范围根据工程实际所采用的矿料可能进行进一步的调整。</w:t>
            </w:r>
          </w:p>
          <w:p>
            <w:pPr>
              <w:adjustRightInd w:val="0"/>
              <w:snapToGrid w:val="0"/>
              <w:spacing w:line="360" w:lineRule="auto"/>
              <w:ind w:firstLine="420" w:firstLineChars="200"/>
              <w:rPr>
                <w:color w:val="000000"/>
                <w:szCs w:val="21"/>
              </w:rPr>
            </w:pPr>
            <w:r>
              <w:rPr>
                <w:rFonts w:hint="eastAsia"/>
                <w:color w:val="000000"/>
                <w:szCs w:val="21"/>
              </w:rPr>
              <w:t>③</w:t>
            </w:r>
            <w:r>
              <w:rPr>
                <w:rFonts w:hint="eastAsia"/>
                <w:color w:val="000000"/>
                <w:szCs w:val="21"/>
              </w:rPr>
              <w:t>基层施工采用分层摊铺、碾压方案，两层水稳间铺洒水泥净浆，以增加层间粘结力。</w:t>
            </w:r>
          </w:p>
          <w:p>
            <w:pPr>
              <w:adjustRightInd w:val="0"/>
              <w:snapToGrid w:val="0"/>
              <w:spacing w:line="360" w:lineRule="auto"/>
              <w:ind w:firstLine="480" w:firstLineChars="200"/>
              <w:rPr>
                <w:rFonts w:hint="eastAsia"/>
                <w:color w:val="000000"/>
                <w:sz w:val="24"/>
              </w:rPr>
            </w:pPr>
            <w:r>
              <w:rPr>
                <w:rFonts w:hint="eastAsia"/>
                <w:color w:val="000000"/>
                <w:sz w:val="24"/>
              </w:rPr>
              <w:t>水泥稳定碎石</w:t>
            </w:r>
            <w:r>
              <w:rPr>
                <w:color w:val="000000"/>
                <w:sz w:val="24"/>
              </w:rPr>
              <w:t xml:space="preserve">7 </w:t>
            </w:r>
            <w:r>
              <w:rPr>
                <w:rFonts w:hint="eastAsia"/>
                <w:color w:val="000000"/>
                <w:sz w:val="24"/>
              </w:rPr>
              <w:t>天无侧限抗压强度不小于</w:t>
            </w:r>
            <w:r>
              <w:rPr>
                <w:color w:val="000000"/>
                <w:sz w:val="24"/>
              </w:rPr>
              <w:t>4.0MPa</w:t>
            </w:r>
            <w:r>
              <w:rPr>
                <w:rFonts w:hint="eastAsia"/>
                <w:color w:val="000000"/>
                <w:sz w:val="24"/>
              </w:rPr>
              <w:t>，的水泥剂量参考值为</w:t>
            </w:r>
            <w:r>
              <w:rPr>
                <w:color w:val="000000"/>
                <w:sz w:val="24"/>
              </w:rPr>
              <w:t>4.5%</w:t>
            </w:r>
            <w:r>
              <w:rPr>
                <w:rFonts w:hint="eastAsia"/>
                <w:color w:val="000000"/>
                <w:sz w:val="24"/>
              </w:rPr>
              <w:t>～</w:t>
            </w:r>
            <w:r>
              <w:rPr>
                <w:color w:val="000000"/>
                <w:sz w:val="24"/>
              </w:rPr>
              <w:t>5.5%</w:t>
            </w:r>
            <w:r>
              <w:rPr>
                <w:rFonts w:hint="eastAsia"/>
                <w:color w:val="000000"/>
                <w:sz w:val="24"/>
              </w:rPr>
              <w:t>，当达不到强度要求时应调整级配，水泥的最大剂量不得超过</w:t>
            </w:r>
            <w:r>
              <w:rPr>
                <w:color w:val="000000"/>
                <w:sz w:val="24"/>
              </w:rPr>
              <w:t>6%</w:t>
            </w:r>
            <w:r>
              <w:rPr>
                <w:rFonts w:hint="eastAsia"/>
                <w:color w:val="000000"/>
                <w:sz w:val="24"/>
              </w:rPr>
              <w:t>。</w:t>
            </w:r>
          </w:p>
          <w:p>
            <w:pPr>
              <w:adjustRightInd w:val="0"/>
              <w:snapToGrid w:val="0"/>
              <w:spacing w:line="360" w:lineRule="auto"/>
              <w:ind w:firstLine="480" w:firstLineChars="200"/>
              <w:rPr>
                <w:rFonts w:hint="eastAsia"/>
                <w:color w:val="000000"/>
                <w:sz w:val="24"/>
              </w:rPr>
            </w:pPr>
            <w:r>
              <w:rPr>
                <w:rFonts w:hint="eastAsia"/>
                <w:color w:val="000000"/>
                <w:sz w:val="24"/>
              </w:rPr>
              <w:t>3、交叉工程</w:t>
            </w:r>
          </w:p>
          <w:p>
            <w:pPr>
              <w:adjustRightInd w:val="0"/>
              <w:snapToGrid w:val="0"/>
              <w:spacing w:line="360" w:lineRule="auto"/>
              <w:ind w:firstLine="480" w:firstLineChars="200"/>
              <w:rPr>
                <w:rFonts w:ascii="宋体" w:hAnsi="宋体" w:cs="宋体" w:hint="eastAsia"/>
                <w:color w:val="000000"/>
                <w:spacing w:val="9"/>
                <w:kern w:val="0"/>
                <w:sz w:val="24"/>
              </w:rPr>
            </w:pPr>
            <w:r>
              <w:rPr>
                <w:color w:val="000000"/>
                <w:spacing w:val="9"/>
                <w:kern w:val="0"/>
                <w:sz w:val="24"/>
              </w:rPr>
              <w:t>平面交叉</w:t>
            </w:r>
            <w:r>
              <w:rPr>
                <w:rFonts w:hint="eastAsia"/>
                <w:color w:val="000000"/>
                <w:spacing w:val="9"/>
                <w:kern w:val="0"/>
                <w:sz w:val="24"/>
              </w:rPr>
              <w:t>4</w:t>
            </w:r>
            <w:r>
              <w:rPr>
                <w:color w:val="000000"/>
                <w:spacing w:val="9"/>
                <w:kern w:val="0"/>
                <w:sz w:val="24"/>
              </w:rPr>
              <w:t>处，右进右出接入口</w:t>
            </w:r>
            <w:r>
              <w:rPr>
                <w:rFonts w:hint="eastAsia"/>
                <w:color w:val="000000"/>
                <w:spacing w:val="9"/>
                <w:kern w:val="0"/>
                <w:sz w:val="24"/>
              </w:rPr>
              <w:t>16</w:t>
            </w:r>
            <w:r>
              <w:rPr>
                <w:color w:val="000000"/>
                <w:spacing w:val="9"/>
                <w:kern w:val="0"/>
                <w:sz w:val="24"/>
              </w:rPr>
              <w:t>处</w:t>
            </w:r>
            <w:r>
              <w:rPr>
                <w:rFonts w:ascii="宋体" w:hAnsi="宋体" w:cs="宋体" w:hint="eastAsia"/>
                <w:color w:val="000000"/>
                <w:spacing w:val="9"/>
                <w:kern w:val="0"/>
                <w:sz w:val="24"/>
              </w:rPr>
              <w:t>。</w:t>
            </w:r>
          </w:p>
          <w:p>
            <w:pPr>
              <w:adjustRightInd w:val="0"/>
              <w:snapToGrid w:val="0"/>
              <w:spacing w:line="360" w:lineRule="auto"/>
              <w:ind w:firstLine="480" w:firstLineChars="200"/>
              <w:rPr>
                <w:rFonts w:hint="eastAsia"/>
                <w:color w:val="000000"/>
                <w:sz w:val="24"/>
              </w:rPr>
            </w:pPr>
            <w:r>
              <w:rPr>
                <w:rFonts w:hint="eastAsia"/>
                <w:color w:val="000000"/>
                <w:sz w:val="24"/>
              </w:rPr>
              <w:t>4、排水工程</w:t>
            </w:r>
          </w:p>
        </w:tc>
      </w:tr>
    </w:tbl>
    <w:p>
      <w:pPr>
        <w:sectPr>
          <w:footerReference w:type="even" r:id="rId60"/>
          <w:footerReference w:type="default" r:id="rId61"/>
          <w:type w:val="nextPage"/>
          <w:pgSz w:w="11906" w:h="16838"/>
          <w:pgMar w:top="1440" w:right="1797" w:bottom="1440" w:left="1797" w:header="851" w:footer="1077" w:gutter="0"/>
          <w:pgNumType w:start="25"/>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2"/>
        <w:gridCol w:w="8076"/>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2542"/>
          <w:jc w:val="center"/>
        </w:trPr>
        <w:tc>
          <w:tcPr>
            <w:tcW w:w="308" w:type="pct"/>
            <w:vAlign w:val="center"/>
          </w:tcPr>
          <w:p/>
        </w:tc>
        <w:tc>
          <w:tcPr>
            <w:tcW w:w="4692" w:type="pct"/>
            <w:vAlign w:val="center"/>
          </w:tcPr>
          <w:p>
            <w:pPr>
              <w:spacing w:line="360" w:lineRule="auto"/>
              <w:ind w:firstLine="480" w:firstLineChars="200"/>
              <w:rPr>
                <w:rFonts w:hint="eastAsia"/>
                <w:color w:val="000000"/>
                <w:spacing w:val="9"/>
                <w:kern w:val="0"/>
                <w:sz w:val="24"/>
              </w:rPr>
            </w:pPr>
            <w:r>
              <w:rPr>
                <w:rFonts w:hint="eastAsia"/>
                <w:color w:val="000000"/>
                <w:spacing w:val="9"/>
                <w:kern w:val="0"/>
                <w:sz w:val="24"/>
              </w:rPr>
              <w:t>加宽段（</w:t>
            </w:r>
            <w:r>
              <w:rPr>
                <w:color w:val="000000"/>
                <w:spacing w:val="9"/>
                <w:kern w:val="0"/>
                <w:sz w:val="24"/>
              </w:rPr>
              <w:t>K4+234</w:t>
            </w:r>
            <w:r>
              <w:rPr>
                <w:rFonts w:hint="eastAsia"/>
                <w:color w:val="000000"/>
                <w:spacing w:val="9"/>
                <w:kern w:val="0"/>
                <w:sz w:val="24"/>
              </w:rPr>
              <w:t>～</w:t>
            </w:r>
            <w:r>
              <w:rPr>
                <w:color w:val="000000"/>
                <w:spacing w:val="9"/>
                <w:kern w:val="0"/>
                <w:sz w:val="24"/>
              </w:rPr>
              <w:t>K9+020</w:t>
            </w:r>
            <w:r>
              <w:rPr>
                <w:rFonts w:hint="eastAsia"/>
                <w:color w:val="000000"/>
                <w:spacing w:val="9"/>
                <w:kern w:val="0"/>
                <w:sz w:val="24"/>
              </w:rPr>
              <w:t>）路段全线设置地下排水管道，地下排水按照城市道路排水要求进行排水设计，采用集中排水方式。</w:t>
            </w:r>
            <w:r>
              <w:rPr>
                <w:color w:val="000000"/>
                <w:spacing w:val="9"/>
                <w:kern w:val="0"/>
                <w:sz w:val="24"/>
              </w:rPr>
              <w:t xml:space="preserve">K9+020-K9+140 </w:t>
            </w:r>
            <w:r>
              <w:rPr>
                <w:rFonts w:hint="eastAsia"/>
                <w:color w:val="000000"/>
                <w:spacing w:val="9"/>
                <w:kern w:val="0"/>
                <w:sz w:val="24"/>
              </w:rPr>
              <w:t>渐变段左侧设置盖板沟，右侧设置预制混凝土截水沟。</w:t>
            </w:r>
          </w:p>
          <w:p>
            <w:pPr>
              <w:spacing w:line="360" w:lineRule="auto"/>
              <w:ind w:firstLine="480" w:firstLineChars="200"/>
              <w:rPr>
                <w:color w:val="000000"/>
                <w:spacing w:val="9"/>
                <w:kern w:val="0"/>
                <w:sz w:val="24"/>
              </w:rPr>
            </w:pPr>
            <w:r>
              <w:rPr>
                <w:color w:val="000000"/>
                <w:spacing w:val="9"/>
                <w:kern w:val="0"/>
                <w:sz w:val="24"/>
              </w:rPr>
              <w:t>雨水排水：</w:t>
            </w:r>
          </w:p>
          <w:p>
            <w:pPr>
              <w:spacing w:line="360" w:lineRule="auto"/>
              <w:ind w:firstLine="480" w:firstLineChars="200"/>
              <w:rPr>
                <w:color w:val="000000"/>
                <w:spacing w:val="9"/>
                <w:kern w:val="0"/>
                <w:sz w:val="24"/>
              </w:rPr>
            </w:pPr>
            <w:r>
              <w:rPr>
                <w:color w:val="000000"/>
                <w:spacing w:val="9"/>
                <w:kern w:val="0"/>
                <w:sz w:val="24"/>
              </w:rPr>
              <w:t>道路东侧新建一道DN1000雨水主管道，管道位置位于绿化带内距路面边缘2.5m处；管道最终接入原有雨水排水管道或河沟之中，其中K4+234 (三岭</w:t>
            </w:r>
            <w:r>
              <w:rPr>
                <w:rFonts w:hint="eastAsia"/>
                <w:color w:val="000000"/>
                <w:spacing w:val="9"/>
                <w:kern w:val="0"/>
                <w:sz w:val="24"/>
              </w:rPr>
              <w:t>大街</w:t>
            </w:r>
            <w:r>
              <w:rPr>
                <w:color w:val="000000"/>
                <w:spacing w:val="9"/>
                <w:kern w:val="0"/>
                <w:sz w:val="24"/>
              </w:rPr>
              <w:t>)～K6+570 (惠宁大街)段自中间分别向北向南汇入三岭路及惠宁大街已建雨水管道中。K6+570 (惠宁大街)～K8+700段自中间分别向北向南汇入惠宁大街已建雨水管道及附近沟渠中。K8+700～K9+020段自南向北汇入附近沟渠中；每隔约50m设置一座雨水检查井，于行车道边缘设置偏沟式双箅雨水口，通过DN300支管汇入检查井内；路西侧同样设置雨水口，通过过路横管排入东侧雨水管道中。</w:t>
            </w:r>
          </w:p>
          <w:p>
            <w:pPr>
              <w:spacing w:line="360" w:lineRule="auto"/>
              <w:ind w:firstLine="480" w:firstLineChars="200"/>
              <w:rPr>
                <w:color w:val="000000"/>
                <w:spacing w:val="9"/>
                <w:kern w:val="0"/>
                <w:sz w:val="24"/>
              </w:rPr>
            </w:pPr>
            <w:r>
              <w:rPr>
                <w:color w:val="000000"/>
                <w:spacing w:val="9"/>
                <w:kern w:val="0"/>
                <w:sz w:val="24"/>
              </w:rPr>
              <w:t>污水</w:t>
            </w:r>
            <w:r>
              <w:rPr>
                <w:rFonts w:hint="eastAsia"/>
                <w:color w:val="000000"/>
                <w:spacing w:val="9"/>
                <w:kern w:val="0"/>
                <w:sz w:val="24"/>
              </w:rPr>
              <w:t>排水：</w:t>
            </w:r>
          </w:p>
          <w:p>
            <w:pPr>
              <w:adjustRightInd w:val="0"/>
              <w:snapToGrid w:val="0"/>
              <w:spacing w:line="360" w:lineRule="auto"/>
              <w:ind w:firstLine="480" w:firstLineChars="200"/>
              <w:rPr>
                <w:rFonts w:hint="eastAsia"/>
                <w:color w:val="000000"/>
                <w:sz w:val="24"/>
              </w:rPr>
            </w:pPr>
            <w:r>
              <w:rPr>
                <w:rFonts w:hint="eastAsia"/>
                <w:color w:val="000000"/>
                <w:spacing w:val="9"/>
                <w:kern w:val="0"/>
                <w:sz w:val="24"/>
              </w:rPr>
              <w:t>道路东侧（</w:t>
            </w:r>
            <w:r>
              <w:rPr>
                <w:color w:val="000000"/>
                <w:spacing w:val="9"/>
                <w:kern w:val="0"/>
                <w:sz w:val="24"/>
              </w:rPr>
              <w:t>K</w:t>
            </w:r>
            <w:r>
              <w:rPr>
                <w:rFonts w:hint="eastAsia"/>
                <w:color w:val="000000"/>
                <w:spacing w:val="9"/>
                <w:kern w:val="0"/>
                <w:sz w:val="24"/>
              </w:rPr>
              <w:t>6</w:t>
            </w:r>
            <w:r>
              <w:rPr>
                <w:color w:val="000000"/>
                <w:spacing w:val="9"/>
                <w:kern w:val="0"/>
                <w:sz w:val="24"/>
              </w:rPr>
              <w:t>+</w:t>
            </w:r>
            <w:r>
              <w:rPr>
                <w:rFonts w:hint="eastAsia"/>
                <w:color w:val="000000"/>
                <w:spacing w:val="9"/>
                <w:kern w:val="0"/>
                <w:sz w:val="24"/>
              </w:rPr>
              <w:t>600～</w:t>
            </w:r>
            <w:r>
              <w:rPr>
                <w:color w:val="000000"/>
                <w:spacing w:val="9"/>
                <w:kern w:val="0"/>
                <w:sz w:val="24"/>
              </w:rPr>
              <w:t>K</w:t>
            </w:r>
            <w:r>
              <w:rPr>
                <w:rFonts w:hint="eastAsia"/>
                <w:color w:val="000000"/>
                <w:spacing w:val="9"/>
                <w:kern w:val="0"/>
                <w:sz w:val="24"/>
              </w:rPr>
              <w:t>7+790）路段新建一道DN600污水主管道，管道位置位于绿化带内距路面边缘4.5m处；每隔约50m设置一座污水检查井，自南向北汇入惠宁大街污水管道中</w:t>
            </w:r>
            <w:r>
              <w:rPr>
                <w:color w:val="000000"/>
                <w:spacing w:val="9"/>
                <w:kern w:val="0"/>
                <w:sz w:val="24"/>
              </w:rPr>
              <w:t>。</w:t>
            </w:r>
          </w:p>
          <w:p>
            <w:pPr>
              <w:adjustRightInd w:val="0"/>
              <w:snapToGrid w:val="0"/>
              <w:spacing w:line="360" w:lineRule="auto"/>
              <w:ind w:firstLine="480" w:firstLineChars="200"/>
              <w:rPr>
                <w:rFonts w:hint="eastAsia"/>
                <w:color w:val="000000"/>
                <w:sz w:val="24"/>
              </w:rPr>
            </w:pPr>
            <w:r>
              <w:rPr>
                <w:rFonts w:hint="eastAsia"/>
                <w:color w:val="000000"/>
                <w:sz w:val="24"/>
              </w:rPr>
              <w:t>5、照明工程</w:t>
            </w:r>
          </w:p>
          <w:p>
            <w:pPr>
              <w:spacing w:line="360" w:lineRule="auto"/>
              <w:ind w:firstLine="480" w:firstLineChars="200"/>
              <w:rPr>
                <w:rFonts w:hint="eastAsia"/>
                <w:color w:val="000000"/>
                <w:spacing w:val="9"/>
                <w:kern w:val="0"/>
                <w:sz w:val="24"/>
              </w:rPr>
            </w:pPr>
            <w:r>
              <w:rPr>
                <w:rFonts w:hint="eastAsia"/>
                <w:color w:val="000000"/>
                <w:spacing w:val="9"/>
                <w:kern w:val="0"/>
                <w:sz w:val="24"/>
              </w:rPr>
              <w:t>城区部分标准段路灯采用双臂路灯，距离机动车道边缘80cm，两侧对称布置。灯具高度 12米，灯臂长度2.5米。路口范围内采用加强照明设计，交叉路口采用投光灯，灯杆高16m。路灯布置标准间距采用35m，局部路段根据实际情况进行适当调整。路灯设计考虑智慧照明需求，设置了智能控制器。</w:t>
            </w:r>
          </w:p>
          <w:p>
            <w:pPr>
              <w:spacing w:line="360" w:lineRule="auto"/>
              <w:ind w:firstLine="480" w:firstLineChars="200"/>
              <w:rPr>
                <w:rFonts w:hint="eastAsia"/>
                <w:color w:val="000000"/>
                <w:sz w:val="24"/>
              </w:rPr>
            </w:pPr>
            <w:r>
              <w:rPr>
                <w:rFonts w:hint="eastAsia"/>
                <w:color w:val="000000"/>
                <w:sz w:val="24"/>
              </w:rPr>
              <w:t>6、交通工程及沿线设施</w:t>
            </w:r>
          </w:p>
          <w:p>
            <w:pPr>
              <w:spacing w:line="360" w:lineRule="auto"/>
              <w:ind w:firstLine="480" w:firstLineChars="200"/>
              <w:rPr>
                <w:color w:val="000000"/>
                <w:sz w:val="24"/>
              </w:rPr>
            </w:pPr>
            <w:r>
              <w:rPr>
                <w:color w:val="000000"/>
                <w:spacing w:val="9"/>
                <w:kern w:val="0"/>
                <w:sz w:val="24"/>
              </w:rPr>
              <w:t>K4+234</w:t>
            </w:r>
            <w:r>
              <w:rPr>
                <w:rFonts w:hint="eastAsia"/>
                <w:color w:val="000000"/>
                <w:spacing w:val="9"/>
                <w:kern w:val="0"/>
                <w:sz w:val="24"/>
              </w:rPr>
              <w:t>～</w:t>
            </w:r>
            <w:r>
              <w:rPr>
                <w:color w:val="000000"/>
                <w:spacing w:val="9"/>
                <w:kern w:val="0"/>
                <w:sz w:val="24"/>
              </w:rPr>
              <w:t>K9+020</w:t>
            </w:r>
            <w:r>
              <w:rPr>
                <w:rFonts w:hint="eastAsia"/>
                <w:color w:val="000000"/>
                <w:spacing w:val="9"/>
                <w:kern w:val="0"/>
                <w:sz w:val="24"/>
              </w:rPr>
              <w:t>段</w:t>
            </w:r>
            <w:r>
              <w:rPr>
                <w:color w:val="000000"/>
                <w:spacing w:val="9"/>
                <w:kern w:val="0"/>
                <w:sz w:val="24"/>
              </w:rPr>
              <w:t>因加宽后升级为一级路，交通安全设施重新设置。</w:t>
            </w:r>
            <w:r>
              <w:rPr>
                <w:color w:val="000000"/>
                <w:sz w:val="24"/>
              </w:rPr>
              <w:t>包括交通标线设置、交通标志设置、交通信号灯组设置、交通信号控制机设置、交通监控设置等。</w:t>
            </w:r>
          </w:p>
          <w:p>
            <w:pPr>
              <w:adjustRightInd w:val="0"/>
              <w:snapToGrid w:val="0"/>
              <w:spacing w:line="360" w:lineRule="auto"/>
              <w:ind w:firstLine="480" w:firstLineChars="200"/>
              <w:rPr>
                <w:rFonts w:hint="eastAsia"/>
                <w:color w:val="000000"/>
                <w:sz w:val="24"/>
              </w:rPr>
            </w:pPr>
            <w:r>
              <w:rPr>
                <w:rFonts w:hint="eastAsia"/>
                <w:color w:val="000000"/>
                <w:sz w:val="24"/>
              </w:rPr>
              <w:t>7、绿化工程</w:t>
            </w:r>
          </w:p>
          <w:p>
            <w:pPr>
              <w:adjustRightInd w:val="0"/>
              <w:snapToGrid w:val="0"/>
              <w:spacing w:line="360" w:lineRule="auto"/>
              <w:ind w:firstLine="480" w:firstLineChars="200"/>
              <w:rPr>
                <w:color w:val="000000"/>
                <w:sz w:val="24"/>
              </w:rPr>
            </w:pPr>
            <w:r>
              <w:rPr>
                <w:rFonts w:hint="eastAsia"/>
                <w:color w:val="000000"/>
                <w:sz w:val="24"/>
              </w:rPr>
              <w:t>绿地最外侧植一排行道树白蜡，前侧满铺金叶女贞、红叶石楠，内测成片种植开花亚乔木红叶李、紫薇、西府海棠、金枝槐等。</w:t>
            </w:r>
          </w:p>
        </w:tc>
      </w:tr>
    </w:tbl>
    <w:p>
      <w:pPr>
        <w:sectPr>
          <w:footerReference w:type="even" r:id="rId62"/>
          <w:footerReference w:type="default" r:id="rId63"/>
          <w:type w:val="nextPage"/>
          <w:pgSz w:w="11906" w:h="16838"/>
          <w:pgMar w:top="1440" w:right="1797" w:bottom="1440" w:left="1797" w:header="851" w:footer="1077" w:gutter="0"/>
          <w:pgNumType w:start="26"/>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2"/>
        <w:gridCol w:w="8076"/>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2542"/>
          <w:jc w:val="center"/>
        </w:trPr>
        <w:tc>
          <w:tcPr>
            <w:tcW w:w="308" w:type="pct"/>
            <w:vAlign w:val="center"/>
          </w:tcPr>
          <w:p/>
        </w:tc>
        <w:tc>
          <w:tcPr>
            <w:tcW w:w="4692" w:type="pct"/>
            <w:vAlign w:val="center"/>
          </w:tcPr>
          <w:p>
            <w:pPr>
              <w:spacing w:line="360" w:lineRule="auto"/>
              <w:ind w:firstLine="480" w:firstLineChars="200"/>
              <w:rPr>
                <w:rFonts w:hint="eastAsia"/>
                <w:color w:val="000000"/>
                <w:sz w:val="24"/>
              </w:rPr>
            </w:pPr>
            <w:r>
              <w:rPr>
                <w:rFonts w:hint="eastAsia"/>
                <w:color w:val="000000"/>
                <w:sz w:val="24"/>
              </w:rPr>
              <w:t>考虑到平面交叉处的通行安全，交叉口前后各110m内不得种植乔木和花灌木。</w:t>
            </w:r>
          </w:p>
          <w:p>
            <w:pPr>
              <w:adjustRightInd w:val="0"/>
              <w:snapToGrid w:val="0"/>
              <w:spacing w:line="360" w:lineRule="auto"/>
              <w:ind w:firstLine="480" w:firstLineChars="200"/>
              <w:rPr>
                <w:color w:val="000000"/>
                <w:sz w:val="24"/>
              </w:rPr>
            </w:pPr>
            <w:r>
              <w:rPr>
                <w:rFonts w:hint="eastAsia"/>
                <w:color w:val="000000"/>
                <w:sz w:val="24"/>
              </w:rPr>
              <w:t>8、临时工程设置</w:t>
            </w:r>
          </w:p>
          <w:p>
            <w:pPr>
              <w:adjustRightInd w:val="0"/>
              <w:snapToGrid w:val="0"/>
              <w:spacing w:line="360" w:lineRule="auto"/>
              <w:ind w:firstLine="480" w:firstLineChars="200"/>
              <w:rPr>
                <w:rFonts w:hint="eastAsia"/>
                <w:color w:val="000000"/>
                <w:sz w:val="24"/>
              </w:rPr>
            </w:pPr>
            <w:r>
              <w:rPr>
                <w:color w:val="000000"/>
                <w:sz w:val="24"/>
              </w:rPr>
              <w:t>由于本项目建设路线较短</w:t>
            </w:r>
            <w:r>
              <w:rPr>
                <w:rFonts w:hint="eastAsia"/>
                <w:color w:val="000000"/>
                <w:sz w:val="24"/>
              </w:rPr>
              <w:t>，</w:t>
            </w:r>
            <w:r>
              <w:rPr>
                <w:color w:val="000000"/>
                <w:sz w:val="24"/>
              </w:rPr>
              <w:t>项目</w:t>
            </w:r>
            <w:r>
              <w:rPr>
                <w:rFonts w:hint="eastAsia"/>
                <w:color w:val="000000"/>
                <w:sz w:val="24"/>
              </w:rPr>
              <w:t>水稳料、沥青混凝土、混凝土等筑路材料向宁津县通达工程有限公司采购，不配套</w:t>
            </w:r>
            <w:r>
              <w:rPr>
                <w:color w:val="000000"/>
                <w:sz w:val="24"/>
              </w:rPr>
              <w:t>建设临时拌合站、临时预制厂等临时工程</w:t>
            </w:r>
            <w:r>
              <w:rPr>
                <w:rFonts w:hint="eastAsia"/>
                <w:color w:val="000000"/>
                <w:sz w:val="24"/>
              </w:rPr>
              <w:t>。</w:t>
            </w:r>
          </w:p>
          <w:p>
            <w:pPr>
              <w:adjustRightInd w:val="0"/>
              <w:snapToGrid w:val="0"/>
              <w:spacing w:line="360" w:lineRule="auto"/>
              <w:rPr>
                <w:rFonts w:hint="eastAsia"/>
                <w:b/>
                <w:color w:val="000000"/>
                <w:sz w:val="24"/>
              </w:rPr>
            </w:pPr>
            <w:r>
              <w:rPr>
                <w:rFonts w:hint="eastAsia"/>
                <w:b/>
                <w:color w:val="000000"/>
                <w:sz w:val="24"/>
              </w:rPr>
              <w:t>五、工程占地及拆迁</w:t>
            </w:r>
          </w:p>
          <w:p>
            <w:pPr>
              <w:adjustRightInd w:val="0"/>
              <w:snapToGrid w:val="0"/>
              <w:spacing w:line="360" w:lineRule="auto"/>
              <w:ind w:firstLine="480" w:firstLineChars="200"/>
              <w:rPr>
                <w:rFonts w:hint="eastAsia"/>
                <w:color w:val="000000"/>
                <w:sz w:val="24"/>
              </w:rPr>
            </w:pPr>
            <w:r>
              <w:rPr>
                <w:bCs/>
                <w:color w:val="000000"/>
                <w:sz w:val="24"/>
              </w:rPr>
              <w:t>1</w:t>
            </w:r>
            <w:r>
              <w:rPr>
                <w:rFonts w:hint="eastAsia"/>
                <w:color w:val="000000"/>
                <w:sz w:val="24"/>
              </w:rPr>
              <w:t>、项目占地面积统计</w:t>
            </w:r>
          </w:p>
          <w:p>
            <w:pPr>
              <w:adjustRightInd w:val="0"/>
              <w:snapToGrid w:val="0"/>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）项目永久占地面积及占地类型</w:t>
            </w:r>
          </w:p>
          <w:p>
            <w:pPr>
              <w:adjustRightInd w:val="0"/>
              <w:snapToGrid w:val="0"/>
              <w:spacing w:line="360" w:lineRule="auto"/>
              <w:ind w:firstLine="480" w:firstLineChars="200"/>
              <w:rPr>
                <w:rFonts w:hint="eastAsia"/>
                <w:color w:val="000000"/>
                <w:sz w:val="24"/>
              </w:rPr>
            </w:pPr>
            <w:r>
              <w:rPr>
                <w:rFonts w:hint="eastAsia"/>
                <w:color w:val="000000"/>
                <w:sz w:val="24"/>
              </w:rPr>
              <w:t>拟建项目路线全长4.906公里，根据初步设计报告，项目永久占地4.847hm</w:t>
            </w:r>
            <w:r>
              <w:rPr>
                <w:rFonts w:hint="eastAsia"/>
                <w:color w:val="000000"/>
                <w:sz w:val="24"/>
                <w:vertAlign w:val="superscript"/>
              </w:rPr>
              <w:t>2</w:t>
            </w:r>
            <w:r>
              <w:rPr>
                <w:rFonts w:hint="eastAsia"/>
                <w:color w:val="000000"/>
                <w:sz w:val="24"/>
              </w:rPr>
              <w:t>，占地类型主要为建设用地、农用地，其中建设用地为2.9364hm</w:t>
            </w:r>
            <w:r>
              <w:rPr>
                <w:rFonts w:hint="eastAsia"/>
                <w:color w:val="000000"/>
                <w:sz w:val="24"/>
                <w:vertAlign w:val="superscript"/>
              </w:rPr>
              <w:t>2</w:t>
            </w:r>
            <w:r>
              <w:rPr>
                <w:rFonts w:hint="eastAsia"/>
                <w:color w:val="000000"/>
                <w:sz w:val="24"/>
              </w:rPr>
              <w:t>，农用地1.9106hm</w:t>
            </w:r>
            <w:r>
              <w:rPr>
                <w:rFonts w:hint="eastAsia"/>
                <w:color w:val="000000"/>
                <w:sz w:val="24"/>
                <w:vertAlign w:val="superscript"/>
              </w:rPr>
              <w:t>2</w:t>
            </w:r>
            <w:r>
              <w:rPr>
                <w:rFonts w:hint="eastAsia"/>
                <w:color w:val="000000"/>
                <w:sz w:val="24"/>
              </w:rPr>
              <w:t>，不占用基本农田。</w:t>
            </w:r>
          </w:p>
          <w:p>
            <w:pPr>
              <w:adjustRightInd w:val="0"/>
              <w:snapToGrid w:val="0"/>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）项目临时占地面积及占地类型</w:t>
            </w:r>
          </w:p>
          <w:p>
            <w:pPr>
              <w:adjustRightInd w:val="0"/>
              <w:snapToGrid w:val="0"/>
              <w:spacing w:line="360" w:lineRule="auto"/>
              <w:ind w:firstLine="480" w:firstLineChars="200"/>
              <w:rPr>
                <w:rFonts w:hint="eastAsia"/>
                <w:color w:val="000000"/>
                <w:sz w:val="24"/>
              </w:rPr>
            </w:pPr>
            <w:r>
              <w:rPr>
                <w:rFonts w:hint="eastAsia"/>
                <w:color w:val="000000"/>
                <w:sz w:val="24"/>
              </w:rPr>
              <w:t>项目临时占地主要包括临时生产生活区、施工便道占地、项目临时占地0.52hm</w:t>
            </w:r>
            <w:r>
              <w:rPr>
                <w:rFonts w:hint="eastAsia"/>
                <w:color w:val="000000"/>
                <w:sz w:val="24"/>
                <w:vertAlign w:val="superscript"/>
              </w:rPr>
              <w:t>2</w:t>
            </w:r>
            <w:r>
              <w:rPr>
                <w:rFonts w:hint="eastAsia"/>
                <w:color w:val="000000"/>
                <w:sz w:val="24"/>
              </w:rPr>
              <w:t>，其中施工便道临时占地0.12hm</w:t>
            </w:r>
            <w:r>
              <w:rPr>
                <w:rFonts w:hint="eastAsia"/>
                <w:color w:val="000000"/>
                <w:sz w:val="24"/>
                <w:vertAlign w:val="superscript"/>
              </w:rPr>
              <w:t>2</w:t>
            </w:r>
            <w:r>
              <w:rPr>
                <w:rFonts w:hint="eastAsia"/>
                <w:color w:val="000000"/>
                <w:sz w:val="24"/>
              </w:rPr>
              <w:t>，临时生产生活区占地0.4hm</w:t>
            </w:r>
            <w:r>
              <w:rPr>
                <w:rFonts w:hint="eastAsia"/>
                <w:color w:val="000000"/>
                <w:sz w:val="24"/>
                <w:vertAlign w:val="superscript"/>
              </w:rPr>
              <w:t>2</w:t>
            </w:r>
            <w:r>
              <w:rPr>
                <w:rFonts w:hint="eastAsia"/>
                <w:color w:val="000000"/>
                <w:sz w:val="24"/>
              </w:rPr>
              <w:t>，占地类型为建设用地、农用地。</w:t>
            </w:r>
          </w:p>
          <w:p>
            <w:pPr>
              <w:adjustRightInd w:val="0"/>
              <w:snapToGrid w:val="0"/>
              <w:spacing w:line="360" w:lineRule="auto"/>
              <w:ind w:firstLine="480" w:firstLineChars="200"/>
              <w:rPr>
                <w:rFonts w:hint="eastAsia"/>
                <w:color w:val="000000"/>
                <w:sz w:val="24"/>
              </w:rPr>
            </w:pPr>
            <w:r>
              <w:rPr>
                <w:bCs/>
                <w:color w:val="000000"/>
                <w:sz w:val="24"/>
              </w:rPr>
              <w:t>2</w:t>
            </w:r>
            <w:r>
              <w:rPr>
                <w:rFonts w:hint="eastAsia"/>
                <w:color w:val="000000"/>
                <w:sz w:val="24"/>
              </w:rPr>
              <w:t>、工程拆迁</w:t>
            </w:r>
          </w:p>
          <w:p>
            <w:pPr>
              <w:adjustRightInd w:val="0"/>
              <w:snapToGrid w:val="0"/>
              <w:spacing w:line="360" w:lineRule="auto"/>
              <w:ind w:firstLine="480" w:firstLineChars="200"/>
              <w:rPr>
                <w:rFonts w:hint="eastAsia"/>
                <w:color w:val="000000"/>
                <w:sz w:val="24"/>
              </w:rPr>
            </w:pPr>
            <w:r>
              <w:rPr>
                <w:rFonts w:hint="eastAsia"/>
                <w:color w:val="000000"/>
                <w:kern w:val="0"/>
                <w:sz w:val="24"/>
              </w:rPr>
              <w:t>本项目不包括</w:t>
            </w:r>
            <w:r>
              <w:rPr>
                <w:rFonts w:ascii="宋体" w:hAnsi="宋体" w:cs="宋体" w:hint="eastAsia"/>
                <w:color w:val="000000"/>
                <w:spacing w:val="9"/>
                <w:kern w:val="0"/>
                <w:sz w:val="24"/>
              </w:rPr>
              <w:t>征地、拆迁工作。</w:t>
            </w:r>
          </w:p>
          <w:p>
            <w:pPr>
              <w:adjustRightInd w:val="0"/>
              <w:snapToGrid w:val="0"/>
              <w:spacing w:line="360" w:lineRule="auto"/>
              <w:rPr>
                <w:rFonts w:hint="eastAsia"/>
                <w:b/>
                <w:color w:val="000000"/>
                <w:sz w:val="24"/>
              </w:rPr>
            </w:pPr>
            <w:r>
              <w:rPr>
                <w:rFonts w:hint="eastAsia"/>
                <w:b/>
                <w:color w:val="000000"/>
                <w:sz w:val="24"/>
              </w:rPr>
              <w:t>七、土石方工程</w:t>
            </w:r>
          </w:p>
          <w:p>
            <w:pPr>
              <w:adjustRightInd w:val="0"/>
              <w:snapToGrid w:val="0"/>
              <w:spacing w:line="360" w:lineRule="auto"/>
              <w:ind w:firstLine="480" w:firstLineChars="200"/>
              <w:rPr>
                <w:rFonts w:hint="eastAsia"/>
                <w:color w:val="000000"/>
                <w:sz w:val="24"/>
              </w:rPr>
            </w:pPr>
            <w:r>
              <w:rPr>
                <w:color w:val="000000"/>
                <w:sz w:val="24"/>
              </w:rPr>
              <w:t>本项目建设期间挖方</w:t>
            </w:r>
            <w:r>
              <w:rPr>
                <w:rFonts w:hint="eastAsia"/>
                <w:color w:val="000000"/>
                <w:sz w:val="24"/>
              </w:rPr>
              <w:t>部分</w:t>
            </w:r>
            <w:r>
              <w:rPr>
                <w:color w:val="000000"/>
                <w:sz w:val="24"/>
              </w:rPr>
              <w:t>用于</w:t>
            </w:r>
            <w:r>
              <w:rPr>
                <w:rFonts w:hint="eastAsia"/>
                <w:color w:val="000000"/>
                <w:sz w:val="24"/>
              </w:rPr>
              <w:t>路基</w:t>
            </w:r>
            <w:r>
              <w:rPr>
                <w:color w:val="000000"/>
                <w:sz w:val="24"/>
              </w:rPr>
              <w:t>回填平整，</w:t>
            </w:r>
            <w:r>
              <w:rPr>
                <w:rFonts w:hint="eastAsia"/>
                <w:color w:val="000000"/>
                <w:sz w:val="24"/>
              </w:rPr>
              <w:t>不可用部分直接拉至政府部门指定的弃土场进行填埋处理，</w:t>
            </w:r>
            <w:r>
              <w:rPr>
                <w:color w:val="000000"/>
                <w:sz w:val="24"/>
              </w:rPr>
              <w:t>涉及土方主要为</w:t>
            </w:r>
            <w:r>
              <w:rPr>
                <w:rFonts w:hint="eastAsia"/>
                <w:color w:val="000000"/>
                <w:sz w:val="24"/>
              </w:rPr>
              <w:t>路基开挖</w:t>
            </w:r>
            <w:r>
              <w:rPr>
                <w:color w:val="000000"/>
                <w:sz w:val="24"/>
              </w:rPr>
              <w:t>、</w:t>
            </w:r>
            <w:r>
              <w:rPr>
                <w:rFonts w:hint="eastAsia"/>
                <w:color w:val="000000"/>
                <w:sz w:val="24"/>
              </w:rPr>
              <w:t>土地平整、路基回填等。拟建工程弃土尽量采取集中弃土方式，弃土场由政府主管部门指定。</w:t>
            </w:r>
          </w:p>
          <w:p>
            <w:pPr>
              <w:adjustRightInd w:val="0"/>
              <w:snapToGrid w:val="0"/>
              <w:jc w:val="center"/>
              <w:rPr>
                <w:rFonts w:hint="eastAsia"/>
                <w:b/>
                <w:color w:val="000000"/>
                <w:sz w:val="24"/>
              </w:rPr>
            </w:pPr>
            <w:r>
              <w:rPr>
                <w:rFonts w:hint="eastAsia"/>
                <w:b/>
                <w:color w:val="000000"/>
                <w:sz w:val="24"/>
              </w:rPr>
              <w:t>表</w:t>
            </w:r>
            <w:r>
              <w:rPr>
                <w:b/>
                <w:color w:val="000000"/>
                <w:sz w:val="24"/>
              </w:rPr>
              <w:t>2-</w:t>
            </w:r>
            <w:r>
              <w:rPr>
                <w:rFonts w:hint="eastAsia"/>
                <w:b/>
                <w:color w:val="000000"/>
                <w:sz w:val="24"/>
              </w:rPr>
              <w:t>4</w:t>
            </w:r>
            <w:r>
              <w:rPr>
                <w:b/>
                <w:color w:val="000000"/>
                <w:sz w:val="24"/>
              </w:rPr>
              <w:t xml:space="preserve"> </w:t>
            </w:r>
            <w:r>
              <w:rPr>
                <w:rFonts w:hint="eastAsia"/>
                <w:b/>
                <w:color w:val="000000"/>
                <w:sz w:val="24"/>
              </w:rPr>
              <w:t>项目土石方一览表   单位：</w:t>
            </w:r>
            <w:r>
              <w:rPr>
                <w:b/>
                <w:color w:val="000000"/>
                <w:sz w:val="24"/>
              </w:rPr>
              <w:t>m</w:t>
            </w:r>
            <w:r>
              <w:rPr>
                <w:b/>
                <w:color w:val="000000"/>
                <w:sz w:val="24"/>
                <w:vertAlign w:val="superscript"/>
              </w:rPr>
              <w:t>3</w:t>
            </w:r>
          </w:p>
          <w:tbl>
            <w:tblPr>
              <w:tblStyle w:val="TableNormal"/>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584"/>
              <w:gridCol w:w="1609"/>
              <w:gridCol w:w="991"/>
              <w:gridCol w:w="992"/>
              <w:gridCol w:w="992"/>
              <w:gridCol w:w="1682"/>
            </w:tblGrid>
            <w:tr>
              <w:tblPrEx>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trPr>
              <w:tc>
                <w:tcPr>
                  <w:tcW w:w="1009" w:type="pct"/>
                  <w:vAlign w:val="center"/>
                </w:tcPr>
                <w:p>
                  <w:pPr>
                    <w:adjustRightInd w:val="0"/>
                    <w:snapToGrid w:val="0"/>
                    <w:jc w:val="center"/>
                    <w:rPr>
                      <w:rFonts w:hint="eastAsia"/>
                      <w:color w:val="000000"/>
                      <w:szCs w:val="21"/>
                    </w:rPr>
                  </w:pPr>
                  <w:r>
                    <w:rPr>
                      <w:rFonts w:hint="eastAsia"/>
                      <w:color w:val="000000"/>
                      <w:szCs w:val="21"/>
                    </w:rPr>
                    <w:t>项目</w:t>
                  </w:r>
                </w:p>
              </w:tc>
              <w:tc>
                <w:tcPr>
                  <w:tcW w:w="1025" w:type="pct"/>
                  <w:vAlign w:val="center"/>
                </w:tcPr>
                <w:p>
                  <w:pPr>
                    <w:adjustRightInd w:val="0"/>
                    <w:snapToGrid w:val="0"/>
                    <w:jc w:val="center"/>
                    <w:rPr>
                      <w:rFonts w:hint="eastAsia"/>
                      <w:color w:val="000000"/>
                      <w:szCs w:val="21"/>
                    </w:rPr>
                  </w:pPr>
                  <w:r>
                    <w:rPr>
                      <w:rFonts w:hint="eastAsia"/>
                      <w:color w:val="000000"/>
                      <w:szCs w:val="21"/>
                    </w:rPr>
                    <w:t>挖方量</w:t>
                  </w:r>
                </w:p>
                <w:p>
                  <w:pPr>
                    <w:adjustRightInd w:val="0"/>
                    <w:snapToGrid w:val="0"/>
                    <w:jc w:val="center"/>
                    <w:rPr>
                      <w:rFonts w:hint="eastAsia"/>
                      <w:color w:val="000000"/>
                      <w:szCs w:val="21"/>
                    </w:rPr>
                  </w:pPr>
                  <w:r>
                    <w:rPr>
                      <w:rFonts w:hint="eastAsia"/>
                      <w:color w:val="000000"/>
                      <w:szCs w:val="21"/>
                    </w:rPr>
                    <w:t>（包含清表）</w:t>
                  </w:r>
                </w:p>
              </w:tc>
              <w:tc>
                <w:tcPr>
                  <w:tcW w:w="631" w:type="pct"/>
                  <w:vAlign w:val="center"/>
                </w:tcPr>
                <w:p>
                  <w:pPr>
                    <w:adjustRightInd w:val="0"/>
                    <w:snapToGrid w:val="0"/>
                    <w:jc w:val="center"/>
                    <w:rPr>
                      <w:rFonts w:hint="eastAsia"/>
                      <w:color w:val="000000"/>
                      <w:szCs w:val="21"/>
                    </w:rPr>
                  </w:pPr>
                  <w:r>
                    <w:rPr>
                      <w:rFonts w:hint="eastAsia"/>
                      <w:color w:val="000000"/>
                      <w:szCs w:val="21"/>
                    </w:rPr>
                    <w:t>填方量</w:t>
                  </w:r>
                </w:p>
              </w:tc>
              <w:tc>
                <w:tcPr>
                  <w:tcW w:w="632" w:type="pct"/>
                  <w:vAlign w:val="center"/>
                </w:tcPr>
                <w:p>
                  <w:pPr>
                    <w:adjustRightInd w:val="0"/>
                    <w:snapToGrid w:val="0"/>
                    <w:jc w:val="center"/>
                    <w:rPr>
                      <w:rFonts w:hint="eastAsia"/>
                      <w:color w:val="000000"/>
                      <w:szCs w:val="21"/>
                    </w:rPr>
                  </w:pPr>
                  <w:r>
                    <w:rPr>
                      <w:rFonts w:hint="eastAsia"/>
                      <w:color w:val="000000"/>
                      <w:szCs w:val="21"/>
                    </w:rPr>
                    <w:t>利用量</w:t>
                  </w:r>
                </w:p>
              </w:tc>
              <w:tc>
                <w:tcPr>
                  <w:tcW w:w="632" w:type="pct"/>
                  <w:vAlign w:val="center"/>
                </w:tcPr>
                <w:p>
                  <w:pPr>
                    <w:adjustRightInd w:val="0"/>
                    <w:snapToGrid w:val="0"/>
                    <w:jc w:val="center"/>
                    <w:rPr>
                      <w:rFonts w:hint="eastAsia"/>
                      <w:color w:val="000000"/>
                      <w:szCs w:val="21"/>
                    </w:rPr>
                  </w:pPr>
                  <w:r>
                    <w:rPr>
                      <w:rFonts w:hint="eastAsia"/>
                      <w:color w:val="000000"/>
                      <w:szCs w:val="21"/>
                    </w:rPr>
                    <w:t>外借量</w:t>
                  </w:r>
                </w:p>
              </w:tc>
              <w:tc>
                <w:tcPr>
                  <w:tcW w:w="1072" w:type="pct"/>
                  <w:vAlign w:val="center"/>
                </w:tcPr>
                <w:p>
                  <w:pPr>
                    <w:adjustRightInd w:val="0"/>
                    <w:snapToGrid w:val="0"/>
                    <w:jc w:val="center"/>
                    <w:rPr>
                      <w:rFonts w:hint="eastAsia"/>
                      <w:color w:val="000000"/>
                      <w:szCs w:val="21"/>
                    </w:rPr>
                  </w:pPr>
                  <w:r>
                    <w:rPr>
                      <w:rFonts w:hint="eastAsia"/>
                      <w:color w:val="000000"/>
                      <w:szCs w:val="21"/>
                    </w:rPr>
                    <w:t>弃方量</w:t>
                  </w:r>
                </w:p>
                <w:p>
                  <w:pPr>
                    <w:adjustRightInd w:val="0"/>
                    <w:snapToGrid w:val="0"/>
                    <w:jc w:val="center"/>
                    <w:rPr>
                      <w:rFonts w:hint="eastAsia"/>
                      <w:color w:val="000000"/>
                      <w:szCs w:val="21"/>
                    </w:rPr>
                  </w:pPr>
                  <w:r>
                    <w:rPr>
                      <w:rFonts w:hint="eastAsia"/>
                      <w:color w:val="000000"/>
                      <w:szCs w:val="21"/>
                    </w:rPr>
                    <w:t>（回填至弃土场）</w:t>
                  </w:r>
                </w:p>
              </w:tc>
            </w:tr>
            <w:tr>
              <w:tblPrEx>
                <w:tblW w:w="5000" w:type="pct"/>
                <w:tblInd w:w="113" w:type="dxa"/>
                <w:tblCellMar>
                  <w:top w:w="0" w:type="dxa"/>
                  <w:left w:w="108" w:type="dxa"/>
                  <w:bottom w:w="0" w:type="dxa"/>
                  <w:right w:w="108" w:type="dxa"/>
                </w:tblCellMar>
                <w:tblLook w:val="0000"/>
              </w:tblPrEx>
              <w:trPr>
                <w:trHeight w:val="340"/>
              </w:trPr>
              <w:tc>
                <w:tcPr>
                  <w:tcW w:w="1009" w:type="pct"/>
                  <w:vAlign w:val="center"/>
                </w:tcPr>
                <w:p>
                  <w:pPr>
                    <w:adjustRightInd w:val="0"/>
                    <w:snapToGrid w:val="0"/>
                    <w:jc w:val="center"/>
                    <w:rPr>
                      <w:rFonts w:hint="eastAsia"/>
                      <w:color w:val="000000"/>
                      <w:szCs w:val="21"/>
                    </w:rPr>
                  </w:pPr>
                  <w:r>
                    <w:rPr>
                      <w:rFonts w:hint="eastAsia"/>
                      <w:color w:val="000000"/>
                      <w:szCs w:val="21"/>
                    </w:rPr>
                    <w:t>S324宁武线（三岭大街西至小店桥段）改建工程</w:t>
                  </w:r>
                </w:p>
              </w:tc>
              <w:tc>
                <w:tcPr>
                  <w:tcW w:w="1025" w:type="pct"/>
                  <w:vAlign w:val="center"/>
                </w:tcPr>
                <w:p>
                  <w:pPr>
                    <w:adjustRightInd w:val="0"/>
                    <w:snapToGrid w:val="0"/>
                    <w:jc w:val="center"/>
                    <w:rPr>
                      <w:rFonts w:hint="eastAsia"/>
                      <w:color w:val="000000"/>
                      <w:szCs w:val="21"/>
                    </w:rPr>
                  </w:pPr>
                  <w:r>
                    <w:rPr>
                      <w:rFonts w:hint="eastAsia"/>
                      <w:color w:val="000000"/>
                      <w:szCs w:val="21"/>
                    </w:rPr>
                    <w:t>92524</w:t>
                  </w:r>
                </w:p>
              </w:tc>
              <w:tc>
                <w:tcPr>
                  <w:tcW w:w="631" w:type="pct"/>
                  <w:vAlign w:val="center"/>
                </w:tcPr>
                <w:p>
                  <w:pPr>
                    <w:adjustRightInd w:val="0"/>
                    <w:snapToGrid w:val="0"/>
                    <w:jc w:val="center"/>
                    <w:rPr>
                      <w:rFonts w:hint="eastAsia"/>
                      <w:color w:val="000000"/>
                      <w:szCs w:val="21"/>
                    </w:rPr>
                  </w:pPr>
                  <w:r>
                    <w:rPr>
                      <w:rFonts w:hint="eastAsia"/>
                      <w:color w:val="000000"/>
                      <w:szCs w:val="21"/>
                    </w:rPr>
                    <w:t>187797</w:t>
                  </w:r>
                </w:p>
              </w:tc>
              <w:tc>
                <w:tcPr>
                  <w:tcW w:w="632" w:type="pct"/>
                  <w:vAlign w:val="center"/>
                </w:tcPr>
                <w:p>
                  <w:pPr>
                    <w:adjustRightInd w:val="0"/>
                    <w:snapToGrid w:val="0"/>
                    <w:jc w:val="center"/>
                    <w:rPr>
                      <w:rFonts w:hint="eastAsia"/>
                      <w:color w:val="000000"/>
                      <w:szCs w:val="21"/>
                    </w:rPr>
                  </w:pPr>
                  <w:r>
                    <w:rPr>
                      <w:rFonts w:hint="eastAsia"/>
                      <w:color w:val="000000"/>
                      <w:szCs w:val="21"/>
                    </w:rPr>
                    <w:t>68353</w:t>
                  </w:r>
                </w:p>
              </w:tc>
              <w:tc>
                <w:tcPr>
                  <w:tcW w:w="632" w:type="pct"/>
                  <w:vAlign w:val="center"/>
                </w:tcPr>
                <w:p>
                  <w:pPr>
                    <w:adjustRightInd w:val="0"/>
                    <w:snapToGrid w:val="0"/>
                    <w:jc w:val="center"/>
                    <w:rPr>
                      <w:rFonts w:hint="eastAsia"/>
                      <w:color w:val="000000"/>
                      <w:szCs w:val="21"/>
                    </w:rPr>
                  </w:pPr>
                  <w:r>
                    <w:rPr>
                      <w:rFonts w:hint="eastAsia"/>
                      <w:color w:val="000000"/>
                      <w:szCs w:val="21"/>
                    </w:rPr>
                    <w:t>119444</w:t>
                  </w:r>
                </w:p>
              </w:tc>
              <w:tc>
                <w:tcPr>
                  <w:tcW w:w="1072" w:type="pct"/>
                  <w:vAlign w:val="center"/>
                </w:tcPr>
                <w:p>
                  <w:pPr>
                    <w:adjustRightInd w:val="0"/>
                    <w:snapToGrid w:val="0"/>
                    <w:jc w:val="center"/>
                    <w:rPr>
                      <w:rFonts w:hint="eastAsia"/>
                      <w:color w:val="000000"/>
                      <w:szCs w:val="21"/>
                    </w:rPr>
                  </w:pPr>
                  <w:r>
                    <w:rPr>
                      <w:rFonts w:hint="eastAsia"/>
                      <w:color w:val="000000"/>
                      <w:szCs w:val="21"/>
                    </w:rPr>
                    <w:t>14171</w:t>
                  </w:r>
                </w:p>
              </w:tc>
            </w:tr>
          </w:tbl>
          <w:p>
            <w:pPr>
              <w:adjustRightInd w:val="0"/>
              <w:snapToGrid w:val="0"/>
              <w:spacing w:line="360" w:lineRule="auto"/>
              <w:rPr>
                <w:color w:val="000000"/>
                <w:sz w:val="24"/>
              </w:rPr>
            </w:pPr>
          </w:p>
        </w:tc>
      </w:tr>
    </w:tbl>
    <w:p>
      <w:pPr>
        <w:sectPr>
          <w:footerReference w:type="even" r:id="rId64"/>
          <w:footerReference w:type="default" r:id="rId65"/>
          <w:type w:val="nextPage"/>
          <w:pgSz w:w="11906" w:h="16838"/>
          <w:pgMar w:top="1440" w:right="1797" w:bottom="1440" w:left="1797" w:header="851" w:footer="1077" w:gutter="0"/>
          <w:pgNumType w:start="27"/>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2"/>
        <w:gridCol w:w="8076"/>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1691"/>
          <w:jc w:val="center"/>
        </w:trPr>
        <w:tc>
          <w:tcPr>
            <w:tcW w:w="308" w:type="pct"/>
            <w:vAlign w:val="center"/>
          </w:tcPr>
          <w:p>
            <w:pPr>
              <w:adjustRightInd w:val="0"/>
              <w:snapToGrid w:val="0"/>
              <w:jc w:val="center"/>
              <w:rPr>
                <w:rFonts w:ascii="宋体" w:hAnsi="宋体" w:cs="宋体"/>
                <w:color w:val="000000"/>
                <w:kern w:val="0"/>
                <w:sz w:val="24"/>
              </w:rPr>
            </w:pPr>
            <w:r>
              <w:rPr>
                <w:rFonts w:ascii="宋体" w:hAnsi="宋体" w:cs="宋体" w:hint="eastAsia"/>
                <w:color w:val="000000"/>
                <w:kern w:val="0"/>
                <w:sz w:val="24"/>
              </w:rPr>
              <w:t>总平面及现场布置</w:t>
            </w:r>
          </w:p>
        </w:tc>
        <w:tc>
          <w:tcPr>
            <w:tcW w:w="4692" w:type="pct"/>
            <w:vAlign w:val="center"/>
          </w:tcPr>
          <w:p>
            <w:pPr>
              <w:adjustRightInd w:val="0"/>
              <w:snapToGrid w:val="0"/>
              <w:spacing w:line="360" w:lineRule="auto"/>
              <w:ind w:firstLine="470" w:firstLineChars="196"/>
              <w:rPr>
                <w:b/>
                <w:bCs/>
                <w:color w:val="000000"/>
                <w:sz w:val="24"/>
              </w:rPr>
            </w:pPr>
            <w:r>
              <w:rPr>
                <w:rFonts w:hint="eastAsia"/>
                <w:b/>
                <w:bCs/>
                <w:color w:val="000000"/>
                <w:sz w:val="24"/>
              </w:rPr>
              <w:t>1、项目总平面布置</w:t>
            </w:r>
          </w:p>
          <w:p>
            <w:pPr>
              <w:adjustRightInd w:val="0"/>
              <w:snapToGrid w:val="0"/>
              <w:spacing w:line="360" w:lineRule="auto"/>
              <w:ind w:firstLine="470" w:firstLineChars="196"/>
              <w:rPr>
                <w:bCs/>
                <w:color w:val="000000"/>
                <w:sz w:val="24"/>
              </w:rPr>
            </w:pPr>
            <w:r>
              <w:rPr>
                <w:rFonts w:hint="eastAsia"/>
                <w:bCs/>
                <w:color w:val="000000"/>
                <w:sz w:val="24"/>
              </w:rPr>
              <w:t>本项目公路北起三岭大街与宁德路交叉口，南至宁津小店桥，公路工程起点桩号为</w:t>
            </w:r>
            <w:r>
              <w:rPr>
                <w:bCs/>
                <w:color w:val="000000"/>
                <w:sz w:val="24"/>
              </w:rPr>
              <w:t>K</w:t>
            </w:r>
            <w:r>
              <w:rPr>
                <w:rFonts w:hint="eastAsia"/>
                <w:bCs/>
                <w:color w:val="000000"/>
                <w:sz w:val="24"/>
              </w:rPr>
              <w:t>4</w:t>
            </w:r>
            <w:r>
              <w:rPr>
                <w:bCs/>
                <w:color w:val="000000"/>
                <w:sz w:val="24"/>
              </w:rPr>
              <w:t>+</w:t>
            </w:r>
            <w:r>
              <w:rPr>
                <w:rFonts w:hint="eastAsia"/>
                <w:bCs/>
                <w:color w:val="000000"/>
                <w:sz w:val="24"/>
              </w:rPr>
              <w:t>234，终点桩号为</w:t>
            </w:r>
            <w:r>
              <w:rPr>
                <w:bCs/>
                <w:color w:val="000000"/>
                <w:sz w:val="24"/>
              </w:rPr>
              <w:t>K</w:t>
            </w:r>
            <w:r>
              <w:rPr>
                <w:rFonts w:hint="eastAsia"/>
                <w:bCs/>
                <w:color w:val="000000"/>
                <w:sz w:val="24"/>
              </w:rPr>
              <w:t>9</w:t>
            </w:r>
            <w:r>
              <w:rPr>
                <w:bCs/>
                <w:color w:val="000000"/>
                <w:sz w:val="24"/>
              </w:rPr>
              <w:t>+1</w:t>
            </w:r>
            <w:r>
              <w:rPr>
                <w:rFonts w:hint="eastAsia"/>
                <w:bCs/>
                <w:color w:val="000000"/>
                <w:sz w:val="24"/>
              </w:rPr>
              <w:t>40，具体路线走向见附图2</w:t>
            </w:r>
            <w:r>
              <w:rPr>
                <w:rFonts w:hint="eastAsia"/>
                <w:color w:val="000000"/>
                <w:kern w:val="0"/>
                <w:sz w:val="24"/>
              </w:rPr>
              <w:t>。</w:t>
            </w:r>
          </w:p>
          <w:p>
            <w:pPr>
              <w:adjustRightInd w:val="0"/>
              <w:snapToGrid w:val="0"/>
              <w:spacing w:line="360" w:lineRule="auto"/>
              <w:ind w:firstLine="480" w:firstLineChars="200"/>
              <w:rPr>
                <w:b/>
                <w:color w:val="000000"/>
                <w:sz w:val="24"/>
              </w:rPr>
            </w:pPr>
            <w:r>
              <w:rPr>
                <w:rFonts w:hint="eastAsia"/>
                <w:b/>
                <w:color w:val="000000"/>
                <w:sz w:val="24"/>
              </w:rPr>
              <w:t>2、施工总布置</w:t>
            </w:r>
          </w:p>
          <w:p>
            <w:pPr>
              <w:adjustRightInd w:val="0"/>
              <w:snapToGrid w:val="0"/>
              <w:spacing w:line="360" w:lineRule="auto"/>
              <w:ind w:firstLine="480" w:firstLineChars="200"/>
              <w:rPr>
                <w:color w:val="000000"/>
                <w:sz w:val="24"/>
              </w:rPr>
            </w:pPr>
            <w:r>
              <w:rPr>
                <w:rFonts w:hint="eastAsia"/>
                <w:color w:val="000000"/>
                <w:sz w:val="24"/>
              </w:rPr>
              <w:t>2</w:t>
            </w:r>
            <w:r>
              <w:rPr>
                <w:color w:val="000000"/>
                <w:sz w:val="24"/>
              </w:rPr>
              <w:t xml:space="preserve">.1 </w:t>
            </w:r>
            <w:r>
              <w:rPr>
                <w:rFonts w:hint="eastAsia"/>
                <w:color w:val="000000"/>
                <w:sz w:val="24"/>
              </w:rPr>
              <w:t>施工总布置的规划原则</w:t>
            </w:r>
          </w:p>
          <w:p>
            <w:pPr>
              <w:adjustRightInd w:val="0"/>
              <w:snapToGrid w:val="0"/>
              <w:spacing w:line="360" w:lineRule="auto"/>
              <w:ind w:firstLine="480" w:firstLineChars="200"/>
              <w:rPr>
                <w:color w:val="000000"/>
                <w:sz w:val="24"/>
              </w:rPr>
            </w:pPr>
            <w:r>
              <w:rPr>
                <w:rFonts w:hint="eastAsia"/>
                <w:color w:val="000000"/>
                <w:sz w:val="24"/>
              </w:rPr>
              <w:t>施工总体布置，要根据施工场区的地形地貌以及建筑物布置和各项临时施工设施布置的要求，研究解决施工场地的分期分区规划，对施工期间的交通运输设施，辅助生产设施，仓库、房屋、动力，给水和排水线路以及其它施工设施进行平面和立面布置，从场地布置上为整个工程顺利施工创造条件，用最少的人力物力和资金，在规定的期限内圆满完成整个工程的建设任务。施工进场时，首先合理规划和使用施工场地，尽量少占耕地，场区划分和布局应有利于建设生产，易于管理，方便生活，临时建筑和施工设施的布置，必须满足工程的施工要求，适应各施工时期的特点。</w:t>
            </w:r>
          </w:p>
          <w:p>
            <w:pPr>
              <w:adjustRightInd w:val="0"/>
              <w:snapToGrid w:val="0"/>
              <w:spacing w:line="360" w:lineRule="auto"/>
              <w:ind w:firstLine="480" w:firstLineChars="200"/>
              <w:rPr>
                <w:color w:val="000000"/>
                <w:sz w:val="24"/>
              </w:rPr>
            </w:pPr>
            <w:r>
              <w:rPr>
                <w:rFonts w:hint="eastAsia"/>
                <w:color w:val="000000"/>
                <w:sz w:val="24"/>
              </w:rPr>
              <w:t>为了使施工总布置方案有利生产、方便生活、易于管理、符合环保要求，本工程施工总布置应遵循以下原则：</w:t>
            </w:r>
          </w:p>
          <w:p>
            <w:pPr>
              <w:adjustRightInd w:val="0"/>
              <w:snapToGrid w:val="0"/>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w:t>
            </w:r>
            <w:r>
              <w:rPr>
                <w:color w:val="000000"/>
                <w:sz w:val="24"/>
              </w:rPr>
              <w:t>施工临建设施与永久工程统一规划，采用临时设施尽量与永久设施相结合、前期与后期结合的方式，避免重复建设，增加投资</w:t>
            </w:r>
            <w:r>
              <w:rPr>
                <w:rFonts w:hint="eastAsia"/>
                <w:color w:val="000000"/>
                <w:sz w:val="24"/>
              </w:rPr>
              <w:t>。</w:t>
            </w:r>
          </w:p>
          <w:p>
            <w:pPr>
              <w:adjustRightInd w:val="0"/>
              <w:snapToGrid w:val="0"/>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color w:val="000000"/>
                <w:sz w:val="24"/>
              </w:rPr>
              <w:t>尽可能利用现有施工场地或工程永久管理范围占地作为施工期临时用地，减少征地范围</w:t>
            </w:r>
            <w:r>
              <w:rPr>
                <w:rFonts w:hint="eastAsia"/>
                <w:color w:val="000000"/>
                <w:sz w:val="24"/>
              </w:rPr>
              <w:t>。</w:t>
            </w:r>
          </w:p>
          <w:p>
            <w:pPr>
              <w:adjustRightInd w:val="0"/>
              <w:snapToGrid w:val="0"/>
              <w:spacing w:line="360" w:lineRule="auto"/>
              <w:ind w:firstLine="480" w:firstLineChars="200"/>
              <w:rPr>
                <w:color w:val="000000"/>
                <w:sz w:val="24"/>
              </w:rPr>
            </w:pPr>
            <w:r>
              <w:rPr>
                <w:rFonts w:hint="eastAsia"/>
                <w:color w:val="000000"/>
                <w:sz w:val="24"/>
              </w:rPr>
              <w:t>（3）</w:t>
            </w:r>
            <w:r>
              <w:rPr>
                <w:color w:val="000000"/>
                <w:sz w:val="24"/>
              </w:rPr>
              <w:t>充分利用工程所在地现有的设施，如交通、修配加工等设施，简化和减少临建规模</w:t>
            </w:r>
            <w:r>
              <w:rPr>
                <w:rFonts w:hint="eastAsia"/>
                <w:color w:val="000000"/>
                <w:sz w:val="24"/>
              </w:rPr>
              <w:t>。</w:t>
            </w:r>
          </w:p>
          <w:p>
            <w:pPr>
              <w:adjustRightInd w:val="0"/>
              <w:snapToGrid w:val="0"/>
              <w:spacing w:line="360" w:lineRule="auto"/>
              <w:ind w:firstLine="480" w:firstLineChars="200"/>
              <w:rPr>
                <w:color w:val="000000"/>
                <w:sz w:val="24"/>
              </w:rPr>
            </w:pPr>
            <w:r>
              <w:rPr>
                <w:rFonts w:hint="eastAsia"/>
                <w:color w:val="000000"/>
                <w:sz w:val="24"/>
              </w:rPr>
              <w:t>（4）各种施工设施的布置，应能满足主体工程施工工艺要求，避免干扰，避免和减少场料的重复、往返运输。</w:t>
            </w:r>
          </w:p>
          <w:p>
            <w:pPr>
              <w:adjustRightInd w:val="0"/>
              <w:snapToGrid w:val="0"/>
              <w:spacing w:line="360" w:lineRule="auto"/>
              <w:ind w:firstLine="480" w:firstLineChars="200"/>
              <w:rPr>
                <w:color w:val="000000"/>
                <w:sz w:val="24"/>
              </w:rPr>
            </w:pPr>
            <w:r>
              <w:rPr>
                <w:rFonts w:hint="eastAsia"/>
                <w:color w:val="000000"/>
                <w:sz w:val="24"/>
              </w:rPr>
              <w:t>（5）</w:t>
            </w:r>
            <w:r>
              <w:rPr>
                <w:color w:val="000000"/>
                <w:sz w:val="24"/>
              </w:rPr>
              <w:t>合理利用开挖的土</w:t>
            </w:r>
            <w:r>
              <w:rPr>
                <w:rFonts w:hint="eastAsia"/>
                <w:color w:val="000000"/>
                <w:sz w:val="24"/>
              </w:rPr>
              <w:t>方</w:t>
            </w:r>
            <w:r>
              <w:rPr>
                <w:color w:val="000000"/>
                <w:sz w:val="24"/>
              </w:rPr>
              <w:t>料，做好土方平衡，对于工程弃</w:t>
            </w:r>
            <w:r>
              <w:rPr>
                <w:rFonts w:hint="eastAsia"/>
                <w:color w:val="000000"/>
                <w:sz w:val="24"/>
              </w:rPr>
              <w:t>方</w:t>
            </w:r>
            <w:r>
              <w:rPr>
                <w:color w:val="000000"/>
                <w:sz w:val="24"/>
              </w:rPr>
              <w:t>及利用料应妥善堆放，减小对工程及环境的影响</w:t>
            </w:r>
            <w:r>
              <w:rPr>
                <w:rFonts w:hint="eastAsia"/>
                <w:color w:val="000000"/>
                <w:sz w:val="24"/>
              </w:rPr>
              <w:t>。</w:t>
            </w:r>
          </w:p>
          <w:p>
            <w:pPr>
              <w:adjustRightInd w:val="0"/>
              <w:snapToGrid w:val="0"/>
              <w:spacing w:line="360" w:lineRule="auto"/>
              <w:ind w:firstLine="480" w:firstLineChars="200"/>
              <w:rPr>
                <w:color w:val="000000"/>
                <w:sz w:val="24"/>
              </w:rPr>
            </w:pPr>
            <w:r>
              <w:rPr>
                <w:rFonts w:hint="eastAsia"/>
                <w:color w:val="000000"/>
                <w:sz w:val="24"/>
              </w:rPr>
              <w:t>2.2施工分区规划</w:t>
            </w:r>
          </w:p>
          <w:p>
            <w:pPr>
              <w:adjustRightInd w:val="0"/>
              <w:snapToGrid w:val="0"/>
              <w:spacing w:line="360" w:lineRule="auto"/>
              <w:ind w:firstLine="480" w:firstLineChars="200"/>
              <w:rPr>
                <w:color w:val="000000"/>
                <w:sz w:val="24"/>
              </w:rPr>
            </w:pPr>
            <w:r>
              <w:rPr>
                <w:color w:val="000000"/>
                <w:sz w:val="24"/>
              </w:rPr>
              <w:t>整个施工场地总布置分为施工生产区、施工生活区。本工程相对集中，规模较小，适宜于机械化与人工相结合的施工方式</w:t>
            </w:r>
            <w:r>
              <w:rPr>
                <w:rFonts w:hint="eastAsia"/>
                <w:color w:val="000000"/>
                <w:sz w:val="24"/>
              </w:rPr>
              <w:t>，施工布置应因地制宜，就近布置。</w:t>
            </w:r>
          </w:p>
        </w:tc>
      </w:tr>
    </w:tbl>
    <w:p>
      <w:pPr>
        <w:sectPr>
          <w:footerReference w:type="even" r:id="rId66"/>
          <w:footerReference w:type="default" r:id="rId67"/>
          <w:type w:val="nextPage"/>
          <w:pgSz w:w="11906" w:h="16838"/>
          <w:pgMar w:top="1440" w:right="1797" w:bottom="1440" w:left="1797" w:header="851" w:footer="1077" w:gutter="0"/>
          <w:pgNumType w:start="28"/>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2"/>
        <w:gridCol w:w="8076"/>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1691"/>
          <w:jc w:val="center"/>
        </w:trPr>
        <w:tc>
          <w:tcPr>
            <w:tcW w:w="308" w:type="pct"/>
            <w:vAlign w:val="center"/>
          </w:tcPr>
          <w:p/>
        </w:tc>
        <w:tc>
          <w:tcPr>
            <w:tcW w:w="4692" w:type="pct"/>
            <w:vAlign w:val="center"/>
          </w:tcPr>
          <w:p>
            <w:pPr>
              <w:adjustRightInd w:val="0"/>
              <w:snapToGrid w:val="0"/>
              <w:spacing w:line="360" w:lineRule="auto"/>
              <w:ind w:firstLine="480" w:firstLineChars="200"/>
              <w:rPr>
                <w:color w:val="000000"/>
                <w:sz w:val="24"/>
              </w:rPr>
            </w:pPr>
            <w:r>
              <w:rPr>
                <w:rFonts w:hint="eastAsia"/>
                <w:color w:val="000000"/>
                <w:sz w:val="24"/>
              </w:rPr>
              <w:t>（1）施工生活区</w:t>
            </w:r>
          </w:p>
          <w:p>
            <w:pPr>
              <w:adjustRightInd w:val="0"/>
              <w:snapToGrid w:val="0"/>
              <w:spacing w:line="360" w:lineRule="auto"/>
              <w:ind w:firstLine="480" w:firstLineChars="200"/>
              <w:rPr>
                <w:color w:val="000000"/>
                <w:sz w:val="24"/>
              </w:rPr>
            </w:pPr>
            <w:r>
              <w:rPr>
                <w:rFonts w:hint="eastAsia"/>
                <w:color w:val="000000"/>
                <w:sz w:val="24"/>
              </w:rPr>
              <w:t>项目部可布置在附近小区，办公生活租用当地小区房屋。</w:t>
            </w:r>
          </w:p>
          <w:p>
            <w:pPr>
              <w:adjustRightInd w:val="0"/>
              <w:snapToGrid w:val="0"/>
              <w:spacing w:line="360" w:lineRule="auto"/>
              <w:ind w:firstLine="480" w:firstLineChars="200"/>
              <w:rPr>
                <w:color w:val="000000"/>
                <w:sz w:val="24"/>
              </w:rPr>
            </w:pPr>
            <w:r>
              <w:rPr>
                <w:rFonts w:hint="eastAsia"/>
                <w:color w:val="000000"/>
                <w:sz w:val="24"/>
              </w:rPr>
              <w:t>（2）施工生产区</w:t>
            </w:r>
          </w:p>
          <w:p>
            <w:pPr>
              <w:adjustRightInd w:val="0"/>
              <w:snapToGrid w:val="0"/>
              <w:spacing w:line="360" w:lineRule="auto"/>
              <w:ind w:firstLine="480" w:firstLineChars="200"/>
              <w:rPr>
                <w:color w:val="000000"/>
                <w:sz w:val="24"/>
              </w:rPr>
            </w:pPr>
            <w:r>
              <w:rPr>
                <w:color w:val="000000"/>
                <w:sz w:val="24"/>
              </w:rPr>
              <w:t>施工生产区布置在</w:t>
            </w:r>
            <w:r>
              <w:rPr>
                <w:rFonts w:hint="eastAsia"/>
                <w:color w:val="000000"/>
                <w:sz w:val="24"/>
              </w:rPr>
              <w:t>本工程中间位置</w:t>
            </w:r>
            <w:r>
              <w:rPr>
                <w:color w:val="000000"/>
                <w:sz w:val="24"/>
              </w:rPr>
              <w:t>的空地上，</w:t>
            </w:r>
            <w:r>
              <w:rPr>
                <w:rFonts w:hint="eastAsia"/>
                <w:color w:val="000000"/>
                <w:sz w:val="24"/>
              </w:rPr>
              <w:t>主要布置</w:t>
            </w:r>
            <w:r>
              <w:rPr>
                <w:color w:val="000000"/>
                <w:sz w:val="24"/>
              </w:rPr>
              <w:t>堆放场1处、仓库1处、钢筋加工场1处、</w:t>
            </w:r>
            <w:r>
              <w:rPr>
                <w:rFonts w:hint="eastAsia"/>
                <w:color w:val="000000"/>
                <w:sz w:val="24"/>
              </w:rPr>
              <w:t>设备停放区1处</w:t>
            </w:r>
            <w:r>
              <w:rPr>
                <w:color w:val="000000"/>
                <w:sz w:val="24"/>
              </w:rPr>
              <w:t>。临时占地</w:t>
            </w:r>
            <w:r>
              <w:rPr>
                <w:rFonts w:hint="eastAsia"/>
                <w:color w:val="000000"/>
                <w:sz w:val="24"/>
              </w:rPr>
              <w:t>合计4000m</w:t>
            </w:r>
            <w:r>
              <w:rPr>
                <w:rFonts w:hint="eastAsia"/>
                <w:color w:val="000000"/>
                <w:sz w:val="24"/>
                <w:vertAlign w:val="superscript"/>
              </w:rPr>
              <w:t>2</w:t>
            </w:r>
            <w:r>
              <w:rPr>
                <w:rFonts w:hint="eastAsia"/>
                <w:color w:val="000000"/>
                <w:sz w:val="24"/>
              </w:rPr>
              <w:t>。</w:t>
            </w:r>
          </w:p>
          <w:p>
            <w:pPr>
              <w:adjustRightInd w:val="0"/>
              <w:snapToGrid w:val="0"/>
              <w:spacing w:line="360" w:lineRule="auto"/>
              <w:ind w:firstLine="480" w:firstLineChars="200"/>
              <w:rPr>
                <w:color w:val="000000"/>
                <w:sz w:val="24"/>
              </w:rPr>
            </w:pPr>
            <w:r>
              <w:rPr>
                <w:rFonts w:hint="eastAsia"/>
                <w:color w:val="000000"/>
                <w:sz w:val="24"/>
              </w:rPr>
              <w:t>（3）弃土堆放区</w:t>
            </w:r>
          </w:p>
          <w:p>
            <w:pPr>
              <w:adjustRightInd w:val="0"/>
              <w:snapToGrid w:val="0"/>
              <w:spacing w:line="360" w:lineRule="auto"/>
              <w:ind w:firstLine="480" w:firstLineChars="200"/>
              <w:rPr>
                <w:color w:val="000000"/>
                <w:sz w:val="24"/>
              </w:rPr>
            </w:pPr>
            <w:r>
              <w:rPr>
                <w:color w:val="000000"/>
                <w:sz w:val="24"/>
              </w:rPr>
              <w:t>项目建设过程中产生的</w:t>
            </w:r>
            <w:r>
              <w:rPr>
                <w:rFonts w:hint="eastAsia"/>
                <w:color w:val="000000"/>
                <w:sz w:val="24"/>
              </w:rPr>
              <w:t>土方</w:t>
            </w:r>
            <w:r>
              <w:rPr>
                <w:color w:val="000000"/>
                <w:sz w:val="24"/>
              </w:rPr>
              <w:t>临时堆放在路边，</w:t>
            </w:r>
            <w:r>
              <w:rPr>
                <w:rFonts w:hint="eastAsia"/>
                <w:color w:val="000000"/>
                <w:sz w:val="24"/>
              </w:rPr>
              <w:t>部分作为回填土使用，弃方运至</w:t>
            </w:r>
            <w:r>
              <w:rPr>
                <w:rFonts w:hint="eastAsia"/>
                <w:bCs/>
                <w:color w:val="000000"/>
                <w:sz w:val="24"/>
              </w:rPr>
              <w:t>政府指定的弃土场堆放</w:t>
            </w:r>
            <w:r>
              <w:rPr>
                <w:rFonts w:hint="eastAsia"/>
                <w:color w:val="000000"/>
                <w:sz w:val="24"/>
              </w:rPr>
              <w:t>，</w:t>
            </w:r>
            <w:r>
              <w:rPr>
                <w:color w:val="000000"/>
                <w:sz w:val="24"/>
              </w:rPr>
              <w:t>弃</w:t>
            </w:r>
            <w:r>
              <w:rPr>
                <w:rFonts w:hint="eastAsia"/>
                <w:color w:val="000000"/>
                <w:sz w:val="24"/>
              </w:rPr>
              <w:t>土</w:t>
            </w:r>
            <w:r>
              <w:rPr>
                <w:color w:val="000000"/>
                <w:sz w:val="24"/>
              </w:rPr>
              <w:t>堆放占地位于主体工程的</w:t>
            </w:r>
            <w:r>
              <w:rPr>
                <w:rFonts w:hint="eastAsia"/>
                <w:color w:val="000000"/>
                <w:sz w:val="24"/>
              </w:rPr>
              <w:t>施工作业带内，不需新增占地。</w:t>
            </w:r>
          </w:p>
          <w:p>
            <w:pPr>
              <w:adjustRightInd w:val="0"/>
              <w:snapToGrid w:val="0"/>
              <w:spacing w:line="360" w:lineRule="auto"/>
              <w:ind w:firstLine="480" w:firstLineChars="200"/>
              <w:rPr>
                <w:color w:val="000000"/>
                <w:sz w:val="24"/>
              </w:rPr>
            </w:pPr>
            <w:r>
              <w:rPr>
                <w:rFonts w:hint="eastAsia"/>
                <w:color w:val="000000"/>
                <w:sz w:val="24"/>
              </w:rPr>
              <w:t>2.3弃渣规划</w:t>
            </w:r>
          </w:p>
          <w:p>
            <w:pPr>
              <w:adjustRightInd w:val="0"/>
              <w:snapToGrid w:val="0"/>
              <w:spacing w:line="360" w:lineRule="auto"/>
              <w:ind w:firstLine="480" w:firstLineChars="200"/>
              <w:rPr>
                <w:color w:val="000000"/>
                <w:sz w:val="24"/>
              </w:rPr>
            </w:pPr>
            <w:r>
              <w:rPr>
                <w:rFonts w:hint="eastAsia"/>
                <w:color w:val="000000"/>
                <w:sz w:val="24"/>
              </w:rPr>
              <w:t>本工程弃方运至</w:t>
            </w:r>
            <w:r>
              <w:rPr>
                <w:rFonts w:hint="eastAsia"/>
                <w:bCs/>
                <w:color w:val="000000"/>
                <w:sz w:val="24"/>
              </w:rPr>
              <w:t>政府指定的弃土场堆放</w:t>
            </w:r>
            <w:r>
              <w:rPr>
                <w:rFonts w:hint="eastAsia"/>
                <w:color w:val="000000"/>
                <w:sz w:val="24"/>
              </w:rPr>
              <w:t>，本项目不设置弃渣场。</w:t>
            </w:r>
          </w:p>
        </w:tc>
      </w:tr>
      <w:tr>
        <w:tblPrEx>
          <w:tblW w:w="5000" w:type="pct"/>
          <w:jc w:val="center"/>
          <w:tblCellMar>
            <w:top w:w="0" w:type="dxa"/>
            <w:left w:w="108" w:type="dxa"/>
            <w:bottom w:w="0" w:type="dxa"/>
            <w:right w:w="108" w:type="dxa"/>
          </w:tblCellMar>
          <w:tblLook w:val="0000"/>
        </w:tblPrEx>
        <w:trPr>
          <w:trHeight w:val="1833"/>
          <w:jc w:val="center"/>
        </w:trPr>
        <w:tc>
          <w:tcPr>
            <w:tcW w:w="308" w:type="pct"/>
            <w:vAlign w:val="center"/>
          </w:tcPr>
          <w:p>
            <w:pPr>
              <w:adjustRightInd w:val="0"/>
              <w:snapToGrid w:val="0"/>
              <w:jc w:val="center"/>
              <w:rPr>
                <w:rFonts w:ascii="宋体" w:hAnsi="宋体" w:cs="宋体"/>
                <w:color w:val="000000"/>
                <w:kern w:val="0"/>
                <w:sz w:val="24"/>
              </w:rPr>
            </w:pPr>
            <w:r>
              <w:rPr>
                <w:rFonts w:ascii="宋体" w:hAnsi="宋体" w:cs="宋体" w:hint="eastAsia"/>
                <w:color w:val="000000"/>
                <w:kern w:val="0"/>
                <w:sz w:val="24"/>
              </w:rPr>
              <w:t>施工方案</w:t>
            </w:r>
          </w:p>
        </w:tc>
        <w:tc>
          <w:tcPr>
            <w:tcW w:w="4692" w:type="pct"/>
            <w:vAlign w:val="center"/>
          </w:tcPr>
          <w:p>
            <w:pPr>
              <w:adjustRightInd w:val="0"/>
              <w:snapToGrid w:val="0"/>
              <w:spacing w:line="360" w:lineRule="auto"/>
              <w:ind w:firstLine="480" w:firstLineChars="200"/>
              <w:contextualSpacing/>
              <w:rPr>
                <w:rFonts w:hint="eastAsia"/>
                <w:b/>
                <w:bCs/>
                <w:color w:val="000000"/>
                <w:sz w:val="24"/>
              </w:rPr>
            </w:pPr>
            <w:r>
              <w:rPr>
                <w:rFonts w:hint="eastAsia"/>
                <w:b/>
                <w:bCs/>
                <w:color w:val="000000"/>
                <w:sz w:val="24"/>
              </w:rPr>
              <w:t>一、施工方案</w:t>
            </w:r>
          </w:p>
          <w:p>
            <w:pPr>
              <w:adjustRightInd w:val="0"/>
              <w:snapToGrid w:val="0"/>
              <w:spacing w:line="360" w:lineRule="auto"/>
              <w:ind w:firstLine="480" w:firstLineChars="200"/>
              <w:contextualSpacing/>
              <w:rPr>
                <w:b/>
                <w:bCs/>
                <w:color w:val="000000"/>
                <w:sz w:val="24"/>
              </w:rPr>
            </w:pPr>
            <w:r>
              <w:rPr>
                <w:rFonts w:hint="eastAsia"/>
                <w:b/>
                <w:bCs/>
                <w:color w:val="000000"/>
                <w:sz w:val="24"/>
              </w:rPr>
              <w:t>项目建设内容包括公路工程以及其它辅助工程等。虽然各单项工程的施工方法不同，但总体而言，其施工一般采用机械或人工进行。</w:t>
            </w:r>
          </w:p>
          <w:p>
            <w:pPr>
              <w:adjustRightInd w:val="0"/>
              <w:snapToGrid w:val="0"/>
              <w:spacing w:line="360" w:lineRule="auto"/>
              <w:ind w:firstLine="480" w:firstLineChars="200"/>
              <w:contextualSpacing/>
              <w:rPr>
                <w:rFonts w:hint="eastAsia"/>
                <w:b/>
                <w:bCs/>
                <w:color w:val="000000"/>
                <w:sz w:val="24"/>
              </w:rPr>
            </w:pPr>
            <w:r>
              <w:rPr>
                <w:rFonts w:hint="eastAsia"/>
                <w:b/>
                <w:bCs/>
                <w:color w:val="000000"/>
                <w:sz w:val="24"/>
              </w:rPr>
              <w:t>一般而言，公路的施工工艺流程为：定线</w:t>
            </w:r>
            <w:r>
              <w:rPr>
                <w:rFonts w:hint="eastAsia"/>
                <w:b/>
                <w:bCs/>
                <w:color w:val="000000"/>
                <w:sz w:val="24"/>
              </w:rPr>
              <w:t>→</w:t>
            </w:r>
            <w:r>
              <w:rPr>
                <w:rFonts w:hint="eastAsia"/>
                <w:b/>
                <w:bCs/>
                <w:color w:val="000000"/>
                <w:sz w:val="24"/>
              </w:rPr>
              <w:t>机械作业、材料运输</w:t>
            </w:r>
            <w:r>
              <w:rPr>
                <w:rFonts w:hint="eastAsia"/>
                <w:b/>
                <w:bCs/>
                <w:color w:val="000000"/>
                <w:sz w:val="24"/>
              </w:rPr>
              <w:t>→</w:t>
            </w:r>
            <w:r>
              <w:rPr>
                <w:rFonts w:hint="eastAsia"/>
                <w:b/>
                <w:bCs/>
                <w:color w:val="000000"/>
                <w:sz w:val="24"/>
              </w:rPr>
              <w:t>路基填筑</w:t>
            </w:r>
            <w:r>
              <w:rPr>
                <w:rFonts w:hint="eastAsia"/>
                <w:b/>
                <w:bCs/>
                <w:color w:val="000000"/>
                <w:sz w:val="24"/>
              </w:rPr>
              <w:t>→</w:t>
            </w:r>
            <w:r>
              <w:rPr>
                <w:rFonts w:hint="eastAsia"/>
                <w:b/>
                <w:bCs/>
                <w:color w:val="000000"/>
                <w:sz w:val="24"/>
              </w:rPr>
              <w:t>路基防护工程施工</w:t>
            </w:r>
            <w:r>
              <w:rPr>
                <w:rFonts w:hint="eastAsia"/>
                <w:b/>
                <w:bCs/>
                <w:color w:val="000000"/>
                <w:sz w:val="24"/>
              </w:rPr>
              <w:t>→</w:t>
            </w:r>
            <w:r>
              <w:rPr>
                <w:rFonts w:hint="eastAsia"/>
                <w:b/>
                <w:bCs/>
                <w:color w:val="000000"/>
                <w:sz w:val="24"/>
              </w:rPr>
              <w:t>路面工程施工</w:t>
            </w:r>
            <w:r>
              <w:rPr>
                <w:rFonts w:hint="eastAsia"/>
                <w:b/>
                <w:bCs/>
                <w:color w:val="000000"/>
                <w:sz w:val="24"/>
              </w:rPr>
              <w:t>→</w:t>
            </w:r>
            <w:r>
              <w:rPr>
                <w:rFonts w:hint="eastAsia"/>
                <w:b/>
                <w:bCs/>
                <w:color w:val="000000"/>
                <w:sz w:val="24"/>
              </w:rPr>
              <w:t>附属设施</w:t>
            </w:r>
            <w:r>
              <w:rPr>
                <w:rFonts w:hint="eastAsia"/>
                <w:b/>
                <w:bCs/>
                <w:color w:val="000000"/>
                <w:sz w:val="24"/>
              </w:rPr>
              <w:t>→</w:t>
            </w:r>
            <w:r>
              <w:rPr>
                <w:rFonts w:hint="eastAsia"/>
                <w:b/>
                <w:bCs/>
                <w:color w:val="000000"/>
                <w:sz w:val="24"/>
              </w:rPr>
              <w:t>交通工程、照明工程、绿化工程等。</w:t>
            </w:r>
          </w:p>
          <w:p>
            <w:pPr>
              <w:adjustRightInd w:val="0"/>
              <w:snapToGrid w:val="0"/>
              <w:spacing w:line="360" w:lineRule="auto"/>
              <w:ind w:firstLine="480" w:firstLineChars="200"/>
              <w:contextualSpacing/>
              <w:rPr>
                <w:bCs/>
                <w:color w:val="000000"/>
                <w:sz w:val="24"/>
              </w:rPr>
            </w:pPr>
            <w:r>
              <w:rPr>
                <w:bCs/>
                <w:color w:val="000000"/>
                <w:sz w:val="24"/>
              </w:rPr>
              <w:t>1</w:t>
            </w:r>
            <w:r>
              <w:rPr>
                <w:rFonts w:hint="eastAsia"/>
                <w:bCs/>
                <w:color w:val="000000"/>
                <w:sz w:val="24"/>
              </w:rPr>
              <w:t>、路基施工方案</w:t>
            </w:r>
          </w:p>
          <w:p>
            <w:pPr>
              <w:adjustRightInd w:val="0"/>
              <w:snapToGrid w:val="0"/>
              <w:spacing w:line="360" w:lineRule="auto"/>
              <w:ind w:firstLine="480" w:firstLineChars="200"/>
              <w:contextualSpacing/>
              <w:rPr>
                <w:rFonts w:hint="eastAsia"/>
                <w:bCs/>
                <w:color w:val="000000"/>
                <w:sz w:val="24"/>
              </w:rPr>
            </w:pPr>
            <w:r>
              <w:rPr>
                <w:rFonts w:hint="eastAsia"/>
                <w:bCs/>
                <w:color w:val="000000"/>
                <w:sz w:val="24"/>
              </w:rPr>
              <w:t>路基施工工序为：施工前机械清表</w:t>
            </w:r>
            <w:r>
              <w:rPr>
                <w:rFonts w:hint="eastAsia"/>
                <w:bCs/>
                <w:color w:val="000000"/>
                <w:sz w:val="24"/>
              </w:rPr>
              <w:t>→</w:t>
            </w:r>
            <w:r>
              <w:rPr>
                <w:rFonts w:hint="eastAsia"/>
                <w:bCs/>
                <w:color w:val="000000"/>
                <w:sz w:val="24"/>
              </w:rPr>
              <w:t>基底处理（清理、填前压实等）</w:t>
            </w:r>
            <w:r>
              <w:rPr>
                <w:rFonts w:hint="eastAsia"/>
                <w:bCs/>
                <w:color w:val="000000"/>
                <w:sz w:val="24"/>
              </w:rPr>
              <w:t>→</w:t>
            </w:r>
            <w:r>
              <w:rPr>
                <w:rFonts w:hint="eastAsia"/>
                <w:bCs/>
                <w:color w:val="000000"/>
                <w:sz w:val="24"/>
              </w:rPr>
              <w:t>分层填筑</w:t>
            </w:r>
            <w:r>
              <w:rPr>
                <w:rFonts w:hint="eastAsia"/>
                <w:bCs/>
                <w:color w:val="000000"/>
                <w:sz w:val="24"/>
              </w:rPr>
              <w:t>→</w:t>
            </w:r>
            <w:r>
              <w:rPr>
                <w:rFonts w:hint="eastAsia"/>
                <w:bCs/>
                <w:color w:val="000000"/>
                <w:sz w:val="24"/>
              </w:rPr>
              <w:t>摊铺平整</w:t>
            </w:r>
            <w:r>
              <w:rPr>
                <w:rFonts w:hint="eastAsia"/>
                <w:bCs/>
                <w:color w:val="000000"/>
                <w:sz w:val="24"/>
              </w:rPr>
              <w:t>→</w:t>
            </w:r>
            <w:r>
              <w:rPr>
                <w:rFonts w:hint="eastAsia"/>
                <w:bCs/>
                <w:color w:val="000000"/>
                <w:sz w:val="24"/>
              </w:rPr>
              <w:t>洒水晾晒</w:t>
            </w:r>
            <w:r>
              <w:rPr>
                <w:rFonts w:hint="eastAsia"/>
                <w:bCs/>
                <w:color w:val="000000"/>
                <w:sz w:val="24"/>
              </w:rPr>
              <w:t>→</w:t>
            </w:r>
            <w:r>
              <w:rPr>
                <w:rFonts w:hint="eastAsia"/>
                <w:bCs/>
                <w:color w:val="000000"/>
                <w:sz w:val="24"/>
              </w:rPr>
              <w:t>碾压夯实</w:t>
            </w:r>
            <w:r>
              <w:rPr>
                <w:rFonts w:hint="eastAsia"/>
                <w:bCs/>
                <w:color w:val="000000"/>
                <w:sz w:val="24"/>
              </w:rPr>
              <w:t>→</w:t>
            </w:r>
            <w:r>
              <w:rPr>
                <w:rFonts w:hint="eastAsia"/>
                <w:bCs/>
                <w:color w:val="000000"/>
                <w:sz w:val="24"/>
              </w:rPr>
              <w:t>路基整修。根据施工现场情况，先期安排排水管道工程施工，特别是对当地水系有影响的部位要优先安排施工。路基土石方工程以机械施工为主，适当的配合人力施工的方案。填方路基采用逐层填筑，分层压实的方法施工，分层碾压厚度不大于</w:t>
            </w:r>
            <w:r>
              <w:rPr>
                <w:bCs/>
                <w:color w:val="000000"/>
                <w:sz w:val="24"/>
              </w:rPr>
              <w:t>30cm</w:t>
            </w:r>
            <w:r>
              <w:rPr>
                <w:rFonts w:hint="eastAsia"/>
                <w:bCs/>
                <w:color w:val="000000"/>
                <w:sz w:val="24"/>
              </w:rPr>
              <w:t>。填筑过程中每层完成以路基中心为界形成</w:t>
            </w:r>
            <w:r>
              <w:rPr>
                <w:bCs/>
                <w:color w:val="000000"/>
                <w:sz w:val="24"/>
              </w:rPr>
              <w:t>4%</w:t>
            </w:r>
            <w:r>
              <w:rPr>
                <w:rFonts w:hint="eastAsia"/>
                <w:bCs/>
                <w:color w:val="000000"/>
                <w:sz w:val="24"/>
              </w:rPr>
              <w:t>横坡以使排水。</w:t>
            </w:r>
          </w:p>
          <w:p>
            <w:pPr>
              <w:adjustRightInd w:val="0"/>
              <w:snapToGrid w:val="0"/>
              <w:spacing w:line="360" w:lineRule="auto"/>
              <w:ind w:firstLine="480" w:firstLineChars="200"/>
              <w:contextualSpacing/>
              <w:rPr>
                <w:bCs/>
                <w:color w:val="000000"/>
                <w:sz w:val="24"/>
              </w:rPr>
            </w:pPr>
            <w:r>
              <w:rPr>
                <w:bCs/>
                <w:color w:val="000000"/>
                <w:sz w:val="24"/>
              </w:rPr>
              <w:t>2</w:t>
            </w:r>
            <w:r>
              <w:rPr>
                <w:rFonts w:hint="eastAsia"/>
                <w:bCs/>
                <w:color w:val="000000"/>
                <w:sz w:val="24"/>
              </w:rPr>
              <w:t>、路面施工方案</w:t>
            </w:r>
          </w:p>
          <w:p>
            <w:pPr>
              <w:adjustRightInd w:val="0"/>
              <w:snapToGrid w:val="0"/>
              <w:spacing w:line="360" w:lineRule="auto"/>
              <w:ind w:firstLine="480" w:firstLineChars="200"/>
              <w:contextualSpacing/>
              <w:rPr>
                <w:rFonts w:hint="eastAsia"/>
                <w:bCs/>
                <w:color w:val="000000"/>
                <w:sz w:val="24"/>
              </w:rPr>
            </w:pPr>
            <w:r>
              <w:rPr>
                <w:rFonts w:hint="eastAsia"/>
                <w:bCs/>
                <w:color w:val="000000"/>
                <w:sz w:val="24"/>
              </w:rPr>
              <w:t>利用商用沥青混凝土，工程专用自卸车运输，平地机铺筑，光轮压路机碾压。</w:t>
            </w:r>
          </w:p>
          <w:p>
            <w:pPr>
              <w:adjustRightInd w:val="0"/>
              <w:snapToGrid w:val="0"/>
              <w:spacing w:line="360" w:lineRule="auto"/>
              <w:ind w:firstLine="480" w:firstLineChars="200"/>
              <w:contextualSpacing/>
              <w:rPr>
                <w:bCs/>
                <w:color w:val="000000"/>
                <w:sz w:val="24"/>
              </w:rPr>
            </w:pPr>
            <w:r>
              <w:rPr>
                <w:rFonts w:hint="eastAsia"/>
                <w:bCs/>
                <w:color w:val="000000"/>
                <w:sz w:val="24"/>
              </w:rPr>
              <w:t>3、排水工程</w:t>
            </w:r>
          </w:p>
          <w:p>
            <w:pPr>
              <w:adjustRightInd w:val="0"/>
              <w:snapToGrid w:val="0"/>
              <w:spacing w:line="360" w:lineRule="auto"/>
              <w:ind w:firstLine="480" w:firstLineChars="200"/>
              <w:contextualSpacing/>
              <w:rPr>
                <w:rFonts w:hint="eastAsia"/>
                <w:bCs/>
                <w:color w:val="000000"/>
                <w:sz w:val="24"/>
              </w:rPr>
            </w:pPr>
            <w:r>
              <w:rPr>
                <w:rFonts w:hint="eastAsia"/>
                <w:bCs/>
                <w:color w:val="000000"/>
                <w:sz w:val="24"/>
              </w:rPr>
              <w:t>本项目排水工程主要为道路两侧的雨水、污水管网。排水工程施工工序为：测量放线</w:t>
            </w:r>
            <w:r>
              <w:rPr>
                <w:rFonts w:hint="eastAsia"/>
                <w:bCs/>
                <w:color w:val="000000"/>
                <w:sz w:val="24"/>
              </w:rPr>
              <w:t>→</w:t>
            </w:r>
            <w:r>
              <w:rPr>
                <w:rFonts w:hint="eastAsia"/>
                <w:bCs/>
                <w:color w:val="000000"/>
                <w:sz w:val="24"/>
              </w:rPr>
              <w:t>管沟开挖</w:t>
            </w:r>
            <w:r>
              <w:rPr>
                <w:rFonts w:hint="eastAsia"/>
                <w:bCs/>
                <w:color w:val="000000"/>
                <w:sz w:val="24"/>
              </w:rPr>
              <w:t>→</w:t>
            </w:r>
            <w:r>
              <w:rPr>
                <w:rFonts w:hint="eastAsia"/>
                <w:bCs/>
                <w:color w:val="000000"/>
                <w:sz w:val="24"/>
              </w:rPr>
              <w:t>管沟处理</w:t>
            </w:r>
            <w:r>
              <w:rPr>
                <w:rFonts w:hint="eastAsia"/>
                <w:bCs/>
                <w:color w:val="000000"/>
                <w:sz w:val="24"/>
              </w:rPr>
              <w:t>→</w:t>
            </w:r>
            <w:r>
              <w:rPr>
                <w:rFonts w:hint="eastAsia"/>
                <w:bCs/>
                <w:color w:val="000000"/>
                <w:sz w:val="24"/>
              </w:rPr>
              <w:t>管道敷设</w:t>
            </w:r>
            <w:r>
              <w:rPr>
                <w:rFonts w:hint="eastAsia"/>
                <w:bCs/>
                <w:color w:val="000000"/>
                <w:sz w:val="24"/>
              </w:rPr>
              <w:t>→</w:t>
            </w:r>
            <w:r>
              <w:rPr>
                <w:rFonts w:hint="eastAsia"/>
                <w:bCs/>
                <w:color w:val="000000"/>
                <w:sz w:val="24"/>
              </w:rPr>
              <w:t>管道施工验收</w:t>
            </w:r>
            <w:r>
              <w:rPr>
                <w:rFonts w:hint="eastAsia"/>
                <w:bCs/>
                <w:color w:val="000000"/>
                <w:sz w:val="24"/>
              </w:rPr>
              <w:t>→</w:t>
            </w:r>
            <w:r>
              <w:rPr>
                <w:rFonts w:hint="eastAsia"/>
                <w:bCs/>
                <w:color w:val="000000"/>
                <w:sz w:val="24"/>
              </w:rPr>
              <w:t>回填土方。</w:t>
            </w:r>
          </w:p>
        </w:tc>
      </w:tr>
    </w:tbl>
    <w:p>
      <w:pPr>
        <w:sectPr>
          <w:footerReference w:type="even" r:id="rId68"/>
          <w:footerReference w:type="default" r:id="rId69"/>
          <w:type w:val="nextPage"/>
          <w:pgSz w:w="11906" w:h="16838"/>
          <w:pgMar w:top="1440" w:right="1797" w:bottom="1440" w:left="1797" w:header="851" w:footer="1077" w:gutter="0"/>
          <w:pgNumType w:start="29"/>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2"/>
        <w:gridCol w:w="8076"/>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1833"/>
          <w:jc w:val="center"/>
        </w:trPr>
        <w:tc>
          <w:tcPr>
            <w:tcW w:w="308" w:type="pct"/>
            <w:vAlign w:val="center"/>
          </w:tcPr>
          <w:p/>
        </w:tc>
        <w:tc>
          <w:tcPr>
            <w:tcW w:w="4692" w:type="pct"/>
            <w:vAlign w:val="center"/>
          </w:tcPr>
          <w:p>
            <w:pPr>
              <w:adjustRightInd w:val="0"/>
              <w:snapToGrid w:val="0"/>
              <w:spacing w:line="360" w:lineRule="auto"/>
              <w:ind w:firstLine="480" w:firstLineChars="200"/>
              <w:contextualSpacing/>
              <w:rPr>
                <w:rFonts w:hint="eastAsia"/>
                <w:color w:val="000000"/>
                <w:kern w:val="0"/>
                <w:sz w:val="24"/>
              </w:rPr>
            </w:pPr>
            <w:r>
              <w:rPr>
                <w:rFonts w:hint="eastAsia"/>
                <w:bCs/>
                <w:color w:val="000000"/>
                <w:sz w:val="24"/>
              </w:rPr>
              <w:t>4、</w:t>
            </w:r>
            <w:r>
              <w:rPr>
                <w:rFonts w:hint="eastAsia"/>
                <w:color w:val="000000"/>
                <w:kern w:val="0"/>
                <w:sz w:val="24"/>
              </w:rPr>
              <w:t>交通工程、照明工程、绿化工程</w:t>
            </w:r>
          </w:p>
          <w:p>
            <w:pPr>
              <w:adjustRightInd w:val="0"/>
              <w:snapToGrid w:val="0"/>
              <w:spacing w:line="360" w:lineRule="auto"/>
              <w:ind w:firstLine="480" w:firstLineChars="200"/>
              <w:contextualSpacing/>
              <w:rPr>
                <w:rFonts w:hint="eastAsia"/>
                <w:color w:val="000000"/>
                <w:kern w:val="0"/>
                <w:sz w:val="24"/>
              </w:rPr>
            </w:pPr>
            <w:r>
              <w:rPr>
                <w:rFonts w:hint="eastAsia"/>
                <w:color w:val="000000"/>
                <w:kern w:val="0"/>
                <w:sz w:val="24"/>
              </w:rPr>
              <w:t>交通工程、照明工程、绿化工程根据设计要求，按照相应的施工规范进行有序施工，施工过程做好各工程之间的衔接，保证施工质量和施工进度。</w:t>
            </w:r>
          </w:p>
          <w:p>
            <w:pPr>
              <w:pStyle w:val="BodyText"/>
              <w:spacing w:before="0" w:after="0" w:line="360" w:lineRule="auto"/>
              <w:ind w:right="0" w:firstLine="480" w:firstLineChars="200"/>
              <w:rPr>
                <w:color w:val="000000"/>
                <w:sz w:val="24"/>
              </w:rPr>
            </w:pPr>
            <w:r>
              <w:rPr>
                <w:color w:val="000000"/>
                <w:sz w:val="24"/>
              </w:rPr>
              <w:t>项目</w:t>
            </w:r>
            <w:r>
              <w:rPr>
                <w:rFonts w:hint="eastAsia"/>
                <w:color w:val="000000"/>
                <w:sz w:val="24"/>
              </w:rPr>
              <w:t>总体</w:t>
            </w:r>
            <w:r>
              <w:rPr>
                <w:color w:val="000000"/>
                <w:sz w:val="24"/>
              </w:rPr>
              <w:t>施工流程</w:t>
            </w:r>
            <w:r>
              <w:rPr>
                <w:rFonts w:hint="eastAsia"/>
                <w:color w:val="000000"/>
                <w:sz w:val="24"/>
              </w:rPr>
              <w:t>及</w:t>
            </w:r>
            <w:r>
              <w:rPr>
                <w:color w:val="000000"/>
                <w:sz w:val="24"/>
              </w:rPr>
              <w:t>产污环节图</w:t>
            </w:r>
            <w:r>
              <w:rPr>
                <w:rFonts w:hint="eastAsia"/>
                <w:color w:val="000000"/>
                <w:sz w:val="24"/>
              </w:rPr>
              <w:t>见下图</w:t>
            </w: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20" w:firstLineChars="200"/>
              <w:contextualSpacing/>
              <w:rPr>
                <w:rFonts w:hint="eastAsia"/>
                <w:color w:val="000000"/>
                <w:kern w:val="0"/>
                <w:sz w:val="24"/>
              </w:rPr>
            </w:pPr>
            <w:r>
              <w:rPr>
                <w:color w:val="000000"/>
              </w:rPr>
              <w:pict>
                <v:group id="画布 43" o:spid="_x0000_s1031" editas="canvas" style="width:394.75pt;height:460.5pt;margin-top:9.6pt;margin-left:-0.8pt;position:absolute;z-index:251658240" coordorigin="2232,1652" coordsize="7895,9210">
                  <o:lock v:ext="edit" aspectratio="t"/>
                  <o:diagram v:ext="edit" dgmstyle="0" dgmscalex="0" dgmscaley="0" reverse="f"/>
                  <v:shape id="_x0000_s1032" type="#_x0000_t75" editas="canvas" style="width:7895;height:9210;left:2232;mso-wrap-style:square;position:absolute;top:1652" filled="f" stroked="f">
                    <v:fill o:detectmouseclick="t"/>
                    <v:stroke linestyle="single"/>
                    <o:lock v:ext="edit" aspectratio="t"/>
                    <o:diagram v:ext="edit" dgmstyle="0" dgmscalex="0" dgmscaley="0" reverse="f"/>
                  </v:shape>
                  <v:shapetype id="_x0000_t202" coordsize="21600,21600" o:spt="202" path="m,l,21600r21600,l21600,xe">
                    <v:stroke joinstyle="miter"/>
                    <v:path gradientshapeok="t" o:connecttype="rect"/>
                  </v:shapetype>
                  <v:shape id="Text Box 26" o:spid="_x0000_s1033" type="#_x0000_t202" style="width:1258;height:469;left:4814;mso-wrap-style:square;position:absolute;top:2714" filled="t" fillcolor="white" stroked="t">
                    <v:stroke linestyle="single"/>
                    <o:lock v:ext="edit" aspectratio="f"/>
                    <v:textbox>
                      <w:txbxContent>
                        <w:p>
                          <w:pPr>
                            <w:jc w:val="center"/>
                          </w:pPr>
                          <w:r>
                            <w:rPr>
                              <w:rFonts w:hint="eastAsia"/>
                              <w:color w:val="000000"/>
                            </w:rPr>
                            <w:t>清表</w:t>
                          </w:r>
                        </w:p>
                      </w:txbxContent>
                    </v:textbox>
                  </v:shape>
                  <v:line id="Line 33" o:spid="_x0000_s1034" style="mso-wrap-style:square;position:absolute" from="5428,3183" to="5429,3646" o:connectortype="straight" stroked="t">
                    <v:stroke linestyle="single" endarrow="classic" endarrowwidth="narrow" endarrowlength="long"/>
                  </v:line>
                  <v:shape id="Text Box 26" o:spid="_x0000_s1035" type="#_x0000_t202" style="width:1258;height:469;left:4814;mso-wrap-style:square;position:absolute;top:3646" filled="t" fillcolor="white" stroked="t">
                    <v:stroke linestyle="single"/>
                    <o:lock v:ext="edit" aspectratio="f"/>
                    <v:textbox>
                      <w:txbxContent>
                        <w:p>
                          <w:pPr>
                            <w:ind w:firstLine="105" w:firstLineChars="50"/>
                          </w:pPr>
                          <w:r>
                            <w:rPr>
                              <w:rFonts w:hint="eastAsia"/>
                              <w:color w:val="000000"/>
                            </w:rPr>
                            <w:t xml:space="preserve">管道施工  </w:t>
                          </w:r>
                        </w:p>
                      </w:txbxContent>
                    </v:textbox>
                  </v:shape>
                  <v:line id="Line 33" o:spid="_x0000_s1036" style="mso-wrap-style:square;position:absolute" from="5429,4115" to="5430,4578" o:connectortype="straight" stroked="t">
                    <v:stroke linestyle="single" endarrow="classic" endarrowwidth="narrow" endarrowlength="long"/>
                  </v:line>
                  <v:shape id="Text Box 26" o:spid="_x0000_s1037" type="#_x0000_t202" style="width:1258;height:469;left:4850;mso-wrap-style:square;position:absolute;top:4578" filled="t" fillcolor="white" stroked="t">
                    <v:stroke linestyle="single"/>
                    <o:lock v:ext="edit" aspectratio="f"/>
                    <v:textbox>
                      <w:txbxContent>
                        <w:p>
                          <w:pPr>
                            <w:ind w:firstLine="105" w:firstLineChars="50"/>
                          </w:pPr>
                          <w:r>
                            <w:rPr>
                              <w:rFonts w:hint="eastAsia"/>
                              <w:color w:val="000000"/>
                            </w:rPr>
                            <w:t xml:space="preserve">路基施工   </w:t>
                          </w:r>
                        </w:p>
                      </w:txbxContent>
                    </v:textbox>
                  </v:shape>
                  <v:line id="Line 33" o:spid="_x0000_s1038" style="mso-wrap-style:square;position:absolute" from="5430,5047" to="5431,5510" o:connectortype="straight" stroked="t">
                    <v:stroke linestyle="single" endarrow="classic" endarrowwidth="narrow" endarrowlength="long"/>
                  </v:line>
                  <v:shape id="Text Box 26" o:spid="_x0000_s1039" type="#_x0000_t202" style="width:1258;height:469;left:4814;mso-wrap-style:square;position:absolute;top:5510" filled="t" fillcolor="white" stroked="t">
                    <v:stroke linestyle="single"/>
                    <o:lock v:ext="edit" aspectratio="f"/>
                    <v:textbox>
                      <w:txbxContent>
                        <w:p>
                          <w:pPr>
                            <w:ind w:firstLine="105" w:firstLineChars="50"/>
                          </w:pPr>
                          <w:r>
                            <w:rPr>
                              <w:rFonts w:hint="eastAsia"/>
                              <w:color w:val="000000"/>
                            </w:rPr>
                            <w:t xml:space="preserve">路面摊铺   </w:t>
                          </w:r>
                        </w:p>
                      </w:txbxContent>
                    </v:textbox>
                  </v:shape>
                  <v:line id="Line 33" o:spid="_x0000_s1040" style="mso-wrap-style:square;position:absolute" from="5427,5979" to="5428,6442" o:connectortype="straight" stroked="t">
                    <v:stroke linestyle="single" endarrow="classic" endarrowwidth="narrow" endarrowlength="long"/>
                  </v:line>
                  <v:shape id="Text Box 26" o:spid="_x0000_s1041" type="#_x0000_t202" style="width:2265;height:469;left:4082;mso-wrap-style:square;position:absolute;top:6442" filled="t" fillcolor="white" stroked="t">
                    <v:stroke linestyle="single"/>
                    <o:lock v:ext="edit" aspectratio="f"/>
                    <v:textbox>
                      <w:txbxContent>
                        <w:p>
                          <w:r>
                            <w:rPr>
                              <w:rFonts w:hint="eastAsia"/>
                              <w:color w:val="000000"/>
                            </w:rPr>
                            <w:t xml:space="preserve">非机动车道面层摊铺   </w:t>
                          </w:r>
                        </w:p>
                      </w:txbxContent>
                    </v:textbox>
                  </v:shape>
                  <v:line id="Line 33" o:spid="_x0000_s1042" style="mso-wrap-style:square;position:absolute" from="5431,6939" to="5432,7402" o:connectortype="straight" stroked="t">
                    <v:stroke linestyle="single" endarrow="classic" endarrowwidth="narrow" endarrowlength="long"/>
                  </v:line>
                  <v:shape id="Text Box 26" o:spid="_x0000_s1043" type="#_x0000_t202" style="width:2700;height:469;left:4082;mso-wrap-style:square;position:absolute;top:7402" filled="t" fillcolor="white" stroked="t">
                    <v:stroke linestyle="single"/>
                    <o:lock v:ext="edit" aspectratio="f"/>
                    <v:textbox>
                      <w:txbxContent>
                        <w:p>
                          <w:pPr>
                            <w:ind w:firstLine="105" w:firstLineChars="50"/>
                          </w:pPr>
                          <w:r>
                            <w:rPr>
                              <w:rFonts w:hint="eastAsia"/>
                              <w:color w:val="000000"/>
                            </w:rPr>
                            <w:t xml:space="preserve">路缘石、标志、标线施工   </w:t>
                          </w:r>
                        </w:p>
                      </w:txbxContent>
                    </v:textbox>
                  </v:shape>
                  <v:line id="Line 33" o:spid="_x0000_s1044" style="mso-wrap-style:square;position:absolute" from="5426,7871" to="5427,8334" o:connectortype="straight" stroked="t">
                    <v:stroke linestyle="single" endarrow="classic" endarrowwidth="narrow" endarrowlength="long"/>
                  </v:line>
                  <v:shape id="Text Box 26" o:spid="_x0000_s1045" type="#_x0000_t202" style="width:3482;height:469;left:3690;mso-wrap-style:square;position:absolute;top:8334" filled="t" fillcolor="white" stroked="t">
                    <v:stroke linestyle="single"/>
                    <o:lock v:ext="edit" aspectratio="f"/>
                    <v:textbox>
                      <w:txbxContent>
                        <w:p>
                          <w:pPr>
                            <w:ind w:firstLine="105" w:firstLineChars="50"/>
                          </w:pPr>
                          <w:r>
                            <w:rPr>
                              <w:rFonts w:hint="eastAsia"/>
                              <w:color w:val="000000"/>
                            </w:rPr>
                            <w:t xml:space="preserve">交通工程、照明工程、绿化工程等施工   </w:t>
                          </w:r>
                        </w:p>
                      </w:txbxContent>
                    </v:textbox>
                  </v:shape>
                  <v:line id="Line 33" o:spid="_x0000_s1046" style="mso-wrap-style:square;position:absolute" from="5425,8803" to="5426,9266" o:connectortype="straight" stroked="t">
                    <v:stroke linestyle="single" endarrow="classic" endarrowwidth="narrow" endarrowlength="long"/>
                  </v:line>
                  <v:shape id="Text Box 26" o:spid="_x0000_s1047" type="#_x0000_t202" style="width:1258;height:469;left:4814;mso-wrap-style:square;position:absolute;top:10198" filled="t" fillcolor="white" stroked="t" strokeweight="1.75pt">
                    <v:stroke linestyle="single"/>
                    <o:lock v:ext="edit" aspectratio="f"/>
                    <v:textbox>
                      <w:txbxContent>
                        <w:p>
                          <w:r>
                            <w:rPr>
                              <w:rFonts w:hint="eastAsia"/>
                              <w:color w:val="000000"/>
                            </w:rPr>
                            <w:t xml:space="preserve">公路运营  </w:t>
                          </w:r>
                        </w:p>
                      </w:txbxContent>
                    </v:textbox>
                  </v:shape>
                  <v:line id="Line 43" o:spid="_x0000_s1048" style="flip:y;mso-wrap-style:square;position:absolute" from="6108,3905" to="6694,3906" o:connectortype="straight" stroked="t" strokeweight="1pt">
                    <v:stroke dashstyle="dash" linestyle="single" endarrow="classic" endarrowwidth="narrow" endarrowlength="long"/>
                  </v:line>
                  <v:shape id="Text Box 40" o:spid="_x0000_s1049" type="#_x0000_t202" style="width:1497;height:468;left:6694;mso-wrap-style:square;position:absolute;top:3661" filled="t" fillcolor="white" stroked="f">
                    <v:stroke linestyle="single"/>
                    <o:lock v:ext="edit" aspectratio="f"/>
                    <v:textbox>
                      <w:txbxContent>
                        <w:p>
                          <w:r>
                            <w:rPr>
                              <w:rFonts w:hint="eastAsia"/>
                            </w:rPr>
                            <w:t>扬尘、噪声</w:t>
                          </w:r>
                        </w:p>
                      </w:txbxContent>
                    </v:textbox>
                  </v:shape>
                  <v:shape id="Text Box 40" o:spid="_x0000_s1050" type="#_x0000_t202" style="width:853;height:468;left:3557;mso-wrap-style:square;position:absolute;top:3646" filled="t" fillcolor="white" stroked="f">
                    <v:stroke linestyle="single"/>
                    <o:lock v:ext="edit" aspectratio="f"/>
                    <v:textbox>
                      <w:txbxContent>
                        <w:p>
                          <w:r>
                            <w:rPr>
                              <w:rFonts w:hint="eastAsia"/>
                            </w:rPr>
                            <w:t>弃方</w:t>
                          </w:r>
                        </w:p>
                      </w:txbxContent>
                    </v:textbox>
                  </v:shape>
                  <v:line id="Line 43" o:spid="_x0000_s1051" style="flip:x y;mso-wrap-style:square;position:absolute" from="4304,3874" to="4814,3875" o:connectortype="straight" stroked="t" strokeweight="1pt">
                    <v:stroke dashstyle="dash" linestyle="single" endarrow="classic" endarrowwidth="narrow" endarrowlength="long"/>
                  </v:line>
                  <v:line id="Line 43" o:spid="_x0000_s1052" style="flip:y;mso-wrap-style:square;position:absolute" from="6170,4820" to="6756,4821" o:connectortype="straight" stroked="t" strokeweight="1pt">
                    <v:stroke dashstyle="dash" linestyle="single" endarrow="classic" endarrowwidth="narrow" endarrowlength="long"/>
                  </v:line>
                  <v:shape id="Text Box 40" o:spid="_x0000_s1053" type="#_x0000_t202" style="width:2322;height:468;left:6694;mso-wrap-style:square;position:absolute;top:4578" filled="t" fillcolor="white" stroked="f">
                    <v:stroke linestyle="single"/>
                    <o:lock v:ext="edit" aspectratio="f"/>
                    <v:textbox>
                      <w:txbxContent>
                        <w:p>
                          <w:r>
                            <w:rPr>
                              <w:rFonts w:hint="eastAsia"/>
                            </w:rPr>
                            <w:t>扬尘、噪声、施工废水</w:t>
                          </w:r>
                        </w:p>
                      </w:txbxContent>
                    </v:textbox>
                  </v:shape>
                  <v:line id="Line 43" o:spid="_x0000_s1054" style="flip:y;mso-wrap-style:square;position:absolute" from="6072,5765" to="6658,5766" o:connectortype="straight" stroked="t" strokeweight="1pt">
                    <v:stroke dashstyle="dash" linestyle="single" endarrow="classic" endarrowwidth="narrow" endarrowlength="long"/>
                  </v:line>
                  <v:shape id="Text Box 40" o:spid="_x0000_s1055" type="#_x0000_t202" style="width:1729;height:468;left:6658;mso-wrap-style:square;position:absolute;top:5536" filled="t" fillcolor="white" stroked="f">
                    <v:stroke linestyle="single"/>
                    <o:lock v:ext="edit" aspectratio="f"/>
                    <v:textbox>
                      <w:txbxContent>
                        <w:p>
                          <w:r>
                            <w:rPr>
                              <w:rFonts w:hint="eastAsia"/>
                            </w:rPr>
                            <w:t>沥青烟、噪声</w:t>
                          </w:r>
                        </w:p>
                      </w:txbxContent>
                    </v:textbox>
                  </v:shape>
                  <v:line id="Line 43" o:spid="_x0000_s1056" style="flip:y;mso-wrap-style:square;position:absolute" from="6782,7670" to="7368,7671" o:connectortype="straight" stroked="t" strokeweight="1pt">
                    <v:stroke dashstyle="dash" linestyle="single" endarrow="classic" endarrowwidth="narrow" endarrowlength="long"/>
                  </v:line>
                  <v:shape id="Text Box 40" o:spid="_x0000_s1057" type="#_x0000_t202" style="width:1497;height:468;left:7368;mso-wrap-style:square;position:absolute;top:7473" filled="t" fillcolor="white" stroked="f">
                    <v:stroke linestyle="single"/>
                    <o:lock v:ext="edit" aspectratio="f"/>
                    <v:textbox>
                      <w:txbxContent>
                        <w:p>
                          <w:r>
                            <w:rPr>
                              <w:rFonts w:hint="eastAsia"/>
                            </w:rPr>
                            <w:t>噪声</w:t>
                          </w:r>
                        </w:p>
                      </w:txbxContent>
                    </v:textbox>
                  </v:shape>
                  <v:line id="Line 43" o:spid="_x0000_s1058" style="flip:x y;mso-wrap-style:square;position:absolute" from="4304,4819" to="4814,4820" o:connectortype="straight" stroked="t" strokeweight="1pt">
                    <v:stroke dashstyle="dash" linestyle="single" endarrow="classic" endarrowwidth="narrow" endarrowlength="long"/>
                  </v:line>
                  <v:shape id="Text Box 40" o:spid="_x0000_s1059" type="#_x0000_t202" style="width:732;height:468;left:3602;mso-wrap-style:square;position:absolute;top:4579" filled="t" fillcolor="white" stroked="f">
                    <v:stroke linestyle="single"/>
                    <o:lock v:ext="edit" aspectratio="f"/>
                    <v:textbox>
                      <w:txbxContent>
                        <w:p>
                          <w:r>
                            <w:rPr>
                              <w:rFonts w:hint="eastAsia"/>
                            </w:rPr>
                            <w:t>弃方</w:t>
                          </w:r>
                        </w:p>
                      </w:txbxContent>
                    </v:textbox>
                  </v:shape>
                  <v:shapetype id="_x0000_t32" coordsize="21600,21600" o:spt="32" o:oned="t" path="m,l21600,21600e" filled="f">
                    <v:path arrowok="t" fillok="f" o:connecttype="none"/>
                    <o:lock v:ext="edit" shapetype="t"/>
                  </v:shapetype>
                  <v:shape id="AutoShape 76" o:spid="_x0000_s1060" type="#_x0000_t32" style="width:850;height:1;flip:x;left:2766;mso-wrap-style:square;position:absolute;top:3892" o:connectortype="straight" filled="f" stroked="t">
                    <v:stroke linestyle="single"/>
                    <v:path arrowok="t" fillok="f"/>
                    <o:lock v:ext="edit" aspectratio="f"/>
                  </v:shape>
                  <v:shape id="AutoShape 77" o:spid="_x0000_s1061" type="#_x0000_t32" style="width:850;height:1;flip:x;left:2767;mso-wrap-style:square;position:absolute;top:4817" o:connectortype="straight" filled="f" stroked="t">
                    <v:stroke linestyle="single"/>
                    <v:path arrowok="t" fillok="f"/>
                    <o:lock v:ext="edit" aspectratio="f"/>
                  </v:shape>
                  <v:shape id="AutoShape 80" o:spid="_x0000_s1062" type="#_x0000_t32" style="width:1;height:6563;left:2766;mso-wrap-style:square;position:absolute;top:2930" o:connectortype="straight" filled="f" stroked="t">
                    <v:stroke linestyle="single"/>
                    <v:path arrowok="t" fillok="f"/>
                    <o:lock v:ext="edit" aspectratio="f"/>
                  </v:shape>
                  <v:shape id="AutoShape 81" o:spid="_x0000_s1063" type="#_x0000_t32" style="width:2069;height:3;flip:y;left:2767;mso-wrap-style:square;position:absolute;top:9490" o:connectortype="straight" filled="f" stroked="t">
                    <v:stroke linestyle="single" endarrow="block"/>
                    <v:path arrowok="t" fillok="f"/>
                    <o:lock v:ext="edit" aspectratio="f"/>
                  </v:shape>
                  <v:line id="Line 43" o:spid="_x0000_s1064" style="flip:y;mso-wrap-style:square;position:absolute" from="6108,10467" to="6694,10468" o:connectortype="straight" stroked="t" strokeweight="1pt">
                    <v:stroke dashstyle="dash" linestyle="single" endarrow="classic" endarrowwidth="narrow" endarrowlength="long"/>
                  </v:line>
                  <v:shape id="Text Box 40" o:spid="_x0000_s1065" type="#_x0000_t202" style="width:3318;height:468;left:6658;mso-wrap-style:square;position:absolute;top:10240" filled="t" fillcolor="white" stroked="f">
                    <v:stroke linestyle="single"/>
                    <o:lock v:ext="edit" aspectratio="f"/>
                    <v:textbox>
                      <w:txbxContent>
                        <w:p>
                          <w:r>
                            <w:rPr>
                              <w:rFonts w:hint="eastAsia"/>
                            </w:rPr>
                            <w:t>汽车尾气、交通噪声、固体垃圾</w:t>
                          </w:r>
                        </w:p>
                      </w:txbxContent>
                    </v:textbox>
                  </v:shape>
                  <v:shape id="Text Box 26" o:spid="_x0000_s1066" type="#_x0000_t202" style="width:1258;height:469;left:4787;mso-wrap-style:square;position:absolute;top:1780" filled="t" fillcolor="white" stroked="t">
                    <v:stroke linestyle="single"/>
                    <o:lock v:ext="edit" aspectratio="f"/>
                    <v:textbox>
                      <w:txbxContent>
                        <w:p>
                          <w:r>
                            <w:rPr>
                              <w:rFonts w:hint="eastAsia"/>
                              <w:color w:val="000000"/>
                            </w:rPr>
                            <w:t xml:space="preserve">施工准备   </w:t>
                          </w:r>
                        </w:p>
                      </w:txbxContent>
                    </v:textbox>
                  </v:shape>
                  <v:line id="Line 33" o:spid="_x0000_s1067" style="mso-wrap-style:square;position:absolute" from="5403,2249" to="5404,2712" o:connectortype="straight" stroked="t">
                    <v:stroke linestyle="single" endarrow="classic" endarrowwidth="narrow" endarrowlength="long"/>
                  </v:line>
                  <v:line id="Line 43" o:spid="_x0000_s1068" style="flip:y;mso-wrap-style:square;position:absolute" from="6072,2928" to="6658,2929" o:connectortype="straight" stroked="t" strokeweight="1pt">
                    <v:stroke dashstyle="dash" linestyle="single" endarrow="classic" endarrowwidth="narrow" endarrowlength="long"/>
                  </v:line>
                  <v:shape id="Text Box 40" o:spid="_x0000_s1069" type="#_x0000_t202" style="width:1497;height:468;left:6658;mso-wrap-style:square;position:absolute;top:2712" filled="t" fillcolor="white" stroked="f">
                    <v:stroke linestyle="single"/>
                    <o:lock v:ext="edit" aspectratio="f"/>
                    <v:textbox>
                      <w:txbxContent>
                        <w:p>
                          <w:r>
                            <w:rPr>
                              <w:rFonts w:hint="eastAsia"/>
                            </w:rPr>
                            <w:t>扬尘、噪声</w:t>
                          </w:r>
                        </w:p>
                      </w:txbxContent>
                    </v:textbox>
                  </v:shape>
                  <v:line id="Line 43" o:spid="_x0000_s1070" style="flip:x y;mso-wrap-style:square;position:absolute" from="4277,2929" to="4787,2930" o:connectortype="straight" stroked="t" strokeweight="1pt">
                    <v:stroke dashstyle="dash" linestyle="single" endarrow="classic" endarrowwidth="narrow" endarrowlength="long"/>
                  </v:line>
                  <v:shape id="Text Box 40" o:spid="_x0000_s1071" type="#_x0000_t202" style="width:853;height:468;left:3515;mso-wrap-style:square;position:absolute;top:2712" filled="t" fillcolor="white" stroked="f">
                    <v:stroke linestyle="single"/>
                    <o:lock v:ext="edit" aspectratio="f"/>
                    <v:textbox>
                      <w:txbxContent>
                        <w:p>
                          <w:r>
                            <w:rPr>
                              <w:rFonts w:hint="eastAsia"/>
                            </w:rPr>
                            <w:t>弃方</w:t>
                          </w:r>
                        </w:p>
                      </w:txbxContent>
                    </v:textbox>
                  </v:shape>
                  <v:shape id="AutoShape 92" o:spid="_x0000_s1072" type="#_x0000_t32" style="width:850;height:1;flip:x;left:2766;mso-wrap-style:square;position:absolute;top:2927" o:connectortype="straight" filled="f" stroked="t">
                    <v:stroke linestyle="single"/>
                    <v:path arrowok="t" fillok="f"/>
                    <o:lock v:ext="edit" aspectratio="f"/>
                  </v:shape>
                  <v:line id="Line 43" o:spid="_x0000_s1073" style="flip:y;mso-wrap-style:square;position:absolute" from="6347,6681" to="6933,6682" o:connectortype="straight" stroked="t" strokeweight="1pt">
                    <v:stroke dashstyle="dash" linestyle="single" endarrow="classic" endarrowwidth="narrow" endarrowlength="long"/>
                  </v:line>
                  <v:shape id="Text Box 40" o:spid="_x0000_s1074" type="#_x0000_t202" style="width:1793;height:468;left:6933;mso-wrap-style:square;position:absolute;top:6443" filled="t" fillcolor="white" stroked="f">
                    <v:stroke linestyle="single"/>
                    <o:lock v:ext="edit" aspectratio="f"/>
                    <v:textbox>
                      <w:txbxContent>
                        <w:p>
                          <w:r>
                            <w:rPr>
                              <w:rFonts w:hint="eastAsia"/>
                            </w:rPr>
                            <w:t>噪声</w:t>
                          </w:r>
                        </w:p>
                        <w:p/>
                      </w:txbxContent>
                    </v:textbox>
                  </v:shape>
                  <v:line id="Line 33" o:spid="_x0000_s1075" style="mso-wrap-style:square;position:absolute" from="5432,9735" to="5433,10198" o:connectortype="straight" stroked="t">
                    <v:stroke linestyle="single" endarrow="classic" endarrowwidth="narrow" endarrowlength="long"/>
                  </v:line>
                  <v:shape id="Text Box 26" o:spid="_x0000_s1076" type="#_x0000_t202" style="width:1258;height:469;left:4828;mso-wrap-style:square;position:absolute;top:9266" filled="t" fillcolor="white" stroked="t">
                    <v:stroke linestyle="single"/>
                    <o:lock v:ext="edit" aspectratio="f"/>
                    <v:textbox>
                      <w:txbxContent>
                        <w:p>
                          <w:r>
                            <w:rPr>
                              <w:rFonts w:hint="eastAsia"/>
                              <w:color w:val="000000"/>
                            </w:rPr>
                            <w:t xml:space="preserve">平整场地   </w:t>
                          </w:r>
                        </w:p>
                      </w:txbxContent>
                    </v:textbox>
                  </v:shape>
                  <v:line id="Line 43" o:spid="_x0000_s1077" style="flip:y;mso-wrap-style:square;position:absolute" from="7172,8593" to="7758,8594" o:connectortype="straight" stroked="t" strokeweight="1pt">
                    <v:stroke dashstyle="dash" linestyle="single" endarrow="classic" endarrowwidth="narrow" endarrowlength="long"/>
                  </v:line>
                  <v:shape id="Text Box 40" o:spid="_x0000_s1078" type="#_x0000_t202" style="width:1497;height:468;left:7771;mso-wrap-style:square;position:absolute;top:8377" filled="t" fillcolor="white" stroked="f">
                    <v:stroke linestyle="single"/>
                    <o:lock v:ext="edit" aspectratio="f"/>
                    <v:textbox>
                      <w:txbxContent>
                        <w:p>
                          <w:r>
                            <w:rPr>
                              <w:rFonts w:hint="eastAsia"/>
                            </w:rPr>
                            <w:t>噪声、扬尘</w:t>
                          </w:r>
                        </w:p>
                      </w:txbxContent>
                    </v:textbox>
                  </v:shape>
                  <v:line id="Line 43" o:spid="_x0000_s1079" style="flip:y;mso-wrap-style:square;position:absolute" from="6108,9490" to="6694,9491" o:connectortype="straight" stroked="t" strokeweight="1pt">
                    <v:stroke dashstyle="dash" linestyle="single" endarrow="classic" endarrowwidth="narrow" endarrowlength="long"/>
                  </v:line>
                  <v:shape id="Text Box 40" o:spid="_x0000_s1080" type="#_x0000_t202" style="width:1497;height:468;left:6658;mso-wrap-style:square;position:absolute;top:9267" filled="t" fillcolor="white" stroked="f">
                    <v:stroke linestyle="single"/>
                    <o:lock v:ext="edit" aspectratio="f"/>
                    <v:textbox>
                      <w:txbxContent>
                        <w:p>
                          <w:r>
                            <w:rPr>
                              <w:rFonts w:hint="eastAsia"/>
                            </w:rPr>
                            <w:t>噪声、扬尘</w:t>
                          </w:r>
                        </w:p>
                      </w:txbxContent>
                    </v:textbox>
                  </v:shape>
                </v:group>
              </w:pict>
            </w: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adjustRightInd w:val="0"/>
              <w:snapToGrid w:val="0"/>
              <w:spacing w:line="360" w:lineRule="auto"/>
              <w:ind w:firstLine="480" w:firstLineChars="200"/>
              <w:contextualSpacing/>
              <w:rPr>
                <w:rFonts w:hint="eastAsia"/>
                <w:color w:val="000000"/>
                <w:kern w:val="0"/>
                <w:sz w:val="24"/>
              </w:rPr>
            </w:pPr>
          </w:p>
          <w:p>
            <w:pPr>
              <w:pStyle w:val="BodyText"/>
              <w:spacing w:before="0" w:after="0" w:line="360" w:lineRule="auto"/>
              <w:ind w:right="0" w:firstLine="480" w:firstLineChars="200"/>
              <w:jc w:val="center"/>
              <w:rPr>
                <w:b/>
                <w:bCs/>
                <w:color w:val="000000"/>
                <w:sz w:val="24"/>
              </w:rPr>
            </w:pPr>
            <w:r>
              <w:rPr>
                <w:b/>
                <w:bCs/>
                <w:color w:val="000000"/>
                <w:sz w:val="24"/>
              </w:rPr>
              <w:t>图</w:t>
            </w:r>
            <w:r>
              <w:rPr>
                <w:rFonts w:hint="eastAsia"/>
                <w:b/>
                <w:bCs/>
                <w:color w:val="000000"/>
                <w:sz w:val="24"/>
              </w:rPr>
              <w:t>2-6</w:t>
            </w:r>
            <w:r>
              <w:rPr>
                <w:b/>
                <w:bCs/>
                <w:color w:val="000000"/>
                <w:sz w:val="24"/>
              </w:rPr>
              <w:t xml:space="preserve">  </w:t>
            </w:r>
            <w:r>
              <w:rPr>
                <w:rFonts w:hint="eastAsia"/>
                <w:b/>
                <w:bCs/>
                <w:color w:val="000000"/>
                <w:sz w:val="24"/>
              </w:rPr>
              <w:t>项目公路施工</w:t>
            </w:r>
            <w:r>
              <w:rPr>
                <w:b/>
                <w:bCs/>
                <w:color w:val="000000"/>
                <w:sz w:val="24"/>
              </w:rPr>
              <w:t>流程及产污环节图</w:t>
            </w:r>
          </w:p>
          <w:p>
            <w:pPr>
              <w:adjustRightInd w:val="0"/>
              <w:snapToGrid w:val="0"/>
              <w:spacing w:line="360" w:lineRule="auto"/>
              <w:ind w:firstLine="480" w:firstLineChars="200"/>
              <w:contextualSpacing/>
              <w:rPr>
                <w:rFonts w:hint="eastAsia"/>
                <w:b/>
                <w:bCs/>
                <w:color w:val="000000"/>
                <w:sz w:val="24"/>
              </w:rPr>
            </w:pPr>
            <w:r>
              <w:rPr>
                <w:rFonts w:hint="eastAsia"/>
                <w:b/>
                <w:bCs/>
                <w:color w:val="000000"/>
                <w:sz w:val="24"/>
              </w:rPr>
              <w:t>二、项目建设周期及进度</w:t>
            </w:r>
          </w:p>
          <w:p>
            <w:pPr>
              <w:adjustRightInd w:val="0"/>
              <w:snapToGrid w:val="0"/>
              <w:spacing w:after="0" w:line="360" w:lineRule="auto"/>
              <w:ind w:firstLine="480" w:firstLineChars="200"/>
              <w:rPr>
                <w:color w:val="000000"/>
                <w:kern w:val="0"/>
                <w:sz w:val="24"/>
              </w:rPr>
            </w:pPr>
          </w:p>
        </w:tc>
      </w:tr>
    </w:tbl>
    <w:p>
      <w:pPr>
        <w:sectPr>
          <w:footerReference w:type="even" r:id="rId70"/>
          <w:footerReference w:type="default" r:id="rId71"/>
          <w:type w:val="nextPage"/>
          <w:pgSz w:w="11906" w:h="16838"/>
          <w:pgMar w:top="1440" w:right="1797" w:bottom="1440" w:left="1797" w:header="851" w:footer="1077" w:gutter="0"/>
          <w:pgNumType w:start="30"/>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2"/>
        <w:gridCol w:w="8076"/>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1833"/>
          <w:jc w:val="center"/>
        </w:trPr>
        <w:tc>
          <w:tcPr>
            <w:tcW w:w="308" w:type="pct"/>
            <w:vAlign w:val="center"/>
          </w:tcPr>
          <w:p/>
        </w:tc>
        <w:tc>
          <w:tcPr>
            <w:tcW w:w="4692" w:type="pct"/>
            <w:vAlign w:val="center"/>
          </w:tcPr>
          <w:p>
            <w:pPr>
              <w:adjustRightInd w:val="0"/>
              <w:snapToGrid w:val="0"/>
              <w:spacing w:before="0" w:line="360" w:lineRule="auto"/>
              <w:ind w:firstLine="480" w:firstLineChars="200"/>
              <w:rPr>
                <w:color w:val="000000"/>
                <w:kern w:val="0"/>
                <w:sz w:val="24"/>
              </w:rPr>
            </w:pPr>
            <w:r>
              <w:rPr>
                <w:rFonts w:hint="eastAsia"/>
                <w:color w:val="000000"/>
                <w:kern w:val="0"/>
                <w:sz w:val="24"/>
              </w:rPr>
              <w:t>本项目拟自项目开工日起，计划工期为5个月，具体计划以业主单位拟定施工计划为准。</w:t>
            </w:r>
          </w:p>
          <w:p>
            <w:pPr>
              <w:adjustRightInd w:val="0"/>
              <w:snapToGrid w:val="0"/>
              <w:spacing w:line="360" w:lineRule="auto"/>
              <w:ind w:firstLine="480" w:firstLineChars="200"/>
              <w:rPr>
                <w:color w:val="000000"/>
                <w:kern w:val="0"/>
                <w:sz w:val="24"/>
              </w:rPr>
            </w:pPr>
            <w:r>
              <w:rPr>
                <w:color w:val="000000"/>
                <w:kern w:val="0"/>
                <w:sz w:val="24"/>
              </w:rPr>
              <w:t>1</w:t>
            </w:r>
            <w:r>
              <w:rPr>
                <w:rFonts w:hint="eastAsia"/>
                <w:color w:val="000000"/>
                <w:kern w:val="0"/>
                <w:sz w:val="24"/>
              </w:rPr>
              <w:t>、施工准备：</w:t>
            </w:r>
            <w:r>
              <w:rPr>
                <w:color w:val="000000"/>
                <w:kern w:val="0"/>
                <w:sz w:val="24"/>
              </w:rPr>
              <w:t>2022</w:t>
            </w:r>
            <w:r>
              <w:rPr>
                <w:rFonts w:hint="eastAsia"/>
                <w:color w:val="000000"/>
                <w:kern w:val="0"/>
                <w:sz w:val="24"/>
              </w:rPr>
              <w:t>年7月</w:t>
            </w:r>
            <w:r>
              <w:rPr>
                <w:color w:val="000000"/>
                <w:kern w:val="0"/>
                <w:sz w:val="24"/>
              </w:rPr>
              <w:t>~2022</w:t>
            </w:r>
            <w:r>
              <w:rPr>
                <w:rFonts w:hint="eastAsia"/>
                <w:color w:val="000000"/>
                <w:kern w:val="0"/>
                <w:sz w:val="24"/>
              </w:rPr>
              <w:t>年8月；</w:t>
            </w:r>
          </w:p>
          <w:p>
            <w:pPr>
              <w:adjustRightInd w:val="0"/>
              <w:snapToGrid w:val="0"/>
              <w:spacing w:line="360" w:lineRule="auto"/>
              <w:ind w:firstLine="480" w:firstLineChars="200"/>
              <w:rPr>
                <w:color w:val="000000"/>
                <w:kern w:val="0"/>
                <w:sz w:val="24"/>
              </w:rPr>
            </w:pPr>
            <w:r>
              <w:rPr>
                <w:rFonts w:hint="eastAsia"/>
                <w:color w:val="000000"/>
                <w:kern w:val="0"/>
                <w:sz w:val="24"/>
              </w:rPr>
              <w:t>2、排水工程：</w:t>
            </w:r>
            <w:r>
              <w:rPr>
                <w:color w:val="000000"/>
                <w:kern w:val="0"/>
                <w:sz w:val="24"/>
              </w:rPr>
              <w:t>2022</w:t>
            </w:r>
            <w:r>
              <w:rPr>
                <w:rFonts w:hint="eastAsia"/>
                <w:color w:val="000000"/>
                <w:kern w:val="0"/>
                <w:sz w:val="24"/>
              </w:rPr>
              <w:t>年8月</w:t>
            </w:r>
            <w:r>
              <w:rPr>
                <w:color w:val="000000"/>
                <w:kern w:val="0"/>
                <w:sz w:val="24"/>
              </w:rPr>
              <w:t>~2022</w:t>
            </w:r>
            <w:r>
              <w:rPr>
                <w:rFonts w:hint="eastAsia"/>
                <w:color w:val="000000"/>
                <w:kern w:val="0"/>
                <w:sz w:val="24"/>
              </w:rPr>
              <w:t>年9月；</w:t>
            </w:r>
          </w:p>
          <w:p>
            <w:pPr>
              <w:adjustRightInd w:val="0"/>
              <w:snapToGrid w:val="0"/>
              <w:spacing w:line="360" w:lineRule="auto"/>
              <w:ind w:firstLine="480" w:firstLineChars="200"/>
              <w:rPr>
                <w:color w:val="000000"/>
                <w:kern w:val="0"/>
                <w:sz w:val="24"/>
              </w:rPr>
            </w:pPr>
            <w:r>
              <w:rPr>
                <w:rFonts w:hint="eastAsia"/>
                <w:color w:val="000000"/>
                <w:kern w:val="0"/>
                <w:sz w:val="24"/>
              </w:rPr>
              <w:t>3、路基工程：</w:t>
            </w:r>
            <w:r>
              <w:rPr>
                <w:color w:val="000000"/>
                <w:kern w:val="0"/>
                <w:sz w:val="24"/>
              </w:rPr>
              <w:t>2022</w:t>
            </w:r>
            <w:r>
              <w:rPr>
                <w:rFonts w:hint="eastAsia"/>
                <w:color w:val="000000"/>
                <w:kern w:val="0"/>
                <w:sz w:val="24"/>
              </w:rPr>
              <w:t>年9月</w:t>
            </w:r>
            <w:r>
              <w:rPr>
                <w:color w:val="000000"/>
                <w:kern w:val="0"/>
                <w:sz w:val="24"/>
              </w:rPr>
              <w:t>~2022</w:t>
            </w:r>
            <w:r>
              <w:rPr>
                <w:rFonts w:hint="eastAsia"/>
                <w:color w:val="000000"/>
                <w:kern w:val="0"/>
                <w:sz w:val="24"/>
              </w:rPr>
              <w:t>年11月；</w:t>
            </w:r>
          </w:p>
          <w:p>
            <w:pPr>
              <w:adjustRightInd w:val="0"/>
              <w:snapToGrid w:val="0"/>
              <w:spacing w:line="360" w:lineRule="auto"/>
              <w:ind w:firstLine="480" w:firstLineChars="200"/>
              <w:rPr>
                <w:color w:val="000000"/>
                <w:kern w:val="0"/>
                <w:sz w:val="24"/>
              </w:rPr>
            </w:pPr>
            <w:r>
              <w:rPr>
                <w:color w:val="000000"/>
                <w:kern w:val="0"/>
                <w:sz w:val="24"/>
              </w:rPr>
              <w:t>4</w:t>
            </w:r>
            <w:r>
              <w:rPr>
                <w:rFonts w:hint="eastAsia"/>
                <w:color w:val="000000"/>
                <w:kern w:val="0"/>
                <w:sz w:val="24"/>
              </w:rPr>
              <w:t>、路面工程：</w:t>
            </w:r>
            <w:r>
              <w:rPr>
                <w:color w:val="000000"/>
                <w:kern w:val="0"/>
                <w:sz w:val="24"/>
              </w:rPr>
              <w:t>202</w:t>
            </w:r>
            <w:r>
              <w:rPr>
                <w:rFonts w:hint="eastAsia"/>
                <w:color w:val="000000"/>
                <w:kern w:val="0"/>
                <w:sz w:val="24"/>
              </w:rPr>
              <w:t>2年12月</w:t>
            </w:r>
            <w:r>
              <w:rPr>
                <w:color w:val="000000"/>
                <w:kern w:val="0"/>
                <w:sz w:val="24"/>
              </w:rPr>
              <w:t>~202</w:t>
            </w:r>
            <w:r>
              <w:rPr>
                <w:rFonts w:hint="eastAsia"/>
                <w:color w:val="000000"/>
                <w:kern w:val="0"/>
                <w:sz w:val="24"/>
              </w:rPr>
              <w:t>2年12月；</w:t>
            </w:r>
          </w:p>
          <w:p>
            <w:pPr>
              <w:adjustRightInd w:val="0"/>
              <w:snapToGrid w:val="0"/>
              <w:spacing w:line="360" w:lineRule="auto"/>
              <w:ind w:firstLine="480" w:firstLineChars="200"/>
              <w:rPr>
                <w:color w:val="000000"/>
                <w:kern w:val="0"/>
                <w:sz w:val="24"/>
              </w:rPr>
            </w:pPr>
            <w:r>
              <w:rPr>
                <w:color w:val="000000"/>
                <w:kern w:val="0"/>
                <w:sz w:val="24"/>
              </w:rPr>
              <w:t>5</w:t>
            </w:r>
            <w:r>
              <w:rPr>
                <w:rFonts w:hint="eastAsia"/>
                <w:color w:val="000000"/>
                <w:kern w:val="0"/>
                <w:sz w:val="24"/>
              </w:rPr>
              <w:t>、交通工程、照明工程、绿化工程：</w:t>
            </w:r>
            <w:r>
              <w:rPr>
                <w:color w:val="000000"/>
                <w:kern w:val="0"/>
                <w:sz w:val="24"/>
              </w:rPr>
              <w:t>202</w:t>
            </w:r>
            <w:r>
              <w:rPr>
                <w:rFonts w:hint="eastAsia"/>
                <w:color w:val="000000"/>
                <w:kern w:val="0"/>
                <w:sz w:val="24"/>
              </w:rPr>
              <w:t>2年12月</w:t>
            </w:r>
            <w:r>
              <w:rPr>
                <w:color w:val="000000"/>
                <w:kern w:val="0"/>
                <w:sz w:val="24"/>
              </w:rPr>
              <w:t>~202</w:t>
            </w:r>
            <w:r>
              <w:rPr>
                <w:rFonts w:hint="eastAsia"/>
                <w:color w:val="000000"/>
                <w:kern w:val="0"/>
                <w:sz w:val="24"/>
              </w:rPr>
              <w:t>2年12月。</w:t>
            </w:r>
          </w:p>
        </w:tc>
      </w:tr>
    </w:tbl>
    <w:p>
      <w:pPr>
        <w:sectPr>
          <w:footerReference w:type="even" r:id="rId72"/>
          <w:footerReference w:type="default" r:id="rId73"/>
          <w:type w:val="nextPage"/>
          <w:pgSz w:w="11906" w:h="16838"/>
          <w:pgMar w:top="1440" w:right="1797" w:bottom="1440" w:left="1797" w:header="851" w:footer="1077" w:gutter="0"/>
          <w:pgNumType w:start="31"/>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2"/>
        <w:gridCol w:w="8076"/>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13599"/>
          <w:jc w:val="center"/>
        </w:trPr>
        <w:tc>
          <w:tcPr>
            <w:tcW w:w="308" w:type="pct"/>
            <w:vAlign w:val="center"/>
          </w:tcPr>
          <w:p>
            <w:pPr>
              <w:adjustRightInd w:val="0"/>
              <w:snapToGrid w:val="0"/>
              <w:jc w:val="center"/>
              <w:rPr>
                <w:rFonts w:ascii="宋体" w:hAnsi="宋体" w:cs="宋体"/>
                <w:color w:val="000000"/>
                <w:kern w:val="0"/>
                <w:sz w:val="24"/>
              </w:rPr>
            </w:pPr>
            <w:r>
              <w:rPr>
                <w:rFonts w:ascii="宋体" w:hAnsi="宋体" w:cs="宋体" w:hint="eastAsia"/>
                <w:color w:val="000000"/>
                <w:kern w:val="0"/>
                <w:sz w:val="24"/>
              </w:rPr>
              <w:t>其他</w:t>
            </w:r>
          </w:p>
        </w:tc>
        <w:tc>
          <w:tcPr>
            <w:tcW w:w="4692" w:type="pct"/>
            <w:vAlign w:val="center"/>
          </w:tcPr>
          <w:p>
            <w:pPr>
              <w:adjustRightInd w:val="0"/>
              <w:snapToGrid w:val="0"/>
              <w:spacing w:line="360" w:lineRule="auto"/>
              <w:ind w:firstLine="480" w:firstLineChars="200"/>
              <w:jc w:val="center"/>
              <w:rPr>
                <w:rFonts w:ascii="宋体" w:hAnsi="宋体" w:cs="宋体"/>
                <w:color w:val="000000"/>
                <w:kern w:val="0"/>
                <w:sz w:val="24"/>
              </w:rPr>
            </w:pPr>
            <w:r>
              <w:rPr>
                <w:rFonts w:hint="eastAsia"/>
                <w:color w:val="000000"/>
                <w:kern w:val="0"/>
                <w:sz w:val="24"/>
              </w:rPr>
              <w:t>无</w:t>
            </w:r>
          </w:p>
        </w:tc>
      </w:tr>
    </w:tbl>
    <w:p>
      <w:pPr>
        <w:sectPr>
          <w:footerReference w:type="even" r:id="rId74"/>
          <w:footerReference w:type="default" r:id="rId75"/>
          <w:type w:val="nextPage"/>
          <w:pgSz w:w="11906" w:h="16838"/>
          <w:pgMar w:top="1440" w:right="1797" w:bottom="1440" w:left="1797" w:header="851" w:footer="1077" w:gutter="0"/>
          <w:pgNumType w:start="32"/>
          <w:cols w:space="708"/>
          <w:titlePg w:val="0"/>
          <w:docGrid w:linePitch="312"/>
        </w:sectPr>
      </w:pPr>
    </w:p>
    <w:p>
      <w:pPr>
        <w:pStyle w:val="NormalWeb"/>
        <w:jc w:val="center"/>
        <w:outlineLvl w:val="0"/>
        <w:rPr>
          <w:rFonts w:ascii="黑体" w:eastAsia="黑体" w:hAnsi="黑体" w:hint="eastAsia"/>
          <w:snapToGrid w:val="0"/>
          <w:color w:val="000000"/>
          <w:sz w:val="30"/>
          <w:szCs w:val="30"/>
        </w:rPr>
      </w:pPr>
      <w:r>
        <w:rPr>
          <w:rFonts w:ascii="黑体" w:eastAsia="黑体" w:hAnsi="黑体" w:hint="eastAsia"/>
          <w:snapToGrid w:val="0"/>
          <w:color w:val="000000"/>
          <w:sz w:val="30"/>
          <w:szCs w:val="30"/>
        </w:rPr>
        <w:t>三、生态环境现状、保护目标及评价标准</w:t>
      </w: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6"/>
        <w:gridCol w:w="8072"/>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4012"/>
          <w:jc w:val="center"/>
        </w:trPr>
        <w:tc>
          <w:tcPr>
            <w:tcW w:w="267" w:type="pct"/>
            <w:vAlign w:val="center"/>
          </w:tcPr>
          <w:p>
            <w:pPr>
              <w:adjustRightInd w:val="0"/>
              <w:snapToGrid w:val="0"/>
              <w:jc w:val="center"/>
              <w:rPr>
                <w:rFonts w:ascii="宋体" w:hAnsi="宋体" w:cs="宋体"/>
                <w:color w:val="000000"/>
                <w:kern w:val="0"/>
                <w:sz w:val="24"/>
              </w:rPr>
            </w:pPr>
            <w:r>
              <w:rPr>
                <w:rFonts w:ascii="宋体" w:hAnsi="宋体" w:cs="宋体" w:hint="eastAsia"/>
                <w:color w:val="000000"/>
                <w:kern w:val="0"/>
                <w:sz w:val="24"/>
              </w:rPr>
              <w:t>生态环境现状</w:t>
            </w:r>
          </w:p>
        </w:tc>
        <w:tc>
          <w:tcPr>
            <w:tcW w:w="4733" w:type="pct"/>
            <w:vAlign w:val="center"/>
          </w:tcPr>
          <w:p>
            <w:pPr>
              <w:spacing w:line="360" w:lineRule="auto"/>
              <w:ind w:firstLine="480" w:firstLineChars="200"/>
              <w:rPr>
                <w:b/>
                <w:color w:val="000000"/>
                <w:sz w:val="24"/>
              </w:rPr>
            </w:pPr>
            <w:r>
              <w:rPr>
                <w:rFonts w:hint="eastAsia"/>
                <w:b/>
                <w:color w:val="000000"/>
                <w:sz w:val="24"/>
              </w:rPr>
              <w:t>1、生态环境质量现状</w:t>
            </w:r>
          </w:p>
          <w:p>
            <w:pPr>
              <w:spacing w:line="360" w:lineRule="auto"/>
              <w:ind w:firstLine="480" w:firstLineChars="200"/>
              <w:rPr>
                <w:color w:val="000000"/>
                <w:kern w:val="0"/>
                <w:sz w:val="24"/>
              </w:rPr>
            </w:pPr>
            <w:r>
              <w:rPr>
                <w:rFonts w:hint="eastAsia"/>
                <w:color w:val="000000"/>
                <w:kern w:val="0"/>
                <w:sz w:val="24"/>
              </w:rPr>
              <w:t>本项目占地主要为建设用地和农用地，</w:t>
            </w:r>
            <w:r>
              <w:rPr>
                <w:color w:val="000000"/>
                <w:kern w:val="0"/>
                <w:sz w:val="24"/>
              </w:rPr>
              <w:t>项目所在区域周围主要地面植被</w:t>
            </w:r>
            <w:r>
              <w:rPr>
                <w:rFonts w:hint="eastAsia"/>
                <w:color w:val="000000"/>
                <w:kern w:val="0"/>
                <w:sz w:val="24"/>
              </w:rPr>
              <w:t>草本植物为主</w:t>
            </w:r>
            <w:r>
              <w:rPr>
                <w:rFonts w:hint="eastAsia"/>
                <w:bCs/>
                <w:color w:val="000000"/>
                <w:kern w:val="0"/>
                <w:sz w:val="24"/>
              </w:rPr>
              <w:t>，</w:t>
            </w:r>
            <w:r>
              <w:rPr>
                <w:color w:val="000000"/>
                <w:kern w:val="0"/>
                <w:sz w:val="24"/>
              </w:rPr>
              <w:t>生态环境质量一般。</w:t>
            </w:r>
          </w:p>
          <w:p>
            <w:pPr>
              <w:pStyle w:val="a1"/>
              <w:spacing w:line="360" w:lineRule="auto"/>
              <w:ind w:firstLine="480"/>
              <w:rPr>
                <w:rFonts w:hAnsi="Calibri"/>
                <w:color w:val="000000"/>
              </w:rPr>
            </w:pPr>
            <w:r>
              <w:rPr>
                <w:rFonts w:ascii="Times New Roman" w:eastAsia="宋体" w:hAnsi="Calibri" w:hint="eastAsia"/>
                <w:bCs w:val="0"/>
                <w:color w:val="000000"/>
              </w:rPr>
              <w:t>（1）区域植物调查</w:t>
            </w:r>
          </w:p>
          <w:p>
            <w:pPr>
              <w:pStyle w:val="a1"/>
              <w:spacing w:line="360" w:lineRule="auto"/>
              <w:ind w:firstLine="480"/>
              <w:rPr>
                <w:rFonts w:hAnsi="Calibri"/>
                <w:color w:val="000000"/>
              </w:rPr>
            </w:pPr>
            <w:r>
              <w:rPr>
                <w:rFonts w:hAnsi="Calibri" w:hint="eastAsia"/>
                <w:color w:val="000000"/>
              </w:rPr>
              <w:t>项目所在区域属于暖温带大陆性季风气候区，原生地带性植物以华北成分为主，代表性植被是暖温带落叶阔叶树。由于人类不断的反复破坏活动，原始植被现存的已经很少。目前，项目区域绝大多数是人工植被，生态系统类型主要为片状农田生态系统和景观绿化生态系统。</w:t>
            </w:r>
          </w:p>
          <w:p>
            <w:pPr>
              <w:pStyle w:val="a1"/>
              <w:spacing w:line="360" w:lineRule="auto"/>
              <w:ind w:firstLine="480"/>
              <w:rPr>
                <w:rFonts w:hAnsi="Calibri"/>
                <w:color w:val="000000"/>
              </w:rPr>
            </w:pPr>
            <w:r>
              <w:rPr>
                <w:rFonts w:hAnsi="Calibri" w:hint="eastAsia"/>
                <w:color w:val="000000"/>
              </w:rPr>
              <w:t>常见和比较常见的乔木有旱柳、刺槐、毛白杨等；灌木有紫叶李、迎春、海棠、月季、沙地柏、紫叶小檗、黄杨、木槿、丁香等；草本植物有羊胡子草、狼尾草、黄背草、柴胡、白杨草、白莲蒿、狗尾草、大油芒、结缕草、香蒲、菖蒲、水葱、芦苇等；粮食作物有小麦、玉米等；果树有枣、石榴等。经调查，评价区内无重点保护植物与珍稀濒危植物分布。</w:t>
            </w:r>
          </w:p>
          <w:p>
            <w:pPr>
              <w:pStyle w:val="a1"/>
              <w:spacing w:line="360" w:lineRule="auto"/>
              <w:ind w:firstLine="480"/>
              <w:rPr>
                <w:rFonts w:hAnsi="Calibri" w:hint="eastAsia"/>
                <w:color w:val="000000"/>
              </w:rPr>
            </w:pPr>
            <w:r>
              <w:rPr>
                <w:rFonts w:hAnsi="Calibri" w:hint="eastAsia"/>
                <w:color w:val="000000"/>
              </w:rPr>
              <w:t>总之，区域以草本植物为主，植物种类为常见种、普生种；粮食作物主要为小麦、玉米等，产量较低。评价区内无重点保护植物与珍稀植物；植物物种多样性不高。</w:t>
            </w:r>
          </w:p>
          <w:p>
            <w:pPr>
              <w:pStyle w:val="a1"/>
              <w:spacing w:line="360" w:lineRule="auto"/>
              <w:ind w:firstLine="480"/>
              <w:rPr>
                <w:rFonts w:ascii="Times New Roman" w:eastAsia="宋体" w:hAnsi="Calibri"/>
                <w:color w:val="000000"/>
              </w:rPr>
            </w:pPr>
            <w:r>
              <w:rPr>
                <w:rFonts w:ascii="Times New Roman" w:eastAsia="宋体" w:hAnsi="Calibri" w:hint="eastAsia"/>
                <w:bCs w:val="0"/>
                <w:color w:val="000000"/>
              </w:rPr>
              <w:t>（2）区域陆域动物调查</w:t>
            </w:r>
          </w:p>
          <w:p>
            <w:pPr>
              <w:pStyle w:val="a1"/>
              <w:spacing w:line="360" w:lineRule="auto"/>
              <w:ind w:firstLine="480"/>
              <w:rPr>
                <w:rFonts w:hAnsi="Calibri" w:hint="eastAsia"/>
                <w:color w:val="000000"/>
              </w:rPr>
            </w:pPr>
            <w:r>
              <w:rPr>
                <w:rFonts w:hAnsi="Calibri" w:hint="eastAsia"/>
                <w:color w:val="000000"/>
              </w:rPr>
              <w:t>在长期和频繁的人类活动影响下，自然生态环境已遭到破坏，野生动物失去了较适宜的栖息繁衍场所。据调查，项目内大型野生动物已经消失。目前该地区常见的野生动物主要有昆虫类、鼠类、蟾蜍、蛙和喜鹊、麻雀等鸟类，评价区内无珍稀动物。</w:t>
            </w:r>
          </w:p>
          <w:p>
            <w:pPr>
              <w:pStyle w:val="a1"/>
              <w:spacing w:line="360" w:lineRule="auto"/>
              <w:ind w:firstLine="480"/>
              <w:rPr>
                <w:rFonts w:hAnsi="Calibri" w:hint="eastAsia"/>
                <w:color w:val="000000"/>
              </w:rPr>
            </w:pPr>
            <w:r>
              <w:rPr>
                <w:rFonts w:ascii="Times New Roman" w:eastAsia="宋体" w:hAnsi="Calibri" w:hint="eastAsia"/>
                <w:bCs w:val="0"/>
                <w:color w:val="000000"/>
              </w:rPr>
              <w:t>（3）</w:t>
            </w:r>
            <w:r>
              <w:rPr>
                <w:rFonts w:hAnsi="Calibri" w:hint="eastAsia"/>
                <w:color w:val="000000"/>
              </w:rPr>
              <w:t>土壤分布及水土流失现状</w:t>
            </w:r>
          </w:p>
          <w:p>
            <w:pPr>
              <w:pStyle w:val="a1"/>
              <w:spacing w:line="360" w:lineRule="auto"/>
              <w:ind w:firstLine="480"/>
              <w:rPr>
                <w:rFonts w:ascii="Times New Roman" w:hAnsi="Times New Roman"/>
                <w:color w:val="000000"/>
              </w:rPr>
            </w:pPr>
            <w:r>
              <w:rPr>
                <w:rFonts w:ascii="Times New Roman" w:hAnsi="Times New Roman"/>
                <w:color w:val="000000"/>
              </w:rPr>
              <w:t>项目所在区域土壤分为潮土、盐土、风沙土3个土类，5个亚类。拟建项目所在地土壤主要为盐化潮土（潮土类）。</w:t>
            </w:r>
          </w:p>
          <w:p>
            <w:pPr>
              <w:pStyle w:val="a1"/>
              <w:spacing w:line="360" w:lineRule="auto"/>
              <w:ind w:firstLine="480"/>
              <w:rPr>
                <w:rFonts w:ascii="Times New Roman" w:hAnsi="Times New Roman" w:hint="eastAsia"/>
                <w:color w:val="000000"/>
              </w:rPr>
            </w:pPr>
            <w:r>
              <w:rPr>
                <w:rFonts w:ascii="Times New Roman" w:hAnsi="Times New Roman"/>
                <w:color w:val="000000"/>
              </w:rPr>
              <w:t>根据国家关于全国土壤水蚀和风蚀按6级划分的原则和指标范围，参考相关资料并进行现场调查知，项目所在区域总体来看属地势平坦的平原区，平均土壤侵蚀模数小于1500t/km</w:t>
            </w:r>
            <w:r>
              <w:rPr>
                <w:rFonts w:ascii="Times New Roman" w:hAnsi="Times New Roman"/>
                <w:color w:val="000000"/>
                <w:vertAlign w:val="superscript"/>
              </w:rPr>
              <w:t>2</w:t>
            </w:r>
            <w:r>
              <w:rPr>
                <w:rFonts w:ascii="Times New Roman" w:hAnsi="Times New Roman"/>
                <w:color w:val="000000"/>
              </w:rPr>
              <w:t>，属轻度水土流失区。</w:t>
            </w:r>
          </w:p>
        </w:tc>
      </w:tr>
    </w:tbl>
    <w:p>
      <w:pPr>
        <w:sectPr>
          <w:footerReference w:type="even" r:id="rId76"/>
          <w:footerReference w:type="default" r:id="rId77"/>
          <w:type w:val="nextPage"/>
          <w:pgSz w:w="11906" w:h="16838"/>
          <w:pgMar w:top="1440" w:right="1797" w:bottom="1440" w:left="1797" w:header="851" w:footer="1077" w:gutter="0"/>
          <w:pgNumType w:start="33"/>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6"/>
        <w:gridCol w:w="8072"/>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4012"/>
          <w:jc w:val="center"/>
        </w:trPr>
        <w:tc>
          <w:tcPr>
            <w:tcW w:w="267" w:type="pct"/>
            <w:vAlign w:val="center"/>
          </w:tcPr>
          <w:p/>
        </w:tc>
        <w:tc>
          <w:tcPr>
            <w:tcW w:w="4733" w:type="pct"/>
            <w:vAlign w:val="center"/>
          </w:tcPr>
          <w:p>
            <w:pPr>
              <w:pStyle w:val="11"/>
              <w:spacing w:line="360" w:lineRule="auto"/>
              <w:ind w:firstLine="482"/>
              <w:rPr>
                <w:b/>
                <w:color w:val="000000"/>
                <w:sz w:val="24"/>
                <w:szCs w:val="24"/>
              </w:rPr>
            </w:pPr>
            <w:r>
              <w:rPr>
                <w:rFonts w:hint="eastAsia"/>
                <w:b/>
                <w:color w:val="000000"/>
                <w:sz w:val="24"/>
                <w:szCs w:val="24"/>
              </w:rPr>
              <w:t>2、</w:t>
            </w:r>
            <w:r>
              <w:rPr>
                <w:b/>
                <w:color w:val="000000"/>
                <w:sz w:val="24"/>
                <w:szCs w:val="24"/>
              </w:rPr>
              <w:t>环境空气质量现状</w:t>
            </w:r>
          </w:p>
          <w:p>
            <w:pPr>
              <w:spacing w:line="360" w:lineRule="auto"/>
              <w:ind w:firstLine="480" w:firstLineChars="200"/>
              <w:rPr>
                <w:color w:val="000000"/>
                <w:sz w:val="24"/>
              </w:rPr>
            </w:pPr>
            <w:r>
              <w:rPr>
                <w:rFonts w:hint="eastAsia"/>
                <w:color w:val="000000"/>
                <w:sz w:val="24"/>
              </w:rPr>
              <w:t>距离项目最近的监测点位为宁津康宁湖公园，选取</w:t>
            </w:r>
            <w:r>
              <w:rPr>
                <w:color w:val="000000"/>
                <w:sz w:val="24"/>
              </w:rPr>
              <w:t>202</w:t>
            </w:r>
            <w:r>
              <w:rPr>
                <w:rFonts w:hint="eastAsia"/>
                <w:color w:val="000000"/>
                <w:sz w:val="24"/>
              </w:rPr>
              <w:t>1年</w:t>
            </w:r>
            <w:r>
              <w:rPr>
                <w:color w:val="000000"/>
                <w:sz w:val="24"/>
              </w:rPr>
              <w:t>1</w:t>
            </w:r>
            <w:r>
              <w:rPr>
                <w:rFonts w:hint="eastAsia"/>
                <w:color w:val="000000"/>
                <w:sz w:val="24"/>
              </w:rPr>
              <w:t>月</w:t>
            </w:r>
            <w:r>
              <w:rPr>
                <w:color w:val="000000"/>
                <w:sz w:val="24"/>
              </w:rPr>
              <w:t>1</w:t>
            </w:r>
            <w:r>
              <w:rPr>
                <w:rFonts w:hint="eastAsia"/>
                <w:color w:val="000000"/>
                <w:sz w:val="24"/>
              </w:rPr>
              <w:t>日</w:t>
            </w:r>
            <w:r>
              <w:rPr>
                <w:color w:val="000000"/>
                <w:sz w:val="24"/>
              </w:rPr>
              <w:t>-202</w:t>
            </w:r>
            <w:r>
              <w:rPr>
                <w:rFonts w:hint="eastAsia"/>
                <w:color w:val="000000"/>
                <w:sz w:val="24"/>
              </w:rPr>
              <w:t>1</w:t>
            </w:r>
            <w:r>
              <w:rPr>
                <w:color w:val="000000"/>
                <w:sz w:val="24"/>
              </w:rPr>
              <w:t xml:space="preserve"> </w:t>
            </w:r>
            <w:r>
              <w:rPr>
                <w:rFonts w:hint="eastAsia"/>
                <w:color w:val="000000"/>
                <w:sz w:val="24"/>
              </w:rPr>
              <w:t>年</w:t>
            </w:r>
            <w:r>
              <w:rPr>
                <w:color w:val="000000"/>
                <w:sz w:val="24"/>
              </w:rPr>
              <w:t>12</w:t>
            </w:r>
            <w:r>
              <w:rPr>
                <w:rFonts w:hint="eastAsia"/>
                <w:color w:val="000000"/>
                <w:sz w:val="24"/>
              </w:rPr>
              <w:t>月</w:t>
            </w:r>
            <w:r>
              <w:rPr>
                <w:color w:val="000000"/>
                <w:sz w:val="24"/>
              </w:rPr>
              <w:t>31</w:t>
            </w:r>
            <w:r>
              <w:rPr>
                <w:rFonts w:hint="eastAsia"/>
                <w:color w:val="000000"/>
                <w:sz w:val="24"/>
              </w:rPr>
              <w:t>日为一基准年，本次评价收集了宁津康宁湖公园环境空气监测站点</w:t>
            </w:r>
            <w:r>
              <w:rPr>
                <w:color w:val="000000"/>
                <w:sz w:val="24"/>
              </w:rPr>
              <w:t>202</w:t>
            </w:r>
            <w:r>
              <w:rPr>
                <w:rFonts w:hint="eastAsia"/>
                <w:color w:val="000000"/>
                <w:sz w:val="24"/>
              </w:rPr>
              <w:t>1年全年的例行监测数据。按照《环境空气质量评价技术规范（试行）》（</w:t>
            </w:r>
            <w:r>
              <w:rPr>
                <w:color w:val="000000"/>
                <w:sz w:val="24"/>
              </w:rPr>
              <w:t>HJ663-2013</w:t>
            </w:r>
            <w:r>
              <w:rPr>
                <w:rFonts w:hint="eastAsia"/>
                <w:color w:val="000000"/>
                <w:sz w:val="24"/>
              </w:rPr>
              <w:t>）中的评价方法对各基本污染物的年评价指标进行环境质量现状评价，以</w:t>
            </w:r>
            <w:r>
              <w:rPr>
                <w:color w:val="000000"/>
                <w:sz w:val="24"/>
              </w:rPr>
              <w:t xml:space="preserve">GB 3095-2012 </w:t>
            </w:r>
            <w:r>
              <w:rPr>
                <w:rFonts w:hint="eastAsia"/>
                <w:color w:val="000000"/>
                <w:sz w:val="24"/>
              </w:rPr>
              <w:t>中污染物的浓度限值为依据，对污染物的年平均浓度（</w:t>
            </w:r>
            <w:r>
              <w:rPr>
                <w:color w:val="000000"/>
                <w:sz w:val="24"/>
              </w:rPr>
              <w:t xml:space="preserve">CO </w:t>
            </w:r>
            <w:r>
              <w:rPr>
                <w:rFonts w:hint="eastAsia"/>
                <w:color w:val="000000"/>
                <w:sz w:val="24"/>
              </w:rPr>
              <w:t>和</w:t>
            </w:r>
            <w:r>
              <w:rPr>
                <w:color w:val="000000"/>
                <w:sz w:val="24"/>
              </w:rPr>
              <w:t>O</w:t>
            </w:r>
            <w:r>
              <w:rPr>
                <w:color w:val="000000"/>
                <w:sz w:val="24"/>
                <w:vertAlign w:val="subscript"/>
              </w:rPr>
              <w:t>3</w:t>
            </w:r>
            <w:r>
              <w:rPr>
                <w:color w:val="000000"/>
                <w:sz w:val="24"/>
              </w:rPr>
              <w:t xml:space="preserve"> </w:t>
            </w:r>
            <w:r>
              <w:rPr>
                <w:rFonts w:hint="eastAsia"/>
                <w:color w:val="000000"/>
                <w:sz w:val="24"/>
              </w:rPr>
              <w:t>除外）和特定的百分位数进行判定。现状评价结果见下表。</w:t>
            </w:r>
          </w:p>
          <w:p>
            <w:pPr>
              <w:jc w:val="center"/>
              <w:rPr>
                <w:rFonts w:ascii="宋体" w:hAnsi="宋体"/>
                <w:b/>
                <w:color w:val="000000"/>
                <w:sz w:val="24"/>
              </w:rPr>
            </w:pPr>
            <w:r>
              <w:rPr>
                <w:b/>
                <w:color w:val="000000"/>
                <w:sz w:val="24"/>
              </w:rPr>
              <w:t>表</w:t>
            </w:r>
            <w:r>
              <w:rPr>
                <w:rFonts w:hint="eastAsia"/>
                <w:b/>
                <w:color w:val="000000"/>
                <w:sz w:val="24"/>
              </w:rPr>
              <w:t>3-1</w:t>
            </w:r>
            <w:r>
              <w:rPr>
                <w:b/>
                <w:color w:val="000000"/>
                <w:sz w:val="24"/>
              </w:rPr>
              <w:t xml:space="preserve"> </w:t>
            </w:r>
            <w:r>
              <w:rPr>
                <w:rFonts w:hint="eastAsia"/>
                <w:b/>
                <w:color w:val="000000"/>
                <w:sz w:val="24"/>
              </w:rPr>
              <w:t xml:space="preserve"> 基本污染物环境质量现状评价一览表</w:t>
            </w:r>
          </w:p>
          <w:tbl>
            <w:tblPr>
              <w:tblStyle w:val="TableNormal"/>
              <w:tblW w:w="5000" w:type="pct"/>
              <w:jc w:val="center"/>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Look w:val="0000"/>
            </w:tblPr>
            <w:tblGrid>
              <w:gridCol w:w="868"/>
              <w:gridCol w:w="2295"/>
              <w:gridCol w:w="1158"/>
              <w:gridCol w:w="1363"/>
              <w:gridCol w:w="1194"/>
              <w:gridCol w:w="963"/>
            </w:tblGrid>
            <w:tr>
              <w:tblPrEx>
                <w:tblW w:w="5000" w:type="pct"/>
                <w:jc w:val="center"/>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0" w:type="dxa"/>
                  <w:bottom w:w="0" w:type="dxa"/>
                  <w:right w:w="0" w:type="dxa"/>
                </w:tblCellMar>
                <w:tblLook w:val="0000"/>
              </w:tblPrEx>
              <w:trPr>
                <w:trHeight w:val="340"/>
                <w:jc w:val="center"/>
              </w:trPr>
              <w:tc>
                <w:tcPr>
                  <w:tcW w:w="554" w:type="pct"/>
                  <w:vAlign w:val="center"/>
                </w:tcPr>
                <w:p>
                  <w:pPr>
                    <w:pStyle w:val="NoSpacing"/>
                    <w:jc w:val="center"/>
                    <w:rPr>
                      <w:color w:val="000000"/>
                      <w:szCs w:val="21"/>
                    </w:rPr>
                  </w:pPr>
                  <w:r>
                    <w:rPr>
                      <w:rFonts w:hint="eastAsia"/>
                      <w:color w:val="000000"/>
                      <w:szCs w:val="21"/>
                    </w:rPr>
                    <w:t>污染物</w:t>
                  </w:r>
                </w:p>
              </w:tc>
              <w:tc>
                <w:tcPr>
                  <w:tcW w:w="1463" w:type="pct"/>
                  <w:vAlign w:val="center"/>
                </w:tcPr>
                <w:p>
                  <w:pPr>
                    <w:pStyle w:val="NoSpacing"/>
                    <w:jc w:val="center"/>
                    <w:rPr>
                      <w:color w:val="000000"/>
                      <w:szCs w:val="21"/>
                    </w:rPr>
                  </w:pPr>
                  <w:r>
                    <w:rPr>
                      <w:color w:val="000000"/>
                      <w:szCs w:val="21"/>
                    </w:rPr>
                    <w:t>年评价指标</w:t>
                  </w:r>
                </w:p>
              </w:tc>
              <w:tc>
                <w:tcPr>
                  <w:tcW w:w="738" w:type="pct"/>
                  <w:vAlign w:val="center"/>
                </w:tcPr>
                <w:p>
                  <w:pPr>
                    <w:pStyle w:val="NoSpacing"/>
                    <w:jc w:val="center"/>
                    <w:rPr>
                      <w:color w:val="000000"/>
                      <w:szCs w:val="21"/>
                    </w:rPr>
                  </w:pPr>
                  <w:r>
                    <w:rPr>
                      <w:color w:val="000000"/>
                      <w:szCs w:val="21"/>
                    </w:rPr>
                    <w:t>评价标准(µg/m</w:t>
                  </w:r>
                  <w:r>
                    <w:rPr>
                      <w:color w:val="000000"/>
                      <w:szCs w:val="21"/>
                      <w:vertAlign w:val="superscript"/>
                    </w:rPr>
                    <w:t>3</w:t>
                  </w:r>
                  <w:r>
                    <w:rPr>
                      <w:color w:val="000000"/>
                      <w:szCs w:val="21"/>
                    </w:rPr>
                    <w:t>)</w:t>
                  </w:r>
                </w:p>
              </w:tc>
              <w:tc>
                <w:tcPr>
                  <w:tcW w:w="869" w:type="pct"/>
                  <w:vAlign w:val="center"/>
                </w:tcPr>
                <w:p>
                  <w:pPr>
                    <w:pStyle w:val="NoSpacing"/>
                    <w:jc w:val="center"/>
                    <w:rPr>
                      <w:color w:val="000000"/>
                      <w:szCs w:val="21"/>
                    </w:rPr>
                  </w:pPr>
                  <w:r>
                    <w:rPr>
                      <w:color w:val="000000"/>
                      <w:szCs w:val="21"/>
                    </w:rPr>
                    <w:t>现状浓度(µg/m</w:t>
                  </w:r>
                  <w:r>
                    <w:rPr>
                      <w:color w:val="000000"/>
                      <w:szCs w:val="21"/>
                      <w:vertAlign w:val="superscript"/>
                    </w:rPr>
                    <w:t>3</w:t>
                  </w:r>
                  <w:r>
                    <w:rPr>
                      <w:color w:val="000000"/>
                      <w:szCs w:val="21"/>
                    </w:rPr>
                    <w:t>)</w:t>
                  </w:r>
                </w:p>
              </w:tc>
              <w:tc>
                <w:tcPr>
                  <w:tcW w:w="761" w:type="pct"/>
                  <w:vAlign w:val="center"/>
                </w:tcPr>
                <w:p>
                  <w:pPr>
                    <w:pStyle w:val="NoSpacing"/>
                    <w:jc w:val="center"/>
                    <w:rPr>
                      <w:color w:val="000000"/>
                      <w:szCs w:val="21"/>
                    </w:rPr>
                  </w:pPr>
                  <w:r>
                    <w:rPr>
                      <w:color w:val="000000"/>
                      <w:szCs w:val="21"/>
                    </w:rPr>
                    <w:t>占标率(%)</w:t>
                  </w:r>
                </w:p>
              </w:tc>
              <w:tc>
                <w:tcPr>
                  <w:tcW w:w="614" w:type="pct"/>
                  <w:vAlign w:val="center"/>
                </w:tcPr>
                <w:p>
                  <w:pPr>
                    <w:pStyle w:val="NoSpacing"/>
                    <w:jc w:val="center"/>
                    <w:rPr>
                      <w:color w:val="000000"/>
                      <w:szCs w:val="21"/>
                    </w:rPr>
                  </w:pPr>
                  <w:r>
                    <w:rPr>
                      <w:color w:val="000000"/>
                      <w:szCs w:val="21"/>
                    </w:rPr>
                    <w:t>达标判定</w:t>
                  </w:r>
                </w:p>
              </w:tc>
            </w:tr>
            <w:tr>
              <w:tblPrEx>
                <w:tblW w:w="5000" w:type="pct"/>
                <w:jc w:val="center"/>
                <w:tblInd w:w="8" w:type="dxa"/>
                <w:tblCellMar>
                  <w:top w:w="0" w:type="dxa"/>
                  <w:left w:w="0" w:type="dxa"/>
                  <w:bottom w:w="0" w:type="dxa"/>
                  <w:right w:w="0" w:type="dxa"/>
                </w:tblCellMar>
                <w:tblLook w:val="0000"/>
              </w:tblPrEx>
              <w:trPr>
                <w:trHeight w:val="340"/>
                <w:jc w:val="center"/>
              </w:trPr>
              <w:tc>
                <w:tcPr>
                  <w:tcW w:w="554" w:type="pct"/>
                  <w:vMerge w:val="restart"/>
                  <w:vAlign w:val="center"/>
                </w:tcPr>
                <w:p>
                  <w:pPr>
                    <w:pStyle w:val="NoSpacing"/>
                    <w:jc w:val="center"/>
                    <w:rPr>
                      <w:color w:val="000000"/>
                      <w:szCs w:val="21"/>
                    </w:rPr>
                  </w:pPr>
                  <w:r>
                    <w:rPr>
                      <w:color w:val="000000"/>
                      <w:szCs w:val="21"/>
                    </w:rPr>
                    <w:t>SO</w:t>
                  </w:r>
                  <w:r>
                    <w:rPr>
                      <w:color w:val="000000"/>
                      <w:szCs w:val="21"/>
                      <w:vertAlign w:val="subscript"/>
                    </w:rPr>
                    <w:t>2</w:t>
                  </w:r>
                </w:p>
              </w:tc>
              <w:tc>
                <w:tcPr>
                  <w:tcW w:w="1463" w:type="pct"/>
                  <w:vAlign w:val="center"/>
                </w:tcPr>
                <w:p>
                  <w:pPr>
                    <w:pStyle w:val="NoSpacing"/>
                    <w:jc w:val="center"/>
                    <w:rPr>
                      <w:color w:val="000000"/>
                      <w:szCs w:val="21"/>
                    </w:rPr>
                  </w:pPr>
                  <w:r>
                    <w:rPr>
                      <w:color w:val="000000"/>
                      <w:szCs w:val="21"/>
                    </w:rPr>
                    <w:t>年平均</w:t>
                  </w:r>
                </w:p>
              </w:tc>
              <w:tc>
                <w:tcPr>
                  <w:tcW w:w="738" w:type="pct"/>
                  <w:vAlign w:val="center"/>
                </w:tcPr>
                <w:p>
                  <w:pPr>
                    <w:pStyle w:val="NoSpacing"/>
                    <w:jc w:val="center"/>
                    <w:rPr>
                      <w:color w:val="000000"/>
                      <w:szCs w:val="21"/>
                    </w:rPr>
                  </w:pPr>
                  <w:r>
                    <w:rPr>
                      <w:color w:val="000000"/>
                      <w:szCs w:val="21"/>
                    </w:rPr>
                    <w:t>60</w:t>
                  </w:r>
                </w:p>
              </w:tc>
              <w:tc>
                <w:tcPr>
                  <w:tcW w:w="869" w:type="pct"/>
                  <w:vAlign w:val="center"/>
                </w:tcPr>
                <w:p>
                  <w:pPr>
                    <w:pStyle w:val="NoSpacing"/>
                    <w:jc w:val="center"/>
                    <w:rPr>
                      <w:color w:val="000000"/>
                      <w:szCs w:val="21"/>
                    </w:rPr>
                  </w:pPr>
                  <w:r>
                    <w:rPr>
                      <w:rFonts w:hint="eastAsia"/>
                      <w:color w:val="000000"/>
                      <w:szCs w:val="21"/>
                    </w:rPr>
                    <w:t>13.7</w:t>
                  </w:r>
                </w:p>
              </w:tc>
              <w:tc>
                <w:tcPr>
                  <w:tcW w:w="761" w:type="pct"/>
                  <w:vAlign w:val="center"/>
                </w:tcPr>
                <w:p>
                  <w:pPr>
                    <w:pStyle w:val="NoSpacing"/>
                    <w:jc w:val="center"/>
                    <w:rPr>
                      <w:color w:val="000000"/>
                      <w:szCs w:val="21"/>
                    </w:rPr>
                  </w:pPr>
                  <w:r>
                    <w:rPr>
                      <w:rFonts w:hint="eastAsia"/>
                      <w:color w:val="000000"/>
                      <w:szCs w:val="21"/>
                    </w:rPr>
                    <w:t>22.8</w:t>
                  </w:r>
                </w:p>
              </w:tc>
              <w:tc>
                <w:tcPr>
                  <w:tcW w:w="614" w:type="pct"/>
                  <w:vAlign w:val="center"/>
                </w:tcPr>
                <w:p>
                  <w:pPr>
                    <w:pStyle w:val="NoSpacing"/>
                    <w:jc w:val="center"/>
                    <w:rPr>
                      <w:color w:val="000000"/>
                      <w:szCs w:val="21"/>
                    </w:rPr>
                  </w:pPr>
                  <w:r>
                    <w:rPr>
                      <w:color w:val="000000"/>
                      <w:szCs w:val="21"/>
                    </w:rPr>
                    <w:t>达标</w:t>
                  </w:r>
                </w:p>
              </w:tc>
            </w:tr>
            <w:tr>
              <w:tblPrEx>
                <w:tblW w:w="5000" w:type="pct"/>
                <w:jc w:val="center"/>
                <w:tblInd w:w="8" w:type="dxa"/>
                <w:tblCellMar>
                  <w:top w:w="0" w:type="dxa"/>
                  <w:left w:w="0" w:type="dxa"/>
                  <w:bottom w:w="0" w:type="dxa"/>
                  <w:right w:w="0" w:type="dxa"/>
                </w:tblCellMar>
                <w:tblLook w:val="0000"/>
              </w:tblPrEx>
              <w:trPr>
                <w:trHeight w:val="340"/>
                <w:jc w:val="center"/>
              </w:trPr>
              <w:tc>
                <w:tcPr>
                  <w:tcW w:w="554" w:type="pct"/>
                  <w:vMerge/>
                  <w:vAlign w:val="center"/>
                </w:tcPr>
                <w:p>
                  <w:pPr>
                    <w:pStyle w:val="NoSpacing"/>
                    <w:jc w:val="center"/>
                    <w:rPr>
                      <w:color w:val="000000"/>
                      <w:szCs w:val="21"/>
                    </w:rPr>
                  </w:pPr>
                </w:p>
              </w:tc>
              <w:tc>
                <w:tcPr>
                  <w:tcW w:w="1463" w:type="pct"/>
                  <w:vAlign w:val="center"/>
                </w:tcPr>
                <w:p>
                  <w:pPr>
                    <w:pStyle w:val="NoSpacing"/>
                    <w:jc w:val="center"/>
                    <w:rPr>
                      <w:color w:val="000000"/>
                      <w:szCs w:val="21"/>
                    </w:rPr>
                  </w:pPr>
                  <w:r>
                    <w:rPr>
                      <w:color w:val="000000"/>
                      <w:szCs w:val="21"/>
                    </w:rPr>
                    <w:t>保证率</w:t>
                  </w:r>
                  <w:r>
                    <w:rPr>
                      <w:rFonts w:hint="eastAsia"/>
                      <w:color w:val="000000"/>
                      <w:szCs w:val="21"/>
                    </w:rPr>
                    <w:t>日</w:t>
                  </w:r>
                  <w:r>
                    <w:rPr>
                      <w:color w:val="000000"/>
                      <w:szCs w:val="21"/>
                    </w:rPr>
                    <w:t>均(98%)</w:t>
                  </w:r>
                </w:p>
              </w:tc>
              <w:tc>
                <w:tcPr>
                  <w:tcW w:w="738" w:type="pct"/>
                  <w:vAlign w:val="center"/>
                </w:tcPr>
                <w:p>
                  <w:pPr>
                    <w:pStyle w:val="NoSpacing"/>
                    <w:jc w:val="center"/>
                    <w:rPr>
                      <w:color w:val="000000"/>
                      <w:szCs w:val="21"/>
                    </w:rPr>
                  </w:pPr>
                  <w:r>
                    <w:rPr>
                      <w:color w:val="000000"/>
                      <w:szCs w:val="21"/>
                    </w:rPr>
                    <w:t>150</w:t>
                  </w:r>
                </w:p>
              </w:tc>
              <w:tc>
                <w:tcPr>
                  <w:tcW w:w="869" w:type="pct"/>
                  <w:vAlign w:val="center"/>
                </w:tcPr>
                <w:p>
                  <w:pPr>
                    <w:pStyle w:val="NoSpacing"/>
                    <w:jc w:val="center"/>
                    <w:rPr>
                      <w:color w:val="000000"/>
                      <w:szCs w:val="21"/>
                    </w:rPr>
                  </w:pPr>
                  <w:r>
                    <w:rPr>
                      <w:rFonts w:hint="eastAsia"/>
                      <w:color w:val="000000"/>
                      <w:szCs w:val="21"/>
                    </w:rPr>
                    <w:t>36.4</w:t>
                  </w:r>
                </w:p>
              </w:tc>
              <w:tc>
                <w:tcPr>
                  <w:tcW w:w="761" w:type="pct"/>
                  <w:vAlign w:val="center"/>
                </w:tcPr>
                <w:p>
                  <w:pPr>
                    <w:pStyle w:val="NoSpacing"/>
                    <w:jc w:val="center"/>
                    <w:rPr>
                      <w:color w:val="000000"/>
                      <w:szCs w:val="21"/>
                    </w:rPr>
                  </w:pPr>
                  <w:r>
                    <w:rPr>
                      <w:rFonts w:hint="eastAsia"/>
                      <w:color w:val="000000"/>
                      <w:szCs w:val="21"/>
                    </w:rPr>
                    <w:t>24.3</w:t>
                  </w:r>
                </w:p>
              </w:tc>
              <w:tc>
                <w:tcPr>
                  <w:tcW w:w="614" w:type="pct"/>
                  <w:vAlign w:val="center"/>
                </w:tcPr>
                <w:p>
                  <w:pPr>
                    <w:pStyle w:val="NoSpacing"/>
                    <w:jc w:val="center"/>
                    <w:rPr>
                      <w:color w:val="000000"/>
                      <w:szCs w:val="21"/>
                    </w:rPr>
                  </w:pPr>
                  <w:r>
                    <w:rPr>
                      <w:rFonts w:hint="eastAsia"/>
                      <w:color w:val="000000"/>
                      <w:szCs w:val="21"/>
                    </w:rPr>
                    <w:t>达标</w:t>
                  </w:r>
                </w:p>
              </w:tc>
            </w:tr>
            <w:tr>
              <w:tblPrEx>
                <w:tblW w:w="5000" w:type="pct"/>
                <w:jc w:val="center"/>
                <w:tblInd w:w="8" w:type="dxa"/>
                <w:tblCellMar>
                  <w:top w:w="0" w:type="dxa"/>
                  <w:left w:w="0" w:type="dxa"/>
                  <w:bottom w:w="0" w:type="dxa"/>
                  <w:right w:w="0" w:type="dxa"/>
                </w:tblCellMar>
                <w:tblLook w:val="0000"/>
              </w:tblPrEx>
              <w:trPr>
                <w:trHeight w:val="340"/>
                <w:jc w:val="center"/>
              </w:trPr>
              <w:tc>
                <w:tcPr>
                  <w:tcW w:w="554" w:type="pct"/>
                  <w:vMerge w:val="restart"/>
                  <w:vAlign w:val="center"/>
                </w:tcPr>
                <w:p>
                  <w:pPr>
                    <w:pStyle w:val="NoSpacing"/>
                    <w:jc w:val="center"/>
                    <w:rPr>
                      <w:color w:val="000000"/>
                      <w:szCs w:val="21"/>
                    </w:rPr>
                  </w:pPr>
                  <w:r>
                    <w:rPr>
                      <w:color w:val="000000"/>
                      <w:szCs w:val="21"/>
                    </w:rPr>
                    <w:t>NO</w:t>
                  </w:r>
                  <w:r>
                    <w:rPr>
                      <w:color w:val="000000"/>
                      <w:szCs w:val="21"/>
                      <w:vertAlign w:val="subscript"/>
                    </w:rPr>
                    <w:t>2</w:t>
                  </w:r>
                </w:p>
              </w:tc>
              <w:tc>
                <w:tcPr>
                  <w:tcW w:w="1463" w:type="pct"/>
                  <w:vAlign w:val="center"/>
                </w:tcPr>
                <w:p>
                  <w:pPr>
                    <w:pStyle w:val="NoSpacing"/>
                    <w:jc w:val="center"/>
                    <w:rPr>
                      <w:color w:val="000000"/>
                      <w:szCs w:val="21"/>
                    </w:rPr>
                  </w:pPr>
                  <w:r>
                    <w:rPr>
                      <w:color w:val="000000"/>
                      <w:szCs w:val="21"/>
                    </w:rPr>
                    <w:t>年平均</w:t>
                  </w:r>
                </w:p>
              </w:tc>
              <w:tc>
                <w:tcPr>
                  <w:tcW w:w="738" w:type="pct"/>
                  <w:vAlign w:val="center"/>
                </w:tcPr>
                <w:p>
                  <w:pPr>
                    <w:pStyle w:val="NoSpacing"/>
                    <w:jc w:val="center"/>
                    <w:rPr>
                      <w:color w:val="000000"/>
                      <w:szCs w:val="21"/>
                    </w:rPr>
                  </w:pPr>
                  <w:r>
                    <w:rPr>
                      <w:color w:val="000000"/>
                      <w:szCs w:val="21"/>
                    </w:rPr>
                    <w:t>40</w:t>
                  </w:r>
                </w:p>
              </w:tc>
              <w:tc>
                <w:tcPr>
                  <w:tcW w:w="869" w:type="pct"/>
                  <w:vAlign w:val="center"/>
                </w:tcPr>
                <w:p>
                  <w:pPr>
                    <w:pStyle w:val="NoSpacing"/>
                    <w:jc w:val="center"/>
                    <w:rPr>
                      <w:color w:val="000000"/>
                      <w:szCs w:val="21"/>
                    </w:rPr>
                  </w:pPr>
                  <w:r>
                    <w:rPr>
                      <w:rFonts w:hint="eastAsia"/>
                      <w:color w:val="000000"/>
                      <w:szCs w:val="21"/>
                    </w:rPr>
                    <w:t>33.5</w:t>
                  </w:r>
                </w:p>
              </w:tc>
              <w:tc>
                <w:tcPr>
                  <w:tcW w:w="761" w:type="pct"/>
                  <w:vAlign w:val="center"/>
                </w:tcPr>
                <w:p>
                  <w:pPr>
                    <w:pStyle w:val="NoSpacing"/>
                    <w:jc w:val="center"/>
                    <w:rPr>
                      <w:color w:val="000000"/>
                      <w:szCs w:val="21"/>
                    </w:rPr>
                  </w:pPr>
                  <w:r>
                    <w:rPr>
                      <w:rFonts w:hint="eastAsia"/>
                      <w:color w:val="000000"/>
                      <w:szCs w:val="21"/>
                    </w:rPr>
                    <w:t>83.8</w:t>
                  </w:r>
                </w:p>
              </w:tc>
              <w:tc>
                <w:tcPr>
                  <w:tcW w:w="614" w:type="pct"/>
                  <w:vAlign w:val="center"/>
                </w:tcPr>
                <w:p>
                  <w:pPr>
                    <w:pStyle w:val="NoSpacing"/>
                    <w:jc w:val="center"/>
                    <w:rPr>
                      <w:color w:val="000000"/>
                      <w:szCs w:val="21"/>
                    </w:rPr>
                  </w:pPr>
                  <w:r>
                    <w:rPr>
                      <w:color w:val="000000"/>
                      <w:szCs w:val="21"/>
                    </w:rPr>
                    <w:t>达标</w:t>
                  </w:r>
                </w:p>
              </w:tc>
            </w:tr>
            <w:tr>
              <w:tblPrEx>
                <w:tblW w:w="5000" w:type="pct"/>
                <w:jc w:val="center"/>
                <w:tblInd w:w="8" w:type="dxa"/>
                <w:tblCellMar>
                  <w:top w:w="0" w:type="dxa"/>
                  <w:left w:w="0" w:type="dxa"/>
                  <w:bottom w:w="0" w:type="dxa"/>
                  <w:right w:w="0" w:type="dxa"/>
                </w:tblCellMar>
                <w:tblLook w:val="0000"/>
              </w:tblPrEx>
              <w:trPr>
                <w:trHeight w:val="340"/>
                <w:jc w:val="center"/>
              </w:trPr>
              <w:tc>
                <w:tcPr>
                  <w:tcW w:w="554" w:type="pct"/>
                  <w:vMerge/>
                  <w:vAlign w:val="center"/>
                </w:tcPr>
                <w:p>
                  <w:pPr>
                    <w:pStyle w:val="NoSpacing"/>
                    <w:jc w:val="center"/>
                    <w:rPr>
                      <w:color w:val="000000"/>
                      <w:szCs w:val="21"/>
                    </w:rPr>
                  </w:pPr>
                </w:p>
              </w:tc>
              <w:tc>
                <w:tcPr>
                  <w:tcW w:w="1463" w:type="pct"/>
                  <w:vAlign w:val="center"/>
                </w:tcPr>
                <w:p>
                  <w:pPr>
                    <w:pStyle w:val="NoSpacing"/>
                    <w:jc w:val="center"/>
                    <w:rPr>
                      <w:color w:val="000000"/>
                      <w:szCs w:val="21"/>
                    </w:rPr>
                  </w:pPr>
                  <w:r>
                    <w:rPr>
                      <w:color w:val="000000"/>
                      <w:szCs w:val="21"/>
                    </w:rPr>
                    <w:t>保证率日均(98%)</w:t>
                  </w:r>
                </w:p>
              </w:tc>
              <w:tc>
                <w:tcPr>
                  <w:tcW w:w="738" w:type="pct"/>
                  <w:vAlign w:val="center"/>
                </w:tcPr>
                <w:p>
                  <w:pPr>
                    <w:pStyle w:val="NoSpacing"/>
                    <w:jc w:val="center"/>
                    <w:rPr>
                      <w:color w:val="000000"/>
                      <w:szCs w:val="21"/>
                    </w:rPr>
                  </w:pPr>
                  <w:r>
                    <w:rPr>
                      <w:color w:val="000000"/>
                      <w:szCs w:val="21"/>
                    </w:rPr>
                    <w:t>80</w:t>
                  </w:r>
                </w:p>
              </w:tc>
              <w:tc>
                <w:tcPr>
                  <w:tcW w:w="869" w:type="pct"/>
                  <w:vAlign w:val="center"/>
                </w:tcPr>
                <w:p>
                  <w:pPr>
                    <w:pStyle w:val="NoSpacing"/>
                    <w:jc w:val="center"/>
                    <w:rPr>
                      <w:color w:val="000000"/>
                      <w:szCs w:val="21"/>
                    </w:rPr>
                  </w:pPr>
                  <w:r>
                    <w:rPr>
                      <w:rFonts w:hint="eastAsia"/>
                      <w:color w:val="000000"/>
                      <w:szCs w:val="21"/>
                    </w:rPr>
                    <w:t>72.7</w:t>
                  </w:r>
                </w:p>
              </w:tc>
              <w:tc>
                <w:tcPr>
                  <w:tcW w:w="761" w:type="pct"/>
                  <w:vAlign w:val="center"/>
                </w:tcPr>
                <w:p>
                  <w:pPr>
                    <w:pStyle w:val="NoSpacing"/>
                    <w:jc w:val="center"/>
                    <w:rPr>
                      <w:color w:val="000000"/>
                      <w:szCs w:val="21"/>
                    </w:rPr>
                  </w:pPr>
                  <w:r>
                    <w:rPr>
                      <w:rFonts w:hint="eastAsia"/>
                      <w:color w:val="000000"/>
                      <w:szCs w:val="21"/>
                    </w:rPr>
                    <w:t>90.9</w:t>
                  </w:r>
                </w:p>
              </w:tc>
              <w:tc>
                <w:tcPr>
                  <w:tcW w:w="614" w:type="pct"/>
                  <w:vAlign w:val="center"/>
                </w:tcPr>
                <w:p>
                  <w:pPr>
                    <w:pStyle w:val="NoSpacing"/>
                    <w:jc w:val="center"/>
                    <w:rPr>
                      <w:color w:val="000000"/>
                      <w:szCs w:val="21"/>
                    </w:rPr>
                  </w:pPr>
                  <w:r>
                    <w:rPr>
                      <w:color w:val="000000"/>
                      <w:szCs w:val="21"/>
                    </w:rPr>
                    <w:t>达标</w:t>
                  </w:r>
                </w:p>
              </w:tc>
            </w:tr>
            <w:tr>
              <w:tblPrEx>
                <w:tblW w:w="5000" w:type="pct"/>
                <w:jc w:val="center"/>
                <w:tblInd w:w="8" w:type="dxa"/>
                <w:tblCellMar>
                  <w:top w:w="0" w:type="dxa"/>
                  <w:left w:w="0" w:type="dxa"/>
                  <w:bottom w:w="0" w:type="dxa"/>
                  <w:right w:w="0" w:type="dxa"/>
                </w:tblCellMar>
                <w:tblLook w:val="0000"/>
              </w:tblPrEx>
              <w:trPr>
                <w:trHeight w:val="340"/>
                <w:jc w:val="center"/>
              </w:trPr>
              <w:tc>
                <w:tcPr>
                  <w:tcW w:w="554" w:type="pct"/>
                  <w:vMerge w:val="restart"/>
                  <w:vAlign w:val="center"/>
                </w:tcPr>
                <w:p>
                  <w:pPr>
                    <w:pStyle w:val="NoSpacing"/>
                    <w:jc w:val="center"/>
                    <w:rPr>
                      <w:color w:val="000000"/>
                      <w:szCs w:val="21"/>
                    </w:rPr>
                  </w:pPr>
                  <w:r>
                    <w:rPr>
                      <w:color w:val="000000"/>
                      <w:szCs w:val="21"/>
                    </w:rPr>
                    <w:t>PM</w:t>
                  </w:r>
                  <w:r>
                    <w:rPr>
                      <w:color w:val="000000"/>
                      <w:szCs w:val="21"/>
                      <w:vertAlign w:val="subscript"/>
                    </w:rPr>
                    <w:t>10</w:t>
                  </w:r>
                </w:p>
              </w:tc>
              <w:tc>
                <w:tcPr>
                  <w:tcW w:w="1463" w:type="pct"/>
                  <w:vAlign w:val="center"/>
                </w:tcPr>
                <w:p>
                  <w:pPr>
                    <w:pStyle w:val="NoSpacing"/>
                    <w:jc w:val="center"/>
                    <w:rPr>
                      <w:color w:val="000000"/>
                      <w:szCs w:val="21"/>
                    </w:rPr>
                  </w:pPr>
                  <w:r>
                    <w:rPr>
                      <w:color w:val="000000"/>
                      <w:szCs w:val="21"/>
                    </w:rPr>
                    <w:t>年平均</w:t>
                  </w:r>
                </w:p>
              </w:tc>
              <w:tc>
                <w:tcPr>
                  <w:tcW w:w="738" w:type="pct"/>
                  <w:vAlign w:val="center"/>
                </w:tcPr>
                <w:p>
                  <w:pPr>
                    <w:pStyle w:val="NoSpacing"/>
                    <w:jc w:val="center"/>
                    <w:rPr>
                      <w:color w:val="000000"/>
                      <w:szCs w:val="21"/>
                    </w:rPr>
                  </w:pPr>
                  <w:r>
                    <w:rPr>
                      <w:color w:val="000000"/>
                      <w:szCs w:val="21"/>
                    </w:rPr>
                    <w:t>70</w:t>
                  </w:r>
                </w:p>
              </w:tc>
              <w:tc>
                <w:tcPr>
                  <w:tcW w:w="869" w:type="pct"/>
                  <w:vAlign w:val="center"/>
                </w:tcPr>
                <w:p>
                  <w:pPr>
                    <w:pStyle w:val="NoSpacing"/>
                    <w:jc w:val="center"/>
                    <w:rPr>
                      <w:color w:val="000000"/>
                      <w:szCs w:val="21"/>
                    </w:rPr>
                  </w:pPr>
                  <w:r>
                    <w:rPr>
                      <w:rFonts w:hint="eastAsia"/>
                      <w:color w:val="000000"/>
                      <w:szCs w:val="21"/>
                    </w:rPr>
                    <w:t>134</w:t>
                  </w:r>
                </w:p>
              </w:tc>
              <w:tc>
                <w:tcPr>
                  <w:tcW w:w="761" w:type="pct"/>
                  <w:vAlign w:val="center"/>
                </w:tcPr>
                <w:p>
                  <w:pPr>
                    <w:pStyle w:val="NoSpacing"/>
                    <w:jc w:val="center"/>
                    <w:rPr>
                      <w:color w:val="000000"/>
                      <w:szCs w:val="21"/>
                    </w:rPr>
                  </w:pPr>
                  <w:r>
                    <w:rPr>
                      <w:rFonts w:hint="eastAsia"/>
                      <w:color w:val="000000"/>
                      <w:szCs w:val="21"/>
                    </w:rPr>
                    <w:t>191.4</w:t>
                  </w:r>
                </w:p>
              </w:tc>
              <w:tc>
                <w:tcPr>
                  <w:tcW w:w="614" w:type="pct"/>
                  <w:vAlign w:val="center"/>
                </w:tcPr>
                <w:p>
                  <w:pPr>
                    <w:pStyle w:val="NoSpacing"/>
                    <w:jc w:val="center"/>
                    <w:rPr>
                      <w:b/>
                      <w:color w:val="000000"/>
                      <w:szCs w:val="21"/>
                    </w:rPr>
                  </w:pPr>
                  <w:r>
                    <w:rPr>
                      <w:b/>
                      <w:color w:val="000000"/>
                      <w:szCs w:val="21"/>
                    </w:rPr>
                    <w:t>超标</w:t>
                  </w:r>
                </w:p>
              </w:tc>
            </w:tr>
            <w:tr>
              <w:tblPrEx>
                <w:tblW w:w="5000" w:type="pct"/>
                <w:jc w:val="center"/>
                <w:tblInd w:w="8" w:type="dxa"/>
                <w:tblCellMar>
                  <w:top w:w="0" w:type="dxa"/>
                  <w:left w:w="0" w:type="dxa"/>
                  <w:bottom w:w="0" w:type="dxa"/>
                  <w:right w:w="0" w:type="dxa"/>
                </w:tblCellMar>
                <w:tblLook w:val="0000"/>
              </w:tblPrEx>
              <w:trPr>
                <w:trHeight w:val="340"/>
                <w:jc w:val="center"/>
              </w:trPr>
              <w:tc>
                <w:tcPr>
                  <w:tcW w:w="554" w:type="pct"/>
                  <w:vMerge/>
                  <w:vAlign w:val="center"/>
                </w:tcPr>
                <w:p>
                  <w:pPr>
                    <w:pStyle w:val="NoSpacing"/>
                    <w:jc w:val="center"/>
                    <w:rPr>
                      <w:color w:val="000000"/>
                      <w:szCs w:val="21"/>
                    </w:rPr>
                  </w:pPr>
                </w:p>
              </w:tc>
              <w:tc>
                <w:tcPr>
                  <w:tcW w:w="1463" w:type="pct"/>
                  <w:vAlign w:val="center"/>
                </w:tcPr>
                <w:p>
                  <w:pPr>
                    <w:pStyle w:val="NoSpacing"/>
                    <w:jc w:val="center"/>
                    <w:rPr>
                      <w:color w:val="000000"/>
                      <w:szCs w:val="21"/>
                    </w:rPr>
                  </w:pPr>
                  <w:r>
                    <w:rPr>
                      <w:rFonts w:hint="eastAsia"/>
                      <w:color w:val="000000"/>
                      <w:szCs w:val="21"/>
                    </w:rPr>
                    <w:t>保证</w:t>
                  </w:r>
                  <w:r>
                    <w:rPr>
                      <w:color w:val="000000"/>
                      <w:szCs w:val="21"/>
                    </w:rPr>
                    <w:t>率日均(9</w:t>
                  </w:r>
                  <w:r>
                    <w:rPr>
                      <w:rFonts w:hint="eastAsia"/>
                      <w:color w:val="000000"/>
                      <w:szCs w:val="21"/>
                    </w:rPr>
                    <w:t>8</w:t>
                  </w:r>
                  <w:r>
                    <w:rPr>
                      <w:color w:val="000000"/>
                      <w:szCs w:val="21"/>
                    </w:rPr>
                    <w:t>%)</w:t>
                  </w:r>
                </w:p>
              </w:tc>
              <w:tc>
                <w:tcPr>
                  <w:tcW w:w="738" w:type="pct"/>
                  <w:vAlign w:val="center"/>
                </w:tcPr>
                <w:p>
                  <w:pPr>
                    <w:pStyle w:val="NoSpacing"/>
                    <w:jc w:val="center"/>
                    <w:rPr>
                      <w:color w:val="000000"/>
                      <w:szCs w:val="21"/>
                    </w:rPr>
                  </w:pPr>
                  <w:r>
                    <w:rPr>
                      <w:rFonts w:hint="eastAsia"/>
                      <w:color w:val="000000"/>
                      <w:szCs w:val="21"/>
                    </w:rPr>
                    <w:t>150</w:t>
                  </w:r>
                </w:p>
              </w:tc>
              <w:tc>
                <w:tcPr>
                  <w:tcW w:w="869" w:type="pct"/>
                  <w:vAlign w:val="center"/>
                </w:tcPr>
                <w:p>
                  <w:pPr>
                    <w:pStyle w:val="NoSpacing"/>
                    <w:jc w:val="center"/>
                    <w:rPr>
                      <w:color w:val="000000"/>
                      <w:szCs w:val="21"/>
                    </w:rPr>
                  </w:pPr>
                  <w:r>
                    <w:rPr>
                      <w:rFonts w:hint="eastAsia"/>
                      <w:color w:val="000000"/>
                      <w:szCs w:val="21"/>
                    </w:rPr>
                    <w:t>320</w:t>
                  </w:r>
                </w:p>
              </w:tc>
              <w:tc>
                <w:tcPr>
                  <w:tcW w:w="761" w:type="pct"/>
                  <w:vAlign w:val="center"/>
                </w:tcPr>
                <w:p>
                  <w:pPr>
                    <w:pStyle w:val="NoSpacing"/>
                    <w:jc w:val="center"/>
                    <w:rPr>
                      <w:color w:val="000000"/>
                      <w:szCs w:val="21"/>
                    </w:rPr>
                  </w:pPr>
                  <w:r>
                    <w:rPr>
                      <w:rFonts w:hint="eastAsia"/>
                      <w:color w:val="000000"/>
                      <w:szCs w:val="21"/>
                    </w:rPr>
                    <w:t>213.3</w:t>
                  </w:r>
                </w:p>
              </w:tc>
              <w:tc>
                <w:tcPr>
                  <w:tcW w:w="614" w:type="pct"/>
                  <w:vAlign w:val="center"/>
                </w:tcPr>
                <w:p>
                  <w:pPr>
                    <w:pStyle w:val="NoSpacing"/>
                    <w:jc w:val="center"/>
                    <w:rPr>
                      <w:b/>
                      <w:color w:val="000000"/>
                      <w:szCs w:val="21"/>
                    </w:rPr>
                  </w:pPr>
                  <w:r>
                    <w:rPr>
                      <w:b/>
                      <w:color w:val="000000"/>
                      <w:szCs w:val="21"/>
                    </w:rPr>
                    <w:t>超标</w:t>
                  </w:r>
                </w:p>
              </w:tc>
            </w:tr>
            <w:tr>
              <w:tblPrEx>
                <w:tblW w:w="5000" w:type="pct"/>
                <w:jc w:val="center"/>
                <w:tblInd w:w="8" w:type="dxa"/>
                <w:tblCellMar>
                  <w:top w:w="0" w:type="dxa"/>
                  <w:left w:w="0" w:type="dxa"/>
                  <w:bottom w:w="0" w:type="dxa"/>
                  <w:right w:w="0" w:type="dxa"/>
                </w:tblCellMar>
                <w:tblLook w:val="0000"/>
              </w:tblPrEx>
              <w:trPr>
                <w:trHeight w:val="340"/>
                <w:jc w:val="center"/>
              </w:trPr>
              <w:tc>
                <w:tcPr>
                  <w:tcW w:w="554" w:type="pct"/>
                  <w:vMerge w:val="restart"/>
                  <w:vAlign w:val="center"/>
                </w:tcPr>
                <w:p>
                  <w:pPr>
                    <w:pStyle w:val="NoSpacing"/>
                    <w:jc w:val="center"/>
                    <w:rPr>
                      <w:color w:val="000000"/>
                      <w:szCs w:val="21"/>
                    </w:rPr>
                  </w:pPr>
                  <w:r>
                    <w:rPr>
                      <w:color w:val="000000"/>
                      <w:szCs w:val="21"/>
                    </w:rPr>
                    <w:t>PM</w:t>
                  </w:r>
                  <w:r>
                    <w:rPr>
                      <w:color w:val="000000"/>
                      <w:szCs w:val="21"/>
                      <w:vertAlign w:val="subscript"/>
                    </w:rPr>
                    <w:t>2.5</w:t>
                  </w:r>
                </w:p>
              </w:tc>
              <w:tc>
                <w:tcPr>
                  <w:tcW w:w="1463" w:type="pct"/>
                  <w:vAlign w:val="center"/>
                </w:tcPr>
                <w:p>
                  <w:pPr>
                    <w:pStyle w:val="NoSpacing"/>
                    <w:jc w:val="center"/>
                    <w:rPr>
                      <w:color w:val="000000"/>
                      <w:szCs w:val="21"/>
                    </w:rPr>
                  </w:pPr>
                  <w:r>
                    <w:rPr>
                      <w:color w:val="000000"/>
                      <w:szCs w:val="21"/>
                    </w:rPr>
                    <w:t>年平均</w:t>
                  </w:r>
                </w:p>
              </w:tc>
              <w:tc>
                <w:tcPr>
                  <w:tcW w:w="738" w:type="pct"/>
                  <w:vAlign w:val="center"/>
                </w:tcPr>
                <w:p>
                  <w:pPr>
                    <w:pStyle w:val="NoSpacing"/>
                    <w:jc w:val="center"/>
                    <w:rPr>
                      <w:color w:val="000000"/>
                      <w:szCs w:val="21"/>
                    </w:rPr>
                  </w:pPr>
                  <w:r>
                    <w:rPr>
                      <w:color w:val="000000"/>
                      <w:szCs w:val="21"/>
                    </w:rPr>
                    <w:t>35</w:t>
                  </w:r>
                </w:p>
              </w:tc>
              <w:tc>
                <w:tcPr>
                  <w:tcW w:w="869" w:type="pct"/>
                  <w:vAlign w:val="center"/>
                </w:tcPr>
                <w:p>
                  <w:pPr>
                    <w:pStyle w:val="NoSpacing"/>
                    <w:jc w:val="center"/>
                    <w:rPr>
                      <w:color w:val="000000"/>
                      <w:szCs w:val="21"/>
                    </w:rPr>
                  </w:pPr>
                  <w:r>
                    <w:rPr>
                      <w:rFonts w:hint="eastAsia"/>
                      <w:color w:val="000000"/>
                      <w:szCs w:val="21"/>
                    </w:rPr>
                    <w:t>85.5</w:t>
                  </w:r>
                </w:p>
              </w:tc>
              <w:tc>
                <w:tcPr>
                  <w:tcW w:w="761" w:type="pct"/>
                  <w:vAlign w:val="center"/>
                </w:tcPr>
                <w:p>
                  <w:pPr>
                    <w:pStyle w:val="NoSpacing"/>
                    <w:jc w:val="center"/>
                    <w:rPr>
                      <w:color w:val="000000"/>
                      <w:szCs w:val="21"/>
                    </w:rPr>
                  </w:pPr>
                  <w:r>
                    <w:rPr>
                      <w:rFonts w:hint="eastAsia"/>
                      <w:color w:val="000000"/>
                      <w:szCs w:val="21"/>
                    </w:rPr>
                    <w:t>244.3</w:t>
                  </w:r>
                </w:p>
              </w:tc>
              <w:tc>
                <w:tcPr>
                  <w:tcW w:w="614" w:type="pct"/>
                  <w:vAlign w:val="center"/>
                </w:tcPr>
                <w:p>
                  <w:pPr>
                    <w:pStyle w:val="NoSpacing"/>
                    <w:jc w:val="center"/>
                    <w:rPr>
                      <w:b/>
                      <w:color w:val="000000"/>
                      <w:szCs w:val="21"/>
                    </w:rPr>
                  </w:pPr>
                  <w:r>
                    <w:rPr>
                      <w:b/>
                      <w:color w:val="000000"/>
                      <w:szCs w:val="21"/>
                    </w:rPr>
                    <w:t>超标</w:t>
                  </w:r>
                </w:p>
              </w:tc>
            </w:tr>
            <w:tr>
              <w:tblPrEx>
                <w:tblW w:w="5000" w:type="pct"/>
                <w:jc w:val="center"/>
                <w:tblInd w:w="8" w:type="dxa"/>
                <w:tblCellMar>
                  <w:top w:w="0" w:type="dxa"/>
                  <w:left w:w="0" w:type="dxa"/>
                  <w:bottom w:w="0" w:type="dxa"/>
                  <w:right w:w="0" w:type="dxa"/>
                </w:tblCellMar>
                <w:tblLook w:val="0000"/>
              </w:tblPrEx>
              <w:trPr>
                <w:trHeight w:val="340"/>
                <w:jc w:val="center"/>
              </w:trPr>
              <w:tc>
                <w:tcPr>
                  <w:tcW w:w="554" w:type="pct"/>
                  <w:vMerge/>
                  <w:vAlign w:val="center"/>
                </w:tcPr>
                <w:p>
                  <w:pPr>
                    <w:pStyle w:val="NoSpacing"/>
                    <w:jc w:val="center"/>
                    <w:rPr>
                      <w:color w:val="000000"/>
                      <w:szCs w:val="21"/>
                    </w:rPr>
                  </w:pPr>
                </w:p>
              </w:tc>
              <w:tc>
                <w:tcPr>
                  <w:tcW w:w="1463" w:type="pct"/>
                  <w:vAlign w:val="center"/>
                </w:tcPr>
                <w:p>
                  <w:pPr>
                    <w:pStyle w:val="NoSpacing"/>
                    <w:jc w:val="center"/>
                    <w:rPr>
                      <w:color w:val="000000"/>
                      <w:szCs w:val="21"/>
                    </w:rPr>
                  </w:pPr>
                  <w:r>
                    <w:rPr>
                      <w:color w:val="000000"/>
                      <w:szCs w:val="21"/>
                    </w:rPr>
                    <w:t>保证率日均(95%)</w:t>
                  </w:r>
                </w:p>
              </w:tc>
              <w:tc>
                <w:tcPr>
                  <w:tcW w:w="738" w:type="pct"/>
                  <w:vAlign w:val="center"/>
                </w:tcPr>
                <w:p>
                  <w:pPr>
                    <w:pStyle w:val="NoSpacing"/>
                    <w:jc w:val="center"/>
                    <w:rPr>
                      <w:color w:val="000000"/>
                      <w:szCs w:val="21"/>
                    </w:rPr>
                  </w:pPr>
                  <w:r>
                    <w:rPr>
                      <w:color w:val="000000"/>
                      <w:szCs w:val="21"/>
                    </w:rPr>
                    <w:t>75</w:t>
                  </w:r>
                </w:p>
              </w:tc>
              <w:tc>
                <w:tcPr>
                  <w:tcW w:w="869" w:type="pct"/>
                  <w:vAlign w:val="center"/>
                </w:tcPr>
                <w:p>
                  <w:pPr>
                    <w:pStyle w:val="NoSpacing"/>
                    <w:jc w:val="center"/>
                    <w:rPr>
                      <w:color w:val="000000"/>
                      <w:szCs w:val="21"/>
                    </w:rPr>
                  </w:pPr>
                  <w:r>
                    <w:rPr>
                      <w:rFonts w:hint="eastAsia"/>
                      <w:color w:val="000000"/>
                      <w:szCs w:val="21"/>
                    </w:rPr>
                    <w:t>254</w:t>
                  </w:r>
                </w:p>
              </w:tc>
              <w:tc>
                <w:tcPr>
                  <w:tcW w:w="761" w:type="pct"/>
                  <w:vAlign w:val="center"/>
                </w:tcPr>
                <w:p>
                  <w:pPr>
                    <w:pStyle w:val="NoSpacing"/>
                    <w:jc w:val="center"/>
                    <w:rPr>
                      <w:color w:val="000000"/>
                      <w:szCs w:val="21"/>
                    </w:rPr>
                  </w:pPr>
                  <w:r>
                    <w:rPr>
                      <w:rFonts w:hint="eastAsia"/>
                      <w:color w:val="000000"/>
                      <w:szCs w:val="21"/>
                    </w:rPr>
                    <w:t>338.7</w:t>
                  </w:r>
                </w:p>
              </w:tc>
              <w:tc>
                <w:tcPr>
                  <w:tcW w:w="614" w:type="pct"/>
                  <w:vAlign w:val="center"/>
                </w:tcPr>
                <w:p>
                  <w:pPr>
                    <w:pStyle w:val="NoSpacing"/>
                    <w:jc w:val="center"/>
                    <w:rPr>
                      <w:b/>
                      <w:color w:val="000000"/>
                      <w:szCs w:val="21"/>
                    </w:rPr>
                  </w:pPr>
                  <w:r>
                    <w:rPr>
                      <w:b/>
                      <w:color w:val="000000"/>
                      <w:szCs w:val="21"/>
                    </w:rPr>
                    <w:t>超标</w:t>
                  </w:r>
                </w:p>
              </w:tc>
            </w:tr>
            <w:tr>
              <w:tblPrEx>
                <w:tblW w:w="5000" w:type="pct"/>
                <w:jc w:val="center"/>
                <w:tblInd w:w="8" w:type="dxa"/>
                <w:tblCellMar>
                  <w:top w:w="0" w:type="dxa"/>
                  <w:left w:w="0" w:type="dxa"/>
                  <w:bottom w:w="0" w:type="dxa"/>
                  <w:right w:w="0" w:type="dxa"/>
                </w:tblCellMar>
                <w:tblLook w:val="0000"/>
              </w:tblPrEx>
              <w:trPr>
                <w:trHeight w:val="340"/>
                <w:jc w:val="center"/>
              </w:trPr>
              <w:tc>
                <w:tcPr>
                  <w:tcW w:w="554" w:type="pct"/>
                  <w:vAlign w:val="center"/>
                </w:tcPr>
                <w:p>
                  <w:pPr>
                    <w:pStyle w:val="NoSpacing"/>
                    <w:jc w:val="center"/>
                    <w:rPr>
                      <w:color w:val="000000"/>
                      <w:szCs w:val="21"/>
                    </w:rPr>
                  </w:pPr>
                  <w:r>
                    <w:rPr>
                      <w:color w:val="000000"/>
                      <w:szCs w:val="21"/>
                    </w:rPr>
                    <w:t>CO</w:t>
                  </w:r>
                </w:p>
              </w:tc>
              <w:tc>
                <w:tcPr>
                  <w:tcW w:w="1463" w:type="pct"/>
                  <w:vAlign w:val="center"/>
                </w:tcPr>
                <w:p>
                  <w:pPr>
                    <w:pStyle w:val="NoSpacing"/>
                    <w:jc w:val="center"/>
                    <w:rPr>
                      <w:color w:val="000000"/>
                      <w:szCs w:val="21"/>
                    </w:rPr>
                  </w:pPr>
                  <w:r>
                    <w:rPr>
                      <w:color w:val="000000"/>
                      <w:szCs w:val="21"/>
                    </w:rPr>
                    <w:t>保证率日均(9</w:t>
                  </w:r>
                  <w:r>
                    <w:rPr>
                      <w:rFonts w:hint="eastAsia"/>
                      <w:color w:val="000000"/>
                      <w:szCs w:val="21"/>
                    </w:rPr>
                    <w:t>8</w:t>
                  </w:r>
                  <w:r>
                    <w:rPr>
                      <w:color w:val="000000"/>
                      <w:szCs w:val="21"/>
                    </w:rPr>
                    <w:t>%</w:t>
                  </w:r>
                  <w:r>
                    <w:rPr>
                      <w:rFonts w:hint="eastAsia"/>
                      <w:color w:val="000000"/>
                      <w:szCs w:val="21"/>
                    </w:rPr>
                    <w:t>)</w:t>
                  </w:r>
                </w:p>
              </w:tc>
              <w:tc>
                <w:tcPr>
                  <w:tcW w:w="738" w:type="pct"/>
                  <w:vAlign w:val="center"/>
                </w:tcPr>
                <w:p>
                  <w:pPr>
                    <w:pStyle w:val="NoSpacing"/>
                    <w:jc w:val="center"/>
                    <w:rPr>
                      <w:color w:val="000000"/>
                      <w:szCs w:val="21"/>
                    </w:rPr>
                  </w:pPr>
                  <w:r>
                    <w:rPr>
                      <w:color w:val="000000"/>
                      <w:szCs w:val="21"/>
                    </w:rPr>
                    <w:t>4000</w:t>
                  </w:r>
                </w:p>
              </w:tc>
              <w:tc>
                <w:tcPr>
                  <w:tcW w:w="869" w:type="pct"/>
                  <w:vAlign w:val="center"/>
                </w:tcPr>
                <w:p>
                  <w:pPr>
                    <w:pStyle w:val="NoSpacing"/>
                    <w:jc w:val="center"/>
                    <w:rPr>
                      <w:color w:val="000000"/>
                      <w:szCs w:val="21"/>
                    </w:rPr>
                  </w:pPr>
                  <w:r>
                    <w:rPr>
                      <w:rFonts w:hint="eastAsia"/>
                      <w:color w:val="000000"/>
                      <w:szCs w:val="21"/>
                    </w:rPr>
                    <w:t>1200</w:t>
                  </w:r>
                </w:p>
              </w:tc>
              <w:tc>
                <w:tcPr>
                  <w:tcW w:w="761" w:type="pct"/>
                  <w:vAlign w:val="center"/>
                </w:tcPr>
                <w:p>
                  <w:pPr>
                    <w:pStyle w:val="NoSpacing"/>
                    <w:jc w:val="center"/>
                    <w:rPr>
                      <w:color w:val="000000"/>
                      <w:szCs w:val="21"/>
                    </w:rPr>
                  </w:pPr>
                  <w:r>
                    <w:rPr>
                      <w:rFonts w:hint="eastAsia"/>
                      <w:color w:val="000000"/>
                      <w:szCs w:val="21"/>
                    </w:rPr>
                    <w:t>30.0</w:t>
                  </w:r>
                </w:p>
              </w:tc>
              <w:tc>
                <w:tcPr>
                  <w:tcW w:w="614" w:type="pct"/>
                  <w:vAlign w:val="center"/>
                </w:tcPr>
                <w:p>
                  <w:pPr>
                    <w:pStyle w:val="NoSpacing"/>
                    <w:jc w:val="center"/>
                    <w:rPr>
                      <w:color w:val="000000"/>
                      <w:szCs w:val="21"/>
                    </w:rPr>
                  </w:pPr>
                  <w:r>
                    <w:rPr>
                      <w:color w:val="000000"/>
                      <w:szCs w:val="21"/>
                    </w:rPr>
                    <w:t>达标</w:t>
                  </w:r>
                </w:p>
              </w:tc>
            </w:tr>
            <w:tr>
              <w:tblPrEx>
                <w:tblW w:w="5000" w:type="pct"/>
                <w:jc w:val="center"/>
                <w:tblInd w:w="8" w:type="dxa"/>
                <w:tblCellMar>
                  <w:top w:w="0" w:type="dxa"/>
                  <w:left w:w="0" w:type="dxa"/>
                  <w:bottom w:w="0" w:type="dxa"/>
                  <w:right w:w="0" w:type="dxa"/>
                </w:tblCellMar>
                <w:tblLook w:val="0000"/>
              </w:tblPrEx>
              <w:trPr>
                <w:trHeight w:val="340"/>
                <w:jc w:val="center"/>
              </w:trPr>
              <w:tc>
                <w:tcPr>
                  <w:tcW w:w="554" w:type="pct"/>
                  <w:vAlign w:val="center"/>
                </w:tcPr>
                <w:p>
                  <w:pPr>
                    <w:pStyle w:val="NoSpacing"/>
                    <w:jc w:val="center"/>
                    <w:rPr>
                      <w:color w:val="000000"/>
                      <w:szCs w:val="21"/>
                    </w:rPr>
                  </w:pPr>
                  <w:r>
                    <w:rPr>
                      <w:color w:val="000000"/>
                      <w:szCs w:val="21"/>
                    </w:rPr>
                    <w:t>O</w:t>
                  </w:r>
                  <w:r>
                    <w:rPr>
                      <w:color w:val="000000"/>
                      <w:szCs w:val="21"/>
                      <w:vertAlign w:val="subscript"/>
                    </w:rPr>
                    <w:t>3</w:t>
                  </w:r>
                </w:p>
              </w:tc>
              <w:tc>
                <w:tcPr>
                  <w:tcW w:w="1463" w:type="pct"/>
                  <w:vAlign w:val="center"/>
                </w:tcPr>
                <w:p>
                  <w:pPr>
                    <w:pStyle w:val="NoSpacing"/>
                    <w:jc w:val="center"/>
                    <w:rPr>
                      <w:color w:val="000000"/>
                      <w:szCs w:val="21"/>
                    </w:rPr>
                  </w:pPr>
                  <w:r>
                    <w:rPr>
                      <w:color w:val="000000"/>
                      <w:szCs w:val="21"/>
                    </w:rPr>
                    <w:t>保证率</w:t>
                  </w:r>
                  <w:r>
                    <w:rPr>
                      <w:rFonts w:hint="eastAsia"/>
                      <w:color w:val="000000"/>
                      <w:szCs w:val="21"/>
                    </w:rPr>
                    <w:t>日</w:t>
                  </w:r>
                  <w:r>
                    <w:rPr>
                      <w:color w:val="000000"/>
                      <w:szCs w:val="21"/>
                    </w:rPr>
                    <w:t>最大8h平均(90%)</w:t>
                  </w:r>
                </w:p>
              </w:tc>
              <w:tc>
                <w:tcPr>
                  <w:tcW w:w="738" w:type="pct"/>
                  <w:vAlign w:val="center"/>
                </w:tcPr>
                <w:p>
                  <w:pPr>
                    <w:pStyle w:val="NoSpacing"/>
                    <w:jc w:val="center"/>
                    <w:rPr>
                      <w:color w:val="000000"/>
                      <w:szCs w:val="21"/>
                    </w:rPr>
                  </w:pPr>
                  <w:r>
                    <w:rPr>
                      <w:color w:val="000000"/>
                      <w:szCs w:val="21"/>
                    </w:rPr>
                    <w:t>160</w:t>
                  </w:r>
                </w:p>
              </w:tc>
              <w:tc>
                <w:tcPr>
                  <w:tcW w:w="869" w:type="pct"/>
                  <w:vAlign w:val="center"/>
                </w:tcPr>
                <w:p>
                  <w:pPr>
                    <w:pStyle w:val="NoSpacing"/>
                    <w:jc w:val="center"/>
                    <w:rPr>
                      <w:color w:val="000000"/>
                      <w:szCs w:val="21"/>
                    </w:rPr>
                  </w:pPr>
                  <w:r>
                    <w:rPr>
                      <w:rFonts w:hint="eastAsia"/>
                      <w:color w:val="000000"/>
                      <w:szCs w:val="21"/>
                    </w:rPr>
                    <w:t>138</w:t>
                  </w:r>
                </w:p>
              </w:tc>
              <w:tc>
                <w:tcPr>
                  <w:tcW w:w="761" w:type="pct"/>
                  <w:vAlign w:val="center"/>
                </w:tcPr>
                <w:p>
                  <w:pPr>
                    <w:pStyle w:val="NoSpacing"/>
                    <w:jc w:val="center"/>
                    <w:rPr>
                      <w:color w:val="000000"/>
                      <w:szCs w:val="21"/>
                    </w:rPr>
                  </w:pPr>
                  <w:r>
                    <w:rPr>
                      <w:rFonts w:hint="eastAsia"/>
                      <w:color w:val="000000"/>
                      <w:szCs w:val="21"/>
                    </w:rPr>
                    <w:t>86.3</w:t>
                  </w:r>
                </w:p>
              </w:tc>
              <w:tc>
                <w:tcPr>
                  <w:tcW w:w="614" w:type="pct"/>
                  <w:vAlign w:val="center"/>
                </w:tcPr>
                <w:p>
                  <w:pPr>
                    <w:pStyle w:val="NoSpacing"/>
                    <w:jc w:val="center"/>
                    <w:rPr>
                      <w:color w:val="000000"/>
                      <w:szCs w:val="21"/>
                    </w:rPr>
                  </w:pPr>
                  <w:r>
                    <w:rPr>
                      <w:color w:val="000000"/>
                      <w:szCs w:val="21"/>
                    </w:rPr>
                    <w:t>达标</w:t>
                  </w:r>
                </w:p>
              </w:tc>
            </w:tr>
          </w:tbl>
          <w:p>
            <w:pPr>
              <w:spacing w:line="360" w:lineRule="auto"/>
              <w:ind w:firstLine="480" w:firstLineChars="200"/>
              <w:jc w:val="left"/>
              <w:rPr>
                <w:rFonts w:hint="eastAsia"/>
                <w:color w:val="000000"/>
                <w:kern w:val="0"/>
                <w:sz w:val="24"/>
              </w:rPr>
            </w:pPr>
            <w:r>
              <w:rPr>
                <w:rFonts w:hint="eastAsia"/>
                <w:color w:val="000000"/>
                <w:sz w:val="24"/>
              </w:rPr>
              <w:t>根据上表可知，项目所在区域</w:t>
            </w:r>
            <w:r>
              <w:rPr>
                <w:color w:val="000000"/>
                <w:sz w:val="24"/>
              </w:rPr>
              <w:t>202</w:t>
            </w:r>
            <w:r>
              <w:rPr>
                <w:rFonts w:hint="eastAsia"/>
                <w:color w:val="000000"/>
                <w:sz w:val="24"/>
              </w:rPr>
              <w:t>1</w:t>
            </w:r>
            <w:r>
              <w:rPr>
                <w:color w:val="000000"/>
                <w:sz w:val="24"/>
              </w:rPr>
              <w:t xml:space="preserve"> </w:t>
            </w:r>
            <w:r>
              <w:rPr>
                <w:rFonts w:hint="eastAsia"/>
                <w:color w:val="000000"/>
                <w:sz w:val="24"/>
              </w:rPr>
              <w:t>年</w:t>
            </w:r>
            <w:r>
              <w:rPr>
                <w:color w:val="000000"/>
                <w:sz w:val="24"/>
              </w:rPr>
              <w:t>SO</w:t>
            </w:r>
            <w:r>
              <w:rPr>
                <w:color w:val="000000"/>
                <w:sz w:val="24"/>
                <w:vertAlign w:val="subscript"/>
              </w:rPr>
              <w:t>2</w:t>
            </w:r>
            <w:r>
              <w:rPr>
                <w:rFonts w:hint="eastAsia"/>
                <w:color w:val="000000"/>
                <w:sz w:val="24"/>
              </w:rPr>
              <w:t>、</w:t>
            </w:r>
            <w:r>
              <w:rPr>
                <w:color w:val="000000"/>
                <w:sz w:val="24"/>
              </w:rPr>
              <w:t>NO</w:t>
            </w:r>
            <w:r>
              <w:rPr>
                <w:color w:val="000000"/>
                <w:sz w:val="24"/>
                <w:vertAlign w:val="subscript"/>
              </w:rPr>
              <w:t>2</w:t>
            </w:r>
            <w:r>
              <w:rPr>
                <w:color w:val="000000"/>
                <w:sz w:val="24"/>
              </w:rPr>
              <w:t xml:space="preserve"> </w:t>
            </w:r>
            <w:r>
              <w:rPr>
                <w:rFonts w:hint="eastAsia"/>
                <w:color w:val="000000"/>
                <w:sz w:val="24"/>
              </w:rPr>
              <w:t>年平均质量浓度和相应的</w:t>
            </w:r>
            <w:r>
              <w:rPr>
                <w:color w:val="000000"/>
                <w:sz w:val="24"/>
              </w:rPr>
              <w:t>24</w:t>
            </w:r>
            <w:r>
              <w:rPr>
                <w:rFonts w:hint="eastAsia"/>
                <w:color w:val="000000"/>
                <w:sz w:val="24"/>
              </w:rPr>
              <w:t>小时百分位数，</w:t>
            </w:r>
            <w:r>
              <w:rPr>
                <w:color w:val="000000"/>
                <w:sz w:val="24"/>
              </w:rPr>
              <w:t xml:space="preserve"> CO </w:t>
            </w:r>
            <w:r>
              <w:rPr>
                <w:rFonts w:hint="eastAsia"/>
                <w:color w:val="000000"/>
                <w:sz w:val="24"/>
              </w:rPr>
              <w:t>和</w:t>
            </w:r>
            <w:r>
              <w:rPr>
                <w:color w:val="000000"/>
                <w:sz w:val="24"/>
              </w:rPr>
              <w:t>O</w:t>
            </w:r>
            <w:r>
              <w:rPr>
                <w:color w:val="000000"/>
                <w:sz w:val="24"/>
                <w:vertAlign w:val="subscript"/>
              </w:rPr>
              <w:t>3</w:t>
            </w:r>
            <w:r>
              <w:rPr>
                <w:rFonts w:hint="eastAsia"/>
                <w:color w:val="000000"/>
                <w:sz w:val="24"/>
              </w:rPr>
              <w:t>相应百分位数可以满足《环境空气质量标准》（</w:t>
            </w:r>
            <w:r>
              <w:rPr>
                <w:color w:val="000000"/>
                <w:sz w:val="24"/>
              </w:rPr>
              <w:t>GB3095-2012</w:t>
            </w:r>
            <w:r>
              <w:rPr>
                <w:rFonts w:hint="eastAsia"/>
                <w:color w:val="000000"/>
                <w:sz w:val="24"/>
              </w:rPr>
              <w:t>）二级标准要求；</w:t>
            </w:r>
            <w:r>
              <w:rPr>
                <w:color w:val="000000"/>
                <w:sz w:val="24"/>
              </w:rPr>
              <w:t>PM</w:t>
            </w:r>
            <w:r>
              <w:rPr>
                <w:color w:val="000000"/>
                <w:sz w:val="24"/>
                <w:vertAlign w:val="subscript"/>
              </w:rPr>
              <w:t>10</w:t>
            </w:r>
            <w:r>
              <w:rPr>
                <w:rFonts w:hint="eastAsia"/>
                <w:color w:val="000000"/>
                <w:sz w:val="24"/>
              </w:rPr>
              <w:t>和</w:t>
            </w:r>
            <w:r>
              <w:rPr>
                <w:color w:val="000000"/>
                <w:sz w:val="24"/>
              </w:rPr>
              <w:t>PM</w:t>
            </w:r>
            <w:r>
              <w:rPr>
                <w:color w:val="000000"/>
                <w:sz w:val="24"/>
                <w:vertAlign w:val="subscript"/>
              </w:rPr>
              <w:t>2.5</w:t>
            </w:r>
            <w:r>
              <w:rPr>
                <w:color w:val="000000"/>
                <w:sz w:val="24"/>
              </w:rPr>
              <w:t xml:space="preserve"> </w:t>
            </w:r>
            <w:r>
              <w:rPr>
                <w:rFonts w:hint="eastAsia"/>
                <w:color w:val="000000"/>
                <w:sz w:val="24"/>
              </w:rPr>
              <w:t>年平均质量浓度超标，不能满足《环境空气质量标准》（</w:t>
            </w:r>
            <w:r>
              <w:rPr>
                <w:color w:val="000000"/>
                <w:sz w:val="24"/>
              </w:rPr>
              <w:t>GB3095-2012</w:t>
            </w:r>
            <w:r>
              <w:rPr>
                <w:rFonts w:hint="eastAsia"/>
                <w:color w:val="000000"/>
                <w:sz w:val="24"/>
              </w:rPr>
              <w:t>）二级标准要求。项目所在区域为不达标区</w:t>
            </w:r>
            <w:r>
              <w:rPr>
                <w:color w:val="000000"/>
                <w:kern w:val="0"/>
                <w:sz w:val="24"/>
              </w:rPr>
              <w:t>。</w:t>
            </w:r>
          </w:p>
          <w:p>
            <w:pPr>
              <w:spacing w:line="360" w:lineRule="auto"/>
              <w:ind w:firstLine="480" w:firstLineChars="200"/>
              <w:jc w:val="left"/>
              <w:rPr>
                <w:rFonts w:hint="eastAsia"/>
                <w:color w:val="000000"/>
                <w:kern w:val="0"/>
                <w:sz w:val="24"/>
              </w:rPr>
            </w:pPr>
            <w:r>
              <w:rPr>
                <w:color w:val="000000"/>
                <w:kern w:val="0"/>
                <w:sz w:val="24"/>
              </w:rPr>
              <w:t>PM</w:t>
            </w:r>
            <w:r>
              <w:rPr>
                <w:color w:val="000000"/>
                <w:kern w:val="0"/>
                <w:sz w:val="24"/>
                <w:vertAlign w:val="subscript"/>
              </w:rPr>
              <w:t>10</w:t>
            </w:r>
            <w:r>
              <w:rPr>
                <w:rFonts w:hint="eastAsia"/>
                <w:color w:val="000000"/>
                <w:kern w:val="0"/>
                <w:sz w:val="24"/>
              </w:rPr>
              <w:t>和</w:t>
            </w:r>
            <w:r>
              <w:rPr>
                <w:color w:val="000000"/>
                <w:kern w:val="0"/>
                <w:sz w:val="24"/>
              </w:rPr>
              <w:t>PM</w:t>
            </w:r>
            <w:r>
              <w:rPr>
                <w:color w:val="000000"/>
                <w:kern w:val="0"/>
                <w:sz w:val="24"/>
                <w:vertAlign w:val="subscript"/>
              </w:rPr>
              <w:t>2.5</w:t>
            </w:r>
            <w:r>
              <w:rPr>
                <w:color w:val="000000"/>
                <w:kern w:val="0"/>
                <w:sz w:val="24"/>
              </w:rPr>
              <w:t xml:space="preserve"> </w:t>
            </w:r>
            <w:r>
              <w:rPr>
                <w:rFonts w:hint="eastAsia"/>
                <w:color w:val="000000"/>
                <w:kern w:val="0"/>
                <w:sz w:val="24"/>
              </w:rPr>
              <w:t>超标主要是由于北方气候干燥，地面扬尘、工业生产、机动车尾气排放等多方面因素造成的。</w:t>
            </w:r>
          </w:p>
          <w:p>
            <w:pPr>
              <w:adjustRightInd w:val="0"/>
              <w:snapToGrid w:val="0"/>
              <w:spacing w:line="360" w:lineRule="auto"/>
              <w:ind w:firstLine="480" w:firstLineChars="200"/>
              <w:contextualSpacing/>
              <w:rPr>
                <w:color w:val="000000"/>
                <w:sz w:val="24"/>
              </w:rPr>
            </w:pPr>
            <w:r>
              <w:rPr>
                <w:rFonts w:hint="eastAsia"/>
                <w:color w:val="000000"/>
                <w:sz w:val="24"/>
              </w:rPr>
              <w:t>区域削减方案：深化建设工程扬尘防治。建筑工地全面落实</w:t>
            </w:r>
            <w:r>
              <w:rPr>
                <w:rFonts w:hint="eastAsia"/>
                <w:color w:val="000000"/>
                <w:sz w:val="24"/>
              </w:rPr>
              <w:t>“</w:t>
            </w:r>
            <w:r>
              <w:rPr>
                <w:rFonts w:hint="eastAsia"/>
                <w:color w:val="000000"/>
                <w:sz w:val="24"/>
              </w:rPr>
              <w:t>六个 100%</w:t>
            </w:r>
            <w:r>
              <w:rPr>
                <w:rFonts w:hint="eastAsia"/>
                <w:color w:val="000000"/>
                <w:sz w:val="24"/>
              </w:rPr>
              <w:t>”</w:t>
            </w:r>
            <w:r>
              <w:rPr>
                <w:rFonts w:hint="eastAsia"/>
                <w:color w:val="000000"/>
                <w:sz w:val="24"/>
              </w:rPr>
              <w:t>防治标准，做到</w:t>
            </w:r>
            <w:r>
              <w:rPr>
                <w:rFonts w:hint="eastAsia"/>
                <w:color w:val="000000"/>
                <w:sz w:val="24"/>
              </w:rPr>
              <w:t>“</w:t>
            </w:r>
            <w:r>
              <w:rPr>
                <w:rFonts w:hint="eastAsia"/>
                <w:color w:val="000000"/>
                <w:sz w:val="24"/>
              </w:rPr>
              <w:t>施工场地全部围挡、主要道路全部硬化、裸露土方全部覆盖、驶出车辆全部冲洗、垃圾清运全部密闭、洒水喷淋全面降尘</w:t>
            </w:r>
            <w:r>
              <w:rPr>
                <w:rFonts w:hint="eastAsia"/>
                <w:color w:val="000000"/>
                <w:sz w:val="24"/>
              </w:rPr>
              <w:t>”</w:t>
            </w:r>
            <w:r>
              <w:rPr>
                <w:rFonts w:hint="eastAsia"/>
                <w:color w:val="000000"/>
                <w:sz w:val="24"/>
              </w:rPr>
              <w:t>。制定并完善各县市区城区道路洒水作业规定，扩大湿式机扫面积，全部实现主干道、次干道湿式机扫、洒水。</w:t>
            </w:r>
          </w:p>
        </w:tc>
      </w:tr>
    </w:tbl>
    <w:p>
      <w:pPr>
        <w:sectPr>
          <w:footerReference w:type="even" r:id="rId78"/>
          <w:footerReference w:type="default" r:id="rId79"/>
          <w:type w:val="nextPage"/>
          <w:pgSz w:w="11906" w:h="16838"/>
          <w:pgMar w:top="1440" w:right="1797" w:bottom="1440" w:left="1797" w:header="851" w:footer="1077" w:gutter="0"/>
          <w:pgNumType w:start="34"/>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6"/>
        <w:gridCol w:w="8072"/>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4012"/>
          <w:jc w:val="center"/>
        </w:trPr>
        <w:tc>
          <w:tcPr>
            <w:tcW w:w="267" w:type="pct"/>
            <w:vAlign w:val="center"/>
          </w:tcPr>
          <w:p/>
        </w:tc>
        <w:tc>
          <w:tcPr>
            <w:tcW w:w="4733" w:type="pct"/>
            <w:vAlign w:val="center"/>
          </w:tcPr>
          <w:p>
            <w:pPr>
              <w:adjustRightInd w:val="0"/>
              <w:snapToGrid w:val="0"/>
              <w:spacing w:line="360" w:lineRule="auto"/>
              <w:ind w:firstLine="480" w:firstLineChars="200"/>
              <w:contextualSpacing/>
              <w:rPr>
                <w:color w:val="000000"/>
                <w:sz w:val="24"/>
              </w:rPr>
            </w:pPr>
            <w:r>
              <w:rPr>
                <w:rFonts w:hint="eastAsia"/>
                <w:color w:val="000000"/>
                <w:sz w:val="24"/>
              </w:rPr>
              <w:t>加强应急评估工作，及时分析总结，并不断调整、完善。区别制定限产停产要求，限产停产条件应更具有针对性、科学性。重点解决应急实施中企业生产问题、车辆单双号限行交通问题、中小学停课问题等。建立长期有效的应急体制，既能体现应急管理机制，满足污染物削减要求，又能结合实际，不进行一刀切，区别对待，差别管理，科学、合理地满足应急。</w:t>
            </w:r>
          </w:p>
          <w:p>
            <w:pPr>
              <w:adjustRightInd w:val="0"/>
              <w:snapToGrid w:val="0"/>
              <w:spacing w:line="360" w:lineRule="auto"/>
              <w:ind w:firstLine="480" w:firstLineChars="200"/>
              <w:contextualSpacing/>
              <w:rPr>
                <w:color w:val="000000"/>
                <w:sz w:val="24"/>
              </w:rPr>
            </w:pPr>
            <w:r>
              <w:rPr>
                <w:rFonts w:hint="eastAsia"/>
                <w:color w:val="000000"/>
                <w:sz w:val="24"/>
              </w:rPr>
              <w:t>按照《山东省窑炉专项整治行动方案》要求，开展砖瓦窑、石灰立窑、铸造窑、隧道窑、碳素焙烧窑以及各类熔炼炉、焙烧炉、焚烧炉等关停取缔、升级改造、重组整合工作，解决各类以煤、煤矸石、重油、渣油等为燃料或原料的窑、炉产生的大气污染物直排、治污设施不配套或污染物排放不达标等污染问题，确保各类窑、炉外排污染物浓度达到山东省《区域性大气污染综合排放标准》相应时段标准限值要求。</w:t>
            </w:r>
          </w:p>
          <w:p>
            <w:pPr>
              <w:adjustRightInd w:val="0"/>
              <w:snapToGrid w:val="0"/>
              <w:spacing w:line="360" w:lineRule="auto"/>
              <w:ind w:firstLine="480" w:firstLineChars="200"/>
              <w:contextualSpacing/>
              <w:rPr>
                <w:rFonts w:hint="eastAsia"/>
                <w:color w:val="000000"/>
                <w:sz w:val="24"/>
              </w:rPr>
            </w:pPr>
            <w:r>
              <w:rPr>
                <w:rFonts w:hint="eastAsia"/>
                <w:color w:val="000000"/>
                <w:sz w:val="24"/>
              </w:rPr>
              <w:t>德州市所有废气污染源应及时进行污染治理设施提标改造，全面满足山东省《区域大气污染物综合排放标准》相应时段排放标准限值要求。</w:t>
            </w:r>
          </w:p>
          <w:p>
            <w:pPr>
              <w:adjustRightInd w:val="0"/>
              <w:snapToGrid w:val="0"/>
              <w:spacing w:line="360" w:lineRule="auto"/>
              <w:ind w:firstLine="482"/>
              <w:contextualSpacing/>
              <w:rPr>
                <w:rFonts w:hint="eastAsia"/>
                <w:b/>
                <w:color w:val="000000"/>
                <w:sz w:val="24"/>
              </w:rPr>
            </w:pPr>
            <w:r>
              <w:rPr>
                <w:rFonts w:hint="eastAsia"/>
                <w:b/>
                <w:color w:val="000000"/>
                <w:sz w:val="24"/>
              </w:rPr>
              <w:t>3、地下</w:t>
            </w:r>
            <w:r>
              <w:rPr>
                <w:b/>
                <w:color w:val="000000"/>
                <w:sz w:val="24"/>
              </w:rPr>
              <w:t>水</w:t>
            </w:r>
            <w:r>
              <w:rPr>
                <w:rFonts w:hint="eastAsia"/>
                <w:b/>
                <w:color w:val="000000"/>
                <w:sz w:val="24"/>
              </w:rPr>
              <w:t>环境</w:t>
            </w:r>
            <w:r>
              <w:rPr>
                <w:b/>
                <w:color w:val="000000"/>
                <w:sz w:val="24"/>
              </w:rPr>
              <w:t>质量现状</w:t>
            </w:r>
          </w:p>
          <w:p>
            <w:pPr>
              <w:adjustRightInd w:val="0"/>
              <w:snapToGrid w:val="0"/>
              <w:spacing w:line="360" w:lineRule="auto"/>
              <w:ind w:firstLine="482"/>
              <w:contextualSpacing/>
              <w:rPr>
                <w:rFonts w:hint="eastAsia"/>
                <w:color w:val="000000"/>
                <w:sz w:val="24"/>
              </w:rPr>
            </w:pPr>
            <w:r>
              <w:rPr>
                <w:color w:val="000000"/>
                <w:sz w:val="24"/>
              </w:rPr>
              <w:t>根据《环境影响评价技术导则 地下水环境》（HJ610-2016）附录A，本项目为</w:t>
            </w:r>
            <w:r>
              <w:rPr>
                <w:rFonts w:hint="eastAsia"/>
                <w:color w:val="000000"/>
                <w:sz w:val="24"/>
              </w:rPr>
              <w:t>“</w:t>
            </w:r>
            <w:r>
              <w:rPr>
                <w:rFonts w:hint="eastAsia"/>
                <w:color w:val="000000"/>
                <w:sz w:val="24"/>
              </w:rPr>
              <w:t>P 公路</w:t>
            </w:r>
            <w:r>
              <w:rPr>
                <w:color w:val="000000"/>
                <w:sz w:val="24"/>
              </w:rPr>
              <w:t>-1</w:t>
            </w:r>
            <w:r>
              <w:rPr>
                <w:rFonts w:hint="eastAsia"/>
                <w:color w:val="000000"/>
                <w:sz w:val="24"/>
              </w:rPr>
              <w:t>23</w:t>
            </w:r>
            <w:r>
              <w:rPr>
                <w:color w:val="000000"/>
                <w:sz w:val="24"/>
              </w:rPr>
              <w:t>、</w:t>
            </w:r>
            <w:r>
              <w:rPr>
                <w:rFonts w:hint="eastAsia"/>
                <w:color w:val="000000"/>
                <w:sz w:val="24"/>
              </w:rPr>
              <w:t>公路</w:t>
            </w:r>
            <w:r>
              <w:rPr>
                <w:rFonts w:hint="eastAsia"/>
                <w:color w:val="000000"/>
                <w:sz w:val="24"/>
              </w:rPr>
              <w:t>”</w:t>
            </w:r>
            <w:r>
              <w:rPr>
                <w:color w:val="000000"/>
                <w:sz w:val="24"/>
              </w:rPr>
              <w:t>，</w:t>
            </w:r>
            <w:r>
              <w:rPr>
                <w:rFonts w:hint="eastAsia"/>
                <w:color w:val="000000"/>
                <w:sz w:val="24"/>
              </w:rPr>
              <w:t>项目为一级公路改建项目，长度4.906km，环境影响评价类别为报告表，报告表的</w:t>
            </w:r>
            <w:r>
              <w:rPr>
                <w:color w:val="000000"/>
                <w:sz w:val="24"/>
              </w:rPr>
              <w:t>地下水环境影响评价类别属于</w:t>
            </w:r>
            <w:r>
              <w:rPr>
                <w:rFonts w:ascii="宋体" w:hAnsi="宋体" w:cs="宋体" w:hint="eastAsia"/>
                <w:color w:val="000000"/>
                <w:sz w:val="24"/>
              </w:rPr>
              <w:t>Ⅳ</w:t>
            </w:r>
            <w:r>
              <w:rPr>
                <w:color w:val="000000"/>
                <w:sz w:val="24"/>
              </w:rPr>
              <w:t>类项目。根据《环境影响评价技术导则 地下水环境》可知，</w:t>
            </w:r>
            <w:r>
              <w:rPr>
                <w:rFonts w:ascii="宋体" w:hAnsi="宋体" w:cs="宋体" w:hint="eastAsia"/>
                <w:color w:val="000000"/>
                <w:sz w:val="24"/>
              </w:rPr>
              <w:t>Ⅳ</w:t>
            </w:r>
            <w:r>
              <w:rPr>
                <w:color w:val="000000"/>
                <w:sz w:val="24"/>
              </w:rPr>
              <w:t>类建设项目可不开展地下水环境影响评价。</w:t>
            </w:r>
          </w:p>
          <w:p>
            <w:pPr>
              <w:adjustRightInd w:val="0"/>
              <w:snapToGrid w:val="0"/>
              <w:spacing w:line="360" w:lineRule="auto"/>
              <w:ind w:firstLine="482"/>
              <w:contextualSpacing/>
              <w:rPr>
                <w:rFonts w:hint="eastAsia"/>
                <w:b/>
                <w:color w:val="000000"/>
                <w:sz w:val="24"/>
              </w:rPr>
            </w:pPr>
            <w:r>
              <w:rPr>
                <w:rFonts w:hint="eastAsia"/>
                <w:b/>
                <w:color w:val="000000"/>
                <w:sz w:val="24"/>
              </w:rPr>
              <w:t>4、地表</w:t>
            </w:r>
            <w:r>
              <w:rPr>
                <w:b/>
                <w:color w:val="000000"/>
                <w:sz w:val="24"/>
              </w:rPr>
              <w:t>水</w:t>
            </w:r>
            <w:r>
              <w:rPr>
                <w:rFonts w:hint="eastAsia"/>
                <w:b/>
                <w:color w:val="000000"/>
                <w:sz w:val="24"/>
              </w:rPr>
              <w:t>环境</w:t>
            </w:r>
            <w:r>
              <w:rPr>
                <w:b/>
                <w:color w:val="000000"/>
                <w:sz w:val="24"/>
              </w:rPr>
              <w:t>质量现状</w:t>
            </w:r>
          </w:p>
          <w:p>
            <w:pPr>
              <w:spacing w:line="360" w:lineRule="auto"/>
              <w:ind w:firstLine="480" w:firstLineChars="200"/>
              <w:rPr>
                <w:rFonts w:hint="eastAsia"/>
                <w:color w:val="000000"/>
                <w:sz w:val="24"/>
              </w:rPr>
            </w:pPr>
            <w:r>
              <w:rPr>
                <w:rFonts w:hint="eastAsia"/>
                <w:color w:val="000000"/>
                <w:sz w:val="24"/>
              </w:rPr>
              <w:t>本项目区域内的纳污河流为宁津新河，为了解其水质量状况，本次评价根据德州市监测站公布的</w:t>
            </w:r>
            <w:r>
              <w:rPr>
                <w:color w:val="000000"/>
                <w:sz w:val="24"/>
              </w:rPr>
              <w:t>202</w:t>
            </w:r>
            <w:r>
              <w:rPr>
                <w:rFonts w:hint="eastAsia"/>
                <w:color w:val="000000"/>
                <w:sz w:val="24"/>
              </w:rPr>
              <w:t>1年7月-12月宁津新河青积务村例行监测数据汇总统计，具体地表水环境质量状况见下表。</w:t>
            </w:r>
          </w:p>
          <w:p>
            <w:pPr>
              <w:jc w:val="center"/>
              <w:rPr>
                <w:rFonts w:hint="eastAsia"/>
                <w:b/>
                <w:color w:val="000000"/>
                <w:sz w:val="24"/>
              </w:rPr>
            </w:pPr>
            <w:r>
              <w:rPr>
                <w:rFonts w:hint="eastAsia"/>
                <w:b/>
                <w:color w:val="000000"/>
                <w:sz w:val="24"/>
              </w:rPr>
              <w:t>表</w:t>
            </w:r>
            <w:r>
              <w:rPr>
                <w:rFonts w:hint="eastAsia"/>
                <w:b/>
                <w:bCs/>
                <w:color w:val="000000"/>
                <w:sz w:val="24"/>
              </w:rPr>
              <w:t>3-2</w:t>
            </w:r>
            <w:r>
              <w:rPr>
                <w:b/>
                <w:bCs/>
                <w:color w:val="000000"/>
                <w:sz w:val="24"/>
              </w:rPr>
              <w:t xml:space="preserve"> </w:t>
            </w:r>
            <w:r>
              <w:rPr>
                <w:rFonts w:hint="eastAsia"/>
                <w:b/>
                <w:color w:val="000000"/>
                <w:sz w:val="24"/>
              </w:rPr>
              <w:t>宁津新河青积务村河流断面月均值历史数据一览表（单位：</w:t>
            </w:r>
            <w:r>
              <w:rPr>
                <w:b/>
                <w:bCs/>
                <w:color w:val="000000"/>
                <w:sz w:val="24"/>
              </w:rPr>
              <w:t>mg/L</w:t>
            </w:r>
            <w:r>
              <w:rPr>
                <w:rFonts w:hint="eastAsia"/>
                <w:b/>
                <w:color w:val="000000"/>
                <w:sz w:val="24"/>
              </w:rPr>
              <w:t>）</w:t>
            </w:r>
          </w:p>
          <w:tbl>
            <w:tblPr>
              <w:tblStyle w:val="TableNorm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361"/>
              <w:gridCol w:w="1198"/>
              <w:gridCol w:w="1277"/>
              <w:gridCol w:w="1339"/>
              <w:gridCol w:w="1278"/>
              <w:gridCol w:w="1280"/>
            </w:tblGrid>
            <w:tr>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trPr>
              <w:tc>
                <w:tcPr>
                  <w:tcW w:w="1382" w:type="dxa"/>
                  <w:vAlign w:val="center"/>
                </w:tcPr>
                <w:p>
                  <w:pPr>
                    <w:jc w:val="center"/>
                    <w:rPr>
                      <w:rFonts w:hint="eastAsia"/>
                      <w:color w:val="000000"/>
                      <w:szCs w:val="21"/>
                    </w:rPr>
                  </w:pPr>
                  <w:r>
                    <w:rPr>
                      <w:rFonts w:hint="eastAsia"/>
                      <w:color w:val="000000"/>
                      <w:szCs w:val="21"/>
                    </w:rPr>
                    <w:t>采样日期</w:t>
                  </w:r>
                </w:p>
              </w:tc>
              <w:tc>
                <w:tcPr>
                  <w:tcW w:w="1216" w:type="dxa"/>
                  <w:vAlign w:val="center"/>
                </w:tcPr>
                <w:p>
                  <w:pPr>
                    <w:jc w:val="center"/>
                    <w:rPr>
                      <w:rFonts w:hint="eastAsia"/>
                      <w:color w:val="000000"/>
                      <w:szCs w:val="21"/>
                    </w:rPr>
                  </w:pPr>
                  <w:r>
                    <w:rPr>
                      <w:rFonts w:hint="eastAsia"/>
                      <w:color w:val="000000"/>
                      <w:szCs w:val="21"/>
                    </w:rPr>
                    <w:t>监测项目</w:t>
                  </w:r>
                </w:p>
              </w:tc>
              <w:tc>
                <w:tcPr>
                  <w:tcW w:w="1296" w:type="dxa"/>
                  <w:vAlign w:val="center"/>
                </w:tcPr>
                <w:p>
                  <w:pPr>
                    <w:jc w:val="center"/>
                    <w:rPr>
                      <w:rFonts w:hint="eastAsia"/>
                      <w:color w:val="000000"/>
                      <w:szCs w:val="21"/>
                    </w:rPr>
                  </w:pPr>
                  <w:r>
                    <w:rPr>
                      <w:rFonts w:hint="eastAsia"/>
                      <w:color w:val="000000"/>
                      <w:szCs w:val="21"/>
                    </w:rPr>
                    <w:t>取值类型</w:t>
                  </w:r>
                </w:p>
              </w:tc>
              <w:tc>
                <w:tcPr>
                  <w:tcW w:w="1359" w:type="dxa"/>
                  <w:vAlign w:val="center"/>
                </w:tcPr>
                <w:p>
                  <w:pPr>
                    <w:jc w:val="center"/>
                    <w:rPr>
                      <w:rFonts w:hint="eastAsia"/>
                      <w:color w:val="000000"/>
                      <w:szCs w:val="21"/>
                    </w:rPr>
                  </w:pPr>
                  <w:r>
                    <w:rPr>
                      <w:rFonts w:hint="eastAsia"/>
                      <w:color w:val="000000"/>
                      <w:szCs w:val="21"/>
                    </w:rPr>
                    <w:t>宁津新河青积务村断面</w:t>
                  </w:r>
                </w:p>
              </w:tc>
              <w:tc>
                <w:tcPr>
                  <w:tcW w:w="1297" w:type="dxa"/>
                  <w:vAlign w:val="center"/>
                </w:tcPr>
                <w:p>
                  <w:pPr>
                    <w:jc w:val="center"/>
                    <w:rPr>
                      <w:rFonts w:hint="eastAsia"/>
                      <w:color w:val="000000"/>
                      <w:szCs w:val="21"/>
                    </w:rPr>
                  </w:pPr>
                  <w:r>
                    <w:rPr>
                      <w:rFonts w:hint="eastAsia"/>
                      <w:color w:val="000000"/>
                      <w:szCs w:val="21"/>
                    </w:rPr>
                    <w:t>标准值</w:t>
                  </w:r>
                </w:p>
              </w:tc>
              <w:tc>
                <w:tcPr>
                  <w:tcW w:w="1297" w:type="dxa"/>
                  <w:vAlign w:val="center"/>
                </w:tcPr>
                <w:p>
                  <w:pPr>
                    <w:jc w:val="center"/>
                    <w:rPr>
                      <w:rFonts w:hint="eastAsia"/>
                      <w:color w:val="000000"/>
                      <w:szCs w:val="21"/>
                    </w:rPr>
                  </w:pPr>
                  <w:r>
                    <w:rPr>
                      <w:rFonts w:hint="eastAsia"/>
                      <w:color w:val="000000"/>
                      <w:szCs w:val="21"/>
                    </w:rPr>
                    <w:t>达标情况</w:t>
                  </w:r>
                </w:p>
              </w:tc>
            </w:tr>
            <w:tr>
              <w:tblPrEx>
                <w:tblW w:w="0" w:type="auto"/>
                <w:tblInd w:w="113" w:type="dxa"/>
                <w:tblCellMar>
                  <w:top w:w="0" w:type="dxa"/>
                  <w:left w:w="108" w:type="dxa"/>
                  <w:bottom w:w="0" w:type="dxa"/>
                  <w:right w:w="108" w:type="dxa"/>
                </w:tblCellMar>
                <w:tblLook w:val="0000"/>
              </w:tblPrEx>
              <w:trPr>
                <w:trHeight w:val="340"/>
              </w:trPr>
              <w:tc>
                <w:tcPr>
                  <w:tcW w:w="1382" w:type="dxa"/>
                  <w:vMerge w:val="restart"/>
                  <w:vAlign w:val="center"/>
                </w:tcPr>
                <w:p>
                  <w:pPr>
                    <w:jc w:val="center"/>
                    <w:rPr>
                      <w:rFonts w:hint="eastAsia"/>
                      <w:color w:val="000000"/>
                      <w:szCs w:val="21"/>
                    </w:rPr>
                  </w:pPr>
                  <w:r>
                    <w:rPr>
                      <w:rFonts w:hint="eastAsia"/>
                      <w:color w:val="000000"/>
                      <w:szCs w:val="21"/>
                    </w:rPr>
                    <w:t>2021年7月</w:t>
                  </w:r>
                </w:p>
              </w:tc>
              <w:tc>
                <w:tcPr>
                  <w:tcW w:w="1216" w:type="dxa"/>
                  <w:vAlign w:val="center"/>
                </w:tcPr>
                <w:p>
                  <w:pPr>
                    <w:jc w:val="center"/>
                    <w:rPr>
                      <w:rFonts w:hint="eastAsia"/>
                      <w:color w:val="000000"/>
                      <w:szCs w:val="21"/>
                    </w:rPr>
                  </w:pPr>
                  <w:r>
                    <w:rPr>
                      <w:rFonts w:hint="eastAsia"/>
                      <w:color w:val="000000"/>
                      <w:szCs w:val="21"/>
                    </w:rPr>
                    <w:t>COD</w:t>
                  </w:r>
                </w:p>
              </w:tc>
              <w:tc>
                <w:tcPr>
                  <w:tcW w:w="1296" w:type="dxa"/>
                  <w:vAlign w:val="center"/>
                </w:tcPr>
                <w:p>
                  <w:pPr>
                    <w:jc w:val="center"/>
                    <w:rPr>
                      <w:rFonts w:hint="eastAsia"/>
                      <w:color w:val="000000"/>
                      <w:szCs w:val="21"/>
                    </w:rPr>
                  </w:pPr>
                  <w:r>
                    <w:rPr>
                      <w:rFonts w:hint="eastAsia"/>
                      <w:color w:val="000000"/>
                      <w:szCs w:val="21"/>
                    </w:rPr>
                    <w:t>月均值</w:t>
                  </w:r>
                </w:p>
              </w:tc>
              <w:tc>
                <w:tcPr>
                  <w:tcW w:w="1359" w:type="dxa"/>
                  <w:vAlign w:val="center"/>
                </w:tcPr>
                <w:p>
                  <w:pPr>
                    <w:jc w:val="center"/>
                    <w:rPr>
                      <w:rFonts w:hint="eastAsia"/>
                      <w:color w:val="000000"/>
                      <w:szCs w:val="21"/>
                    </w:rPr>
                  </w:pPr>
                  <w:r>
                    <w:rPr>
                      <w:rFonts w:hint="eastAsia"/>
                      <w:color w:val="000000"/>
                      <w:szCs w:val="21"/>
                    </w:rPr>
                    <w:t>11.58</w:t>
                  </w:r>
                </w:p>
              </w:tc>
              <w:tc>
                <w:tcPr>
                  <w:tcW w:w="1297" w:type="dxa"/>
                  <w:vAlign w:val="center"/>
                </w:tcPr>
                <w:p>
                  <w:pPr>
                    <w:jc w:val="center"/>
                    <w:rPr>
                      <w:rFonts w:hint="eastAsia"/>
                      <w:color w:val="000000"/>
                      <w:szCs w:val="21"/>
                    </w:rPr>
                  </w:pPr>
                  <w:r>
                    <w:rPr>
                      <w:rFonts w:hint="eastAsia"/>
                      <w:color w:val="000000"/>
                      <w:szCs w:val="21"/>
                    </w:rPr>
                    <w:t>40</w:t>
                  </w:r>
                </w:p>
              </w:tc>
              <w:tc>
                <w:tcPr>
                  <w:tcW w:w="1297" w:type="dxa"/>
                  <w:vAlign w:val="center"/>
                </w:tcPr>
                <w:p>
                  <w:pPr>
                    <w:jc w:val="center"/>
                    <w:rPr>
                      <w:rFonts w:hint="eastAsia"/>
                      <w:color w:val="000000"/>
                      <w:szCs w:val="21"/>
                    </w:rPr>
                  </w:pPr>
                  <w:r>
                    <w:rPr>
                      <w:rFonts w:hint="eastAsia"/>
                      <w:color w:val="000000"/>
                      <w:szCs w:val="21"/>
                    </w:rPr>
                    <w:t>达标</w:t>
                  </w:r>
                </w:p>
              </w:tc>
            </w:tr>
            <w:tr>
              <w:tblPrEx>
                <w:tblW w:w="0" w:type="auto"/>
                <w:tblInd w:w="113" w:type="dxa"/>
                <w:tblCellMar>
                  <w:top w:w="0" w:type="dxa"/>
                  <w:left w:w="108" w:type="dxa"/>
                  <w:bottom w:w="0" w:type="dxa"/>
                  <w:right w:w="108" w:type="dxa"/>
                </w:tblCellMar>
                <w:tblLook w:val="0000"/>
              </w:tblPrEx>
              <w:trPr>
                <w:trHeight w:val="340"/>
              </w:trPr>
              <w:tc>
                <w:tcPr>
                  <w:tcW w:w="1382" w:type="dxa"/>
                  <w:vMerge/>
                  <w:vAlign w:val="center"/>
                </w:tcPr>
                <w:p>
                  <w:pPr>
                    <w:jc w:val="center"/>
                    <w:rPr>
                      <w:rFonts w:hint="eastAsia"/>
                      <w:color w:val="000000"/>
                      <w:szCs w:val="21"/>
                    </w:rPr>
                  </w:pPr>
                </w:p>
              </w:tc>
              <w:tc>
                <w:tcPr>
                  <w:tcW w:w="1216" w:type="dxa"/>
                  <w:vAlign w:val="center"/>
                </w:tcPr>
                <w:p>
                  <w:pPr>
                    <w:jc w:val="center"/>
                    <w:rPr>
                      <w:rFonts w:hint="eastAsia"/>
                      <w:color w:val="000000"/>
                      <w:szCs w:val="21"/>
                    </w:rPr>
                  </w:pPr>
                  <w:r>
                    <w:rPr>
                      <w:rFonts w:hint="eastAsia"/>
                      <w:color w:val="000000"/>
                      <w:szCs w:val="21"/>
                    </w:rPr>
                    <w:t>氨氮</w:t>
                  </w:r>
                </w:p>
              </w:tc>
              <w:tc>
                <w:tcPr>
                  <w:tcW w:w="1296" w:type="dxa"/>
                  <w:vAlign w:val="center"/>
                </w:tcPr>
                <w:p>
                  <w:pPr>
                    <w:jc w:val="center"/>
                    <w:rPr>
                      <w:rFonts w:hint="eastAsia"/>
                      <w:color w:val="000000"/>
                      <w:szCs w:val="21"/>
                    </w:rPr>
                  </w:pPr>
                  <w:r>
                    <w:rPr>
                      <w:rFonts w:hint="eastAsia"/>
                      <w:color w:val="000000"/>
                      <w:szCs w:val="21"/>
                    </w:rPr>
                    <w:t>月均值</w:t>
                  </w:r>
                </w:p>
              </w:tc>
              <w:tc>
                <w:tcPr>
                  <w:tcW w:w="1359" w:type="dxa"/>
                  <w:vAlign w:val="center"/>
                </w:tcPr>
                <w:p>
                  <w:pPr>
                    <w:jc w:val="center"/>
                    <w:rPr>
                      <w:rFonts w:hint="eastAsia"/>
                      <w:color w:val="000000"/>
                      <w:szCs w:val="21"/>
                    </w:rPr>
                  </w:pPr>
                  <w:r>
                    <w:rPr>
                      <w:rFonts w:hint="eastAsia"/>
                      <w:color w:val="000000"/>
                      <w:szCs w:val="21"/>
                    </w:rPr>
                    <w:t>0.290</w:t>
                  </w:r>
                </w:p>
              </w:tc>
              <w:tc>
                <w:tcPr>
                  <w:tcW w:w="1297" w:type="dxa"/>
                  <w:vAlign w:val="center"/>
                </w:tcPr>
                <w:p>
                  <w:pPr>
                    <w:jc w:val="center"/>
                    <w:rPr>
                      <w:rFonts w:hint="eastAsia"/>
                      <w:color w:val="000000"/>
                      <w:szCs w:val="21"/>
                    </w:rPr>
                  </w:pPr>
                  <w:r>
                    <w:rPr>
                      <w:rFonts w:hint="eastAsia"/>
                      <w:color w:val="000000"/>
                      <w:szCs w:val="21"/>
                    </w:rPr>
                    <w:t>2</w:t>
                  </w:r>
                </w:p>
              </w:tc>
              <w:tc>
                <w:tcPr>
                  <w:tcW w:w="1297" w:type="dxa"/>
                  <w:vAlign w:val="center"/>
                </w:tcPr>
                <w:p>
                  <w:pPr>
                    <w:jc w:val="center"/>
                    <w:rPr>
                      <w:rFonts w:hint="eastAsia"/>
                      <w:color w:val="000000"/>
                      <w:szCs w:val="21"/>
                    </w:rPr>
                  </w:pPr>
                  <w:r>
                    <w:rPr>
                      <w:rFonts w:hint="eastAsia"/>
                      <w:color w:val="000000"/>
                      <w:szCs w:val="21"/>
                    </w:rPr>
                    <w:t>达标</w:t>
                  </w:r>
                </w:p>
              </w:tc>
            </w:tr>
            <w:tr>
              <w:tblPrEx>
                <w:tblW w:w="0" w:type="auto"/>
                <w:tblInd w:w="113" w:type="dxa"/>
                <w:tblCellMar>
                  <w:top w:w="0" w:type="dxa"/>
                  <w:left w:w="108" w:type="dxa"/>
                  <w:bottom w:w="0" w:type="dxa"/>
                  <w:right w:w="108" w:type="dxa"/>
                </w:tblCellMar>
                <w:tblLook w:val="0000"/>
              </w:tblPrEx>
              <w:trPr>
                <w:trHeight w:val="340"/>
              </w:trPr>
              <w:tc>
                <w:tcPr>
                  <w:tcW w:w="1382" w:type="dxa"/>
                  <w:vMerge w:val="restart"/>
                  <w:vAlign w:val="center"/>
                </w:tcPr>
                <w:p>
                  <w:pPr>
                    <w:jc w:val="center"/>
                    <w:rPr>
                      <w:rFonts w:hint="eastAsia"/>
                      <w:color w:val="000000"/>
                      <w:szCs w:val="21"/>
                    </w:rPr>
                  </w:pPr>
                  <w:r>
                    <w:rPr>
                      <w:rFonts w:hint="eastAsia"/>
                      <w:color w:val="000000"/>
                      <w:szCs w:val="21"/>
                    </w:rPr>
                    <w:t>2021年8月</w:t>
                  </w:r>
                </w:p>
              </w:tc>
              <w:tc>
                <w:tcPr>
                  <w:tcW w:w="1216" w:type="dxa"/>
                  <w:vAlign w:val="center"/>
                </w:tcPr>
                <w:p>
                  <w:pPr>
                    <w:jc w:val="center"/>
                    <w:rPr>
                      <w:rFonts w:hint="eastAsia"/>
                      <w:color w:val="000000"/>
                      <w:szCs w:val="21"/>
                    </w:rPr>
                  </w:pPr>
                  <w:r>
                    <w:rPr>
                      <w:rFonts w:hint="eastAsia"/>
                      <w:color w:val="000000"/>
                      <w:szCs w:val="21"/>
                    </w:rPr>
                    <w:t>COD</w:t>
                  </w:r>
                </w:p>
              </w:tc>
              <w:tc>
                <w:tcPr>
                  <w:tcW w:w="1296" w:type="dxa"/>
                  <w:vAlign w:val="center"/>
                </w:tcPr>
                <w:p>
                  <w:pPr>
                    <w:jc w:val="center"/>
                    <w:rPr>
                      <w:rFonts w:hint="eastAsia"/>
                      <w:color w:val="000000"/>
                      <w:szCs w:val="21"/>
                    </w:rPr>
                  </w:pPr>
                  <w:r>
                    <w:rPr>
                      <w:rFonts w:hint="eastAsia"/>
                      <w:color w:val="000000"/>
                      <w:szCs w:val="21"/>
                    </w:rPr>
                    <w:t>月均值</w:t>
                  </w:r>
                </w:p>
              </w:tc>
              <w:tc>
                <w:tcPr>
                  <w:tcW w:w="1359" w:type="dxa"/>
                  <w:vAlign w:val="center"/>
                </w:tcPr>
                <w:p>
                  <w:pPr>
                    <w:jc w:val="center"/>
                    <w:rPr>
                      <w:rFonts w:hint="eastAsia"/>
                      <w:color w:val="000000"/>
                      <w:szCs w:val="21"/>
                    </w:rPr>
                  </w:pPr>
                  <w:r>
                    <w:rPr>
                      <w:rFonts w:hint="eastAsia"/>
                      <w:color w:val="000000"/>
                      <w:szCs w:val="21"/>
                    </w:rPr>
                    <w:t>7.83</w:t>
                  </w:r>
                </w:p>
              </w:tc>
              <w:tc>
                <w:tcPr>
                  <w:tcW w:w="1297" w:type="dxa"/>
                  <w:vAlign w:val="center"/>
                </w:tcPr>
                <w:p>
                  <w:pPr>
                    <w:jc w:val="center"/>
                    <w:rPr>
                      <w:rFonts w:hint="eastAsia"/>
                      <w:color w:val="000000"/>
                      <w:szCs w:val="21"/>
                    </w:rPr>
                  </w:pPr>
                  <w:r>
                    <w:rPr>
                      <w:rFonts w:hint="eastAsia"/>
                      <w:color w:val="000000"/>
                      <w:szCs w:val="21"/>
                    </w:rPr>
                    <w:t>40</w:t>
                  </w:r>
                </w:p>
              </w:tc>
              <w:tc>
                <w:tcPr>
                  <w:tcW w:w="1297" w:type="dxa"/>
                  <w:vAlign w:val="center"/>
                </w:tcPr>
                <w:p>
                  <w:pPr>
                    <w:jc w:val="center"/>
                    <w:rPr>
                      <w:rFonts w:hint="eastAsia"/>
                      <w:color w:val="000000"/>
                      <w:szCs w:val="21"/>
                    </w:rPr>
                  </w:pPr>
                  <w:r>
                    <w:rPr>
                      <w:rFonts w:hint="eastAsia"/>
                      <w:color w:val="000000"/>
                      <w:szCs w:val="21"/>
                    </w:rPr>
                    <w:t>达标</w:t>
                  </w:r>
                </w:p>
              </w:tc>
            </w:tr>
            <w:tr>
              <w:tblPrEx>
                <w:tblW w:w="0" w:type="auto"/>
                <w:tblInd w:w="113" w:type="dxa"/>
                <w:tblCellMar>
                  <w:top w:w="0" w:type="dxa"/>
                  <w:left w:w="108" w:type="dxa"/>
                  <w:bottom w:w="0" w:type="dxa"/>
                  <w:right w:w="108" w:type="dxa"/>
                </w:tblCellMar>
                <w:tblLook w:val="0000"/>
              </w:tblPrEx>
              <w:trPr>
                <w:trHeight w:val="340"/>
              </w:trPr>
              <w:tc>
                <w:tcPr>
                  <w:tcW w:w="1382" w:type="dxa"/>
                  <w:vMerge/>
                  <w:vAlign w:val="center"/>
                </w:tcPr>
                <w:p>
                  <w:pPr>
                    <w:jc w:val="center"/>
                    <w:rPr>
                      <w:rFonts w:hint="eastAsia"/>
                      <w:color w:val="000000"/>
                      <w:szCs w:val="21"/>
                    </w:rPr>
                  </w:pPr>
                </w:p>
              </w:tc>
              <w:tc>
                <w:tcPr>
                  <w:tcW w:w="1216" w:type="dxa"/>
                  <w:vAlign w:val="center"/>
                </w:tcPr>
                <w:p>
                  <w:pPr>
                    <w:jc w:val="center"/>
                    <w:rPr>
                      <w:rFonts w:hint="eastAsia"/>
                      <w:color w:val="000000"/>
                      <w:szCs w:val="21"/>
                    </w:rPr>
                  </w:pPr>
                  <w:r>
                    <w:rPr>
                      <w:rFonts w:hint="eastAsia"/>
                      <w:color w:val="000000"/>
                      <w:szCs w:val="21"/>
                    </w:rPr>
                    <w:t>氨氮</w:t>
                  </w:r>
                </w:p>
              </w:tc>
              <w:tc>
                <w:tcPr>
                  <w:tcW w:w="1296" w:type="dxa"/>
                  <w:vAlign w:val="center"/>
                </w:tcPr>
                <w:p>
                  <w:pPr>
                    <w:jc w:val="center"/>
                    <w:rPr>
                      <w:rFonts w:hint="eastAsia"/>
                      <w:color w:val="000000"/>
                      <w:szCs w:val="21"/>
                    </w:rPr>
                  </w:pPr>
                  <w:r>
                    <w:rPr>
                      <w:rFonts w:hint="eastAsia"/>
                      <w:color w:val="000000"/>
                      <w:szCs w:val="21"/>
                    </w:rPr>
                    <w:t>月均值</w:t>
                  </w:r>
                </w:p>
              </w:tc>
              <w:tc>
                <w:tcPr>
                  <w:tcW w:w="1359" w:type="dxa"/>
                  <w:vAlign w:val="center"/>
                </w:tcPr>
                <w:p>
                  <w:pPr>
                    <w:jc w:val="center"/>
                    <w:rPr>
                      <w:rFonts w:hint="eastAsia"/>
                      <w:color w:val="000000"/>
                      <w:szCs w:val="21"/>
                    </w:rPr>
                  </w:pPr>
                  <w:r>
                    <w:rPr>
                      <w:rFonts w:hint="eastAsia"/>
                      <w:color w:val="000000"/>
                      <w:szCs w:val="21"/>
                    </w:rPr>
                    <w:t>0.194</w:t>
                  </w:r>
                </w:p>
              </w:tc>
              <w:tc>
                <w:tcPr>
                  <w:tcW w:w="1297" w:type="dxa"/>
                  <w:vAlign w:val="center"/>
                </w:tcPr>
                <w:p>
                  <w:pPr>
                    <w:jc w:val="center"/>
                    <w:rPr>
                      <w:rFonts w:hint="eastAsia"/>
                      <w:color w:val="000000"/>
                      <w:szCs w:val="21"/>
                    </w:rPr>
                  </w:pPr>
                  <w:r>
                    <w:rPr>
                      <w:rFonts w:hint="eastAsia"/>
                      <w:color w:val="000000"/>
                      <w:szCs w:val="21"/>
                    </w:rPr>
                    <w:t>2</w:t>
                  </w:r>
                </w:p>
              </w:tc>
              <w:tc>
                <w:tcPr>
                  <w:tcW w:w="1297" w:type="dxa"/>
                  <w:vAlign w:val="center"/>
                </w:tcPr>
                <w:p>
                  <w:pPr>
                    <w:jc w:val="center"/>
                    <w:rPr>
                      <w:rFonts w:hint="eastAsia"/>
                      <w:color w:val="000000"/>
                      <w:szCs w:val="21"/>
                    </w:rPr>
                  </w:pPr>
                  <w:r>
                    <w:rPr>
                      <w:rFonts w:hint="eastAsia"/>
                      <w:color w:val="000000"/>
                      <w:szCs w:val="21"/>
                    </w:rPr>
                    <w:t>达标</w:t>
                  </w:r>
                </w:p>
              </w:tc>
            </w:tr>
            <w:tr>
              <w:tblPrEx>
                <w:tblW w:w="0" w:type="auto"/>
                <w:tblInd w:w="113" w:type="dxa"/>
                <w:tblCellMar>
                  <w:top w:w="0" w:type="dxa"/>
                  <w:left w:w="108" w:type="dxa"/>
                  <w:bottom w:w="0" w:type="dxa"/>
                  <w:right w:w="108" w:type="dxa"/>
                </w:tblCellMar>
                <w:tblLook w:val="0000"/>
              </w:tblPrEx>
              <w:trPr>
                <w:trHeight w:val="340"/>
              </w:trPr>
              <w:tc>
                <w:tcPr>
                  <w:tcW w:w="1382" w:type="dxa"/>
                  <w:vMerge w:val="restart"/>
                  <w:vAlign w:val="center"/>
                </w:tcPr>
                <w:p>
                  <w:pPr>
                    <w:jc w:val="center"/>
                    <w:rPr>
                      <w:rFonts w:hint="eastAsia"/>
                      <w:color w:val="000000"/>
                      <w:szCs w:val="21"/>
                    </w:rPr>
                  </w:pPr>
                  <w:r>
                    <w:rPr>
                      <w:rFonts w:hint="eastAsia"/>
                      <w:color w:val="000000"/>
                      <w:szCs w:val="21"/>
                    </w:rPr>
                    <w:t>2021年9月</w:t>
                  </w:r>
                </w:p>
              </w:tc>
              <w:tc>
                <w:tcPr>
                  <w:tcW w:w="1216" w:type="dxa"/>
                  <w:vAlign w:val="center"/>
                </w:tcPr>
                <w:p>
                  <w:pPr>
                    <w:jc w:val="center"/>
                    <w:rPr>
                      <w:rFonts w:hint="eastAsia"/>
                      <w:color w:val="000000"/>
                      <w:szCs w:val="21"/>
                    </w:rPr>
                  </w:pPr>
                  <w:r>
                    <w:rPr>
                      <w:rFonts w:hint="eastAsia"/>
                      <w:color w:val="000000"/>
                      <w:szCs w:val="21"/>
                    </w:rPr>
                    <w:t>COD</w:t>
                  </w:r>
                </w:p>
              </w:tc>
              <w:tc>
                <w:tcPr>
                  <w:tcW w:w="1296" w:type="dxa"/>
                  <w:vAlign w:val="center"/>
                </w:tcPr>
                <w:p>
                  <w:pPr>
                    <w:jc w:val="center"/>
                    <w:rPr>
                      <w:rFonts w:hint="eastAsia"/>
                      <w:color w:val="000000"/>
                      <w:szCs w:val="21"/>
                    </w:rPr>
                  </w:pPr>
                  <w:r>
                    <w:rPr>
                      <w:rFonts w:hint="eastAsia"/>
                      <w:color w:val="000000"/>
                      <w:szCs w:val="21"/>
                    </w:rPr>
                    <w:t>月均值</w:t>
                  </w:r>
                </w:p>
              </w:tc>
              <w:tc>
                <w:tcPr>
                  <w:tcW w:w="1359" w:type="dxa"/>
                  <w:vAlign w:val="center"/>
                </w:tcPr>
                <w:p>
                  <w:pPr>
                    <w:jc w:val="center"/>
                    <w:rPr>
                      <w:rFonts w:hint="eastAsia"/>
                      <w:color w:val="000000"/>
                      <w:szCs w:val="21"/>
                    </w:rPr>
                  </w:pPr>
                  <w:r>
                    <w:rPr>
                      <w:rFonts w:hint="eastAsia"/>
                      <w:color w:val="000000"/>
                      <w:szCs w:val="21"/>
                    </w:rPr>
                    <w:t>6.01</w:t>
                  </w:r>
                </w:p>
              </w:tc>
              <w:tc>
                <w:tcPr>
                  <w:tcW w:w="1297" w:type="dxa"/>
                  <w:vAlign w:val="center"/>
                </w:tcPr>
                <w:p>
                  <w:pPr>
                    <w:jc w:val="center"/>
                    <w:rPr>
                      <w:rFonts w:hint="eastAsia"/>
                      <w:color w:val="000000"/>
                      <w:szCs w:val="21"/>
                    </w:rPr>
                  </w:pPr>
                  <w:r>
                    <w:rPr>
                      <w:rFonts w:hint="eastAsia"/>
                      <w:color w:val="000000"/>
                      <w:szCs w:val="21"/>
                    </w:rPr>
                    <w:t>40</w:t>
                  </w:r>
                </w:p>
              </w:tc>
              <w:tc>
                <w:tcPr>
                  <w:tcW w:w="1297" w:type="dxa"/>
                  <w:vAlign w:val="center"/>
                </w:tcPr>
                <w:p>
                  <w:pPr>
                    <w:jc w:val="center"/>
                    <w:rPr>
                      <w:rFonts w:hint="eastAsia"/>
                      <w:color w:val="000000"/>
                      <w:szCs w:val="21"/>
                    </w:rPr>
                  </w:pPr>
                  <w:r>
                    <w:rPr>
                      <w:rFonts w:hint="eastAsia"/>
                      <w:color w:val="000000"/>
                      <w:szCs w:val="21"/>
                    </w:rPr>
                    <w:t>达标</w:t>
                  </w:r>
                </w:p>
              </w:tc>
            </w:tr>
            <w:tr>
              <w:tblPrEx>
                <w:tblW w:w="0" w:type="auto"/>
                <w:tblInd w:w="113" w:type="dxa"/>
                <w:tblCellMar>
                  <w:top w:w="0" w:type="dxa"/>
                  <w:left w:w="108" w:type="dxa"/>
                  <w:bottom w:w="0" w:type="dxa"/>
                  <w:right w:w="108" w:type="dxa"/>
                </w:tblCellMar>
                <w:tblLook w:val="0000"/>
              </w:tblPrEx>
              <w:trPr>
                <w:trHeight w:val="340"/>
              </w:trPr>
              <w:tc>
                <w:tcPr>
                  <w:tcW w:w="1382" w:type="dxa"/>
                  <w:vMerge/>
                  <w:vAlign w:val="center"/>
                </w:tcPr>
                <w:p>
                  <w:pPr>
                    <w:jc w:val="center"/>
                    <w:rPr>
                      <w:rFonts w:hint="eastAsia"/>
                      <w:color w:val="000000"/>
                      <w:szCs w:val="21"/>
                    </w:rPr>
                  </w:pPr>
                </w:p>
              </w:tc>
              <w:tc>
                <w:tcPr>
                  <w:tcW w:w="1216" w:type="dxa"/>
                  <w:vAlign w:val="center"/>
                </w:tcPr>
                <w:p>
                  <w:pPr>
                    <w:jc w:val="center"/>
                    <w:rPr>
                      <w:rFonts w:hint="eastAsia"/>
                      <w:color w:val="000000"/>
                      <w:szCs w:val="21"/>
                    </w:rPr>
                  </w:pPr>
                  <w:r>
                    <w:rPr>
                      <w:rFonts w:hint="eastAsia"/>
                      <w:color w:val="000000"/>
                      <w:szCs w:val="21"/>
                    </w:rPr>
                    <w:t>氨氮</w:t>
                  </w:r>
                </w:p>
              </w:tc>
              <w:tc>
                <w:tcPr>
                  <w:tcW w:w="1296" w:type="dxa"/>
                  <w:vAlign w:val="center"/>
                </w:tcPr>
                <w:p>
                  <w:pPr>
                    <w:jc w:val="center"/>
                    <w:rPr>
                      <w:rFonts w:hint="eastAsia"/>
                      <w:color w:val="000000"/>
                      <w:szCs w:val="21"/>
                    </w:rPr>
                  </w:pPr>
                  <w:r>
                    <w:rPr>
                      <w:rFonts w:hint="eastAsia"/>
                      <w:color w:val="000000"/>
                      <w:szCs w:val="21"/>
                    </w:rPr>
                    <w:t>月均值</w:t>
                  </w:r>
                </w:p>
              </w:tc>
              <w:tc>
                <w:tcPr>
                  <w:tcW w:w="1359" w:type="dxa"/>
                  <w:vAlign w:val="center"/>
                </w:tcPr>
                <w:p>
                  <w:pPr>
                    <w:jc w:val="center"/>
                    <w:rPr>
                      <w:rFonts w:hint="eastAsia"/>
                      <w:color w:val="000000"/>
                      <w:szCs w:val="21"/>
                    </w:rPr>
                  </w:pPr>
                  <w:r>
                    <w:rPr>
                      <w:rFonts w:hint="eastAsia"/>
                      <w:color w:val="000000"/>
                      <w:szCs w:val="21"/>
                    </w:rPr>
                    <w:t>0.172</w:t>
                  </w:r>
                </w:p>
              </w:tc>
              <w:tc>
                <w:tcPr>
                  <w:tcW w:w="1297" w:type="dxa"/>
                  <w:vAlign w:val="center"/>
                </w:tcPr>
                <w:p>
                  <w:pPr>
                    <w:jc w:val="center"/>
                    <w:rPr>
                      <w:rFonts w:hint="eastAsia"/>
                      <w:color w:val="000000"/>
                      <w:szCs w:val="21"/>
                    </w:rPr>
                  </w:pPr>
                  <w:r>
                    <w:rPr>
                      <w:rFonts w:hint="eastAsia"/>
                      <w:color w:val="000000"/>
                      <w:szCs w:val="21"/>
                    </w:rPr>
                    <w:t>2</w:t>
                  </w:r>
                </w:p>
              </w:tc>
              <w:tc>
                <w:tcPr>
                  <w:tcW w:w="1297" w:type="dxa"/>
                  <w:vAlign w:val="center"/>
                </w:tcPr>
                <w:p>
                  <w:pPr>
                    <w:jc w:val="center"/>
                    <w:rPr>
                      <w:rFonts w:hint="eastAsia"/>
                      <w:color w:val="000000"/>
                      <w:szCs w:val="21"/>
                    </w:rPr>
                  </w:pPr>
                  <w:r>
                    <w:rPr>
                      <w:rFonts w:hint="eastAsia"/>
                      <w:color w:val="000000"/>
                      <w:szCs w:val="21"/>
                    </w:rPr>
                    <w:t>达标</w:t>
                  </w:r>
                </w:p>
              </w:tc>
            </w:tr>
          </w:tbl>
          <w:p/>
        </w:tc>
      </w:tr>
    </w:tbl>
    <w:p>
      <w:pPr>
        <w:sectPr>
          <w:footerReference w:type="even" r:id="rId80"/>
          <w:footerReference w:type="default" r:id="rId81"/>
          <w:type w:val="nextPage"/>
          <w:pgSz w:w="11906" w:h="16838"/>
          <w:pgMar w:top="1440" w:right="1797" w:bottom="1440" w:left="1797" w:header="851" w:footer="1077" w:gutter="0"/>
          <w:pgNumType w:start="35"/>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6"/>
        <w:gridCol w:w="8072"/>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4012"/>
          <w:jc w:val="center"/>
        </w:trPr>
        <w:tc>
          <w:tcPr>
            <w:tcW w:w="267" w:type="pct"/>
            <w:vAlign w:val="center"/>
          </w:tcPr>
          <w:p/>
        </w:tc>
        <w:tc>
          <w:tcPr>
            <w:tcW w:w="4733" w:type="pct"/>
            <w:vAlign w:val="center"/>
          </w:tcPr>
          <w:tbl>
            <w:tblPr>
              <w:tblStyle w:val="TableNorm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361"/>
              <w:gridCol w:w="1198"/>
              <w:gridCol w:w="1277"/>
              <w:gridCol w:w="1339"/>
              <w:gridCol w:w="1278"/>
              <w:gridCol w:w="1280"/>
            </w:tblGrid>
            <w:tr>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trPr>
              <w:tc>
                <w:tcPr>
                  <w:tcW w:w="1382" w:type="dxa"/>
                  <w:vMerge w:val="restart"/>
                  <w:vAlign w:val="center"/>
                </w:tcPr>
                <w:p>
                  <w:pPr>
                    <w:jc w:val="center"/>
                    <w:rPr>
                      <w:rFonts w:hint="eastAsia"/>
                      <w:color w:val="000000"/>
                      <w:szCs w:val="21"/>
                    </w:rPr>
                  </w:pPr>
                  <w:r>
                    <w:rPr>
                      <w:rFonts w:hint="eastAsia"/>
                      <w:color w:val="000000"/>
                      <w:szCs w:val="21"/>
                    </w:rPr>
                    <w:t>2021年10月</w:t>
                  </w:r>
                </w:p>
              </w:tc>
              <w:tc>
                <w:tcPr>
                  <w:tcW w:w="1216" w:type="dxa"/>
                  <w:vAlign w:val="center"/>
                </w:tcPr>
                <w:p>
                  <w:pPr>
                    <w:jc w:val="center"/>
                    <w:rPr>
                      <w:rFonts w:hint="eastAsia"/>
                      <w:color w:val="000000"/>
                      <w:szCs w:val="21"/>
                    </w:rPr>
                  </w:pPr>
                  <w:r>
                    <w:rPr>
                      <w:rFonts w:hint="eastAsia"/>
                      <w:color w:val="000000"/>
                      <w:szCs w:val="21"/>
                    </w:rPr>
                    <w:t>COD</w:t>
                  </w:r>
                </w:p>
              </w:tc>
              <w:tc>
                <w:tcPr>
                  <w:tcW w:w="1296" w:type="dxa"/>
                  <w:vAlign w:val="center"/>
                </w:tcPr>
                <w:p>
                  <w:pPr>
                    <w:jc w:val="center"/>
                    <w:rPr>
                      <w:rFonts w:hint="eastAsia"/>
                      <w:color w:val="000000"/>
                      <w:szCs w:val="21"/>
                    </w:rPr>
                  </w:pPr>
                  <w:r>
                    <w:rPr>
                      <w:rFonts w:hint="eastAsia"/>
                      <w:color w:val="000000"/>
                      <w:szCs w:val="21"/>
                    </w:rPr>
                    <w:t>月均值</w:t>
                  </w:r>
                </w:p>
              </w:tc>
              <w:tc>
                <w:tcPr>
                  <w:tcW w:w="1359" w:type="dxa"/>
                  <w:vAlign w:val="center"/>
                </w:tcPr>
                <w:p>
                  <w:pPr>
                    <w:jc w:val="center"/>
                    <w:rPr>
                      <w:rFonts w:hint="eastAsia"/>
                      <w:color w:val="000000"/>
                      <w:szCs w:val="21"/>
                    </w:rPr>
                  </w:pPr>
                  <w:r>
                    <w:rPr>
                      <w:rFonts w:hint="eastAsia"/>
                      <w:color w:val="000000"/>
                      <w:szCs w:val="21"/>
                    </w:rPr>
                    <w:t>5.63</w:t>
                  </w:r>
                </w:p>
              </w:tc>
              <w:tc>
                <w:tcPr>
                  <w:tcW w:w="1297" w:type="dxa"/>
                  <w:vAlign w:val="center"/>
                </w:tcPr>
                <w:p>
                  <w:pPr>
                    <w:jc w:val="center"/>
                    <w:rPr>
                      <w:rFonts w:hint="eastAsia"/>
                      <w:color w:val="000000"/>
                      <w:szCs w:val="21"/>
                    </w:rPr>
                  </w:pPr>
                  <w:r>
                    <w:rPr>
                      <w:rFonts w:hint="eastAsia"/>
                      <w:color w:val="000000"/>
                      <w:szCs w:val="21"/>
                    </w:rPr>
                    <w:t>40</w:t>
                  </w:r>
                </w:p>
              </w:tc>
              <w:tc>
                <w:tcPr>
                  <w:tcW w:w="1297" w:type="dxa"/>
                  <w:vAlign w:val="center"/>
                </w:tcPr>
                <w:p>
                  <w:pPr>
                    <w:jc w:val="center"/>
                    <w:rPr>
                      <w:rFonts w:hint="eastAsia"/>
                      <w:color w:val="000000"/>
                      <w:szCs w:val="21"/>
                    </w:rPr>
                  </w:pPr>
                  <w:r>
                    <w:rPr>
                      <w:rFonts w:hint="eastAsia"/>
                      <w:color w:val="000000"/>
                      <w:szCs w:val="21"/>
                    </w:rPr>
                    <w:t>达标</w:t>
                  </w:r>
                </w:p>
              </w:tc>
            </w:tr>
            <w:tr>
              <w:tblPrEx>
                <w:tblW w:w="0" w:type="auto"/>
                <w:tblInd w:w="113" w:type="dxa"/>
                <w:tblCellMar>
                  <w:top w:w="0" w:type="dxa"/>
                  <w:left w:w="108" w:type="dxa"/>
                  <w:bottom w:w="0" w:type="dxa"/>
                  <w:right w:w="108" w:type="dxa"/>
                </w:tblCellMar>
                <w:tblLook w:val="0000"/>
              </w:tblPrEx>
              <w:trPr>
                <w:trHeight w:val="340"/>
              </w:trPr>
              <w:tc>
                <w:tcPr>
                  <w:tcW w:w="1382" w:type="dxa"/>
                  <w:vMerge/>
                  <w:vAlign w:val="center"/>
                </w:tcPr>
                <w:p>
                  <w:pPr>
                    <w:jc w:val="center"/>
                    <w:rPr>
                      <w:rFonts w:hint="eastAsia"/>
                      <w:color w:val="000000"/>
                      <w:szCs w:val="21"/>
                    </w:rPr>
                  </w:pPr>
                </w:p>
              </w:tc>
              <w:tc>
                <w:tcPr>
                  <w:tcW w:w="1216" w:type="dxa"/>
                  <w:vAlign w:val="center"/>
                </w:tcPr>
                <w:p>
                  <w:pPr>
                    <w:jc w:val="center"/>
                    <w:rPr>
                      <w:rFonts w:hint="eastAsia"/>
                      <w:color w:val="000000"/>
                      <w:szCs w:val="21"/>
                    </w:rPr>
                  </w:pPr>
                  <w:r>
                    <w:rPr>
                      <w:rFonts w:hint="eastAsia"/>
                      <w:color w:val="000000"/>
                      <w:szCs w:val="21"/>
                    </w:rPr>
                    <w:t>氨氮</w:t>
                  </w:r>
                </w:p>
              </w:tc>
              <w:tc>
                <w:tcPr>
                  <w:tcW w:w="1296" w:type="dxa"/>
                  <w:vAlign w:val="center"/>
                </w:tcPr>
                <w:p>
                  <w:pPr>
                    <w:jc w:val="center"/>
                    <w:rPr>
                      <w:rFonts w:hint="eastAsia"/>
                      <w:color w:val="000000"/>
                      <w:szCs w:val="21"/>
                    </w:rPr>
                  </w:pPr>
                  <w:r>
                    <w:rPr>
                      <w:rFonts w:hint="eastAsia"/>
                      <w:color w:val="000000"/>
                      <w:szCs w:val="21"/>
                    </w:rPr>
                    <w:t>月均值</w:t>
                  </w:r>
                </w:p>
              </w:tc>
              <w:tc>
                <w:tcPr>
                  <w:tcW w:w="1359" w:type="dxa"/>
                  <w:vAlign w:val="center"/>
                </w:tcPr>
                <w:p>
                  <w:pPr>
                    <w:jc w:val="center"/>
                    <w:rPr>
                      <w:rFonts w:hint="eastAsia"/>
                      <w:color w:val="000000"/>
                      <w:szCs w:val="21"/>
                    </w:rPr>
                  </w:pPr>
                  <w:r>
                    <w:rPr>
                      <w:rFonts w:hint="eastAsia"/>
                      <w:color w:val="000000"/>
                      <w:szCs w:val="21"/>
                    </w:rPr>
                    <w:t>0.159</w:t>
                  </w:r>
                </w:p>
              </w:tc>
              <w:tc>
                <w:tcPr>
                  <w:tcW w:w="1297" w:type="dxa"/>
                  <w:vAlign w:val="center"/>
                </w:tcPr>
                <w:p>
                  <w:pPr>
                    <w:jc w:val="center"/>
                    <w:rPr>
                      <w:rFonts w:hint="eastAsia"/>
                      <w:color w:val="000000"/>
                      <w:szCs w:val="21"/>
                    </w:rPr>
                  </w:pPr>
                  <w:r>
                    <w:rPr>
                      <w:rFonts w:hint="eastAsia"/>
                      <w:color w:val="000000"/>
                      <w:szCs w:val="21"/>
                    </w:rPr>
                    <w:t>2</w:t>
                  </w:r>
                </w:p>
              </w:tc>
              <w:tc>
                <w:tcPr>
                  <w:tcW w:w="1297" w:type="dxa"/>
                  <w:vAlign w:val="center"/>
                </w:tcPr>
                <w:p>
                  <w:pPr>
                    <w:jc w:val="center"/>
                    <w:rPr>
                      <w:rFonts w:hint="eastAsia"/>
                      <w:color w:val="000000"/>
                      <w:szCs w:val="21"/>
                    </w:rPr>
                  </w:pPr>
                  <w:r>
                    <w:rPr>
                      <w:rFonts w:hint="eastAsia"/>
                      <w:color w:val="000000"/>
                      <w:szCs w:val="21"/>
                    </w:rPr>
                    <w:t>达标</w:t>
                  </w:r>
                </w:p>
              </w:tc>
            </w:tr>
            <w:tr>
              <w:tblPrEx>
                <w:tblW w:w="0" w:type="auto"/>
                <w:tblInd w:w="113" w:type="dxa"/>
                <w:tblCellMar>
                  <w:top w:w="0" w:type="dxa"/>
                  <w:left w:w="108" w:type="dxa"/>
                  <w:bottom w:w="0" w:type="dxa"/>
                  <w:right w:w="108" w:type="dxa"/>
                </w:tblCellMar>
                <w:tblLook w:val="0000"/>
              </w:tblPrEx>
              <w:trPr>
                <w:trHeight w:val="340"/>
              </w:trPr>
              <w:tc>
                <w:tcPr>
                  <w:tcW w:w="1382" w:type="dxa"/>
                  <w:vMerge w:val="restart"/>
                  <w:vAlign w:val="center"/>
                </w:tcPr>
                <w:p>
                  <w:pPr>
                    <w:jc w:val="center"/>
                    <w:rPr>
                      <w:rFonts w:hint="eastAsia"/>
                      <w:color w:val="000000"/>
                      <w:szCs w:val="21"/>
                    </w:rPr>
                  </w:pPr>
                  <w:r>
                    <w:rPr>
                      <w:rFonts w:hint="eastAsia"/>
                      <w:color w:val="000000"/>
                      <w:szCs w:val="21"/>
                    </w:rPr>
                    <w:t>2021年11月</w:t>
                  </w:r>
                </w:p>
              </w:tc>
              <w:tc>
                <w:tcPr>
                  <w:tcW w:w="1216" w:type="dxa"/>
                  <w:vAlign w:val="center"/>
                </w:tcPr>
                <w:p>
                  <w:pPr>
                    <w:jc w:val="center"/>
                    <w:rPr>
                      <w:rFonts w:hint="eastAsia"/>
                      <w:color w:val="000000"/>
                      <w:szCs w:val="21"/>
                    </w:rPr>
                  </w:pPr>
                  <w:r>
                    <w:rPr>
                      <w:rFonts w:hint="eastAsia"/>
                      <w:color w:val="000000"/>
                      <w:szCs w:val="21"/>
                    </w:rPr>
                    <w:t>COD</w:t>
                  </w:r>
                </w:p>
              </w:tc>
              <w:tc>
                <w:tcPr>
                  <w:tcW w:w="1296" w:type="dxa"/>
                  <w:vAlign w:val="center"/>
                </w:tcPr>
                <w:p>
                  <w:pPr>
                    <w:jc w:val="center"/>
                    <w:rPr>
                      <w:rFonts w:hint="eastAsia"/>
                      <w:color w:val="000000"/>
                      <w:szCs w:val="21"/>
                    </w:rPr>
                  </w:pPr>
                  <w:r>
                    <w:rPr>
                      <w:rFonts w:hint="eastAsia"/>
                      <w:color w:val="000000"/>
                      <w:szCs w:val="21"/>
                    </w:rPr>
                    <w:t>月均值</w:t>
                  </w:r>
                </w:p>
              </w:tc>
              <w:tc>
                <w:tcPr>
                  <w:tcW w:w="1359" w:type="dxa"/>
                  <w:vAlign w:val="center"/>
                </w:tcPr>
                <w:p>
                  <w:pPr>
                    <w:jc w:val="center"/>
                    <w:rPr>
                      <w:rFonts w:hint="eastAsia"/>
                      <w:color w:val="000000"/>
                      <w:szCs w:val="21"/>
                    </w:rPr>
                  </w:pPr>
                  <w:r>
                    <w:rPr>
                      <w:rFonts w:hint="eastAsia"/>
                      <w:color w:val="000000"/>
                      <w:szCs w:val="21"/>
                    </w:rPr>
                    <w:t>3.39</w:t>
                  </w:r>
                </w:p>
              </w:tc>
              <w:tc>
                <w:tcPr>
                  <w:tcW w:w="1297" w:type="dxa"/>
                  <w:vAlign w:val="center"/>
                </w:tcPr>
                <w:p>
                  <w:pPr>
                    <w:jc w:val="center"/>
                    <w:rPr>
                      <w:rFonts w:hint="eastAsia"/>
                      <w:color w:val="000000"/>
                      <w:szCs w:val="21"/>
                    </w:rPr>
                  </w:pPr>
                  <w:r>
                    <w:rPr>
                      <w:rFonts w:hint="eastAsia"/>
                      <w:color w:val="000000"/>
                      <w:szCs w:val="21"/>
                    </w:rPr>
                    <w:t>40</w:t>
                  </w:r>
                </w:p>
              </w:tc>
              <w:tc>
                <w:tcPr>
                  <w:tcW w:w="1297" w:type="dxa"/>
                  <w:vAlign w:val="center"/>
                </w:tcPr>
                <w:p>
                  <w:pPr>
                    <w:jc w:val="center"/>
                    <w:rPr>
                      <w:rFonts w:hint="eastAsia"/>
                      <w:color w:val="000000"/>
                      <w:szCs w:val="21"/>
                    </w:rPr>
                  </w:pPr>
                  <w:r>
                    <w:rPr>
                      <w:rFonts w:hint="eastAsia"/>
                      <w:color w:val="000000"/>
                      <w:szCs w:val="21"/>
                    </w:rPr>
                    <w:t>达标</w:t>
                  </w:r>
                </w:p>
              </w:tc>
            </w:tr>
            <w:tr>
              <w:tblPrEx>
                <w:tblW w:w="0" w:type="auto"/>
                <w:tblInd w:w="113" w:type="dxa"/>
                <w:tblCellMar>
                  <w:top w:w="0" w:type="dxa"/>
                  <w:left w:w="108" w:type="dxa"/>
                  <w:bottom w:w="0" w:type="dxa"/>
                  <w:right w:w="108" w:type="dxa"/>
                </w:tblCellMar>
                <w:tblLook w:val="0000"/>
              </w:tblPrEx>
              <w:trPr>
                <w:trHeight w:val="340"/>
              </w:trPr>
              <w:tc>
                <w:tcPr>
                  <w:tcW w:w="1382" w:type="dxa"/>
                  <w:vMerge/>
                  <w:vAlign w:val="center"/>
                </w:tcPr>
                <w:p>
                  <w:pPr>
                    <w:jc w:val="center"/>
                    <w:rPr>
                      <w:rFonts w:hint="eastAsia"/>
                      <w:color w:val="000000"/>
                      <w:szCs w:val="21"/>
                    </w:rPr>
                  </w:pPr>
                </w:p>
              </w:tc>
              <w:tc>
                <w:tcPr>
                  <w:tcW w:w="1216" w:type="dxa"/>
                  <w:vAlign w:val="center"/>
                </w:tcPr>
                <w:p>
                  <w:pPr>
                    <w:jc w:val="center"/>
                    <w:rPr>
                      <w:rFonts w:hint="eastAsia"/>
                      <w:color w:val="000000"/>
                      <w:szCs w:val="21"/>
                    </w:rPr>
                  </w:pPr>
                  <w:r>
                    <w:rPr>
                      <w:rFonts w:hint="eastAsia"/>
                      <w:color w:val="000000"/>
                      <w:szCs w:val="21"/>
                    </w:rPr>
                    <w:t>氨氮</w:t>
                  </w:r>
                </w:p>
              </w:tc>
              <w:tc>
                <w:tcPr>
                  <w:tcW w:w="1296" w:type="dxa"/>
                  <w:vAlign w:val="center"/>
                </w:tcPr>
                <w:p>
                  <w:pPr>
                    <w:jc w:val="center"/>
                    <w:rPr>
                      <w:rFonts w:hint="eastAsia"/>
                      <w:color w:val="000000"/>
                      <w:szCs w:val="21"/>
                    </w:rPr>
                  </w:pPr>
                  <w:r>
                    <w:rPr>
                      <w:rFonts w:hint="eastAsia"/>
                      <w:color w:val="000000"/>
                      <w:szCs w:val="21"/>
                    </w:rPr>
                    <w:t>月均值</w:t>
                  </w:r>
                </w:p>
              </w:tc>
              <w:tc>
                <w:tcPr>
                  <w:tcW w:w="1359" w:type="dxa"/>
                  <w:vAlign w:val="center"/>
                </w:tcPr>
                <w:p>
                  <w:pPr>
                    <w:jc w:val="center"/>
                    <w:rPr>
                      <w:rFonts w:hint="eastAsia"/>
                      <w:color w:val="000000"/>
                      <w:szCs w:val="21"/>
                    </w:rPr>
                  </w:pPr>
                  <w:r>
                    <w:rPr>
                      <w:rFonts w:hint="eastAsia"/>
                      <w:color w:val="000000"/>
                      <w:szCs w:val="21"/>
                    </w:rPr>
                    <w:t>0.175</w:t>
                  </w:r>
                </w:p>
              </w:tc>
              <w:tc>
                <w:tcPr>
                  <w:tcW w:w="1297" w:type="dxa"/>
                  <w:vAlign w:val="center"/>
                </w:tcPr>
                <w:p>
                  <w:pPr>
                    <w:jc w:val="center"/>
                    <w:rPr>
                      <w:rFonts w:hint="eastAsia"/>
                      <w:color w:val="000000"/>
                      <w:szCs w:val="21"/>
                    </w:rPr>
                  </w:pPr>
                  <w:r>
                    <w:rPr>
                      <w:rFonts w:hint="eastAsia"/>
                      <w:color w:val="000000"/>
                      <w:szCs w:val="21"/>
                    </w:rPr>
                    <w:t>2</w:t>
                  </w:r>
                </w:p>
              </w:tc>
              <w:tc>
                <w:tcPr>
                  <w:tcW w:w="1297" w:type="dxa"/>
                  <w:vAlign w:val="center"/>
                </w:tcPr>
                <w:p>
                  <w:pPr>
                    <w:jc w:val="center"/>
                    <w:rPr>
                      <w:rFonts w:hint="eastAsia"/>
                      <w:color w:val="000000"/>
                      <w:szCs w:val="21"/>
                    </w:rPr>
                  </w:pPr>
                  <w:r>
                    <w:rPr>
                      <w:rFonts w:hint="eastAsia"/>
                      <w:color w:val="000000"/>
                      <w:szCs w:val="21"/>
                    </w:rPr>
                    <w:t>达标</w:t>
                  </w:r>
                </w:p>
              </w:tc>
            </w:tr>
            <w:tr>
              <w:tblPrEx>
                <w:tblW w:w="0" w:type="auto"/>
                <w:tblInd w:w="113" w:type="dxa"/>
                <w:tblCellMar>
                  <w:top w:w="0" w:type="dxa"/>
                  <w:left w:w="108" w:type="dxa"/>
                  <w:bottom w:w="0" w:type="dxa"/>
                  <w:right w:w="108" w:type="dxa"/>
                </w:tblCellMar>
                <w:tblLook w:val="0000"/>
              </w:tblPrEx>
              <w:trPr>
                <w:trHeight w:val="340"/>
              </w:trPr>
              <w:tc>
                <w:tcPr>
                  <w:tcW w:w="1382" w:type="dxa"/>
                  <w:vMerge w:val="restart"/>
                  <w:vAlign w:val="center"/>
                </w:tcPr>
                <w:p>
                  <w:pPr>
                    <w:jc w:val="center"/>
                    <w:rPr>
                      <w:rFonts w:hint="eastAsia"/>
                      <w:color w:val="000000"/>
                      <w:szCs w:val="21"/>
                    </w:rPr>
                  </w:pPr>
                  <w:r>
                    <w:rPr>
                      <w:rFonts w:hint="eastAsia"/>
                      <w:color w:val="000000"/>
                      <w:szCs w:val="21"/>
                    </w:rPr>
                    <w:t>2021年12月</w:t>
                  </w:r>
                </w:p>
              </w:tc>
              <w:tc>
                <w:tcPr>
                  <w:tcW w:w="1216" w:type="dxa"/>
                  <w:vAlign w:val="center"/>
                </w:tcPr>
                <w:p>
                  <w:pPr>
                    <w:jc w:val="center"/>
                    <w:rPr>
                      <w:rFonts w:hint="eastAsia"/>
                      <w:color w:val="000000"/>
                      <w:szCs w:val="21"/>
                    </w:rPr>
                  </w:pPr>
                  <w:r>
                    <w:rPr>
                      <w:rFonts w:hint="eastAsia"/>
                      <w:color w:val="000000"/>
                      <w:szCs w:val="21"/>
                    </w:rPr>
                    <w:t>COD</w:t>
                  </w:r>
                </w:p>
              </w:tc>
              <w:tc>
                <w:tcPr>
                  <w:tcW w:w="1296" w:type="dxa"/>
                  <w:vAlign w:val="center"/>
                </w:tcPr>
                <w:p>
                  <w:pPr>
                    <w:jc w:val="center"/>
                    <w:rPr>
                      <w:rFonts w:hint="eastAsia"/>
                      <w:color w:val="000000"/>
                      <w:szCs w:val="21"/>
                    </w:rPr>
                  </w:pPr>
                  <w:r>
                    <w:rPr>
                      <w:rFonts w:hint="eastAsia"/>
                      <w:color w:val="000000"/>
                      <w:szCs w:val="21"/>
                    </w:rPr>
                    <w:t>月均值</w:t>
                  </w:r>
                </w:p>
              </w:tc>
              <w:tc>
                <w:tcPr>
                  <w:tcW w:w="1359" w:type="dxa"/>
                  <w:vAlign w:val="center"/>
                </w:tcPr>
                <w:p>
                  <w:pPr>
                    <w:jc w:val="center"/>
                    <w:rPr>
                      <w:rFonts w:hint="eastAsia"/>
                      <w:color w:val="000000"/>
                      <w:szCs w:val="21"/>
                    </w:rPr>
                  </w:pPr>
                  <w:r>
                    <w:rPr>
                      <w:rFonts w:hint="eastAsia"/>
                      <w:color w:val="000000"/>
                      <w:szCs w:val="21"/>
                    </w:rPr>
                    <w:t>3.01</w:t>
                  </w:r>
                </w:p>
              </w:tc>
              <w:tc>
                <w:tcPr>
                  <w:tcW w:w="1297" w:type="dxa"/>
                  <w:vAlign w:val="center"/>
                </w:tcPr>
                <w:p>
                  <w:pPr>
                    <w:jc w:val="center"/>
                    <w:rPr>
                      <w:rFonts w:hint="eastAsia"/>
                      <w:color w:val="000000"/>
                      <w:szCs w:val="21"/>
                    </w:rPr>
                  </w:pPr>
                  <w:r>
                    <w:rPr>
                      <w:rFonts w:hint="eastAsia"/>
                      <w:color w:val="000000"/>
                      <w:szCs w:val="21"/>
                    </w:rPr>
                    <w:t>40</w:t>
                  </w:r>
                </w:p>
              </w:tc>
              <w:tc>
                <w:tcPr>
                  <w:tcW w:w="1297" w:type="dxa"/>
                  <w:vAlign w:val="center"/>
                </w:tcPr>
                <w:p>
                  <w:pPr>
                    <w:jc w:val="center"/>
                    <w:rPr>
                      <w:rFonts w:hint="eastAsia"/>
                      <w:color w:val="000000"/>
                      <w:szCs w:val="21"/>
                    </w:rPr>
                  </w:pPr>
                  <w:r>
                    <w:rPr>
                      <w:rFonts w:hint="eastAsia"/>
                      <w:color w:val="000000"/>
                      <w:szCs w:val="21"/>
                    </w:rPr>
                    <w:t>达标</w:t>
                  </w:r>
                </w:p>
              </w:tc>
            </w:tr>
            <w:tr>
              <w:tblPrEx>
                <w:tblW w:w="0" w:type="auto"/>
                <w:tblInd w:w="113" w:type="dxa"/>
                <w:tblCellMar>
                  <w:top w:w="0" w:type="dxa"/>
                  <w:left w:w="108" w:type="dxa"/>
                  <w:bottom w:w="0" w:type="dxa"/>
                  <w:right w:w="108" w:type="dxa"/>
                </w:tblCellMar>
                <w:tblLook w:val="0000"/>
              </w:tblPrEx>
              <w:trPr>
                <w:trHeight w:val="340"/>
              </w:trPr>
              <w:tc>
                <w:tcPr>
                  <w:tcW w:w="1382" w:type="dxa"/>
                  <w:vMerge/>
                  <w:vAlign w:val="center"/>
                </w:tcPr>
                <w:p>
                  <w:pPr>
                    <w:jc w:val="center"/>
                    <w:rPr>
                      <w:rFonts w:hint="eastAsia"/>
                      <w:color w:val="000000"/>
                      <w:szCs w:val="21"/>
                    </w:rPr>
                  </w:pPr>
                </w:p>
              </w:tc>
              <w:tc>
                <w:tcPr>
                  <w:tcW w:w="1216" w:type="dxa"/>
                  <w:vAlign w:val="center"/>
                </w:tcPr>
                <w:p>
                  <w:pPr>
                    <w:jc w:val="center"/>
                    <w:rPr>
                      <w:rFonts w:hint="eastAsia"/>
                      <w:color w:val="000000"/>
                      <w:szCs w:val="21"/>
                    </w:rPr>
                  </w:pPr>
                  <w:r>
                    <w:rPr>
                      <w:rFonts w:hint="eastAsia"/>
                      <w:color w:val="000000"/>
                      <w:szCs w:val="21"/>
                    </w:rPr>
                    <w:t>氨氮</w:t>
                  </w:r>
                </w:p>
              </w:tc>
              <w:tc>
                <w:tcPr>
                  <w:tcW w:w="1296" w:type="dxa"/>
                  <w:vAlign w:val="center"/>
                </w:tcPr>
                <w:p>
                  <w:pPr>
                    <w:jc w:val="center"/>
                    <w:rPr>
                      <w:rFonts w:hint="eastAsia"/>
                      <w:color w:val="000000"/>
                      <w:szCs w:val="21"/>
                    </w:rPr>
                  </w:pPr>
                  <w:r>
                    <w:rPr>
                      <w:rFonts w:hint="eastAsia"/>
                      <w:color w:val="000000"/>
                      <w:szCs w:val="21"/>
                    </w:rPr>
                    <w:t>月均值</w:t>
                  </w:r>
                </w:p>
              </w:tc>
              <w:tc>
                <w:tcPr>
                  <w:tcW w:w="1359" w:type="dxa"/>
                  <w:vAlign w:val="center"/>
                </w:tcPr>
                <w:p>
                  <w:pPr>
                    <w:jc w:val="center"/>
                    <w:rPr>
                      <w:rFonts w:hint="eastAsia"/>
                      <w:color w:val="000000"/>
                      <w:szCs w:val="21"/>
                    </w:rPr>
                  </w:pPr>
                  <w:r>
                    <w:rPr>
                      <w:rFonts w:hint="eastAsia"/>
                      <w:color w:val="000000"/>
                      <w:szCs w:val="21"/>
                    </w:rPr>
                    <w:t>0.035</w:t>
                  </w:r>
                </w:p>
              </w:tc>
              <w:tc>
                <w:tcPr>
                  <w:tcW w:w="1297" w:type="dxa"/>
                  <w:vAlign w:val="center"/>
                </w:tcPr>
                <w:p>
                  <w:pPr>
                    <w:jc w:val="center"/>
                    <w:rPr>
                      <w:rFonts w:hint="eastAsia"/>
                      <w:color w:val="000000"/>
                      <w:szCs w:val="21"/>
                    </w:rPr>
                  </w:pPr>
                  <w:r>
                    <w:rPr>
                      <w:rFonts w:hint="eastAsia"/>
                      <w:color w:val="000000"/>
                      <w:szCs w:val="21"/>
                    </w:rPr>
                    <w:t>2</w:t>
                  </w:r>
                </w:p>
              </w:tc>
              <w:tc>
                <w:tcPr>
                  <w:tcW w:w="1297" w:type="dxa"/>
                  <w:vAlign w:val="center"/>
                </w:tcPr>
                <w:p>
                  <w:pPr>
                    <w:jc w:val="center"/>
                    <w:rPr>
                      <w:rFonts w:hint="eastAsia"/>
                      <w:color w:val="000000"/>
                      <w:szCs w:val="21"/>
                    </w:rPr>
                  </w:pPr>
                  <w:r>
                    <w:rPr>
                      <w:rFonts w:hint="eastAsia"/>
                      <w:color w:val="000000"/>
                      <w:szCs w:val="21"/>
                    </w:rPr>
                    <w:t>达标</w:t>
                  </w:r>
                </w:p>
              </w:tc>
            </w:tr>
          </w:tbl>
          <w:p>
            <w:pPr>
              <w:spacing w:line="360" w:lineRule="auto"/>
              <w:ind w:firstLine="480" w:firstLineChars="200"/>
              <w:rPr>
                <w:rFonts w:hint="eastAsia"/>
                <w:color w:val="000000"/>
                <w:sz w:val="24"/>
              </w:rPr>
            </w:pPr>
            <w:r>
              <w:rPr>
                <w:rFonts w:hint="eastAsia"/>
                <w:color w:val="000000"/>
                <w:sz w:val="24"/>
              </w:rPr>
              <w:t>根据监测数据，</w:t>
            </w:r>
            <w:r>
              <w:rPr>
                <w:color w:val="000000"/>
                <w:sz w:val="24"/>
              </w:rPr>
              <w:t>202</w:t>
            </w:r>
            <w:r>
              <w:rPr>
                <w:rFonts w:hint="eastAsia"/>
                <w:color w:val="000000"/>
                <w:sz w:val="24"/>
              </w:rPr>
              <w:t>1年7月-12月宁津新河青积务村断面</w:t>
            </w:r>
            <w:r>
              <w:rPr>
                <w:color w:val="000000"/>
                <w:sz w:val="24"/>
              </w:rPr>
              <w:t>COD</w:t>
            </w:r>
            <w:r>
              <w:rPr>
                <w:rFonts w:hint="eastAsia"/>
                <w:color w:val="000000"/>
                <w:sz w:val="24"/>
              </w:rPr>
              <w:t>、氨氮均满足《地表水环境质量标准》（</w:t>
            </w:r>
            <w:r>
              <w:rPr>
                <w:color w:val="000000"/>
                <w:sz w:val="24"/>
              </w:rPr>
              <w:t>GB3838-2002</w:t>
            </w:r>
            <w:r>
              <w:rPr>
                <w:rFonts w:hint="eastAsia"/>
                <w:color w:val="000000"/>
                <w:sz w:val="24"/>
              </w:rPr>
              <w:t>）</w:t>
            </w:r>
            <w:r>
              <w:rPr>
                <w:rFonts w:hint="eastAsia"/>
                <w:color w:val="000000"/>
                <w:sz w:val="24"/>
              </w:rPr>
              <w:t>Ⅴ</w:t>
            </w:r>
            <w:r>
              <w:rPr>
                <w:rFonts w:hint="eastAsia"/>
                <w:color w:val="000000"/>
                <w:sz w:val="24"/>
              </w:rPr>
              <w:t>类标准要求，项目区域地表水环境质量较好。</w:t>
            </w:r>
          </w:p>
          <w:p>
            <w:pPr>
              <w:spacing w:line="360" w:lineRule="auto"/>
              <w:ind w:firstLine="480" w:firstLineChars="200"/>
              <w:rPr>
                <w:b/>
                <w:color w:val="000000"/>
                <w:sz w:val="24"/>
              </w:rPr>
            </w:pPr>
            <w:r>
              <w:rPr>
                <w:rFonts w:hint="eastAsia"/>
                <w:b/>
                <w:color w:val="000000"/>
                <w:sz w:val="24"/>
              </w:rPr>
              <w:t>5</w:t>
            </w:r>
            <w:r>
              <w:rPr>
                <w:b/>
                <w:color w:val="000000"/>
                <w:sz w:val="24"/>
              </w:rPr>
              <w:t>、声环境质量现状</w:t>
            </w:r>
          </w:p>
          <w:p>
            <w:pPr>
              <w:spacing w:line="360" w:lineRule="auto"/>
              <w:ind w:firstLine="480" w:firstLineChars="200"/>
              <w:rPr>
                <w:color w:val="000000"/>
                <w:sz w:val="24"/>
              </w:rPr>
            </w:pPr>
            <w:r>
              <w:rPr>
                <w:rFonts w:hint="eastAsia"/>
                <w:color w:val="000000"/>
                <w:sz w:val="24"/>
              </w:rPr>
              <w:t>项目公路红线外50</w:t>
            </w:r>
            <w:r>
              <w:rPr>
                <w:color w:val="000000"/>
                <w:sz w:val="24"/>
              </w:rPr>
              <w:t>m</w:t>
            </w:r>
            <w:r>
              <w:rPr>
                <w:rFonts w:hint="eastAsia"/>
                <w:color w:val="000000"/>
                <w:sz w:val="24"/>
              </w:rPr>
              <w:t>内有居民区、村庄等环境敏感目标，</w:t>
            </w:r>
            <w:r>
              <w:rPr>
                <w:color w:val="000000"/>
                <w:sz w:val="24"/>
              </w:rPr>
              <w:t>本次环评委托</w:t>
            </w:r>
            <w:r>
              <w:rPr>
                <w:rFonts w:hint="eastAsia"/>
                <w:color w:val="000000"/>
                <w:sz w:val="24"/>
              </w:rPr>
              <w:t>山东方信环境检测有限公司</w:t>
            </w:r>
            <w:r>
              <w:rPr>
                <w:color w:val="000000"/>
                <w:sz w:val="24"/>
              </w:rPr>
              <w:t>对项目周围声环境质量进行监测，监测时间为20</w:t>
            </w:r>
            <w:r>
              <w:rPr>
                <w:rFonts w:hint="eastAsia"/>
                <w:color w:val="000000"/>
                <w:sz w:val="24"/>
              </w:rPr>
              <w:t>22</w:t>
            </w:r>
            <w:r>
              <w:rPr>
                <w:color w:val="000000"/>
                <w:sz w:val="24"/>
              </w:rPr>
              <w:t>年</w:t>
            </w:r>
            <w:r>
              <w:rPr>
                <w:rFonts w:hint="eastAsia"/>
                <w:color w:val="000000"/>
                <w:sz w:val="24"/>
              </w:rPr>
              <w:t>6</w:t>
            </w:r>
            <w:r>
              <w:rPr>
                <w:color w:val="000000"/>
                <w:sz w:val="24"/>
              </w:rPr>
              <w:t>月</w:t>
            </w:r>
            <w:r>
              <w:rPr>
                <w:rFonts w:hint="eastAsia"/>
                <w:color w:val="000000"/>
                <w:sz w:val="24"/>
              </w:rPr>
              <w:t>28</w:t>
            </w:r>
            <w:r>
              <w:rPr>
                <w:color w:val="000000"/>
                <w:sz w:val="24"/>
              </w:rPr>
              <w:t>日</w:t>
            </w:r>
            <w:r>
              <w:rPr>
                <w:rFonts w:hint="eastAsia"/>
                <w:color w:val="000000"/>
                <w:sz w:val="24"/>
              </w:rPr>
              <w:t>。</w:t>
            </w:r>
          </w:p>
          <w:p>
            <w:pPr>
              <w:spacing w:line="360" w:lineRule="auto"/>
              <w:ind w:firstLine="480" w:firstLineChars="200"/>
              <w:rPr>
                <w:color w:val="000000"/>
                <w:sz w:val="24"/>
              </w:rPr>
            </w:pPr>
            <w:r>
              <w:rPr>
                <w:rFonts w:hint="eastAsia"/>
                <w:color w:val="000000"/>
                <w:sz w:val="24"/>
              </w:rPr>
              <w:t>5</w:t>
            </w:r>
            <w:r>
              <w:rPr>
                <w:color w:val="000000"/>
                <w:sz w:val="24"/>
              </w:rPr>
              <w:t>.1监测点布置</w:t>
            </w:r>
          </w:p>
          <w:p>
            <w:pPr>
              <w:spacing w:line="360" w:lineRule="auto"/>
              <w:ind w:firstLine="480" w:firstLineChars="200"/>
              <w:rPr>
                <w:color w:val="000000"/>
                <w:sz w:val="24"/>
              </w:rPr>
            </w:pPr>
            <w:r>
              <w:rPr>
                <w:color w:val="000000"/>
                <w:sz w:val="24"/>
              </w:rPr>
              <w:t>根据《环境影响评价技术导则 声环境》（HJ2.4-2009）中的有关规定，结合本项目特点和实地勘查情况，本项目的声环境质量现状监测，在评价范围内布设</w:t>
            </w:r>
            <w:r>
              <w:rPr>
                <w:rFonts w:hint="eastAsia"/>
                <w:color w:val="000000"/>
                <w:sz w:val="24"/>
              </w:rPr>
              <w:t>8</w:t>
            </w:r>
            <w:r>
              <w:rPr>
                <w:color w:val="000000"/>
                <w:sz w:val="24"/>
              </w:rPr>
              <w:t>个监测点。</w:t>
            </w:r>
          </w:p>
          <w:p>
            <w:pPr>
              <w:spacing w:line="360" w:lineRule="auto"/>
              <w:ind w:firstLine="480" w:firstLineChars="200"/>
              <w:rPr>
                <w:color w:val="000000"/>
                <w:sz w:val="24"/>
              </w:rPr>
            </w:pPr>
            <w:r>
              <w:rPr>
                <w:rFonts w:hint="eastAsia"/>
                <w:color w:val="000000"/>
                <w:sz w:val="24"/>
              </w:rPr>
              <w:t>5</w:t>
            </w:r>
            <w:r>
              <w:rPr>
                <w:color w:val="000000"/>
                <w:sz w:val="24"/>
              </w:rPr>
              <w:t>.2监测时间和方法</w:t>
            </w:r>
          </w:p>
          <w:p>
            <w:pPr>
              <w:spacing w:line="360" w:lineRule="auto"/>
              <w:ind w:firstLine="480" w:firstLineChars="200"/>
              <w:rPr>
                <w:color w:val="000000"/>
                <w:sz w:val="24"/>
              </w:rPr>
            </w:pPr>
            <w:r>
              <w:rPr>
                <w:color w:val="000000"/>
                <w:sz w:val="24"/>
              </w:rPr>
              <w:t>监测时间：202</w:t>
            </w:r>
            <w:r>
              <w:rPr>
                <w:rFonts w:hint="eastAsia"/>
                <w:color w:val="000000"/>
                <w:sz w:val="24"/>
              </w:rPr>
              <w:t>2</w:t>
            </w:r>
            <w:r>
              <w:rPr>
                <w:color w:val="000000"/>
                <w:sz w:val="24"/>
              </w:rPr>
              <w:t>年</w:t>
            </w:r>
            <w:r>
              <w:rPr>
                <w:rFonts w:hint="eastAsia"/>
                <w:color w:val="000000"/>
                <w:sz w:val="24"/>
              </w:rPr>
              <w:t>6</w:t>
            </w:r>
            <w:r>
              <w:rPr>
                <w:color w:val="000000"/>
                <w:sz w:val="24"/>
              </w:rPr>
              <w:t>月</w:t>
            </w:r>
            <w:r>
              <w:rPr>
                <w:rFonts w:hint="eastAsia"/>
                <w:color w:val="000000"/>
                <w:sz w:val="24"/>
              </w:rPr>
              <w:t>28</w:t>
            </w:r>
            <w:r>
              <w:rPr>
                <w:color w:val="000000"/>
                <w:sz w:val="24"/>
              </w:rPr>
              <w:t>日，昼夜各一次</w:t>
            </w:r>
          </w:p>
          <w:p>
            <w:pPr>
              <w:spacing w:line="360" w:lineRule="auto"/>
              <w:ind w:firstLine="480" w:firstLineChars="200"/>
              <w:rPr>
                <w:color w:val="000000"/>
                <w:sz w:val="24"/>
              </w:rPr>
            </w:pPr>
            <w:r>
              <w:rPr>
                <w:color w:val="000000"/>
                <w:sz w:val="24"/>
              </w:rPr>
              <w:t>监测方法：GB12348-2008</w:t>
            </w:r>
          </w:p>
          <w:p>
            <w:pPr>
              <w:spacing w:line="360" w:lineRule="auto"/>
              <w:ind w:firstLine="480" w:firstLineChars="200"/>
              <w:rPr>
                <w:color w:val="000000"/>
                <w:sz w:val="24"/>
              </w:rPr>
            </w:pPr>
            <w:r>
              <w:rPr>
                <w:rFonts w:hint="eastAsia"/>
                <w:color w:val="000000"/>
                <w:sz w:val="24"/>
              </w:rPr>
              <w:t>5</w:t>
            </w:r>
            <w:r>
              <w:rPr>
                <w:color w:val="000000"/>
                <w:sz w:val="24"/>
              </w:rPr>
              <w:t>.3评价标准</w:t>
            </w:r>
          </w:p>
          <w:p>
            <w:pPr>
              <w:spacing w:line="360" w:lineRule="auto"/>
              <w:ind w:firstLine="480" w:firstLineChars="200"/>
              <w:rPr>
                <w:color w:val="000000"/>
                <w:sz w:val="24"/>
              </w:rPr>
            </w:pPr>
            <w:r>
              <w:rPr>
                <w:color w:val="000000"/>
                <w:sz w:val="24"/>
              </w:rPr>
              <w:t>根据《声环境质量标准》（GB3096-2008），按项目区所在区域环境功能划分，声环境采用《声环境质量标准》（GB3096-2008）中的2类标准，昼间60dB（A），夜间50dB（A）。</w:t>
            </w:r>
          </w:p>
          <w:p>
            <w:pPr>
              <w:spacing w:line="360" w:lineRule="auto"/>
              <w:ind w:firstLine="480" w:firstLineChars="200"/>
              <w:rPr>
                <w:color w:val="000000"/>
                <w:sz w:val="24"/>
              </w:rPr>
            </w:pPr>
            <w:r>
              <w:rPr>
                <w:rFonts w:hint="eastAsia"/>
                <w:color w:val="000000"/>
                <w:sz w:val="24"/>
              </w:rPr>
              <w:t>5</w:t>
            </w:r>
            <w:r>
              <w:rPr>
                <w:color w:val="000000"/>
                <w:sz w:val="24"/>
              </w:rPr>
              <w:t>.4监测结果</w:t>
            </w:r>
          </w:p>
          <w:p>
            <w:pPr>
              <w:spacing w:line="360" w:lineRule="auto"/>
              <w:ind w:firstLine="480" w:firstLineChars="200"/>
              <w:rPr>
                <w:color w:val="000000"/>
                <w:sz w:val="24"/>
              </w:rPr>
            </w:pPr>
            <w:r>
              <w:rPr>
                <w:color w:val="000000"/>
                <w:sz w:val="24"/>
              </w:rPr>
              <w:t>项目噪声监测结果见表</w:t>
            </w:r>
            <w:r>
              <w:rPr>
                <w:rFonts w:hint="eastAsia"/>
                <w:color w:val="000000"/>
                <w:sz w:val="24"/>
              </w:rPr>
              <w:t>3-3</w:t>
            </w:r>
            <w:r>
              <w:rPr>
                <w:color w:val="000000"/>
                <w:sz w:val="24"/>
              </w:rPr>
              <w:t>。</w:t>
            </w:r>
          </w:p>
          <w:p>
            <w:pPr>
              <w:adjustRightInd w:val="0"/>
              <w:snapToGrid w:val="0"/>
              <w:spacing w:line="360" w:lineRule="auto"/>
              <w:ind w:firstLine="480" w:firstLineChars="200"/>
              <w:jc w:val="left"/>
              <w:rPr>
                <w:rFonts w:hint="eastAsia"/>
                <w:bCs/>
                <w:color w:val="000000"/>
                <w:sz w:val="24"/>
              </w:rPr>
            </w:pPr>
            <w:r>
              <w:rPr>
                <w:color w:val="000000"/>
                <w:sz w:val="24"/>
              </w:rPr>
              <w:t>从噪声现状监测结果可以看出，本项目所在区域声环境现状满足《声环境质量标准》(GB3096-2008)中2类标准要求。由此可见项目所在地声环境质量良好</w:t>
            </w:r>
            <w:r>
              <w:rPr>
                <w:rFonts w:hint="eastAsia"/>
                <w:color w:val="000000"/>
                <w:sz w:val="24"/>
              </w:rPr>
              <w:t>。</w:t>
            </w:r>
          </w:p>
          <w:p>
            <w:pPr>
              <w:adjustRightInd w:val="0"/>
              <w:snapToGrid w:val="0"/>
              <w:spacing w:line="360" w:lineRule="auto"/>
              <w:ind w:firstLine="480" w:firstLineChars="200"/>
              <w:jc w:val="left"/>
              <w:rPr>
                <w:b/>
                <w:bCs/>
                <w:color w:val="000000"/>
                <w:sz w:val="24"/>
              </w:rPr>
            </w:pPr>
            <w:r>
              <w:rPr>
                <w:rFonts w:hint="eastAsia"/>
                <w:b/>
                <w:bCs/>
                <w:color w:val="000000"/>
                <w:sz w:val="24"/>
              </w:rPr>
              <w:t>6、土壤环境质量评价</w:t>
            </w:r>
          </w:p>
          <w:p>
            <w:pPr>
              <w:spacing w:after="0" w:line="360" w:lineRule="auto"/>
              <w:ind w:firstLine="480" w:firstLineChars="200"/>
              <w:rPr>
                <w:rFonts w:cs="宋体" w:hint="eastAsia"/>
                <w:color w:val="000000"/>
                <w:sz w:val="24"/>
              </w:rPr>
            </w:pPr>
            <w:r>
              <w:rPr>
                <w:color w:val="000000"/>
                <w:sz w:val="24"/>
              </w:rPr>
              <w:t>参考《环境影响评价技术导则</w:t>
            </w:r>
            <w:r>
              <w:rPr>
                <w:rFonts w:hint="eastAsia"/>
                <w:color w:val="000000"/>
                <w:sz w:val="24"/>
              </w:rPr>
              <w:t xml:space="preserve"> </w:t>
            </w:r>
            <w:r>
              <w:rPr>
                <w:color w:val="000000"/>
                <w:sz w:val="24"/>
              </w:rPr>
              <w:t>土壤环境（试行）》（HJ964-2018）</w:t>
            </w:r>
            <w:r>
              <w:rPr>
                <w:rFonts w:ascii="宋体" w:hAnsi="宋体"/>
                <w:color w:val="000000"/>
                <w:sz w:val="24"/>
              </w:rPr>
              <w:t>“附</w:t>
            </w:r>
          </w:p>
        </w:tc>
      </w:tr>
    </w:tbl>
    <w:p>
      <w:pPr>
        <w:sectPr>
          <w:footerReference w:type="even" r:id="rId82"/>
          <w:footerReference w:type="default" r:id="rId83"/>
          <w:type w:val="nextPage"/>
          <w:pgSz w:w="11906" w:h="16838"/>
          <w:pgMar w:top="1440" w:right="1797" w:bottom="1440" w:left="1797" w:header="851" w:footer="1077" w:gutter="0"/>
          <w:pgNumType w:start="36"/>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6"/>
        <w:gridCol w:w="8072"/>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4012"/>
          <w:jc w:val="center"/>
        </w:trPr>
        <w:tc>
          <w:tcPr>
            <w:tcW w:w="267" w:type="pct"/>
            <w:vAlign w:val="center"/>
          </w:tcPr>
          <w:p/>
        </w:tc>
        <w:tc>
          <w:tcPr>
            <w:tcW w:w="4733" w:type="pct"/>
            <w:vAlign w:val="center"/>
          </w:tcPr>
          <w:p>
            <w:pPr>
              <w:spacing w:before="0" w:line="360" w:lineRule="auto"/>
              <w:ind w:firstLine="480" w:firstLineChars="200"/>
              <w:rPr>
                <w:rFonts w:cs="宋体" w:hint="eastAsia"/>
                <w:color w:val="000000"/>
                <w:sz w:val="24"/>
              </w:rPr>
            </w:pPr>
            <w:r>
              <w:rPr>
                <w:color w:val="000000"/>
                <w:sz w:val="24"/>
              </w:rPr>
              <w:t>录 A（规范性附录）土壤环境影响评价类</w:t>
            </w:r>
            <w:r>
              <w:rPr>
                <w:rFonts w:ascii="宋体" w:hAnsi="宋体"/>
                <w:color w:val="000000"/>
                <w:sz w:val="24"/>
              </w:rPr>
              <w:t>别”的</w:t>
            </w:r>
            <w:r>
              <w:rPr>
                <w:color w:val="000000"/>
                <w:sz w:val="24"/>
              </w:rPr>
              <w:t>划分，</w:t>
            </w:r>
            <w:r>
              <w:rPr>
                <w:rFonts w:cs="宋体" w:hint="eastAsia"/>
                <w:color w:val="000000"/>
                <w:sz w:val="24"/>
              </w:rPr>
              <w:t>本项目属于附录A中</w:t>
            </w:r>
            <w:r>
              <w:rPr>
                <w:rFonts w:cs="宋体" w:hint="eastAsia"/>
                <w:color w:val="000000"/>
                <w:sz w:val="24"/>
              </w:rPr>
              <w:t>“</w:t>
            </w:r>
            <w:r>
              <w:rPr>
                <w:rFonts w:cs="宋体" w:hint="eastAsia"/>
                <w:color w:val="000000"/>
                <w:sz w:val="24"/>
              </w:rPr>
              <w:t>交通运输仓储邮政业</w:t>
            </w:r>
            <w:r>
              <w:rPr>
                <w:rFonts w:cs="宋体" w:hint="eastAsia"/>
                <w:color w:val="000000"/>
                <w:sz w:val="24"/>
              </w:rPr>
              <w:t>”</w:t>
            </w:r>
            <w:r>
              <w:rPr>
                <w:rFonts w:cs="宋体" w:hint="eastAsia"/>
                <w:color w:val="000000"/>
                <w:sz w:val="24"/>
              </w:rPr>
              <w:t>，项目类别为</w:t>
            </w:r>
            <w:r>
              <w:rPr>
                <w:rFonts w:cs="宋体" w:hint="eastAsia"/>
                <w:color w:val="000000"/>
                <w:sz w:val="24"/>
              </w:rPr>
              <w:t>Ⅳ</w:t>
            </w:r>
            <w:r>
              <w:rPr>
                <w:rFonts w:cs="宋体" w:hint="eastAsia"/>
                <w:color w:val="000000"/>
                <w:sz w:val="24"/>
              </w:rPr>
              <w:t>类，</w:t>
            </w:r>
            <w:r>
              <w:rPr>
                <w:rFonts w:cs="宋体"/>
                <w:color w:val="000000"/>
                <w:sz w:val="24"/>
              </w:rPr>
              <w:t>根据《环境影响评价技术导则</w:t>
            </w:r>
            <w:r>
              <w:rPr>
                <w:rFonts w:cs="宋体" w:hint="eastAsia"/>
                <w:color w:val="000000"/>
                <w:sz w:val="24"/>
              </w:rPr>
              <w:t>土壤环境（试行）</w:t>
            </w:r>
            <w:r>
              <w:rPr>
                <w:rFonts w:cs="宋体"/>
                <w:color w:val="000000"/>
                <w:sz w:val="24"/>
              </w:rPr>
              <w:t>》(HJ</w:t>
            </w:r>
            <w:r>
              <w:rPr>
                <w:rFonts w:cs="宋体" w:hint="eastAsia"/>
                <w:color w:val="000000"/>
                <w:sz w:val="24"/>
              </w:rPr>
              <w:t>964</w:t>
            </w:r>
            <w:r>
              <w:rPr>
                <w:rFonts w:cs="宋体"/>
                <w:color w:val="000000"/>
                <w:sz w:val="24"/>
              </w:rPr>
              <w:t>-201</w:t>
            </w:r>
            <w:r>
              <w:rPr>
                <w:rFonts w:cs="宋体" w:hint="eastAsia"/>
                <w:color w:val="000000"/>
                <w:sz w:val="24"/>
              </w:rPr>
              <w:t>8</w:t>
            </w:r>
            <w:r>
              <w:rPr>
                <w:rFonts w:cs="宋体"/>
                <w:color w:val="000000"/>
                <w:sz w:val="24"/>
              </w:rPr>
              <w:t>)中对评价工作分级的规定，</w:t>
            </w:r>
            <w:r>
              <w:rPr>
                <w:rFonts w:cs="宋体" w:hint="eastAsia"/>
                <w:color w:val="000000"/>
                <w:sz w:val="24"/>
              </w:rPr>
              <w:t>本项目可不开展土壤环境影响评价工作</w:t>
            </w:r>
            <w:r>
              <w:rPr>
                <w:rFonts w:cs="宋体"/>
                <w:color w:val="000000"/>
                <w:sz w:val="24"/>
              </w:rPr>
              <w:t>。</w:t>
            </w:r>
          </w:p>
          <w:p>
            <w:pPr>
              <w:spacing w:line="360" w:lineRule="auto"/>
              <w:ind w:firstLine="480" w:firstLineChars="200"/>
              <w:rPr>
                <w:rFonts w:cs="宋体" w:hint="eastAsia"/>
                <w:color w:val="000000"/>
                <w:sz w:val="24"/>
              </w:rPr>
            </w:pPr>
          </w:p>
          <w:p>
            <w:pPr>
              <w:spacing w:line="360" w:lineRule="auto"/>
              <w:ind w:firstLine="480" w:firstLineChars="200"/>
              <w:rPr>
                <w:rFonts w:cs="宋体" w:hint="eastAsia"/>
                <w:color w:val="000000"/>
                <w:sz w:val="24"/>
              </w:rPr>
            </w:pPr>
          </w:p>
          <w:p>
            <w:pPr>
              <w:spacing w:line="360" w:lineRule="auto"/>
              <w:ind w:firstLine="480" w:firstLineChars="200"/>
              <w:rPr>
                <w:rFonts w:cs="宋体" w:hint="eastAsia"/>
                <w:color w:val="000000"/>
                <w:sz w:val="24"/>
              </w:rPr>
            </w:pPr>
          </w:p>
          <w:p>
            <w:pPr>
              <w:spacing w:line="360" w:lineRule="auto"/>
              <w:ind w:firstLine="480" w:firstLineChars="200"/>
              <w:rPr>
                <w:rFonts w:cs="宋体" w:hint="eastAsia"/>
                <w:color w:val="000000"/>
                <w:sz w:val="24"/>
              </w:rPr>
            </w:pPr>
          </w:p>
          <w:p>
            <w:pPr>
              <w:spacing w:line="360" w:lineRule="auto"/>
              <w:ind w:firstLine="480" w:firstLineChars="200"/>
              <w:rPr>
                <w:rFonts w:cs="宋体" w:hint="eastAsia"/>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p>
            <w:pPr>
              <w:spacing w:line="360" w:lineRule="auto"/>
              <w:ind w:firstLine="480" w:firstLineChars="200"/>
              <w:rPr>
                <w:rFonts w:hint="eastAsia"/>
                <w:bCs/>
                <w:color w:val="000000"/>
                <w:sz w:val="24"/>
              </w:rPr>
            </w:pPr>
          </w:p>
        </w:tc>
      </w:tr>
    </w:tbl>
    <w:p>
      <w:pPr>
        <w:sectPr>
          <w:footerReference w:type="even" r:id="rId84"/>
          <w:footerReference w:type="default" r:id="rId85"/>
          <w:type w:val="nextPage"/>
          <w:pgSz w:w="11906" w:h="16838"/>
          <w:pgMar w:top="1440" w:right="1797" w:bottom="1440" w:left="1797" w:header="851" w:footer="1077" w:gutter="0"/>
          <w:pgNumType w:start="37"/>
          <w:cols w:space="708"/>
          <w:titlePg w:val="0"/>
          <w:docGrid w:linePitch="312"/>
        </w:sectPr>
      </w:pPr>
    </w:p>
    <w:tbl>
      <w:tblPr>
        <w:tblStyle w:val="TableNormal"/>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456"/>
        <w:gridCol w:w="8072"/>
      </w:tblGrid>
      <w:tr>
        <w:tblPrEx>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4012"/>
          <w:jc w:val="center"/>
        </w:trPr>
        <w:tc>
          <w:tcPr>
            <w:tcW w:w="267" w:type="pct"/>
            <w:vAlign w:val="center"/>
          </w:tcPr>
          <w:p/>
        </w:tc>
        <w:tc>
          <w:tcPr>
            <w:tcW w:w="4733" w:type="pct"/>
            <w:vAlign w:val="center"/>
          </w:tcPr>
          <w:p>
            <w:pPr>
              <w:spacing w:line="360" w:lineRule="auto"/>
              <w:rPr>
                <w:bCs/>
                <w:color w:val="000000"/>
                <w:sz w:val="24"/>
              </w:rPr>
            </w:pPr>
          </w:p>
        </w:tc>
      </w:tr>
    </w:tbl>
    <w:p>
      <w:pPr>
        <w:rPr>
          <w:color w:val="000000"/>
        </w:rPr>
        <w:sectPr>
          <w:footerReference w:type="even" r:id="rId86"/>
          <w:footerReference w:type="default" r:id="rId87"/>
          <w:type w:val="nextPage"/>
          <w:pgSz w:w="11906" w:h="16838"/>
          <w:pgMar w:top="1440" w:right="1797" w:bottom="1440" w:left="1797" w:header="851" w:footer="1077" w:gutter="0"/>
          <w:pgNumType w:start="38"/>
          <w:cols w:space="708"/>
          <w:titlePg w:val="0"/>
          <w:docGrid w:linePitch="312"/>
        </w:sectPr>
      </w:pPr>
    </w:p>
    <w:p>
      <w:pPr>
        <w:rPr>
          <w:rFonts w:hint="eastAsia"/>
          <w:color w:val="000000"/>
        </w:rPr>
      </w:pPr>
    </w:p>
    <w:p>
      <w:pPr>
        <w:spacing w:line="440" w:lineRule="exact"/>
        <w:jc w:val="center"/>
        <w:rPr>
          <w:b/>
          <w:color w:val="000000"/>
          <w:sz w:val="24"/>
        </w:rPr>
      </w:pPr>
      <w:r>
        <w:rPr>
          <w:b/>
          <w:color w:val="000000"/>
          <w:sz w:val="24"/>
        </w:rPr>
        <w:t>表3-</w:t>
      </w:r>
      <w:r>
        <w:rPr>
          <w:rFonts w:hint="eastAsia"/>
          <w:b/>
          <w:color w:val="000000"/>
          <w:sz w:val="24"/>
        </w:rPr>
        <w:t>3</w:t>
      </w:r>
      <w:r>
        <w:rPr>
          <w:b/>
          <w:color w:val="000000"/>
          <w:sz w:val="24"/>
        </w:rPr>
        <w:t xml:space="preserve"> </w:t>
      </w:r>
      <w:r>
        <w:rPr>
          <w:rFonts w:hint="eastAsia"/>
          <w:b/>
          <w:color w:val="000000"/>
          <w:sz w:val="24"/>
        </w:rPr>
        <w:t xml:space="preserve"> </w:t>
      </w:r>
      <w:r>
        <w:rPr>
          <w:b/>
          <w:color w:val="000000"/>
          <w:sz w:val="24"/>
        </w:rPr>
        <w:t>环境昼夜噪声现状监测结果    单位：dB（A）</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369"/>
        <w:gridCol w:w="1369"/>
        <w:gridCol w:w="4032"/>
        <w:gridCol w:w="964"/>
        <w:gridCol w:w="964"/>
        <w:gridCol w:w="964"/>
        <w:gridCol w:w="964"/>
        <w:gridCol w:w="964"/>
        <w:gridCol w:w="1276"/>
        <w:gridCol w:w="130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40"/>
        </w:trPr>
        <w:tc>
          <w:tcPr>
            <w:tcW w:w="483" w:type="pct"/>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采样日期</w:t>
            </w:r>
          </w:p>
        </w:tc>
        <w:tc>
          <w:tcPr>
            <w:tcW w:w="483" w:type="pct"/>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监测时间</w:t>
            </w:r>
          </w:p>
        </w:tc>
        <w:tc>
          <w:tcPr>
            <w:tcW w:w="1422" w:type="pct"/>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测点名称</w:t>
            </w:r>
          </w:p>
        </w:tc>
        <w:tc>
          <w:tcPr>
            <w:tcW w:w="340" w:type="pct"/>
            <w:tcBorders>
              <w:bottom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L</w:t>
            </w:r>
            <w:r>
              <w:rPr>
                <w:rFonts w:ascii="Times New Roman" w:hAnsi="Times New Roman" w:hint="eastAsia"/>
                <w:color w:val="000000"/>
                <w:sz w:val="21"/>
                <w:szCs w:val="21"/>
                <w:vertAlign w:val="subscript"/>
              </w:rPr>
              <w:t>10</w:t>
            </w:r>
          </w:p>
        </w:tc>
        <w:tc>
          <w:tcPr>
            <w:tcW w:w="340" w:type="pct"/>
            <w:tcBorders>
              <w:bottom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L</w:t>
            </w:r>
            <w:r>
              <w:rPr>
                <w:rFonts w:ascii="Times New Roman" w:hAnsi="Times New Roman" w:hint="eastAsia"/>
                <w:color w:val="000000"/>
                <w:sz w:val="21"/>
                <w:szCs w:val="21"/>
                <w:vertAlign w:val="subscript"/>
              </w:rPr>
              <w:t>50</w:t>
            </w:r>
          </w:p>
        </w:tc>
        <w:tc>
          <w:tcPr>
            <w:tcW w:w="340" w:type="pct"/>
            <w:tcBorders>
              <w:bottom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L</w:t>
            </w:r>
            <w:r>
              <w:rPr>
                <w:rFonts w:ascii="Times New Roman" w:hAnsi="Times New Roman" w:hint="eastAsia"/>
                <w:color w:val="000000"/>
                <w:sz w:val="21"/>
                <w:szCs w:val="21"/>
                <w:vertAlign w:val="subscript"/>
              </w:rPr>
              <w:t>90</w:t>
            </w:r>
          </w:p>
        </w:tc>
        <w:tc>
          <w:tcPr>
            <w:tcW w:w="340" w:type="pct"/>
            <w:tcBorders>
              <w:bottom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L</w:t>
            </w:r>
            <w:r>
              <w:rPr>
                <w:rFonts w:ascii="Times New Roman" w:hAnsi="Times New Roman" w:hint="eastAsia"/>
                <w:color w:val="000000"/>
                <w:sz w:val="21"/>
                <w:szCs w:val="21"/>
                <w:vertAlign w:val="subscript"/>
              </w:rPr>
              <w:t>min</w:t>
            </w:r>
          </w:p>
        </w:tc>
        <w:tc>
          <w:tcPr>
            <w:tcW w:w="340" w:type="pct"/>
            <w:tcBorders>
              <w:bottom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L</w:t>
            </w:r>
            <w:r>
              <w:rPr>
                <w:rFonts w:ascii="Times New Roman" w:hAnsi="Times New Roman" w:hint="eastAsia"/>
                <w:color w:val="000000"/>
                <w:sz w:val="21"/>
                <w:szCs w:val="21"/>
                <w:vertAlign w:val="subscript"/>
              </w:rPr>
              <w:t>max</w:t>
            </w:r>
          </w:p>
        </w:tc>
        <w:tc>
          <w:tcPr>
            <w:tcW w:w="450" w:type="pct"/>
            <w:tcBorders>
              <w:bottom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检测结果（L</w:t>
            </w:r>
            <w:r>
              <w:rPr>
                <w:rFonts w:ascii="Times New Roman" w:hAnsi="Times New Roman" w:hint="eastAsia"/>
                <w:color w:val="000000"/>
                <w:sz w:val="21"/>
                <w:szCs w:val="21"/>
                <w:vertAlign w:val="subscript"/>
              </w:rPr>
              <w:t>eq</w:t>
            </w:r>
            <w:r>
              <w:rPr>
                <w:rFonts w:ascii="Times New Roman" w:hAnsi="Times New Roman" w:hint="eastAsia"/>
                <w:color w:val="000000"/>
                <w:sz w:val="21"/>
                <w:szCs w:val="21"/>
              </w:rPr>
              <w:t>）</w:t>
            </w:r>
          </w:p>
        </w:tc>
        <w:tc>
          <w:tcPr>
            <w:tcW w:w="461" w:type="pct"/>
            <w:tcBorders>
              <w:bottom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标准限值（</w:t>
            </w:r>
            <w:r>
              <w:rPr>
                <w:rFonts w:ascii="Times New Roman" w:hAnsi="Times New Roman"/>
                <w:color w:val="000000"/>
                <w:sz w:val="21"/>
                <w:szCs w:val="21"/>
              </w:rPr>
              <w:t>dB（A）</w:t>
            </w:r>
            <w:r>
              <w:rPr>
                <w:rFonts w:ascii="Times New Roman" w:hAnsi="Times New Roman" w:hint="eastAsia"/>
                <w:color w:val="000000"/>
                <w:sz w:val="21"/>
                <w:szCs w:val="21"/>
              </w:rPr>
              <w:t>）</w:t>
            </w:r>
          </w:p>
        </w:tc>
      </w:tr>
      <w:tr>
        <w:tblPrEx>
          <w:tblW w:w="5000" w:type="pct"/>
          <w:tblCellMar>
            <w:top w:w="0" w:type="dxa"/>
            <w:left w:w="108" w:type="dxa"/>
            <w:bottom w:w="0" w:type="dxa"/>
            <w:right w:w="108" w:type="dxa"/>
          </w:tblCellMar>
          <w:tblLook w:val="0000"/>
        </w:tblPrEx>
        <w:trPr>
          <w:trHeight w:val="340"/>
        </w:trPr>
        <w:tc>
          <w:tcPr>
            <w:tcW w:w="483" w:type="pct"/>
            <w:vMerge w:val="restart"/>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6月28日</w:t>
            </w:r>
          </w:p>
        </w:tc>
        <w:tc>
          <w:tcPr>
            <w:tcW w:w="483" w:type="pct"/>
            <w:vAlign w:val="center"/>
          </w:tcPr>
          <w:p>
            <w:pPr>
              <w:jc w:val="center"/>
              <w:rPr>
                <w:rFonts w:hint="eastAsia"/>
                <w:color w:val="000000"/>
                <w:szCs w:val="21"/>
              </w:rPr>
            </w:pPr>
            <w:r>
              <w:rPr>
                <w:rFonts w:hint="eastAsia"/>
                <w:color w:val="000000"/>
                <w:szCs w:val="21"/>
              </w:rPr>
              <w:t>18:59</w:t>
            </w:r>
          </w:p>
        </w:tc>
        <w:tc>
          <w:tcPr>
            <w:tcW w:w="1422" w:type="pct"/>
            <w:vMerge w:val="restart"/>
            <w:tcBorders>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bCs/>
                <w:color w:val="000000"/>
                <w:sz w:val="21"/>
                <w:szCs w:val="21"/>
              </w:rPr>
              <w:t>丹桂园住宅楼面向拟建道路首排住宅楼朝路边1m处</w:t>
            </w:r>
          </w:p>
        </w:tc>
        <w:tc>
          <w:tcPr>
            <w:tcW w:w="340" w:type="pct"/>
            <w:tcBorders>
              <w:top w:val="single" w:sz="4" w:space="0" w:color="auto"/>
              <w:left w:val="single" w:sz="4" w:space="0" w:color="auto"/>
              <w:right w:val="single" w:sz="4" w:space="0" w:color="auto"/>
            </w:tcBorders>
            <w:vAlign w:val="center"/>
          </w:tcPr>
          <w:p>
            <w:pPr>
              <w:jc w:val="center"/>
              <w:rPr>
                <w:color w:val="000000"/>
                <w:szCs w:val="21"/>
              </w:rPr>
            </w:pPr>
            <w:r>
              <w:rPr>
                <w:rFonts w:hint="eastAsia"/>
                <w:color w:val="000000"/>
                <w:szCs w:val="21"/>
              </w:rPr>
              <w:t>60.4</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58.0</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52.8</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81.7</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48.8</w:t>
            </w:r>
          </w:p>
        </w:tc>
        <w:tc>
          <w:tcPr>
            <w:tcW w:w="45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58.6</w:t>
            </w:r>
          </w:p>
        </w:tc>
        <w:tc>
          <w:tcPr>
            <w:tcW w:w="461" w:type="pct"/>
            <w:tcBorders>
              <w:top w:val="single" w:sz="4" w:space="0" w:color="auto"/>
              <w:left w:val="single" w:sz="4" w:space="0" w:color="auto"/>
              <w:bottom w:val="single" w:sz="4" w:space="0" w:color="auto"/>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60</w:t>
            </w:r>
          </w:p>
        </w:tc>
      </w:tr>
      <w:tr>
        <w:tblPrEx>
          <w:tblW w:w="5000" w:type="pct"/>
          <w:tblCellMar>
            <w:top w:w="0" w:type="dxa"/>
            <w:left w:w="108" w:type="dxa"/>
            <w:bottom w:w="0" w:type="dxa"/>
            <w:right w:w="108" w:type="dxa"/>
          </w:tblCellMar>
          <w:tblLook w:val="0000"/>
        </w:tblPrEx>
        <w:trPr>
          <w:trHeight w:val="340"/>
        </w:trPr>
        <w:tc>
          <w:tcPr>
            <w:tcW w:w="483" w:type="pct"/>
            <w:vMerge/>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p>
        </w:tc>
        <w:tc>
          <w:tcPr>
            <w:tcW w:w="483" w:type="pct"/>
            <w:vAlign w:val="center"/>
          </w:tcPr>
          <w:p>
            <w:pPr>
              <w:jc w:val="center"/>
              <w:rPr>
                <w:color w:val="000000"/>
                <w:szCs w:val="21"/>
              </w:rPr>
            </w:pPr>
            <w:r>
              <w:rPr>
                <w:rFonts w:hint="eastAsia"/>
                <w:color w:val="000000"/>
                <w:szCs w:val="21"/>
              </w:rPr>
              <w:t>22:13</w:t>
            </w:r>
          </w:p>
        </w:tc>
        <w:tc>
          <w:tcPr>
            <w:tcW w:w="1422" w:type="pct"/>
            <w:vMerge/>
            <w:tcBorders>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p>
        </w:tc>
        <w:tc>
          <w:tcPr>
            <w:tcW w:w="340" w:type="pct"/>
            <w:tcBorders>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50.2</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46.2</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41.6</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77.1</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35.7</w:t>
            </w:r>
          </w:p>
        </w:tc>
        <w:tc>
          <w:tcPr>
            <w:tcW w:w="45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highlight w:val="red"/>
              </w:rPr>
            </w:pPr>
            <w:r>
              <w:rPr>
                <w:rFonts w:hint="eastAsia"/>
                <w:color w:val="000000"/>
                <w:szCs w:val="21"/>
              </w:rPr>
              <w:t>48.7</w:t>
            </w:r>
          </w:p>
        </w:tc>
        <w:tc>
          <w:tcPr>
            <w:tcW w:w="461" w:type="pct"/>
            <w:tcBorders>
              <w:top w:val="single" w:sz="4" w:space="0" w:color="auto"/>
              <w:left w:val="single" w:sz="4" w:space="0" w:color="auto"/>
              <w:bottom w:val="single" w:sz="4" w:space="0" w:color="auto"/>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50</w:t>
            </w:r>
          </w:p>
        </w:tc>
      </w:tr>
      <w:tr>
        <w:tblPrEx>
          <w:tblW w:w="5000" w:type="pct"/>
          <w:tblCellMar>
            <w:top w:w="0" w:type="dxa"/>
            <w:left w:w="108" w:type="dxa"/>
            <w:bottom w:w="0" w:type="dxa"/>
            <w:right w:w="108" w:type="dxa"/>
          </w:tblCellMar>
          <w:tblLook w:val="0000"/>
        </w:tblPrEx>
        <w:trPr>
          <w:trHeight w:val="340"/>
        </w:trPr>
        <w:tc>
          <w:tcPr>
            <w:tcW w:w="483" w:type="pct"/>
            <w:vMerge w:val="restart"/>
            <w:vAlign w:val="center"/>
          </w:tcPr>
          <w:p>
            <w:pPr>
              <w:jc w:val="center"/>
              <w:rPr>
                <w:color w:val="000000"/>
                <w:szCs w:val="21"/>
              </w:rPr>
            </w:pPr>
            <w:r>
              <w:rPr>
                <w:rFonts w:hint="eastAsia"/>
                <w:color w:val="000000"/>
                <w:szCs w:val="21"/>
              </w:rPr>
              <w:t>6月28日</w:t>
            </w:r>
          </w:p>
        </w:tc>
        <w:tc>
          <w:tcPr>
            <w:tcW w:w="483" w:type="pct"/>
            <w:vAlign w:val="center"/>
          </w:tcPr>
          <w:p>
            <w:pPr>
              <w:jc w:val="center"/>
              <w:rPr>
                <w:color w:val="000000"/>
                <w:szCs w:val="21"/>
              </w:rPr>
            </w:pPr>
            <w:r>
              <w:rPr>
                <w:rFonts w:hint="eastAsia"/>
                <w:color w:val="000000"/>
                <w:szCs w:val="21"/>
              </w:rPr>
              <w:t>19:00</w:t>
            </w:r>
          </w:p>
        </w:tc>
        <w:tc>
          <w:tcPr>
            <w:tcW w:w="1422" w:type="pct"/>
            <w:vMerge w:val="restart"/>
            <w:tcBorders>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bCs/>
                <w:color w:val="000000"/>
                <w:sz w:val="21"/>
                <w:szCs w:val="21"/>
              </w:rPr>
              <w:t>丹桂园住宅楼面向拟建道路第二排住宅楼朝路边1m处</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58.0</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56.2</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51.8</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81.6</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48.8</w:t>
            </w:r>
          </w:p>
        </w:tc>
        <w:tc>
          <w:tcPr>
            <w:tcW w:w="45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57.1</w:t>
            </w:r>
          </w:p>
        </w:tc>
        <w:tc>
          <w:tcPr>
            <w:tcW w:w="461" w:type="pct"/>
            <w:tcBorders>
              <w:top w:val="single" w:sz="4" w:space="0" w:color="auto"/>
              <w:left w:val="single" w:sz="4" w:space="0" w:color="auto"/>
              <w:bottom w:val="single" w:sz="4" w:space="0" w:color="auto"/>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60</w:t>
            </w:r>
          </w:p>
        </w:tc>
      </w:tr>
      <w:tr>
        <w:tblPrEx>
          <w:tblW w:w="5000" w:type="pct"/>
          <w:tblCellMar>
            <w:top w:w="0" w:type="dxa"/>
            <w:left w:w="108" w:type="dxa"/>
            <w:bottom w:w="0" w:type="dxa"/>
            <w:right w:w="108" w:type="dxa"/>
          </w:tblCellMar>
          <w:tblLook w:val="0000"/>
        </w:tblPrEx>
        <w:trPr>
          <w:trHeight w:val="340"/>
        </w:trPr>
        <w:tc>
          <w:tcPr>
            <w:tcW w:w="483" w:type="pct"/>
            <w:vMerge/>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p>
        </w:tc>
        <w:tc>
          <w:tcPr>
            <w:tcW w:w="483" w:type="pct"/>
            <w:vAlign w:val="center"/>
          </w:tcPr>
          <w:p>
            <w:pPr>
              <w:jc w:val="center"/>
              <w:rPr>
                <w:color w:val="000000"/>
                <w:szCs w:val="21"/>
              </w:rPr>
            </w:pPr>
            <w:r>
              <w:rPr>
                <w:rFonts w:hint="eastAsia"/>
                <w:color w:val="000000"/>
                <w:szCs w:val="21"/>
              </w:rPr>
              <w:t>22:13</w:t>
            </w:r>
          </w:p>
        </w:tc>
        <w:tc>
          <w:tcPr>
            <w:tcW w:w="1422" w:type="pct"/>
            <w:vMerge/>
            <w:tcBorders>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49.2</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44.0</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42.4</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69.6</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39.8</w:t>
            </w:r>
          </w:p>
        </w:tc>
        <w:tc>
          <w:tcPr>
            <w:tcW w:w="45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highlight w:val="red"/>
              </w:rPr>
            </w:pPr>
            <w:r>
              <w:rPr>
                <w:rFonts w:hint="eastAsia"/>
                <w:color w:val="000000"/>
                <w:szCs w:val="21"/>
              </w:rPr>
              <w:t>47.3</w:t>
            </w:r>
          </w:p>
        </w:tc>
        <w:tc>
          <w:tcPr>
            <w:tcW w:w="461" w:type="pct"/>
            <w:tcBorders>
              <w:top w:val="single" w:sz="4" w:space="0" w:color="auto"/>
              <w:left w:val="single" w:sz="4" w:space="0" w:color="auto"/>
              <w:bottom w:val="single" w:sz="4" w:space="0" w:color="auto"/>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50</w:t>
            </w:r>
          </w:p>
        </w:tc>
      </w:tr>
      <w:tr>
        <w:tblPrEx>
          <w:tblW w:w="5000" w:type="pct"/>
          <w:tblCellMar>
            <w:top w:w="0" w:type="dxa"/>
            <w:left w:w="108" w:type="dxa"/>
            <w:bottom w:w="0" w:type="dxa"/>
            <w:right w:w="108" w:type="dxa"/>
          </w:tblCellMar>
          <w:tblLook w:val="0000"/>
        </w:tblPrEx>
        <w:trPr>
          <w:trHeight w:val="340"/>
        </w:trPr>
        <w:tc>
          <w:tcPr>
            <w:tcW w:w="483" w:type="pct"/>
            <w:vMerge w:val="restart"/>
            <w:vAlign w:val="center"/>
          </w:tcPr>
          <w:p>
            <w:pPr>
              <w:jc w:val="center"/>
              <w:rPr>
                <w:color w:val="000000"/>
                <w:szCs w:val="21"/>
              </w:rPr>
            </w:pPr>
            <w:r>
              <w:rPr>
                <w:rFonts w:hint="eastAsia"/>
                <w:color w:val="000000"/>
                <w:szCs w:val="21"/>
              </w:rPr>
              <w:t>6月28日</w:t>
            </w:r>
          </w:p>
        </w:tc>
        <w:tc>
          <w:tcPr>
            <w:tcW w:w="483" w:type="pct"/>
            <w:vAlign w:val="center"/>
          </w:tcPr>
          <w:p>
            <w:pPr>
              <w:jc w:val="center"/>
              <w:rPr>
                <w:color w:val="000000"/>
                <w:szCs w:val="21"/>
              </w:rPr>
            </w:pPr>
            <w:r>
              <w:rPr>
                <w:rFonts w:hint="eastAsia"/>
                <w:color w:val="000000"/>
                <w:szCs w:val="21"/>
              </w:rPr>
              <w:t>19:32</w:t>
            </w:r>
          </w:p>
        </w:tc>
        <w:tc>
          <w:tcPr>
            <w:tcW w:w="1422" w:type="pct"/>
            <w:vMerge w:val="restart"/>
            <w:tcBorders>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bCs/>
                <w:color w:val="000000"/>
                <w:sz w:val="21"/>
                <w:szCs w:val="21"/>
              </w:rPr>
              <w:t>张庄村村庄临近本项目首排民房前1m处</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56.8</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54.4</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48.6</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76.9</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46.9</w:t>
            </w:r>
          </w:p>
        </w:tc>
        <w:tc>
          <w:tcPr>
            <w:tcW w:w="45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highlight w:val="red"/>
              </w:rPr>
            </w:pPr>
            <w:r>
              <w:rPr>
                <w:rFonts w:hint="eastAsia"/>
                <w:color w:val="000000"/>
                <w:szCs w:val="21"/>
              </w:rPr>
              <w:t>55.9</w:t>
            </w:r>
          </w:p>
        </w:tc>
        <w:tc>
          <w:tcPr>
            <w:tcW w:w="461" w:type="pct"/>
            <w:tcBorders>
              <w:top w:val="single" w:sz="4" w:space="0" w:color="auto"/>
              <w:left w:val="single" w:sz="4" w:space="0" w:color="auto"/>
              <w:bottom w:val="single" w:sz="4" w:space="0" w:color="auto"/>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60</w:t>
            </w:r>
          </w:p>
        </w:tc>
      </w:tr>
      <w:tr>
        <w:tblPrEx>
          <w:tblW w:w="5000" w:type="pct"/>
          <w:tblCellMar>
            <w:top w:w="0" w:type="dxa"/>
            <w:left w:w="108" w:type="dxa"/>
            <w:bottom w:w="0" w:type="dxa"/>
            <w:right w:w="108" w:type="dxa"/>
          </w:tblCellMar>
          <w:tblLook w:val="0000"/>
        </w:tblPrEx>
        <w:trPr>
          <w:trHeight w:val="340"/>
        </w:trPr>
        <w:tc>
          <w:tcPr>
            <w:tcW w:w="483" w:type="pct"/>
            <w:vMerge/>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p>
        </w:tc>
        <w:tc>
          <w:tcPr>
            <w:tcW w:w="483" w:type="pct"/>
            <w:vAlign w:val="center"/>
          </w:tcPr>
          <w:p>
            <w:pPr>
              <w:jc w:val="center"/>
              <w:rPr>
                <w:color w:val="000000"/>
                <w:szCs w:val="21"/>
              </w:rPr>
            </w:pPr>
            <w:r>
              <w:rPr>
                <w:rFonts w:hint="eastAsia"/>
                <w:color w:val="000000"/>
                <w:szCs w:val="21"/>
              </w:rPr>
              <w:t>22:44</w:t>
            </w:r>
          </w:p>
        </w:tc>
        <w:tc>
          <w:tcPr>
            <w:tcW w:w="1422" w:type="pct"/>
            <w:vMerge/>
            <w:tcBorders>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46.2</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43.0</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35.2</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73.5</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32.3</w:t>
            </w:r>
          </w:p>
        </w:tc>
        <w:tc>
          <w:tcPr>
            <w:tcW w:w="45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45.5</w:t>
            </w:r>
          </w:p>
        </w:tc>
        <w:tc>
          <w:tcPr>
            <w:tcW w:w="461" w:type="pct"/>
            <w:tcBorders>
              <w:top w:val="single" w:sz="4" w:space="0" w:color="auto"/>
              <w:left w:val="single" w:sz="4" w:space="0" w:color="auto"/>
              <w:bottom w:val="single" w:sz="4" w:space="0" w:color="auto"/>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50</w:t>
            </w:r>
          </w:p>
        </w:tc>
      </w:tr>
      <w:tr>
        <w:tblPrEx>
          <w:tblW w:w="5000" w:type="pct"/>
          <w:tblCellMar>
            <w:top w:w="0" w:type="dxa"/>
            <w:left w:w="108" w:type="dxa"/>
            <w:bottom w:w="0" w:type="dxa"/>
            <w:right w:w="108" w:type="dxa"/>
          </w:tblCellMar>
          <w:tblLook w:val="0000"/>
        </w:tblPrEx>
        <w:trPr>
          <w:trHeight w:val="340"/>
        </w:trPr>
        <w:tc>
          <w:tcPr>
            <w:tcW w:w="483" w:type="pct"/>
            <w:vMerge w:val="restart"/>
            <w:vAlign w:val="center"/>
          </w:tcPr>
          <w:p>
            <w:pPr>
              <w:jc w:val="center"/>
              <w:rPr>
                <w:color w:val="000000"/>
                <w:szCs w:val="21"/>
              </w:rPr>
            </w:pPr>
            <w:r>
              <w:rPr>
                <w:rFonts w:hint="eastAsia"/>
                <w:color w:val="000000"/>
                <w:szCs w:val="21"/>
              </w:rPr>
              <w:t>6月28日</w:t>
            </w:r>
          </w:p>
        </w:tc>
        <w:tc>
          <w:tcPr>
            <w:tcW w:w="483" w:type="pct"/>
            <w:vAlign w:val="center"/>
          </w:tcPr>
          <w:p>
            <w:pPr>
              <w:jc w:val="center"/>
              <w:rPr>
                <w:color w:val="000000"/>
                <w:szCs w:val="21"/>
              </w:rPr>
            </w:pPr>
            <w:r>
              <w:rPr>
                <w:rFonts w:hint="eastAsia"/>
                <w:color w:val="000000"/>
                <w:szCs w:val="21"/>
              </w:rPr>
              <w:t>19:30</w:t>
            </w:r>
          </w:p>
        </w:tc>
        <w:tc>
          <w:tcPr>
            <w:tcW w:w="1422" w:type="pct"/>
            <w:vMerge w:val="restart"/>
            <w:tcBorders>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bCs/>
                <w:color w:val="000000"/>
                <w:sz w:val="21"/>
                <w:szCs w:val="21"/>
              </w:rPr>
              <w:t>李镇社区住宅楼面向拟建道路首排住宅楼朝路边1m处</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59.0</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57.4</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50.6</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82.5</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49.3</w:t>
            </w:r>
          </w:p>
        </w:tc>
        <w:tc>
          <w:tcPr>
            <w:tcW w:w="45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58.2</w:t>
            </w:r>
          </w:p>
        </w:tc>
        <w:tc>
          <w:tcPr>
            <w:tcW w:w="461" w:type="pct"/>
            <w:tcBorders>
              <w:top w:val="single" w:sz="4" w:space="0" w:color="auto"/>
              <w:left w:val="single" w:sz="4" w:space="0" w:color="auto"/>
              <w:bottom w:val="single" w:sz="4" w:space="0" w:color="auto"/>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60</w:t>
            </w:r>
          </w:p>
        </w:tc>
      </w:tr>
      <w:tr>
        <w:tblPrEx>
          <w:tblW w:w="5000" w:type="pct"/>
          <w:tblCellMar>
            <w:top w:w="0" w:type="dxa"/>
            <w:left w:w="108" w:type="dxa"/>
            <w:bottom w:w="0" w:type="dxa"/>
            <w:right w:w="108" w:type="dxa"/>
          </w:tblCellMar>
          <w:tblLook w:val="0000"/>
        </w:tblPrEx>
        <w:trPr>
          <w:trHeight w:val="340"/>
        </w:trPr>
        <w:tc>
          <w:tcPr>
            <w:tcW w:w="483" w:type="pct"/>
            <w:vMerge/>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p>
        </w:tc>
        <w:tc>
          <w:tcPr>
            <w:tcW w:w="483" w:type="pct"/>
            <w:vAlign w:val="center"/>
          </w:tcPr>
          <w:p>
            <w:pPr>
              <w:jc w:val="center"/>
              <w:rPr>
                <w:color w:val="000000"/>
                <w:szCs w:val="21"/>
              </w:rPr>
            </w:pPr>
            <w:r>
              <w:rPr>
                <w:rFonts w:hint="eastAsia"/>
                <w:color w:val="000000"/>
                <w:szCs w:val="21"/>
              </w:rPr>
              <w:t>22:45</w:t>
            </w:r>
          </w:p>
        </w:tc>
        <w:tc>
          <w:tcPr>
            <w:tcW w:w="1422" w:type="pct"/>
            <w:vMerge/>
            <w:tcBorders>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49.6</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47.6</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46.2</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71.6</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35.9</w:t>
            </w:r>
          </w:p>
        </w:tc>
        <w:tc>
          <w:tcPr>
            <w:tcW w:w="45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highlight w:val="red"/>
              </w:rPr>
            </w:pPr>
            <w:r>
              <w:rPr>
                <w:rFonts w:hint="eastAsia"/>
                <w:color w:val="000000"/>
                <w:szCs w:val="21"/>
              </w:rPr>
              <w:t>48.5</w:t>
            </w:r>
          </w:p>
        </w:tc>
        <w:tc>
          <w:tcPr>
            <w:tcW w:w="461" w:type="pct"/>
            <w:tcBorders>
              <w:top w:val="single" w:sz="4" w:space="0" w:color="auto"/>
              <w:left w:val="single" w:sz="4" w:space="0" w:color="auto"/>
              <w:bottom w:val="single" w:sz="4" w:space="0" w:color="auto"/>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50</w:t>
            </w:r>
          </w:p>
        </w:tc>
      </w:tr>
      <w:tr>
        <w:tblPrEx>
          <w:tblW w:w="5000" w:type="pct"/>
          <w:tblCellMar>
            <w:top w:w="0" w:type="dxa"/>
            <w:left w:w="108" w:type="dxa"/>
            <w:bottom w:w="0" w:type="dxa"/>
            <w:right w:w="108" w:type="dxa"/>
          </w:tblCellMar>
          <w:tblLook w:val="0000"/>
        </w:tblPrEx>
        <w:trPr>
          <w:trHeight w:val="340"/>
        </w:trPr>
        <w:tc>
          <w:tcPr>
            <w:tcW w:w="483" w:type="pct"/>
            <w:vMerge w:val="restart"/>
            <w:vAlign w:val="center"/>
          </w:tcPr>
          <w:p>
            <w:pPr>
              <w:jc w:val="center"/>
              <w:rPr>
                <w:color w:val="000000"/>
                <w:szCs w:val="21"/>
              </w:rPr>
            </w:pPr>
            <w:r>
              <w:rPr>
                <w:rFonts w:hint="eastAsia"/>
                <w:color w:val="000000"/>
                <w:szCs w:val="21"/>
              </w:rPr>
              <w:t>6月28日</w:t>
            </w:r>
          </w:p>
        </w:tc>
        <w:tc>
          <w:tcPr>
            <w:tcW w:w="483" w:type="pct"/>
            <w:vAlign w:val="center"/>
          </w:tcPr>
          <w:p>
            <w:pPr>
              <w:jc w:val="center"/>
              <w:rPr>
                <w:color w:val="000000"/>
                <w:szCs w:val="21"/>
              </w:rPr>
            </w:pPr>
            <w:r>
              <w:rPr>
                <w:rFonts w:hint="eastAsia"/>
                <w:color w:val="000000"/>
                <w:szCs w:val="21"/>
              </w:rPr>
              <w:t>20:00</w:t>
            </w:r>
          </w:p>
        </w:tc>
        <w:tc>
          <w:tcPr>
            <w:tcW w:w="1422" w:type="pct"/>
            <w:vMerge w:val="restart"/>
            <w:tcBorders>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bCs/>
                <w:color w:val="000000"/>
                <w:sz w:val="21"/>
                <w:szCs w:val="21"/>
              </w:rPr>
              <w:t>李镇社区住宅楼面向拟建道路第二排住宅楼朝路边1m处</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57.8</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55.6</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49.2</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80.3</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47.2</w:t>
            </w:r>
          </w:p>
        </w:tc>
        <w:tc>
          <w:tcPr>
            <w:tcW w:w="45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56.4</w:t>
            </w:r>
          </w:p>
        </w:tc>
        <w:tc>
          <w:tcPr>
            <w:tcW w:w="461" w:type="pct"/>
            <w:tcBorders>
              <w:top w:val="single" w:sz="4" w:space="0" w:color="auto"/>
              <w:left w:val="single" w:sz="4" w:space="0" w:color="auto"/>
              <w:bottom w:val="single" w:sz="4" w:space="0" w:color="auto"/>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60</w:t>
            </w:r>
          </w:p>
        </w:tc>
      </w:tr>
      <w:tr>
        <w:tblPrEx>
          <w:tblW w:w="5000" w:type="pct"/>
          <w:tblCellMar>
            <w:top w:w="0" w:type="dxa"/>
            <w:left w:w="108" w:type="dxa"/>
            <w:bottom w:w="0" w:type="dxa"/>
            <w:right w:w="108" w:type="dxa"/>
          </w:tblCellMar>
          <w:tblLook w:val="0000"/>
        </w:tblPrEx>
        <w:trPr>
          <w:trHeight w:val="340"/>
        </w:trPr>
        <w:tc>
          <w:tcPr>
            <w:tcW w:w="483" w:type="pct"/>
            <w:vMerge/>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p>
        </w:tc>
        <w:tc>
          <w:tcPr>
            <w:tcW w:w="483" w:type="pct"/>
            <w:vAlign w:val="center"/>
          </w:tcPr>
          <w:p>
            <w:pPr>
              <w:jc w:val="center"/>
              <w:rPr>
                <w:color w:val="000000"/>
                <w:szCs w:val="21"/>
              </w:rPr>
            </w:pPr>
            <w:r>
              <w:rPr>
                <w:rFonts w:hint="eastAsia"/>
                <w:color w:val="000000"/>
                <w:szCs w:val="21"/>
              </w:rPr>
              <w:t>23:09</w:t>
            </w:r>
          </w:p>
        </w:tc>
        <w:tc>
          <w:tcPr>
            <w:tcW w:w="1422" w:type="pct"/>
            <w:vMerge/>
            <w:tcBorders>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45.2</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43.0</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41.8</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71.7</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39.4</w:t>
            </w:r>
          </w:p>
        </w:tc>
        <w:tc>
          <w:tcPr>
            <w:tcW w:w="45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highlight w:val="red"/>
              </w:rPr>
            </w:pPr>
            <w:r>
              <w:rPr>
                <w:rFonts w:hint="eastAsia"/>
                <w:color w:val="000000"/>
                <w:szCs w:val="21"/>
              </w:rPr>
              <w:t>46.1</w:t>
            </w:r>
          </w:p>
        </w:tc>
        <w:tc>
          <w:tcPr>
            <w:tcW w:w="461" w:type="pct"/>
            <w:tcBorders>
              <w:top w:val="single" w:sz="4" w:space="0" w:color="auto"/>
              <w:left w:val="single" w:sz="4" w:space="0" w:color="auto"/>
              <w:bottom w:val="single" w:sz="4" w:space="0" w:color="auto"/>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50</w:t>
            </w:r>
          </w:p>
        </w:tc>
      </w:tr>
      <w:tr>
        <w:tblPrEx>
          <w:tblW w:w="5000" w:type="pct"/>
          <w:tblCellMar>
            <w:top w:w="0" w:type="dxa"/>
            <w:left w:w="108" w:type="dxa"/>
            <w:bottom w:w="0" w:type="dxa"/>
            <w:right w:w="108" w:type="dxa"/>
          </w:tblCellMar>
          <w:tblLook w:val="0000"/>
        </w:tblPrEx>
        <w:trPr>
          <w:trHeight w:val="340"/>
        </w:trPr>
        <w:tc>
          <w:tcPr>
            <w:tcW w:w="483" w:type="pct"/>
            <w:vMerge w:val="restart"/>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6月28日</w:t>
            </w:r>
          </w:p>
        </w:tc>
        <w:tc>
          <w:tcPr>
            <w:tcW w:w="483" w:type="pct"/>
            <w:vAlign w:val="center"/>
          </w:tcPr>
          <w:p>
            <w:pPr>
              <w:jc w:val="center"/>
              <w:rPr>
                <w:color w:val="000000"/>
                <w:szCs w:val="21"/>
              </w:rPr>
            </w:pPr>
            <w:r>
              <w:rPr>
                <w:rFonts w:hint="eastAsia"/>
                <w:color w:val="000000"/>
                <w:szCs w:val="21"/>
              </w:rPr>
              <w:t>20:02</w:t>
            </w:r>
          </w:p>
        </w:tc>
        <w:tc>
          <w:tcPr>
            <w:tcW w:w="1422" w:type="pct"/>
            <w:vMerge w:val="restart"/>
            <w:tcBorders>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bCs/>
                <w:color w:val="000000"/>
                <w:sz w:val="21"/>
                <w:szCs w:val="21"/>
              </w:rPr>
              <w:t>南北庄村村庄临近本项目首排民房前1m处</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61.4</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58.8</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53.4</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76.3</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47.9</w:t>
            </w:r>
          </w:p>
        </w:tc>
        <w:tc>
          <w:tcPr>
            <w:tcW w:w="45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59.8</w:t>
            </w:r>
          </w:p>
        </w:tc>
        <w:tc>
          <w:tcPr>
            <w:tcW w:w="461" w:type="pct"/>
            <w:tcBorders>
              <w:top w:val="single" w:sz="4" w:space="0" w:color="auto"/>
              <w:left w:val="single" w:sz="4" w:space="0" w:color="auto"/>
              <w:bottom w:val="single" w:sz="4" w:space="0" w:color="auto"/>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60</w:t>
            </w:r>
          </w:p>
        </w:tc>
      </w:tr>
      <w:tr>
        <w:tblPrEx>
          <w:tblW w:w="5000" w:type="pct"/>
          <w:tblCellMar>
            <w:top w:w="0" w:type="dxa"/>
            <w:left w:w="108" w:type="dxa"/>
            <w:bottom w:w="0" w:type="dxa"/>
            <w:right w:w="108" w:type="dxa"/>
          </w:tblCellMar>
          <w:tblLook w:val="0000"/>
        </w:tblPrEx>
        <w:trPr>
          <w:trHeight w:val="340"/>
        </w:trPr>
        <w:tc>
          <w:tcPr>
            <w:tcW w:w="483" w:type="pct"/>
            <w:vMerge/>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p>
        </w:tc>
        <w:tc>
          <w:tcPr>
            <w:tcW w:w="483" w:type="pct"/>
            <w:vAlign w:val="center"/>
          </w:tcPr>
          <w:p>
            <w:pPr>
              <w:jc w:val="center"/>
              <w:rPr>
                <w:color w:val="000000"/>
                <w:szCs w:val="21"/>
              </w:rPr>
            </w:pPr>
            <w:r>
              <w:rPr>
                <w:rFonts w:hint="eastAsia"/>
                <w:color w:val="000000"/>
                <w:szCs w:val="21"/>
              </w:rPr>
              <w:t>23:10</w:t>
            </w:r>
          </w:p>
        </w:tc>
        <w:tc>
          <w:tcPr>
            <w:tcW w:w="1422" w:type="pct"/>
            <w:vMerge/>
            <w:tcBorders>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52.2</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48.2</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44.8</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72.1</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42.5</w:t>
            </w:r>
          </w:p>
        </w:tc>
        <w:tc>
          <w:tcPr>
            <w:tcW w:w="45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49.5</w:t>
            </w:r>
          </w:p>
        </w:tc>
        <w:tc>
          <w:tcPr>
            <w:tcW w:w="461" w:type="pct"/>
            <w:tcBorders>
              <w:top w:val="single" w:sz="4" w:space="0" w:color="auto"/>
              <w:left w:val="single" w:sz="4" w:space="0" w:color="auto"/>
              <w:bottom w:val="single" w:sz="4" w:space="0" w:color="auto"/>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50</w:t>
            </w:r>
          </w:p>
        </w:tc>
      </w:tr>
      <w:tr>
        <w:tblPrEx>
          <w:tblW w:w="5000" w:type="pct"/>
          <w:tblCellMar>
            <w:top w:w="0" w:type="dxa"/>
            <w:left w:w="108" w:type="dxa"/>
            <w:bottom w:w="0" w:type="dxa"/>
            <w:right w:w="108" w:type="dxa"/>
          </w:tblCellMar>
          <w:tblLook w:val="0000"/>
        </w:tblPrEx>
        <w:trPr>
          <w:trHeight w:val="340"/>
        </w:trPr>
        <w:tc>
          <w:tcPr>
            <w:tcW w:w="483" w:type="pct"/>
            <w:vMerge w:val="restart"/>
            <w:vAlign w:val="center"/>
          </w:tcPr>
          <w:p>
            <w:pPr>
              <w:pStyle w:val="NormalWeb"/>
              <w:adjustRightInd w:val="0"/>
              <w:snapToGrid w:val="0"/>
              <w:spacing w:before="0" w:after="0"/>
              <w:jc w:val="center"/>
              <w:rPr>
                <w:rFonts w:ascii="Times New Roman" w:hAnsi="Times New Roman"/>
                <w:color w:val="000000"/>
                <w:sz w:val="21"/>
                <w:szCs w:val="21"/>
              </w:rPr>
            </w:pPr>
            <w:r>
              <w:rPr>
                <w:rFonts w:ascii="Times New Roman" w:hAnsi="Times New Roman" w:hint="eastAsia"/>
                <w:color w:val="000000"/>
                <w:sz w:val="21"/>
                <w:szCs w:val="21"/>
              </w:rPr>
              <w:t>6月28日</w:t>
            </w:r>
          </w:p>
        </w:tc>
        <w:tc>
          <w:tcPr>
            <w:tcW w:w="483" w:type="pct"/>
            <w:vAlign w:val="center"/>
          </w:tcPr>
          <w:p>
            <w:pPr>
              <w:jc w:val="center"/>
              <w:rPr>
                <w:color w:val="000000"/>
                <w:szCs w:val="21"/>
              </w:rPr>
            </w:pPr>
            <w:r>
              <w:rPr>
                <w:rFonts w:hint="eastAsia"/>
                <w:color w:val="000000"/>
                <w:szCs w:val="21"/>
              </w:rPr>
              <w:t>20:27</w:t>
            </w:r>
          </w:p>
        </w:tc>
        <w:tc>
          <w:tcPr>
            <w:tcW w:w="1422" w:type="pct"/>
            <w:vMerge w:val="restart"/>
            <w:tcBorders>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bCs/>
                <w:color w:val="000000"/>
                <w:sz w:val="21"/>
                <w:szCs w:val="21"/>
              </w:rPr>
              <w:t>小店村村庄临近本项目首排民房前1m处</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57.6</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56.0</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51.6</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81.0</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49.1</w:t>
            </w:r>
          </w:p>
        </w:tc>
        <w:tc>
          <w:tcPr>
            <w:tcW w:w="45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highlight w:val="red"/>
              </w:rPr>
            </w:pPr>
            <w:r>
              <w:rPr>
                <w:rFonts w:hint="eastAsia"/>
                <w:color w:val="000000"/>
                <w:szCs w:val="21"/>
              </w:rPr>
              <w:t>56.8</w:t>
            </w:r>
          </w:p>
        </w:tc>
        <w:tc>
          <w:tcPr>
            <w:tcW w:w="461" w:type="pct"/>
            <w:tcBorders>
              <w:top w:val="single" w:sz="4" w:space="0" w:color="auto"/>
              <w:left w:val="single" w:sz="4" w:space="0" w:color="auto"/>
              <w:bottom w:val="single" w:sz="4" w:space="0" w:color="auto"/>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60</w:t>
            </w:r>
          </w:p>
        </w:tc>
      </w:tr>
      <w:tr>
        <w:tblPrEx>
          <w:tblW w:w="5000" w:type="pct"/>
          <w:tblCellMar>
            <w:top w:w="0" w:type="dxa"/>
            <w:left w:w="108" w:type="dxa"/>
            <w:bottom w:w="0" w:type="dxa"/>
            <w:right w:w="108" w:type="dxa"/>
          </w:tblCellMar>
          <w:tblLook w:val="0000"/>
        </w:tblPrEx>
        <w:trPr>
          <w:trHeight w:val="340"/>
        </w:trPr>
        <w:tc>
          <w:tcPr>
            <w:tcW w:w="483" w:type="pct"/>
            <w:vMerge/>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p>
        </w:tc>
        <w:tc>
          <w:tcPr>
            <w:tcW w:w="483" w:type="pct"/>
            <w:vAlign w:val="center"/>
          </w:tcPr>
          <w:p>
            <w:pPr>
              <w:jc w:val="center"/>
              <w:rPr>
                <w:color w:val="000000"/>
                <w:szCs w:val="21"/>
              </w:rPr>
            </w:pPr>
            <w:r>
              <w:rPr>
                <w:rFonts w:hint="eastAsia"/>
                <w:color w:val="000000"/>
                <w:szCs w:val="21"/>
              </w:rPr>
              <w:t>23:35</w:t>
            </w:r>
          </w:p>
        </w:tc>
        <w:tc>
          <w:tcPr>
            <w:tcW w:w="1422" w:type="pct"/>
            <w:vMerge/>
            <w:tcBorders>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48.8</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45.2</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42.6</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70.0</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41.3</w:t>
            </w:r>
          </w:p>
        </w:tc>
        <w:tc>
          <w:tcPr>
            <w:tcW w:w="45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46.4</w:t>
            </w:r>
          </w:p>
        </w:tc>
        <w:tc>
          <w:tcPr>
            <w:tcW w:w="461" w:type="pct"/>
            <w:tcBorders>
              <w:top w:val="single" w:sz="4" w:space="0" w:color="auto"/>
              <w:left w:val="single" w:sz="4" w:space="0" w:color="auto"/>
              <w:bottom w:val="single" w:sz="4" w:space="0" w:color="auto"/>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50</w:t>
            </w:r>
          </w:p>
        </w:tc>
      </w:tr>
      <w:tr>
        <w:tblPrEx>
          <w:tblW w:w="5000" w:type="pct"/>
          <w:tblCellMar>
            <w:top w:w="0" w:type="dxa"/>
            <w:left w:w="108" w:type="dxa"/>
            <w:bottom w:w="0" w:type="dxa"/>
            <w:right w:w="108" w:type="dxa"/>
          </w:tblCellMar>
          <w:tblLook w:val="0000"/>
        </w:tblPrEx>
        <w:trPr>
          <w:trHeight w:val="340"/>
        </w:trPr>
        <w:tc>
          <w:tcPr>
            <w:tcW w:w="483" w:type="pct"/>
            <w:vMerge w:val="restart"/>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6月28日</w:t>
            </w:r>
          </w:p>
        </w:tc>
        <w:tc>
          <w:tcPr>
            <w:tcW w:w="483" w:type="pct"/>
            <w:vAlign w:val="center"/>
          </w:tcPr>
          <w:p>
            <w:pPr>
              <w:jc w:val="center"/>
              <w:rPr>
                <w:color w:val="000000"/>
                <w:szCs w:val="21"/>
              </w:rPr>
            </w:pPr>
            <w:r>
              <w:rPr>
                <w:rFonts w:hint="eastAsia"/>
                <w:color w:val="000000"/>
                <w:szCs w:val="21"/>
              </w:rPr>
              <w:t>20:38</w:t>
            </w:r>
          </w:p>
        </w:tc>
        <w:tc>
          <w:tcPr>
            <w:tcW w:w="1422" w:type="pct"/>
            <w:vMerge w:val="restart"/>
            <w:tcBorders>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bCs/>
                <w:color w:val="000000"/>
                <w:sz w:val="21"/>
                <w:szCs w:val="21"/>
              </w:rPr>
              <w:t>宁津县第一中学</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60.6</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55.4</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47.4</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80.5</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45.4</w:t>
            </w:r>
          </w:p>
        </w:tc>
        <w:tc>
          <w:tcPr>
            <w:tcW w:w="45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highlight w:val="red"/>
              </w:rPr>
            </w:pPr>
            <w:r>
              <w:rPr>
                <w:rFonts w:hint="eastAsia"/>
                <w:color w:val="000000"/>
                <w:szCs w:val="21"/>
              </w:rPr>
              <w:t>57.8</w:t>
            </w:r>
          </w:p>
        </w:tc>
        <w:tc>
          <w:tcPr>
            <w:tcW w:w="461" w:type="pct"/>
            <w:tcBorders>
              <w:top w:val="single" w:sz="4" w:space="0" w:color="auto"/>
              <w:left w:val="single" w:sz="4" w:space="0" w:color="auto"/>
              <w:bottom w:val="single" w:sz="4" w:space="0" w:color="auto"/>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60</w:t>
            </w:r>
          </w:p>
        </w:tc>
      </w:tr>
      <w:tr>
        <w:tblPrEx>
          <w:tblW w:w="5000" w:type="pct"/>
          <w:tblCellMar>
            <w:top w:w="0" w:type="dxa"/>
            <w:left w:w="108" w:type="dxa"/>
            <w:bottom w:w="0" w:type="dxa"/>
            <w:right w:w="108" w:type="dxa"/>
          </w:tblCellMar>
          <w:tblLook w:val="0000"/>
        </w:tblPrEx>
        <w:trPr>
          <w:trHeight w:val="340"/>
        </w:trPr>
        <w:tc>
          <w:tcPr>
            <w:tcW w:w="483" w:type="pct"/>
            <w:vMerge/>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p>
        </w:tc>
        <w:tc>
          <w:tcPr>
            <w:tcW w:w="483" w:type="pct"/>
            <w:vAlign w:val="center"/>
          </w:tcPr>
          <w:p>
            <w:pPr>
              <w:jc w:val="center"/>
              <w:rPr>
                <w:color w:val="000000"/>
                <w:szCs w:val="21"/>
              </w:rPr>
            </w:pPr>
            <w:r>
              <w:rPr>
                <w:rFonts w:hint="eastAsia"/>
                <w:color w:val="000000"/>
                <w:szCs w:val="21"/>
              </w:rPr>
              <w:t>23:39</w:t>
            </w:r>
          </w:p>
        </w:tc>
        <w:tc>
          <w:tcPr>
            <w:tcW w:w="1422" w:type="pct"/>
            <w:vMerge/>
            <w:tcBorders>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47.6</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44.2</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42.2</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73.2</w:t>
            </w:r>
          </w:p>
        </w:tc>
        <w:tc>
          <w:tcPr>
            <w:tcW w:w="34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33.3</w:t>
            </w:r>
          </w:p>
        </w:tc>
        <w:tc>
          <w:tcPr>
            <w:tcW w:w="450" w:type="pct"/>
            <w:tcBorders>
              <w:top w:val="single" w:sz="4" w:space="0" w:color="auto"/>
              <w:left w:val="single" w:sz="4" w:space="0" w:color="auto"/>
              <w:bottom w:val="single" w:sz="4" w:space="0" w:color="auto"/>
              <w:right w:val="single" w:sz="4" w:space="0" w:color="auto"/>
            </w:tcBorders>
            <w:vAlign w:val="center"/>
          </w:tcPr>
          <w:p>
            <w:pPr>
              <w:jc w:val="center"/>
              <w:rPr>
                <w:color w:val="000000"/>
                <w:szCs w:val="21"/>
              </w:rPr>
            </w:pPr>
            <w:r>
              <w:rPr>
                <w:rFonts w:hint="eastAsia"/>
                <w:color w:val="000000"/>
                <w:szCs w:val="21"/>
              </w:rPr>
              <w:t>48.3</w:t>
            </w:r>
          </w:p>
        </w:tc>
        <w:tc>
          <w:tcPr>
            <w:tcW w:w="461" w:type="pct"/>
            <w:tcBorders>
              <w:top w:val="single" w:sz="4" w:space="0" w:color="auto"/>
              <w:left w:val="single" w:sz="4" w:space="0" w:color="auto"/>
              <w:bottom w:val="single" w:sz="4" w:space="0" w:color="auto"/>
              <w:right w:val="single" w:sz="4" w:space="0" w:color="auto"/>
            </w:tcBorders>
            <w:vAlign w:val="center"/>
          </w:tcPr>
          <w:p>
            <w:pPr>
              <w:pStyle w:val="NormalWeb"/>
              <w:adjustRightInd w:val="0"/>
              <w:snapToGrid w:val="0"/>
              <w:spacing w:before="0" w:beforeAutospacing="0" w:after="0" w:afterAutospacing="0"/>
              <w:jc w:val="center"/>
              <w:rPr>
                <w:rFonts w:ascii="Times New Roman" w:hAnsi="Times New Roman"/>
                <w:color w:val="000000"/>
                <w:sz w:val="21"/>
                <w:szCs w:val="21"/>
              </w:rPr>
            </w:pPr>
            <w:r>
              <w:rPr>
                <w:rFonts w:ascii="Times New Roman" w:hAnsi="Times New Roman" w:hint="eastAsia"/>
                <w:color w:val="000000"/>
                <w:sz w:val="21"/>
                <w:szCs w:val="21"/>
              </w:rPr>
              <w:t>50</w:t>
            </w:r>
          </w:p>
        </w:tc>
      </w:tr>
    </w:tbl>
    <w:p>
      <w:pPr>
        <w:rPr>
          <w:rFonts w:hint="eastAsia"/>
          <w:color w:val="000000"/>
        </w:rPr>
      </w:pPr>
    </w:p>
    <w:p>
      <w:pPr>
        <w:rPr>
          <w:rFonts w:hint="eastAsia"/>
          <w:color w:val="000000"/>
        </w:rPr>
      </w:pPr>
    </w:p>
    <w:p>
      <w:pPr>
        <w:rPr>
          <w:rFonts w:hint="eastAsia"/>
          <w:color w:val="000000"/>
        </w:rPr>
      </w:pPr>
    </w:p>
    <w:p>
      <w:pPr>
        <w:rPr>
          <w:rFonts w:hint="eastAsia"/>
          <w:color w:val="000000"/>
        </w:rPr>
      </w:pPr>
    </w:p>
    <w:p>
      <w:pPr>
        <w:rPr>
          <w:rFonts w:hint="eastAsia"/>
          <w:color w:val="000000"/>
        </w:rPr>
      </w:pPr>
    </w:p>
    <w:p>
      <w:pPr>
        <w:rPr>
          <w:color w:val="000000"/>
        </w:rPr>
      </w:pPr>
      <w:r>
        <w:rPr>
          <w:color w:val="000000"/>
        </w:rPr>
        <w:br/>
      </w:r>
      <w:r>
        <w:rPr>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https://d.book118.com/936232021041010054</w:t>
        </w:r>
      </w:hyperlink>
    </w:p>
    <w:p>
      <w:pPr>
        <w:rPr>
          <w:color w:val="000000"/>
        </w:rPr>
      </w:pPr>
    </w:p>
    <w:sectPr>
      <w:footerReference w:type="even" r:id="rId89"/>
      <w:footerReference w:type="default" r:id="rId90"/>
      <w:pgSz w:w="16838" w:h="11906" w:orient="landscape"/>
      <w:pgMar w:top="1797" w:right="1440" w:bottom="1797" w:left="1440" w:header="851" w:footer="1077" w:gutter="0"/>
      <w:pgNumType w:start="39"/>
      <w:cols w:space="708"/>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Arial Narrow">
    <w:altName w:val="Arial"/>
    <w:panose1 w:val="020B0606020202030204"/>
    <w:charset w:val="00"/>
    <w:family w:val="swiss"/>
    <w:pitch w:val="default"/>
    <w:sig w:usb0="00000287" w:usb1="00000800" w:usb2="00000000" w:usb3="00000000" w:csb0="0000009F" w:csb1="00000000"/>
  </w:font>
  <w:font w:name="汉鼎简书宋">
    <w:altName w:val="宋体"/>
    <w:panose1 w:val="00000000000000000000"/>
    <w:charset w:val="86"/>
    <w:family w:val="modern"/>
    <w:pitch w:val="default"/>
    <w:sig w:usb0="00000001" w:usb1="080E0000" w:usb2="00000010" w:usb3="00000000" w:csb0="0004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1" w:usb1="080E0000" w:usb2="00000000" w:usb3="00000000" w:csb0="00040000" w:csb1="00000000"/>
  </w:font>
  <w:font w:name="方正小标宋_GBK">
    <w:altName w:val="微软雅黑"/>
    <w:panose1 w:val="03000509000000000000"/>
    <w:charset w:val="86"/>
    <w:family w:val="script"/>
    <w:pitch w:val="default"/>
    <w:sig w:usb0="00000000" w:usb1="080E0000" w:usb2="00000010" w:usb3="00000000" w:csb0="00040000" w:csb1="00000000"/>
  </w:font>
  <w:font w:name="华文仿宋">
    <w:altName w:val="仿宋"/>
    <w:panose1 w:val="02010600040101010101"/>
    <w:charset w:val="86"/>
    <w:family w:val="auto"/>
    <w:pitch w:val="default"/>
    <w:sig w:usb0="00000287" w:usb1="080E0000" w:usb2="00000010" w:usb3="00000000" w:csb0="0004009F" w:csb1="00000000"/>
  </w:font>
  <w:font w:name="仿宋">
    <w:panose1 w:val="02010609060101010101"/>
    <w:charset w:val="86"/>
    <w:family w:val="modern"/>
    <w:pitch w:val="default"/>
    <w:sig w:usb0="800002BF" w:usb1="38CF7CFA" w:usb2="00000016" w:usb3="00000000" w:csb0="00040001" w:csb1="00000000"/>
  </w:font>
  <w:font w:name="MS Mincho">
    <w:altName w:val="Yu Gothic UI"/>
    <w:panose1 w:val="02020609040205080304"/>
    <w:charset w:val="80"/>
    <w:family w:val="modern"/>
    <w:pitch w:val="default"/>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91</w:t>
    </w:r>
    <w:r>
      <w:rPr>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1</w:t>
    </w:r>
    <w:r>
      <w:rPr>
        <w:sz w:val="21"/>
        <w:szCs w:val="21"/>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w:t>
    </w:r>
    <w:r>
      <w:rPr>
        <w:sz w:val="21"/>
        <w:szCs w:val="21"/>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3</w:t>
    </w:r>
    <w:r>
      <w:rPr>
        <w:sz w:val="21"/>
        <w:szCs w:val="21"/>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5</w:t>
    </w:r>
    <w:r>
      <w:rPr>
        <w:sz w:val="21"/>
        <w:szCs w:val="21"/>
      </w:rP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6</w:t>
    </w:r>
    <w:r>
      <w:rPr>
        <w:sz w:val="21"/>
        <w:szCs w:val="21"/>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7</w:t>
    </w:r>
    <w:r>
      <w:rPr>
        <w:sz w:val="21"/>
        <w:szCs w:val="21"/>
      </w:rP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8</w:t>
    </w:r>
    <w:r>
      <w:rPr>
        <w:sz w:val="21"/>
        <w:szCs w:val="21"/>
      </w:rPr>
      <w:fldChar w:fldCharType="end"/>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8</w:t>
    </w:r>
    <w:r>
      <w:rPr>
        <w:sz w:val="21"/>
        <w:szCs w:val="21"/>
      </w:rPr>
      <w:fldChar w:fldCharType="end"/>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9</w:t>
    </w:r>
    <w:r>
      <w:rPr>
        <w:sz w:val="21"/>
        <w:szCs w:val="21"/>
      </w:rPr>
      <w:fldChar w:fldCharType="end"/>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10</w:t>
    </w:r>
    <w:r>
      <w:rPr>
        <w:sz w:val="21"/>
        <w:szCs w:val="21"/>
      </w:rPr>
      <w:fldChar w:fldCharType="end"/>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11</w:t>
    </w:r>
    <w:r>
      <w:rPr>
        <w:sz w:val="21"/>
        <w:szCs w:val="21"/>
      </w:rPr>
      <w:fldChar w:fldCharType="end"/>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12</w:t>
    </w:r>
    <w:r>
      <w:rPr>
        <w:sz w:val="21"/>
        <w:szCs w:val="21"/>
      </w:rPr>
      <w:fldChar w:fldCharType="end"/>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14</w:t>
    </w:r>
    <w:r>
      <w:rPr>
        <w:sz w:val="21"/>
        <w:szCs w:val="21"/>
      </w:rPr>
      <w:fldChar w:fldCharType="end"/>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14</w:t>
    </w:r>
    <w:r>
      <w:rPr>
        <w:sz w:val="21"/>
        <w:szCs w:val="21"/>
      </w:rPr>
      <w:fldChar w:fldCharType="end"/>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15</w:t>
    </w:r>
    <w:r>
      <w:rPr>
        <w:sz w:val="21"/>
        <w:szCs w:val="21"/>
      </w:rPr>
      <w:fldChar w:fldCharType="end"/>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17</w:t>
    </w:r>
    <w:r>
      <w:rPr>
        <w:sz w:val="21"/>
        <w:szCs w:val="21"/>
      </w:rPr>
      <w:fldChar w:fldCharType="end"/>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17</w:t>
    </w:r>
    <w:r>
      <w:rPr>
        <w:sz w:val="21"/>
        <w:szCs w:val="21"/>
      </w:rPr>
      <w:fldChar w:fldCharType="end"/>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18</w:t>
    </w:r>
    <w:r>
      <w:rPr>
        <w:sz w:val="21"/>
        <w:szCs w:val="21"/>
      </w:rPr>
      <w:fldChar w:fldCharType="end"/>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19</w:t>
    </w:r>
    <w:r>
      <w:rPr>
        <w:sz w:val="21"/>
        <w:szCs w:val="21"/>
      </w:rPr>
      <w:fldChar w:fldCharType="end"/>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20</w:t>
    </w:r>
    <w:r>
      <w:rPr>
        <w:sz w:val="21"/>
        <w:szCs w:val="21"/>
      </w:rPr>
      <w:fldChar w:fldCharType="end"/>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21</w:t>
    </w:r>
    <w:r>
      <w:rPr>
        <w:sz w:val="21"/>
        <w:szCs w:val="21"/>
      </w:rPr>
      <w:fldChar w:fldCharType="end"/>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22</w:t>
    </w:r>
    <w:r>
      <w:rPr>
        <w:sz w:val="21"/>
        <w:szCs w:val="21"/>
      </w:rPr>
      <w:fldChar w:fldCharType="end"/>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23</w:t>
    </w:r>
    <w:r>
      <w:rPr>
        <w:sz w:val="21"/>
        <w:szCs w:val="21"/>
      </w:rPr>
      <w:fldChar w:fldCharType="end"/>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24</w:t>
    </w:r>
    <w:r>
      <w:rPr>
        <w:sz w:val="21"/>
        <w:szCs w:val="21"/>
      </w:rPr>
      <w:fldChar w:fldCharType="end"/>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25</w:t>
    </w:r>
    <w:r>
      <w:rPr>
        <w:sz w:val="21"/>
        <w:szCs w:val="21"/>
      </w:rPr>
      <w:fldChar w:fldCharType="end"/>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26</w:t>
    </w:r>
    <w:r>
      <w:rPr>
        <w:sz w:val="21"/>
        <w:szCs w:val="21"/>
      </w:rPr>
      <w:fldChar w:fldCharType="end"/>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27</w:t>
    </w:r>
    <w:r>
      <w:rPr>
        <w:sz w:val="21"/>
        <w:szCs w:val="21"/>
      </w:rPr>
      <w:fldChar w:fldCharType="end"/>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28</w:t>
    </w:r>
    <w:r>
      <w:rPr>
        <w:sz w:val="21"/>
        <w:szCs w:val="21"/>
      </w:rPr>
      <w:fldChar w:fldCharType="end"/>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30</w:t>
    </w:r>
    <w:r>
      <w:rPr>
        <w:sz w:val="21"/>
        <w:szCs w:val="21"/>
      </w:rPr>
      <w:fldChar w:fldCharType="end"/>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30</w:t>
    </w:r>
    <w:r>
      <w:rPr>
        <w:sz w:val="21"/>
        <w:szCs w:val="21"/>
      </w:rPr>
      <w:fldChar w:fldCharType="end"/>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31</w:t>
    </w:r>
    <w:r>
      <w:rPr>
        <w:sz w:val="21"/>
        <w:szCs w:val="21"/>
      </w:rPr>
      <w:fldChar w:fldCharType="end"/>
    </w: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32</w:t>
    </w:r>
    <w:r>
      <w:rPr>
        <w:sz w:val="21"/>
        <w:szCs w:val="21"/>
      </w:rPr>
      <w:fldChar w:fldCharType="end"/>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33</w:t>
    </w:r>
    <w:r>
      <w:rPr>
        <w:sz w:val="21"/>
        <w:szCs w:val="21"/>
      </w:rPr>
      <w:fldChar w:fldCharType="end"/>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34</w:t>
    </w:r>
    <w:r>
      <w:rPr>
        <w:sz w:val="21"/>
        <w:szCs w:val="21"/>
      </w:rPr>
      <w:fldChar w:fldCharType="end"/>
    </w: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35</w:t>
    </w:r>
    <w:r>
      <w:rPr>
        <w:sz w:val="21"/>
        <w:szCs w:val="21"/>
      </w:rPr>
      <w:fldChar w:fldCharType="end"/>
    </w: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36</w:t>
    </w:r>
    <w:r>
      <w:rPr>
        <w:sz w:val="21"/>
        <w:szCs w:val="21"/>
      </w:rPr>
      <w:fldChar w:fldCharType="end"/>
    </w: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37</w:t>
    </w:r>
    <w:r>
      <w:rPr>
        <w:sz w:val="21"/>
        <w:szCs w:val="21"/>
      </w:rPr>
      <w:fldChar w:fldCharType="end"/>
    </w: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38</w:t>
    </w:r>
    <w:r>
      <w:rPr>
        <w:sz w:val="21"/>
        <w:szCs w:val="21"/>
      </w:rPr>
      <w:fldChar w:fldCharType="end"/>
    </w: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ind w:right="360" w:firstLine="360"/>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39</w:t>
    </w:r>
    <w:r>
      <w:rPr>
        <w:sz w:val="21"/>
        <w:szCs w:val="21"/>
      </w:rP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A0C02C1"/>
    <w:multiLevelType w:val="singleLevel"/>
    <w:tmpl w:val="DA0C02C1"/>
    <w:lvl w:ilvl="0">
      <w:start w:val="5"/>
      <w:numFmt w:val="decimal"/>
      <w:suff w:val="nothing"/>
      <w:lvlText w:val="%1、"/>
      <w:lvlJc w:val="left"/>
    </w:lvl>
  </w:abstractNum>
  <w:abstractNum w:abstractNumId="1">
    <w:nsid w:val="3CF21F5E"/>
    <w:multiLevelType w:val="singleLevel"/>
    <w:tmpl w:val="3CF21F5E"/>
    <w:lvl w:ilvl="0">
      <w:start w:val="1"/>
      <w:numFmt w:val="decimal"/>
      <w:suff w:val="nothing"/>
      <w:lvlText w:val="%1、"/>
      <w:lvlJc w:val="left"/>
    </w:lvl>
  </w:abstractNum>
  <w:abstractNum w:abstractNumId="2">
    <w:nsid w:val="46AFA679"/>
    <w:multiLevelType w:val="singleLevel"/>
    <w:tmpl w:val="46AFA679"/>
    <w:lvl w:ilvl="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cumentProtection w:edit="trackedChanges" w:enforcement="0"/>
  <w:defaultTabStop w:val="420"/>
  <w:doNotHyphenateCaps/>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doNotEmbedSmartTags/>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14947"/>
    <w:rsid w:val="00001CED"/>
    <w:rsid w:val="00001E67"/>
    <w:rsid w:val="00003211"/>
    <w:rsid w:val="00003CD8"/>
    <w:rsid w:val="00004B5E"/>
    <w:rsid w:val="0000665A"/>
    <w:rsid w:val="00011A47"/>
    <w:rsid w:val="000136D0"/>
    <w:rsid w:val="00014158"/>
    <w:rsid w:val="00014965"/>
    <w:rsid w:val="0001523A"/>
    <w:rsid w:val="00016ECB"/>
    <w:rsid w:val="00017BD7"/>
    <w:rsid w:val="00017E86"/>
    <w:rsid w:val="00020FFD"/>
    <w:rsid w:val="00024536"/>
    <w:rsid w:val="00025458"/>
    <w:rsid w:val="00025543"/>
    <w:rsid w:val="00025B97"/>
    <w:rsid w:val="000262AA"/>
    <w:rsid w:val="000269F6"/>
    <w:rsid w:val="00030E5A"/>
    <w:rsid w:val="00031939"/>
    <w:rsid w:val="000326DF"/>
    <w:rsid w:val="00032D25"/>
    <w:rsid w:val="000359D5"/>
    <w:rsid w:val="000422CE"/>
    <w:rsid w:val="00043E01"/>
    <w:rsid w:val="000458CC"/>
    <w:rsid w:val="00047C3E"/>
    <w:rsid w:val="00047C44"/>
    <w:rsid w:val="00050D4A"/>
    <w:rsid w:val="00051190"/>
    <w:rsid w:val="0005219D"/>
    <w:rsid w:val="00053E0B"/>
    <w:rsid w:val="00055384"/>
    <w:rsid w:val="0005568F"/>
    <w:rsid w:val="00055CC9"/>
    <w:rsid w:val="00055F3F"/>
    <w:rsid w:val="0006153D"/>
    <w:rsid w:val="00061B1F"/>
    <w:rsid w:val="00061FD7"/>
    <w:rsid w:val="000627F8"/>
    <w:rsid w:val="00065FDC"/>
    <w:rsid w:val="000664DB"/>
    <w:rsid w:val="0007127D"/>
    <w:rsid w:val="00071AE5"/>
    <w:rsid w:val="0007262A"/>
    <w:rsid w:val="00074783"/>
    <w:rsid w:val="000767D1"/>
    <w:rsid w:val="000801E0"/>
    <w:rsid w:val="000818F8"/>
    <w:rsid w:val="00081E9F"/>
    <w:rsid w:val="00082A29"/>
    <w:rsid w:val="0008331D"/>
    <w:rsid w:val="00083A4D"/>
    <w:rsid w:val="00083C18"/>
    <w:rsid w:val="0008613A"/>
    <w:rsid w:val="00087880"/>
    <w:rsid w:val="00091417"/>
    <w:rsid w:val="00092899"/>
    <w:rsid w:val="00094E03"/>
    <w:rsid w:val="0009536C"/>
    <w:rsid w:val="000965E3"/>
    <w:rsid w:val="000A178E"/>
    <w:rsid w:val="000A47E6"/>
    <w:rsid w:val="000A557E"/>
    <w:rsid w:val="000B058F"/>
    <w:rsid w:val="000B0D1F"/>
    <w:rsid w:val="000B2EDB"/>
    <w:rsid w:val="000B5588"/>
    <w:rsid w:val="000B693F"/>
    <w:rsid w:val="000B77E6"/>
    <w:rsid w:val="000C09AC"/>
    <w:rsid w:val="000C0A63"/>
    <w:rsid w:val="000C1B43"/>
    <w:rsid w:val="000C3907"/>
    <w:rsid w:val="000C4261"/>
    <w:rsid w:val="000C437E"/>
    <w:rsid w:val="000C7DDC"/>
    <w:rsid w:val="000D12D7"/>
    <w:rsid w:val="000D23CD"/>
    <w:rsid w:val="000D2A27"/>
    <w:rsid w:val="000D2AD7"/>
    <w:rsid w:val="000D6FD3"/>
    <w:rsid w:val="000D78B0"/>
    <w:rsid w:val="000D7F1F"/>
    <w:rsid w:val="000E0208"/>
    <w:rsid w:val="000E18A3"/>
    <w:rsid w:val="000E1F15"/>
    <w:rsid w:val="000E2717"/>
    <w:rsid w:val="000E3C25"/>
    <w:rsid w:val="000E5F16"/>
    <w:rsid w:val="000E79AF"/>
    <w:rsid w:val="000F1E0F"/>
    <w:rsid w:val="000F2E16"/>
    <w:rsid w:val="000F4452"/>
    <w:rsid w:val="000F6DA1"/>
    <w:rsid w:val="000F701B"/>
    <w:rsid w:val="000F753D"/>
    <w:rsid w:val="000F7605"/>
    <w:rsid w:val="00103527"/>
    <w:rsid w:val="00104AA0"/>
    <w:rsid w:val="001056A0"/>
    <w:rsid w:val="00106E60"/>
    <w:rsid w:val="00106EB3"/>
    <w:rsid w:val="00106F88"/>
    <w:rsid w:val="001074CF"/>
    <w:rsid w:val="00113022"/>
    <w:rsid w:val="001133CA"/>
    <w:rsid w:val="0011490B"/>
    <w:rsid w:val="00115279"/>
    <w:rsid w:val="001173EA"/>
    <w:rsid w:val="00117459"/>
    <w:rsid w:val="0011749A"/>
    <w:rsid w:val="001250B4"/>
    <w:rsid w:val="00127A68"/>
    <w:rsid w:val="001315F7"/>
    <w:rsid w:val="001324E1"/>
    <w:rsid w:val="00132684"/>
    <w:rsid w:val="00134E2B"/>
    <w:rsid w:val="00135D96"/>
    <w:rsid w:val="00136D25"/>
    <w:rsid w:val="00136E8C"/>
    <w:rsid w:val="00140B13"/>
    <w:rsid w:val="00141B68"/>
    <w:rsid w:val="001426C0"/>
    <w:rsid w:val="00144E8A"/>
    <w:rsid w:val="001466DA"/>
    <w:rsid w:val="00147C23"/>
    <w:rsid w:val="0015053A"/>
    <w:rsid w:val="00152F81"/>
    <w:rsid w:val="00154DE1"/>
    <w:rsid w:val="00154FD8"/>
    <w:rsid w:val="00155B40"/>
    <w:rsid w:val="00157435"/>
    <w:rsid w:val="00162B5F"/>
    <w:rsid w:val="00163EEA"/>
    <w:rsid w:val="00164A15"/>
    <w:rsid w:val="00167A07"/>
    <w:rsid w:val="0017046A"/>
    <w:rsid w:val="001704A3"/>
    <w:rsid w:val="00171B5B"/>
    <w:rsid w:val="00173673"/>
    <w:rsid w:val="001739DC"/>
    <w:rsid w:val="001740B1"/>
    <w:rsid w:val="0017504D"/>
    <w:rsid w:val="00177422"/>
    <w:rsid w:val="001774A9"/>
    <w:rsid w:val="001835D6"/>
    <w:rsid w:val="00184F10"/>
    <w:rsid w:val="00185546"/>
    <w:rsid w:val="00190DFE"/>
    <w:rsid w:val="0019146B"/>
    <w:rsid w:val="00193883"/>
    <w:rsid w:val="00193D49"/>
    <w:rsid w:val="00194398"/>
    <w:rsid w:val="001961AF"/>
    <w:rsid w:val="001A3370"/>
    <w:rsid w:val="001A4803"/>
    <w:rsid w:val="001A5B2F"/>
    <w:rsid w:val="001A6488"/>
    <w:rsid w:val="001A71B8"/>
    <w:rsid w:val="001A7D2A"/>
    <w:rsid w:val="001B193F"/>
    <w:rsid w:val="001B1B74"/>
    <w:rsid w:val="001B4551"/>
    <w:rsid w:val="001B4FE8"/>
    <w:rsid w:val="001B574C"/>
    <w:rsid w:val="001B6D9E"/>
    <w:rsid w:val="001B7FC7"/>
    <w:rsid w:val="001C0AF9"/>
    <w:rsid w:val="001C0F40"/>
    <w:rsid w:val="001C155A"/>
    <w:rsid w:val="001C48C0"/>
    <w:rsid w:val="001C4C6E"/>
    <w:rsid w:val="001C4EDF"/>
    <w:rsid w:val="001C7C2B"/>
    <w:rsid w:val="001D0C15"/>
    <w:rsid w:val="001D2012"/>
    <w:rsid w:val="001D6726"/>
    <w:rsid w:val="001D690A"/>
    <w:rsid w:val="001D6AC3"/>
    <w:rsid w:val="001D7682"/>
    <w:rsid w:val="001D7CEE"/>
    <w:rsid w:val="001D7EFA"/>
    <w:rsid w:val="001E44A3"/>
    <w:rsid w:val="001F25DF"/>
    <w:rsid w:val="001F3347"/>
    <w:rsid w:val="001F4440"/>
    <w:rsid w:val="001F69E4"/>
    <w:rsid w:val="001F72E2"/>
    <w:rsid w:val="002022C5"/>
    <w:rsid w:val="0020272C"/>
    <w:rsid w:val="0020347D"/>
    <w:rsid w:val="002046EC"/>
    <w:rsid w:val="00205FA5"/>
    <w:rsid w:val="00206A65"/>
    <w:rsid w:val="00206A67"/>
    <w:rsid w:val="00212D31"/>
    <w:rsid w:val="002130C7"/>
    <w:rsid w:val="0021430A"/>
    <w:rsid w:val="002143C0"/>
    <w:rsid w:val="00214F29"/>
    <w:rsid w:val="002150B3"/>
    <w:rsid w:val="002169F1"/>
    <w:rsid w:val="00217038"/>
    <w:rsid w:val="002203E3"/>
    <w:rsid w:val="00220DB5"/>
    <w:rsid w:val="002218A8"/>
    <w:rsid w:val="0022306D"/>
    <w:rsid w:val="002239C1"/>
    <w:rsid w:val="00224452"/>
    <w:rsid w:val="00224FDB"/>
    <w:rsid w:val="0022552D"/>
    <w:rsid w:val="00226574"/>
    <w:rsid w:val="002278EC"/>
    <w:rsid w:val="002315F5"/>
    <w:rsid w:val="002317CE"/>
    <w:rsid w:val="0023264D"/>
    <w:rsid w:val="00232E1A"/>
    <w:rsid w:val="00233604"/>
    <w:rsid w:val="002357C7"/>
    <w:rsid w:val="00235AF3"/>
    <w:rsid w:val="002367C4"/>
    <w:rsid w:val="0023696F"/>
    <w:rsid w:val="00237525"/>
    <w:rsid w:val="002428B7"/>
    <w:rsid w:val="002441F1"/>
    <w:rsid w:val="002461B6"/>
    <w:rsid w:val="0025679E"/>
    <w:rsid w:val="00260926"/>
    <w:rsid w:val="00260C68"/>
    <w:rsid w:val="00262D16"/>
    <w:rsid w:val="002630F6"/>
    <w:rsid w:val="0026345F"/>
    <w:rsid w:val="002640FB"/>
    <w:rsid w:val="002648B0"/>
    <w:rsid w:val="00270F3B"/>
    <w:rsid w:val="00275271"/>
    <w:rsid w:val="0027535E"/>
    <w:rsid w:val="00275AA6"/>
    <w:rsid w:val="00276518"/>
    <w:rsid w:val="002807D5"/>
    <w:rsid w:val="00282CCD"/>
    <w:rsid w:val="00285703"/>
    <w:rsid w:val="00287565"/>
    <w:rsid w:val="00290EDB"/>
    <w:rsid w:val="00291115"/>
    <w:rsid w:val="002938B3"/>
    <w:rsid w:val="00296F9D"/>
    <w:rsid w:val="002A168C"/>
    <w:rsid w:val="002A2C48"/>
    <w:rsid w:val="002A3EED"/>
    <w:rsid w:val="002A4A39"/>
    <w:rsid w:val="002A5A17"/>
    <w:rsid w:val="002A6425"/>
    <w:rsid w:val="002B107E"/>
    <w:rsid w:val="002B49E2"/>
    <w:rsid w:val="002B7B00"/>
    <w:rsid w:val="002B7C44"/>
    <w:rsid w:val="002C1388"/>
    <w:rsid w:val="002C3C6A"/>
    <w:rsid w:val="002C6977"/>
    <w:rsid w:val="002D1BDF"/>
    <w:rsid w:val="002D27EB"/>
    <w:rsid w:val="002D3B80"/>
    <w:rsid w:val="002D42DB"/>
    <w:rsid w:val="002D45FC"/>
    <w:rsid w:val="002D618C"/>
    <w:rsid w:val="002E055F"/>
    <w:rsid w:val="002E0DBD"/>
    <w:rsid w:val="002E1409"/>
    <w:rsid w:val="002E1F3A"/>
    <w:rsid w:val="002E298A"/>
    <w:rsid w:val="002E3140"/>
    <w:rsid w:val="002E5A93"/>
    <w:rsid w:val="002F02A4"/>
    <w:rsid w:val="002F06BA"/>
    <w:rsid w:val="002F272B"/>
    <w:rsid w:val="002F7AAB"/>
    <w:rsid w:val="002F7C6D"/>
    <w:rsid w:val="003001EE"/>
    <w:rsid w:val="003009FC"/>
    <w:rsid w:val="003027E4"/>
    <w:rsid w:val="003029E3"/>
    <w:rsid w:val="0030332C"/>
    <w:rsid w:val="00306E98"/>
    <w:rsid w:val="00312296"/>
    <w:rsid w:val="0031309A"/>
    <w:rsid w:val="0031340E"/>
    <w:rsid w:val="00314D83"/>
    <w:rsid w:val="00316464"/>
    <w:rsid w:val="00316CB2"/>
    <w:rsid w:val="0032073A"/>
    <w:rsid w:val="00321D8E"/>
    <w:rsid w:val="00323400"/>
    <w:rsid w:val="00324761"/>
    <w:rsid w:val="00327091"/>
    <w:rsid w:val="0033001E"/>
    <w:rsid w:val="003313F2"/>
    <w:rsid w:val="00331AFA"/>
    <w:rsid w:val="00331D5F"/>
    <w:rsid w:val="00332B98"/>
    <w:rsid w:val="00332C2B"/>
    <w:rsid w:val="00333206"/>
    <w:rsid w:val="00334996"/>
    <w:rsid w:val="00335553"/>
    <w:rsid w:val="00336969"/>
    <w:rsid w:val="00336C52"/>
    <w:rsid w:val="00341B3E"/>
    <w:rsid w:val="00341B42"/>
    <w:rsid w:val="0034457B"/>
    <w:rsid w:val="00345154"/>
    <w:rsid w:val="0034560E"/>
    <w:rsid w:val="00346287"/>
    <w:rsid w:val="00346449"/>
    <w:rsid w:val="00347513"/>
    <w:rsid w:val="0034781F"/>
    <w:rsid w:val="00350523"/>
    <w:rsid w:val="00350900"/>
    <w:rsid w:val="00352975"/>
    <w:rsid w:val="00354A6B"/>
    <w:rsid w:val="00356868"/>
    <w:rsid w:val="003575E5"/>
    <w:rsid w:val="00360B76"/>
    <w:rsid w:val="0036485B"/>
    <w:rsid w:val="00364BC0"/>
    <w:rsid w:val="003666EE"/>
    <w:rsid w:val="00367E64"/>
    <w:rsid w:val="00370185"/>
    <w:rsid w:val="00371EFC"/>
    <w:rsid w:val="003739DB"/>
    <w:rsid w:val="00373B0D"/>
    <w:rsid w:val="0037402F"/>
    <w:rsid w:val="00376988"/>
    <w:rsid w:val="00377A5E"/>
    <w:rsid w:val="00381A72"/>
    <w:rsid w:val="00381B5B"/>
    <w:rsid w:val="0038218D"/>
    <w:rsid w:val="00384213"/>
    <w:rsid w:val="00386074"/>
    <w:rsid w:val="00387143"/>
    <w:rsid w:val="00391FAA"/>
    <w:rsid w:val="00392325"/>
    <w:rsid w:val="00393581"/>
    <w:rsid w:val="00395649"/>
    <w:rsid w:val="00395D1F"/>
    <w:rsid w:val="003A04FB"/>
    <w:rsid w:val="003A075B"/>
    <w:rsid w:val="003A1948"/>
    <w:rsid w:val="003A2DC6"/>
    <w:rsid w:val="003A3E00"/>
    <w:rsid w:val="003A4511"/>
    <w:rsid w:val="003A4C86"/>
    <w:rsid w:val="003A69E1"/>
    <w:rsid w:val="003B152A"/>
    <w:rsid w:val="003B22FB"/>
    <w:rsid w:val="003B4F35"/>
    <w:rsid w:val="003B545B"/>
    <w:rsid w:val="003C11E9"/>
    <w:rsid w:val="003C1B01"/>
    <w:rsid w:val="003C331D"/>
    <w:rsid w:val="003C46EE"/>
    <w:rsid w:val="003C60FB"/>
    <w:rsid w:val="003C66AD"/>
    <w:rsid w:val="003D23C3"/>
    <w:rsid w:val="003D3EE9"/>
    <w:rsid w:val="003E147F"/>
    <w:rsid w:val="003E2D80"/>
    <w:rsid w:val="003E33CC"/>
    <w:rsid w:val="003E3995"/>
    <w:rsid w:val="003E4166"/>
    <w:rsid w:val="003E417A"/>
    <w:rsid w:val="003E7681"/>
    <w:rsid w:val="003F0809"/>
    <w:rsid w:val="003F20EF"/>
    <w:rsid w:val="003F2F86"/>
    <w:rsid w:val="003F4AB0"/>
    <w:rsid w:val="003F611C"/>
    <w:rsid w:val="003F682B"/>
    <w:rsid w:val="003F6D07"/>
    <w:rsid w:val="003F7544"/>
    <w:rsid w:val="003F755C"/>
    <w:rsid w:val="00402F4D"/>
    <w:rsid w:val="004035B8"/>
    <w:rsid w:val="00403CF2"/>
    <w:rsid w:val="00404CF7"/>
    <w:rsid w:val="00406F01"/>
    <w:rsid w:val="00406F47"/>
    <w:rsid w:val="0041064E"/>
    <w:rsid w:val="004106A1"/>
    <w:rsid w:val="00411B36"/>
    <w:rsid w:val="004121D7"/>
    <w:rsid w:val="004121EA"/>
    <w:rsid w:val="00413925"/>
    <w:rsid w:val="00413A3D"/>
    <w:rsid w:val="004163EF"/>
    <w:rsid w:val="00416D50"/>
    <w:rsid w:val="00417772"/>
    <w:rsid w:val="00420E6A"/>
    <w:rsid w:val="00420F31"/>
    <w:rsid w:val="00426379"/>
    <w:rsid w:val="00427266"/>
    <w:rsid w:val="00430A0B"/>
    <w:rsid w:val="00431333"/>
    <w:rsid w:val="00431AFF"/>
    <w:rsid w:val="00433CA9"/>
    <w:rsid w:val="0043521D"/>
    <w:rsid w:val="00436EC8"/>
    <w:rsid w:val="004376BA"/>
    <w:rsid w:val="00437A68"/>
    <w:rsid w:val="0044165C"/>
    <w:rsid w:val="0044177A"/>
    <w:rsid w:val="00442024"/>
    <w:rsid w:val="004421CF"/>
    <w:rsid w:val="0044254C"/>
    <w:rsid w:val="004426C6"/>
    <w:rsid w:val="0044338C"/>
    <w:rsid w:val="00443962"/>
    <w:rsid w:val="00443F6A"/>
    <w:rsid w:val="00444804"/>
    <w:rsid w:val="00445CBF"/>
    <w:rsid w:val="00446774"/>
    <w:rsid w:val="00450A17"/>
    <w:rsid w:val="004512E5"/>
    <w:rsid w:val="0045165D"/>
    <w:rsid w:val="004559A0"/>
    <w:rsid w:val="00455EA4"/>
    <w:rsid w:val="0045725C"/>
    <w:rsid w:val="00457E1F"/>
    <w:rsid w:val="00462009"/>
    <w:rsid w:val="00463441"/>
    <w:rsid w:val="00463731"/>
    <w:rsid w:val="00464449"/>
    <w:rsid w:val="00466321"/>
    <w:rsid w:val="004672AF"/>
    <w:rsid w:val="00472187"/>
    <w:rsid w:val="004727B0"/>
    <w:rsid w:val="004757E5"/>
    <w:rsid w:val="004760C8"/>
    <w:rsid w:val="00476DB7"/>
    <w:rsid w:val="00477035"/>
    <w:rsid w:val="00477E11"/>
    <w:rsid w:val="00480247"/>
    <w:rsid w:val="0048081D"/>
    <w:rsid w:val="0048117E"/>
    <w:rsid w:val="00481515"/>
    <w:rsid w:val="004855F6"/>
    <w:rsid w:val="00486F0C"/>
    <w:rsid w:val="00487A96"/>
    <w:rsid w:val="0049447B"/>
    <w:rsid w:val="00494670"/>
    <w:rsid w:val="00496391"/>
    <w:rsid w:val="0049680D"/>
    <w:rsid w:val="00496E51"/>
    <w:rsid w:val="004A0EB4"/>
    <w:rsid w:val="004A3823"/>
    <w:rsid w:val="004A3BBA"/>
    <w:rsid w:val="004A59A1"/>
    <w:rsid w:val="004A59BB"/>
    <w:rsid w:val="004A61AA"/>
    <w:rsid w:val="004A7D51"/>
    <w:rsid w:val="004A7DF7"/>
    <w:rsid w:val="004B26E1"/>
    <w:rsid w:val="004B43A3"/>
    <w:rsid w:val="004B462E"/>
    <w:rsid w:val="004B4C49"/>
    <w:rsid w:val="004B58A5"/>
    <w:rsid w:val="004B63D9"/>
    <w:rsid w:val="004C01D7"/>
    <w:rsid w:val="004C0882"/>
    <w:rsid w:val="004C0A32"/>
    <w:rsid w:val="004C0D04"/>
    <w:rsid w:val="004C1079"/>
    <w:rsid w:val="004C3BB0"/>
    <w:rsid w:val="004C4ECF"/>
    <w:rsid w:val="004C55BE"/>
    <w:rsid w:val="004C5CDA"/>
    <w:rsid w:val="004D00CE"/>
    <w:rsid w:val="004D16FB"/>
    <w:rsid w:val="004D4660"/>
    <w:rsid w:val="004D5F48"/>
    <w:rsid w:val="004E2A07"/>
    <w:rsid w:val="004E2CE4"/>
    <w:rsid w:val="004E5B30"/>
    <w:rsid w:val="004F0459"/>
    <w:rsid w:val="004F06FA"/>
    <w:rsid w:val="004F0779"/>
    <w:rsid w:val="004F1230"/>
    <w:rsid w:val="004F1288"/>
    <w:rsid w:val="004F173F"/>
    <w:rsid w:val="004F177C"/>
    <w:rsid w:val="004F2DCE"/>
    <w:rsid w:val="004F60F8"/>
    <w:rsid w:val="004F6D60"/>
    <w:rsid w:val="00501675"/>
    <w:rsid w:val="00501B84"/>
    <w:rsid w:val="005039CB"/>
    <w:rsid w:val="005047FF"/>
    <w:rsid w:val="0050558F"/>
    <w:rsid w:val="005057E0"/>
    <w:rsid w:val="00505F2E"/>
    <w:rsid w:val="00506286"/>
    <w:rsid w:val="00506B2A"/>
    <w:rsid w:val="00510813"/>
    <w:rsid w:val="00511722"/>
    <w:rsid w:val="00511DE0"/>
    <w:rsid w:val="00517B1F"/>
    <w:rsid w:val="00517F02"/>
    <w:rsid w:val="00520DE7"/>
    <w:rsid w:val="005230A3"/>
    <w:rsid w:val="0052409F"/>
    <w:rsid w:val="00524547"/>
    <w:rsid w:val="005258A2"/>
    <w:rsid w:val="00526C86"/>
    <w:rsid w:val="00527FD5"/>
    <w:rsid w:val="00530F7C"/>
    <w:rsid w:val="005325AF"/>
    <w:rsid w:val="00533E27"/>
    <w:rsid w:val="00533F3E"/>
    <w:rsid w:val="00534236"/>
    <w:rsid w:val="00534567"/>
    <w:rsid w:val="00534F43"/>
    <w:rsid w:val="00535A84"/>
    <w:rsid w:val="00536889"/>
    <w:rsid w:val="00537142"/>
    <w:rsid w:val="00542B60"/>
    <w:rsid w:val="00542E07"/>
    <w:rsid w:val="005478DD"/>
    <w:rsid w:val="00547940"/>
    <w:rsid w:val="0055268E"/>
    <w:rsid w:val="00554052"/>
    <w:rsid w:val="00554A7B"/>
    <w:rsid w:val="0055572C"/>
    <w:rsid w:val="0055745A"/>
    <w:rsid w:val="0056064F"/>
    <w:rsid w:val="00560FAC"/>
    <w:rsid w:val="00561B84"/>
    <w:rsid w:val="005627DA"/>
    <w:rsid w:val="00564153"/>
    <w:rsid w:val="00564907"/>
    <w:rsid w:val="00567DBA"/>
    <w:rsid w:val="00570BC4"/>
    <w:rsid w:val="00570EAD"/>
    <w:rsid w:val="00571D98"/>
    <w:rsid w:val="00571E4D"/>
    <w:rsid w:val="005720AE"/>
    <w:rsid w:val="0057418B"/>
    <w:rsid w:val="0057730E"/>
    <w:rsid w:val="0058030D"/>
    <w:rsid w:val="00581A00"/>
    <w:rsid w:val="00582045"/>
    <w:rsid w:val="00583006"/>
    <w:rsid w:val="00590AE3"/>
    <w:rsid w:val="005918F1"/>
    <w:rsid w:val="0059381B"/>
    <w:rsid w:val="005A06B7"/>
    <w:rsid w:val="005A1759"/>
    <w:rsid w:val="005A3363"/>
    <w:rsid w:val="005A3880"/>
    <w:rsid w:val="005A3F90"/>
    <w:rsid w:val="005A49A4"/>
    <w:rsid w:val="005A5469"/>
    <w:rsid w:val="005B1AE7"/>
    <w:rsid w:val="005B21EC"/>
    <w:rsid w:val="005B6032"/>
    <w:rsid w:val="005C002F"/>
    <w:rsid w:val="005C01ED"/>
    <w:rsid w:val="005C4D4A"/>
    <w:rsid w:val="005C58F8"/>
    <w:rsid w:val="005C6DA6"/>
    <w:rsid w:val="005D0369"/>
    <w:rsid w:val="005D53FE"/>
    <w:rsid w:val="005D6C32"/>
    <w:rsid w:val="005D7A0F"/>
    <w:rsid w:val="005E0438"/>
    <w:rsid w:val="005E12E0"/>
    <w:rsid w:val="005E1791"/>
    <w:rsid w:val="005E19BA"/>
    <w:rsid w:val="005E2CE6"/>
    <w:rsid w:val="005E3571"/>
    <w:rsid w:val="005E6324"/>
    <w:rsid w:val="005F1CCD"/>
    <w:rsid w:val="005F228B"/>
    <w:rsid w:val="005F29CD"/>
    <w:rsid w:val="005F4DFB"/>
    <w:rsid w:val="005F60A8"/>
    <w:rsid w:val="005F6CC0"/>
    <w:rsid w:val="00600CF5"/>
    <w:rsid w:val="00603E5B"/>
    <w:rsid w:val="00604BC8"/>
    <w:rsid w:val="00605085"/>
    <w:rsid w:val="00605D63"/>
    <w:rsid w:val="00606132"/>
    <w:rsid w:val="00607F36"/>
    <w:rsid w:val="00613154"/>
    <w:rsid w:val="00615B4C"/>
    <w:rsid w:val="00615B5D"/>
    <w:rsid w:val="00615F92"/>
    <w:rsid w:val="0062146F"/>
    <w:rsid w:val="00621D9E"/>
    <w:rsid w:val="006230B0"/>
    <w:rsid w:val="006230E2"/>
    <w:rsid w:val="006257A8"/>
    <w:rsid w:val="00625A9E"/>
    <w:rsid w:val="00627E62"/>
    <w:rsid w:val="006342EF"/>
    <w:rsid w:val="006343AF"/>
    <w:rsid w:val="00635D4A"/>
    <w:rsid w:val="0063634A"/>
    <w:rsid w:val="0064052B"/>
    <w:rsid w:val="006423DB"/>
    <w:rsid w:val="0064250D"/>
    <w:rsid w:val="00642FF2"/>
    <w:rsid w:val="0064709F"/>
    <w:rsid w:val="00647AB0"/>
    <w:rsid w:val="006502FF"/>
    <w:rsid w:val="006535EB"/>
    <w:rsid w:val="00653C6B"/>
    <w:rsid w:val="006546E5"/>
    <w:rsid w:val="006551DE"/>
    <w:rsid w:val="00655BFE"/>
    <w:rsid w:val="006573E0"/>
    <w:rsid w:val="006601CF"/>
    <w:rsid w:val="00660467"/>
    <w:rsid w:val="006621B9"/>
    <w:rsid w:val="00663016"/>
    <w:rsid w:val="006632EE"/>
    <w:rsid w:val="00667A63"/>
    <w:rsid w:val="00670686"/>
    <w:rsid w:val="00670A56"/>
    <w:rsid w:val="00673359"/>
    <w:rsid w:val="00674605"/>
    <w:rsid w:val="006748B8"/>
    <w:rsid w:val="006828CF"/>
    <w:rsid w:val="0068535B"/>
    <w:rsid w:val="00685502"/>
    <w:rsid w:val="00685628"/>
    <w:rsid w:val="0068736E"/>
    <w:rsid w:val="006877E8"/>
    <w:rsid w:val="0069290A"/>
    <w:rsid w:val="00692D65"/>
    <w:rsid w:val="00693294"/>
    <w:rsid w:val="006951ED"/>
    <w:rsid w:val="0069524B"/>
    <w:rsid w:val="00697032"/>
    <w:rsid w:val="006975AC"/>
    <w:rsid w:val="006A032E"/>
    <w:rsid w:val="006A15FB"/>
    <w:rsid w:val="006A20E6"/>
    <w:rsid w:val="006A30A5"/>
    <w:rsid w:val="006A4A26"/>
    <w:rsid w:val="006A5312"/>
    <w:rsid w:val="006A72BF"/>
    <w:rsid w:val="006B05FB"/>
    <w:rsid w:val="006B0A64"/>
    <w:rsid w:val="006B332A"/>
    <w:rsid w:val="006B33BD"/>
    <w:rsid w:val="006C1F45"/>
    <w:rsid w:val="006C26C9"/>
    <w:rsid w:val="006C2755"/>
    <w:rsid w:val="006C3F75"/>
    <w:rsid w:val="006C56ED"/>
    <w:rsid w:val="006C583A"/>
    <w:rsid w:val="006C5F4F"/>
    <w:rsid w:val="006D0291"/>
    <w:rsid w:val="006D170E"/>
    <w:rsid w:val="006D2E98"/>
    <w:rsid w:val="006D6ADD"/>
    <w:rsid w:val="006D799C"/>
    <w:rsid w:val="006E008F"/>
    <w:rsid w:val="006E06AF"/>
    <w:rsid w:val="006E0B60"/>
    <w:rsid w:val="006E2297"/>
    <w:rsid w:val="006F1789"/>
    <w:rsid w:val="006F310B"/>
    <w:rsid w:val="006F4BB7"/>
    <w:rsid w:val="006F78F9"/>
    <w:rsid w:val="00701B6C"/>
    <w:rsid w:val="00702523"/>
    <w:rsid w:val="0070290B"/>
    <w:rsid w:val="00702EAB"/>
    <w:rsid w:val="0070449C"/>
    <w:rsid w:val="007050C2"/>
    <w:rsid w:val="00705178"/>
    <w:rsid w:val="00705A1D"/>
    <w:rsid w:val="00706BF0"/>
    <w:rsid w:val="00706C5D"/>
    <w:rsid w:val="007118E6"/>
    <w:rsid w:val="00713F62"/>
    <w:rsid w:val="007170C4"/>
    <w:rsid w:val="007225C9"/>
    <w:rsid w:val="007238CD"/>
    <w:rsid w:val="00723F97"/>
    <w:rsid w:val="0072407F"/>
    <w:rsid w:val="007240E0"/>
    <w:rsid w:val="007246BB"/>
    <w:rsid w:val="00726696"/>
    <w:rsid w:val="00727102"/>
    <w:rsid w:val="00727E01"/>
    <w:rsid w:val="00730E19"/>
    <w:rsid w:val="0073170E"/>
    <w:rsid w:val="00731B4C"/>
    <w:rsid w:val="00735CD7"/>
    <w:rsid w:val="00737C22"/>
    <w:rsid w:val="00741E4B"/>
    <w:rsid w:val="00743EB4"/>
    <w:rsid w:val="007471F1"/>
    <w:rsid w:val="007517C8"/>
    <w:rsid w:val="0075343F"/>
    <w:rsid w:val="00754034"/>
    <w:rsid w:val="00754AB2"/>
    <w:rsid w:val="00754BF1"/>
    <w:rsid w:val="00755A30"/>
    <w:rsid w:val="00755E1C"/>
    <w:rsid w:val="007561AB"/>
    <w:rsid w:val="00756556"/>
    <w:rsid w:val="00757ACF"/>
    <w:rsid w:val="0076132B"/>
    <w:rsid w:val="00762020"/>
    <w:rsid w:val="007623AE"/>
    <w:rsid w:val="007625B8"/>
    <w:rsid w:val="007636D5"/>
    <w:rsid w:val="00763BD5"/>
    <w:rsid w:val="007708EB"/>
    <w:rsid w:val="00770B19"/>
    <w:rsid w:val="00771D20"/>
    <w:rsid w:val="00774EB1"/>
    <w:rsid w:val="00774FA0"/>
    <w:rsid w:val="007753E3"/>
    <w:rsid w:val="00776620"/>
    <w:rsid w:val="00777B6D"/>
    <w:rsid w:val="00777F8B"/>
    <w:rsid w:val="007811E5"/>
    <w:rsid w:val="00784855"/>
    <w:rsid w:val="00784F39"/>
    <w:rsid w:val="0078545C"/>
    <w:rsid w:val="00785F27"/>
    <w:rsid w:val="007860DF"/>
    <w:rsid w:val="0078746A"/>
    <w:rsid w:val="007906C4"/>
    <w:rsid w:val="007940EA"/>
    <w:rsid w:val="007967E8"/>
    <w:rsid w:val="007A0B8D"/>
    <w:rsid w:val="007A44F4"/>
    <w:rsid w:val="007A63F2"/>
    <w:rsid w:val="007B0E50"/>
    <w:rsid w:val="007B3588"/>
    <w:rsid w:val="007B65C8"/>
    <w:rsid w:val="007B68DE"/>
    <w:rsid w:val="007C1857"/>
    <w:rsid w:val="007C332E"/>
    <w:rsid w:val="007C4D84"/>
    <w:rsid w:val="007C514F"/>
    <w:rsid w:val="007D0F95"/>
    <w:rsid w:val="007D21A2"/>
    <w:rsid w:val="007D50C3"/>
    <w:rsid w:val="007D5E00"/>
    <w:rsid w:val="007D5FA9"/>
    <w:rsid w:val="007D604E"/>
    <w:rsid w:val="007D7ECB"/>
    <w:rsid w:val="007D7F06"/>
    <w:rsid w:val="007E21F8"/>
    <w:rsid w:val="007E25A1"/>
    <w:rsid w:val="007E3153"/>
    <w:rsid w:val="007E4BD2"/>
    <w:rsid w:val="007E68F0"/>
    <w:rsid w:val="007E7145"/>
    <w:rsid w:val="007F29CE"/>
    <w:rsid w:val="007F3916"/>
    <w:rsid w:val="007F53F0"/>
    <w:rsid w:val="007F6741"/>
    <w:rsid w:val="007F6BF0"/>
    <w:rsid w:val="00801179"/>
    <w:rsid w:val="00801492"/>
    <w:rsid w:val="008016D5"/>
    <w:rsid w:val="00802479"/>
    <w:rsid w:val="00803D7A"/>
    <w:rsid w:val="00805372"/>
    <w:rsid w:val="00805A7A"/>
    <w:rsid w:val="00805B7B"/>
    <w:rsid w:val="00806531"/>
    <w:rsid w:val="008071A7"/>
    <w:rsid w:val="00807933"/>
    <w:rsid w:val="008079E9"/>
    <w:rsid w:val="0081293E"/>
    <w:rsid w:val="00814FFB"/>
    <w:rsid w:val="008162F8"/>
    <w:rsid w:val="00820568"/>
    <w:rsid w:val="008213E1"/>
    <w:rsid w:val="0082157A"/>
    <w:rsid w:val="008225EE"/>
    <w:rsid w:val="008234D1"/>
    <w:rsid w:val="008270FC"/>
    <w:rsid w:val="00827C5B"/>
    <w:rsid w:val="00831065"/>
    <w:rsid w:val="00831A80"/>
    <w:rsid w:val="008332C8"/>
    <w:rsid w:val="00833743"/>
    <w:rsid w:val="00833FEF"/>
    <w:rsid w:val="008340A4"/>
    <w:rsid w:val="008346C7"/>
    <w:rsid w:val="00835A7B"/>
    <w:rsid w:val="00836799"/>
    <w:rsid w:val="00837028"/>
    <w:rsid w:val="00837131"/>
    <w:rsid w:val="00840307"/>
    <w:rsid w:val="0084138E"/>
    <w:rsid w:val="00845F57"/>
    <w:rsid w:val="008462C6"/>
    <w:rsid w:val="00850B95"/>
    <w:rsid w:val="00851E60"/>
    <w:rsid w:val="008521E0"/>
    <w:rsid w:val="008525B0"/>
    <w:rsid w:val="00855CC7"/>
    <w:rsid w:val="0086044E"/>
    <w:rsid w:val="0086165D"/>
    <w:rsid w:val="00861891"/>
    <w:rsid w:val="00862FB1"/>
    <w:rsid w:val="0086390D"/>
    <w:rsid w:val="00865706"/>
    <w:rsid w:val="00866B72"/>
    <w:rsid w:val="00867CBC"/>
    <w:rsid w:val="0087139D"/>
    <w:rsid w:val="00872AF1"/>
    <w:rsid w:val="00872B18"/>
    <w:rsid w:val="00876164"/>
    <w:rsid w:val="00876C30"/>
    <w:rsid w:val="00877017"/>
    <w:rsid w:val="008773C0"/>
    <w:rsid w:val="00880364"/>
    <w:rsid w:val="008818A4"/>
    <w:rsid w:val="008859E7"/>
    <w:rsid w:val="00886C4C"/>
    <w:rsid w:val="0088711C"/>
    <w:rsid w:val="008872ED"/>
    <w:rsid w:val="00887D3D"/>
    <w:rsid w:val="00890C84"/>
    <w:rsid w:val="008923E6"/>
    <w:rsid w:val="00892ECF"/>
    <w:rsid w:val="00892F06"/>
    <w:rsid w:val="0089357B"/>
    <w:rsid w:val="00894285"/>
    <w:rsid w:val="00895FF3"/>
    <w:rsid w:val="008A07B1"/>
    <w:rsid w:val="008A0A5C"/>
    <w:rsid w:val="008A1516"/>
    <w:rsid w:val="008A40AE"/>
    <w:rsid w:val="008A4E19"/>
    <w:rsid w:val="008A67C5"/>
    <w:rsid w:val="008A6DA7"/>
    <w:rsid w:val="008A7158"/>
    <w:rsid w:val="008B22E1"/>
    <w:rsid w:val="008B2920"/>
    <w:rsid w:val="008B3C78"/>
    <w:rsid w:val="008B4518"/>
    <w:rsid w:val="008B4AE9"/>
    <w:rsid w:val="008C1474"/>
    <w:rsid w:val="008C2394"/>
    <w:rsid w:val="008C2557"/>
    <w:rsid w:val="008C30AD"/>
    <w:rsid w:val="008C491D"/>
    <w:rsid w:val="008C4E8F"/>
    <w:rsid w:val="008C54AE"/>
    <w:rsid w:val="008C63AD"/>
    <w:rsid w:val="008C75B9"/>
    <w:rsid w:val="008D068E"/>
    <w:rsid w:val="008D068F"/>
    <w:rsid w:val="008D0D63"/>
    <w:rsid w:val="008D0F7A"/>
    <w:rsid w:val="008D132A"/>
    <w:rsid w:val="008D53EF"/>
    <w:rsid w:val="008D5969"/>
    <w:rsid w:val="008D63BE"/>
    <w:rsid w:val="008D753F"/>
    <w:rsid w:val="008E0CFF"/>
    <w:rsid w:val="008E103F"/>
    <w:rsid w:val="008E1A70"/>
    <w:rsid w:val="008E27C8"/>
    <w:rsid w:val="008E5D6B"/>
    <w:rsid w:val="008E6475"/>
    <w:rsid w:val="008E648C"/>
    <w:rsid w:val="008E689B"/>
    <w:rsid w:val="008E69BE"/>
    <w:rsid w:val="008E76F0"/>
    <w:rsid w:val="008E7A40"/>
    <w:rsid w:val="008E7F8B"/>
    <w:rsid w:val="008F060B"/>
    <w:rsid w:val="008F15FE"/>
    <w:rsid w:val="008F2A94"/>
    <w:rsid w:val="008F4DA1"/>
    <w:rsid w:val="008F5187"/>
    <w:rsid w:val="008F51D7"/>
    <w:rsid w:val="008F709C"/>
    <w:rsid w:val="008F7178"/>
    <w:rsid w:val="00900182"/>
    <w:rsid w:val="0090159B"/>
    <w:rsid w:val="00901FC7"/>
    <w:rsid w:val="0090312B"/>
    <w:rsid w:val="00903F41"/>
    <w:rsid w:val="00904873"/>
    <w:rsid w:val="00904961"/>
    <w:rsid w:val="0091260E"/>
    <w:rsid w:val="00913B3B"/>
    <w:rsid w:val="0091467A"/>
    <w:rsid w:val="00916813"/>
    <w:rsid w:val="0091736D"/>
    <w:rsid w:val="009175B0"/>
    <w:rsid w:val="00920397"/>
    <w:rsid w:val="00920E63"/>
    <w:rsid w:val="009236F0"/>
    <w:rsid w:val="00923B92"/>
    <w:rsid w:val="00930731"/>
    <w:rsid w:val="00931001"/>
    <w:rsid w:val="00931863"/>
    <w:rsid w:val="00931905"/>
    <w:rsid w:val="00931C5D"/>
    <w:rsid w:val="00933524"/>
    <w:rsid w:val="00933977"/>
    <w:rsid w:val="00940970"/>
    <w:rsid w:val="00942328"/>
    <w:rsid w:val="0094278D"/>
    <w:rsid w:val="00942DD8"/>
    <w:rsid w:val="00945766"/>
    <w:rsid w:val="00946650"/>
    <w:rsid w:val="0095010A"/>
    <w:rsid w:val="00950A29"/>
    <w:rsid w:val="0095308A"/>
    <w:rsid w:val="009555CE"/>
    <w:rsid w:val="00955AEE"/>
    <w:rsid w:val="00956F14"/>
    <w:rsid w:val="009620FD"/>
    <w:rsid w:val="0096247A"/>
    <w:rsid w:val="00964125"/>
    <w:rsid w:val="0096440D"/>
    <w:rsid w:val="00965716"/>
    <w:rsid w:val="00965F4B"/>
    <w:rsid w:val="009667FE"/>
    <w:rsid w:val="00970576"/>
    <w:rsid w:val="00970F8A"/>
    <w:rsid w:val="00971FB5"/>
    <w:rsid w:val="0097238E"/>
    <w:rsid w:val="00972D2A"/>
    <w:rsid w:val="00974B39"/>
    <w:rsid w:val="009750E6"/>
    <w:rsid w:val="009754A1"/>
    <w:rsid w:val="00975CC5"/>
    <w:rsid w:val="00976328"/>
    <w:rsid w:val="00976625"/>
    <w:rsid w:val="00976B4E"/>
    <w:rsid w:val="00984458"/>
    <w:rsid w:val="00985283"/>
    <w:rsid w:val="00985BAE"/>
    <w:rsid w:val="00986872"/>
    <w:rsid w:val="00987322"/>
    <w:rsid w:val="00987850"/>
    <w:rsid w:val="0099364E"/>
    <w:rsid w:val="009A0687"/>
    <w:rsid w:val="009A0C6D"/>
    <w:rsid w:val="009A0F3B"/>
    <w:rsid w:val="009A152B"/>
    <w:rsid w:val="009A1B37"/>
    <w:rsid w:val="009A1CBA"/>
    <w:rsid w:val="009A2119"/>
    <w:rsid w:val="009A3A36"/>
    <w:rsid w:val="009A72C7"/>
    <w:rsid w:val="009B076B"/>
    <w:rsid w:val="009B0897"/>
    <w:rsid w:val="009B3CA4"/>
    <w:rsid w:val="009B5E16"/>
    <w:rsid w:val="009B6BAE"/>
    <w:rsid w:val="009B715C"/>
    <w:rsid w:val="009B7C7F"/>
    <w:rsid w:val="009C395E"/>
    <w:rsid w:val="009C474B"/>
    <w:rsid w:val="009C48B1"/>
    <w:rsid w:val="009C6046"/>
    <w:rsid w:val="009D0852"/>
    <w:rsid w:val="009D1FBF"/>
    <w:rsid w:val="009D6AE7"/>
    <w:rsid w:val="009E000C"/>
    <w:rsid w:val="009E12C5"/>
    <w:rsid w:val="009E399C"/>
    <w:rsid w:val="009E43C1"/>
    <w:rsid w:val="009E4571"/>
    <w:rsid w:val="009E5105"/>
    <w:rsid w:val="009E6458"/>
    <w:rsid w:val="009E7E95"/>
    <w:rsid w:val="009F04DD"/>
    <w:rsid w:val="009F116F"/>
    <w:rsid w:val="009F2D6D"/>
    <w:rsid w:val="009F329E"/>
    <w:rsid w:val="009F7ED3"/>
    <w:rsid w:val="00A00B97"/>
    <w:rsid w:val="00A01757"/>
    <w:rsid w:val="00A03607"/>
    <w:rsid w:val="00A047FF"/>
    <w:rsid w:val="00A04931"/>
    <w:rsid w:val="00A04998"/>
    <w:rsid w:val="00A04FEF"/>
    <w:rsid w:val="00A0553B"/>
    <w:rsid w:val="00A055B2"/>
    <w:rsid w:val="00A108D9"/>
    <w:rsid w:val="00A11A94"/>
    <w:rsid w:val="00A122CD"/>
    <w:rsid w:val="00A12A32"/>
    <w:rsid w:val="00A13040"/>
    <w:rsid w:val="00A13E91"/>
    <w:rsid w:val="00A14248"/>
    <w:rsid w:val="00A14947"/>
    <w:rsid w:val="00A14B7B"/>
    <w:rsid w:val="00A15843"/>
    <w:rsid w:val="00A22229"/>
    <w:rsid w:val="00A23DC5"/>
    <w:rsid w:val="00A26484"/>
    <w:rsid w:val="00A30D46"/>
    <w:rsid w:val="00A3126D"/>
    <w:rsid w:val="00A34028"/>
    <w:rsid w:val="00A351C1"/>
    <w:rsid w:val="00A351D2"/>
    <w:rsid w:val="00A35568"/>
    <w:rsid w:val="00A35BE2"/>
    <w:rsid w:val="00A36827"/>
    <w:rsid w:val="00A37056"/>
    <w:rsid w:val="00A4352E"/>
    <w:rsid w:val="00A4358F"/>
    <w:rsid w:val="00A46F67"/>
    <w:rsid w:val="00A54AA1"/>
    <w:rsid w:val="00A555AC"/>
    <w:rsid w:val="00A55E54"/>
    <w:rsid w:val="00A568FF"/>
    <w:rsid w:val="00A57223"/>
    <w:rsid w:val="00A57687"/>
    <w:rsid w:val="00A61496"/>
    <w:rsid w:val="00A61833"/>
    <w:rsid w:val="00A624C6"/>
    <w:rsid w:val="00A63CEC"/>
    <w:rsid w:val="00A65FB2"/>
    <w:rsid w:val="00A6753F"/>
    <w:rsid w:val="00A67844"/>
    <w:rsid w:val="00A7031E"/>
    <w:rsid w:val="00A728B1"/>
    <w:rsid w:val="00A73626"/>
    <w:rsid w:val="00A743DF"/>
    <w:rsid w:val="00A763DE"/>
    <w:rsid w:val="00A77877"/>
    <w:rsid w:val="00A803D6"/>
    <w:rsid w:val="00A81282"/>
    <w:rsid w:val="00A82DDC"/>
    <w:rsid w:val="00A8389C"/>
    <w:rsid w:val="00A83A02"/>
    <w:rsid w:val="00A842DB"/>
    <w:rsid w:val="00A851C1"/>
    <w:rsid w:val="00A8542E"/>
    <w:rsid w:val="00A86ADF"/>
    <w:rsid w:val="00A8713F"/>
    <w:rsid w:val="00A91167"/>
    <w:rsid w:val="00A9171C"/>
    <w:rsid w:val="00A92FFD"/>
    <w:rsid w:val="00A94C62"/>
    <w:rsid w:val="00A95975"/>
    <w:rsid w:val="00A969CB"/>
    <w:rsid w:val="00A9708D"/>
    <w:rsid w:val="00AA1BA0"/>
    <w:rsid w:val="00AA2C17"/>
    <w:rsid w:val="00AA30CA"/>
    <w:rsid w:val="00AA4172"/>
    <w:rsid w:val="00AA483F"/>
    <w:rsid w:val="00AA4AB6"/>
    <w:rsid w:val="00AB0978"/>
    <w:rsid w:val="00AB1914"/>
    <w:rsid w:val="00AB44FA"/>
    <w:rsid w:val="00AB5330"/>
    <w:rsid w:val="00AB578E"/>
    <w:rsid w:val="00AB6E26"/>
    <w:rsid w:val="00AB7747"/>
    <w:rsid w:val="00AB79B6"/>
    <w:rsid w:val="00AC2532"/>
    <w:rsid w:val="00AC2902"/>
    <w:rsid w:val="00AC4664"/>
    <w:rsid w:val="00AC4890"/>
    <w:rsid w:val="00AC5110"/>
    <w:rsid w:val="00AC6025"/>
    <w:rsid w:val="00AC6319"/>
    <w:rsid w:val="00AC6D5E"/>
    <w:rsid w:val="00AC71A5"/>
    <w:rsid w:val="00AD14C4"/>
    <w:rsid w:val="00AD1507"/>
    <w:rsid w:val="00AD5A70"/>
    <w:rsid w:val="00AD5CC8"/>
    <w:rsid w:val="00AD738B"/>
    <w:rsid w:val="00AD79FE"/>
    <w:rsid w:val="00AE1220"/>
    <w:rsid w:val="00AE1229"/>
    <w:rsid w:val="00AE19A1"/>
    <w:rsid w:val="00AE1BF4"/>
    <w:rsid w:val="00AE5D97"/>
    <w:rsid w:val="00AE61D1"/>
    <w:rsid w:val="00AE6794"/>
    <w:rsid w:val="00AE769F"/>
    <w:rsid w:val="00AF3EC9"/>
    <w:rsid w:val="00B00DDC"/>
    <w:rsid w:val="00B01110"/>
    <w:rsid w:val="00B02262"/>
    <w:rsid w:val="00B03CEC"/>
    <w:rsid w:val="00B1209F"/>
    <w:rsid w:val="00B12AD0"/>
    <w:rsid w:val="00B15E19"/>
    <w:rsid w:val="00B17683"/>
    <w:rsid w:val="00B17DAA"/>
    <w:rsid w:val="00B224CD"/>
    <w:rsid w:val="00B2368E"/>
    <w:rsid w:val="00B249B1"/>
    <w:rsid w:val="00B24F30"/>
    <w:rsid w:val="00B264E0"/>
    <w:rsid w:val="00B266DC"/>
    <w:rsid w:val="00B30485"/>
    <w:rsid w:val="00B31565"/>
    <w:rsid w:val="00B316A9"/>
    <w:rsid w:val="00B31ABF"/>
    <w:rsid w:val="00B31B70"/>
    <w:rsid w:val="00B335AE"/>
    <w:rsid w:val="00B33B42"/>
    <w:rsid w:val="00B352E1"/>
    <w:rsid w:val="00B35A9D"/>
    <w:rsid w:val="00B37046"/>
    <w:rsid w:val="00B37CE1"/>
    <w:rsid w:val="00B40ACF"/>
    <w:rsid w:val="00B46947"/>
    <w:rsid w:val="00B46BAA"/>
    <w:rsid w:val="00B47216"/>
    <w:rsid w:val="00B50B5F"/>
    <w:rsid w:val="00B5106A"/>
    <w:rsid w:val="00B518A3"/>
    <w:rsid w:val="00B54128"/>
    <w:rsid w:val="00B54DBC"/>
    <w:rsid w:val="00B55826"/>
    <w:rsid w:val="00B56F61"/>
    <w:rsid w:val="00B60426"/>
    <w:rsid w:val="00B61019"/>
    <w:rsid w:val="00B622DD"/>
    <w:rsid w:val="00B63522"/>
    <w:rsid w:val="00B653E7"/>
    <w:rsid w:val="00B724B5"/>
    <w:rsid w:val="00B76F1D"/>
    <w:rsid w:val="00B822F2"/>
    <w:rsid w:val="00B8435F"/>
    <w:rsid w:val="00B87844"/>
    <w:rsid w:val="00B9140B"/>
    <w:rsid w:val="00B92A19"/>
    <w:rsid w:val="00B94514"/>
    <w:rsid w:val="00B9455E"/>
    <w:rsid w:val="00B9544C"/>
    <w:rsid w:val="00B9600B"/>
    <w:rsid w:val="00B97146"/>
    <w:rsid w:val="00BA29E9"/>
    <w:rsid w:val="00BA317E"/>
    <w:rsid w:val="00BA4DAF"/>
    <w:rsid w:val="00BA5D06"/>
    <w:rsid w:val="00BA7554"/>
    <w:rsid w:val="00BB0AB2"/>
    <w:rsid w:val="00BB0AC8"/>
    <w:rsid w:val="00BB0E35"/>
    <w:rsid w:val="00BB173A"/>
    <w:rsid w:val="00BB239A"/>
    <w:rsid w:val="00BB3618"/>
    <w:rsid w:val="00BB37AA"/>
    <w:rsid w:val="00BB3ABF"/>
    <w:rsid w:val="00BB3D26"/>
    <w:rsid w:val="00BB6322"/>
    <w:rsid w:val="00BC0344"/>
    <w:rsid w:val="00BC0C9E"/>
    <w:rsid w:val="00BC32DC"/>
    <w:rsid w:val="00BC3C2D"/>
    <w:rsid w:val="00BC3DDB"/>
    <w:rsid w:val="00BC5164"/>
    <w:rsid w:val="00BC5F4D"/>
    <w:rsid w:val="00BC6FD7"/>
    <w:rsid w:val="00BD07A1"/>
    <w:rsid w:val="00BD1B51"/>
    <w:rsid w:val="00BD28A9"/>
    <w:rsid w:val="00BD47F6"/>
    <w:rsid w:val="00BD6683"/>
    <w:rsid w:val="00BE0BB0"/>
    <w:rsid w:val="00BE312D"/>
    <w:rsid w:val="00BE3FCA"/>
    <w:rsid w:val="00BE4C84"/>
    <w:rsid w:val="00BE6878"/>
    <w:rsid w:val="00BF3903"/>
    <w:rsid w:val="00BF3A05"/>
    <w:rsid w:val="00BF6F78"/>
    <w:rsid w:val="00C00CC7"/>
    <w:rsid w:val="00C02E21"/>
    <w:rsid w:val="00C05719"/>
    <w:rsid w:val="00C075F8"/>
    <w:rsid w:val="00C07FDA"/>
    <w:rsid w:val="00C10578"/>
    <w:rsid w:val="00C10A9C"/>
    <w:rsid w:val="00C1145E"/>
    <w:rsid w:val="00C11B50"/>
    <w:rsid w:val="00C12799"/>
    <w:rsid w:val="00C127B3"/>
    <w:rsid w:val="00C12ED6"/>
    <w:rsid w:val="00C13397"/>
    <w:rsid w:val="00C14559"/>
    <w:rsid w:val="00C14969"/>
    <w:rsid w:val="00C15CDE"/>
    <w:rsid w:val="00C16D15"/>
    <w:rsid w:val="00C17D62"/>
    <w:rsid w:val="00C2177C"/>
    <w:rsid w:val="00C21FDC"/>
    <w:rsid w:val="00C23165"/>
    <w:rsid w:val="00C236A3"/>
    <w:rsid w:val="00C24EE7"/>
    <w:rsid w:val="00C25793"/>
    <w:rsid w:val="00C2596A"/>
    <w:rsid w:val="00C2614B"/>
    <w:rsid w:val="00C271BE"/>
    <w:rsid w:val="00C273F7"/>
    <w:rsid w:val="00C27425"/>
    <w:rsid w:val="00C31A2C"/>
    <w:rsid w:val="00C31DEE"/>
    <w:rsid w:val="00C328FE"/>
    <w:rsid w:val="00C32C35"/>
    <w:rsid w:val="00C33A05"/>
    <w:rsid w:val="00C33BAC"/>
    <w:rsid w:val="00C35EA1"/>
    <w:rsid w:val="00C360B9"/>
    <w:rsid w:val="00C4072F"/>
    <w:rsid w:val="00C410DD"/>
    <w:rsid w:val="00C41DCA"/>
    <w:rsid w:val="00C423D4"/>
    <w:rsid w:val="00C42472"/>
    <w:rsid w:val="00C42500"/>
    <w:rsid w:val="00C42789"/>
    <w:rsid w:val="00C4409D"/>
    <w:rsid w:val="00C455BE"/>
    <w:rsid w:val="00C468AC"/>
    <w:rsid w:val="00C51E5F"/>
    <w:rsid w:val="00C56A95"/>
    <w:rsid w:val="00C606CB"/>
    <w:rsid w:val="00C6199C"/>
    <w:rsid w:val="00C61CB8"/>
    <w:rsid w:val="00C61E4B"/>
    <w:rsid w:val="00C62E3A"/>
    <w:rsid w:val="00C63422"/>
    <w:rsid w:val="00C63EB3"/>
    <w:rsid w:val="00C64503"/>
    <w:rsid w:val="00C64A1F"/>
    <w:rsid w:val="00C64BFF"/>
    <w:rsid w:val="00C66E1E"/>
    <w:rsid w:val="00C74DD0"/>
    <w:rsid w:val="00C75082"/>
    <w:rsid w:val="00C763C9"/>
    <w:rsid w:val="00C77D11"/>
    <w:rsid w:val="00C80004"/>
    <w:rsid w:val="00C80057"/>
    <w:rsid w:val="00C801C0"/>
    <w:rsid w:val="00C80AB1"/>
    <w:rsid w:val="00C81D5B"/>
    <w:rsid w:val="00C82C79"/>
    <w:rsid w:val="00C834FB"/>
    <w:rsid w:val="00C8452D"/>
    <w:rsid w:val="00C84753"/>
    <w:rsid w:val="00C87917"/>
    <w:rsid w:val="00C91611"/>
    <w:rsid w:val="00C91878"/>
    <w:rsid w:val="00C92684"/>
    <w:rsid w:val="00C9698E"/>
    <w:rsid w:val="00C96F25"/>
    <w:rsid w:val="00CA1DA4"/>
    <w:rsid w:val="00CA3585"/>
    <w:rsid w:val="00CA3D5A"/>
    <w:rsid w:val="00CA43D9"/>
    <w:rsid w:val="00CA4B4C"/>
    <w:rsid w:val="00CA4C7C"/>
    <w:rsid w:val="00CA61D1"/>
    <w:rsid w:val="00CA6556"/>
    <w:rsid w:val="00CB0183"/>
    <w:rsid w:val="00CB1EA3"/>
    <w:rsid w:val="00CB2A5B"/>
    <w:rsid w:val="00CB49AB"/>
    <w:rsid w:val="00CB5194"/>
    <w:rsid w:val="00CB552C"/>
    <w:rsid w:val="00CB610C"/>
    <w:rsid w:val="00CB6A9E"/>
    <w:rsid w:val="00CB7A4B"/>
    <w:rsid w:val="00CC1271"/>
    <w:rsid w:val="00CC148F"/>
    <w:rsid w:val="00CC1E4F"/>
    <w:rsid w:val="00CC2B74"/>
    <w:rsid w:val="00CC590D"/>
    <w:rsid w:val="00CC6181"/>
    <w:rsid w:val="00CC77E7"/>
    <w:rsid w:val="00CC7E43"/>
    <w:rsid w:val="00CC7FF1"/>
    <w:rsid w:val="00CD1FEF"/>
    <w:rsid w:val="00CD2889"/>
    <w:rsid w:val="00CD2BCD"/>
    <w:rsid w:val="00CD30E7"/>
    <w:rsid w:val="00CD36AA"/>
    <w:rsid w:val="00CD3791"/>
    <w:rsid w:val="00CD65B0"/>
    <w:rsid w:val="00CD7B15"/>
    <w:rsid w:val="00CE02CD"/>
    <w:rsid w:val="00CE10E9"/>
    <w:rsid w:val="00CE17FF"/>
    <w:rsid w:val="00CE22CE"/>
    <w:rsid w:val="00CE2512"/>
    <w:rsid w:val="00CE2721"/>
    <w:rsid w:val="00CE394F"/>
    <w:rsid w:val="00CE40BA"/>
    <w:rsid w:val="00CE5321"/>
    <w:rsid w:val="00CE541F"/>
    <w:rsid w:val="00CE768B"/>
    <w:rsid w:val="00CF3255"/>
    <w:rsid w:val="00CF3436"/>
    <w:rsid w:val="00CF534E"/>
    <w:rsid w:val="00D0072E"/>
    <w:rsid w:val="00D02247"/>
    <w:rsid w:val="00D03B6F"/>
    <w:rsid w:val="00D05299"/>
    <w:rsid w:val="00D05659"/>
    <w:rsid w:val="00D05F06"/>
    <w:rsid w:val="00D06201"/>
    <w:rsid w:val="00D1243E"/>
    <w:rsid w:val="00D15727"/>
    <w:rsid w:val="00D16332"/>
    <w:rsid w:val="00D17911"/>
    <w:rsid w:val="00D24972"/>
    <w:rsid w:val="00D2515E"/>
    <w:rsid w:val="00D30254"/>
    <w:rsid w:val="00D308ED"/>
    <w:rsid w:val="00D32732"/>
    <w:rsid w:val="00D328B8"/>
    <w:rsid w:val="00D34D5B"/>
    <w:rsid w:val="00D36990"/>
    <w:rsid w:val="00D36C6C"/>
    <w:rsid w:val="00D36FAE"/>
    <w:rsid w:val="00D43B3F"/>
    <w:rsid w:val="00D43FAC"/>
    <w:rsid w:val="00D464FB"/>
    <w:rsid w:val="00D47A52"/>
    <w:rsid w:val="00D47CB0"/>
    <w:rsid w:val="00D55A17"/>
    <w:rsid w:val="00D56178"/>
    <w:rsid w:val="00D562BE"/>
    <w:rsid w:val="00D56C01"/>
    <w:rsid w:val="00D56CF0"/>
    <w:rsid w:val="00D56F5C"/>
    <w:rsid w:val="00D5762C"/>
    <w:rsid w:val="00D57B8E"/>
    <w:rsid w:val="00D60BC6"/>
    <w:rsid w:val="00D676FA"/>
    <w:rsid w:val="00D6772D"/>
    <w:rsid w:val="00D704A6"/>
    <w:rsid w:val="00D704B1"/>
    <w:rsid w:val="00D70A54"/>
    <w:rsid w:val="00D70AC6"/>
    <w:rsid w:val="00D70B63"/>
    <w:rsid w:val="00D722E6"/>
    <w:rsid w:val="00D72356"/>
    <w:rsid w:val="00D72B92"/>
    <w:rsid w:val="00D72ED4"/>
    <w:rsid w:val="00D73F61"/>
    <w:rsid w:val="00D7447E"/>
    <w:rsid w:val="00D75490"/>
    <w:rsid w:val="00D754C0"/>
    <w:rsid w:val="00D776A2"/>
    <w:rsid w:val="00D7772E"/>
    <w:rsid w:val="00D77D29"/>
    <w:rsid w:val="00D801C4"/>
    <w:rsid w:val="00D8042E"/>
    <w:rsid w:val="00D81871"/>
    <w:rsid w:val="00D81E88"/>
    <w:rsid w:val="00D83415"/>
    <w:rsid w:val="00D90836"/>
    <w:rsid w:val="00D90D5F"/>
    <w:rsid w:val="00D92DF1"/>
    <w:rsid w:val="00D95896"/>
    <w:rsid w:val="00D95CC6"/>
    <w:rsid w:val="00DA0870"/>
    <w:rsid w:val="00DA0CF0"/>
    <w:rsid w:val="00DA1B87"/>
    <w:rsid w:val="00DA25B8"/>
    <w:rsid w:val="00DA2D36"/>
    <w:rsid w:val="00DA2DA3"/>
    <w:rsid w:val="00DA6147"/>
    <w:rsid w:val="00DA6615"/>
    <w:rsid w:val="00DA76AE"/>
    <w:rsid w:val="00DA7C61"/>
    <w:rsid w:val="00DB12F7"/>
    <w:rsid w:val="00DB181E"/>
    <w:rsid w:val="00DB1C7A"/>
    <w:rsid w:val="00DB2983"/>
    <w:rsid w:val="00DB343D"/>
    <w:rsid w:val="00DB3ED7"/>
    <w:rsid w:val="00DB5579"/>
    <w:rsid w:val="00DB5CFE"/>
    <w:rsid w:val="00DB65B5"/>
    <w:rsid w:val="00DB7C00"/>
    <w:rsid w:val="00DC0728"/>
    <w:rsid w:val="00DC0835"/>
    <w:rsid w:val="00DC0919"/>
    <w:rsid w:val="00DC173B"/>
    <w:rsid w:val="00DC1807"/>
    <w:rsid w:val="00DC3AE7"/>
    <w:rsid w:val="00DC416A"/>
    <w:rsid w:val="00DC4E5F"/>
    <w:rsid w:val="00DC552C"/>
    <w:rsid w:val="00DC5FA0"/>
    <w:rsid w:val="00DC72A6"/>
    <w:rsid w:val="00DD0DCE"/>
    <w:rsid w:val="00DD2113"/>
    <w:rsid w:val="00DD265E"/>
    <w:rsid w:val="00DD3E2E"/>
    <w:rsid w:val="00DD4D55"/>
    <w:rsid w:val="00DE1A8E"/>
    <w:rsid w:val="00DE337F"/>
    <w:rsid w:val="00DE444B"/>
    <w:rsid w:val="00DE6136"/>
    <w:rsid w:val="00DE706A"/>
    <w:rsid w:val="00DF0374"/>
    <w:rsid w:val="00DF1930"/>
    <w:rsid w:val="00DF2D20"/>
    <w:rsid w:val="00DF514A"/>
    <w:rsid w:val="00DF58FD"/>
    <w:rsid w:val="00E0358D"/>
    <w:rsid w:val="00E036F0"/>
    <w:rsid w:val="00E0415D"/>
    <w:rsid w:val="00E04D33"/>
    <w:rsid w:val="00E06327"/>
    <w:rsid w:val="00E10A48"/>
    <w:rsid w:val="00E10B20"/>
    <w:rsid w:val="00E13802"/>
    <w:rsid w:val="00E13C75"/>
    <w:rsid w:val="00E14049"/>
    <w:rsid w:val="00E14546"/>
    <w:rsid w:val="00E14642"/>
    <w:rsid w:val="00E2064B"/>
    <w:rsid w:val="00E20CE4"/>
    <w:rsid w:val="00E221C8"/>
    <w:rsid w:val="00E237AA"/>
    <w:rsid w:val="00E23B0E"/>
    <w:rsid w:val="00E25239"/>
    <w:rsid w:val="00E253E9"/>
    <w:rsid w:val="00E265B1"/>
    <w:rsid w:val="00E26901"/>
    <w:rsid w:val="00E275B0"/>
    <w:rsid w:val="00E3010E"/>
    <w:rsid w:val="00E30D0F"/>
    <w:rsid w:val="00E31250"/>
    <w:rsid w:val="00E31B00"/>
    <w:rsid w:val="00E3235D"/>
    <w:rsid w:val="00E34789"/>
    <w:rsid w:val="00E3722F"/>
    <w:rsid w:val="00E409B0"/>
    <w:rsid w:val="00E41196"/>
    <w:rsid w:val="00E412D0"/>
    <w:rsid w:val="00E4462C"/>
    <w:rsid w:val="00E4580A"/>
    <w:rsid w:val="00E47CDB"/>
    <w:rsid w:val="00E50F3D"/>
    <w:rsid w:val="00E53E22"/>
    <w:rsid w:val="00E566BC"/>
    <w:rsid w:val="00E568B7"/>
    <w:rsid w:val="00E56FA6"/>
    <w:rsid w:val="00E578E7"/>
    <w:rsid w:val="00E60982"/>
    <w:rsid w:val="00E60C8D"/>
    <w:rsid w:val="00E6162F"/>
    <w:rsid w:val="00E6303B"/>
    <w:rsid w:val="00E6311B"/>
    <w:rsid w:val="00E65D97"/>
    <w:rsid w:val="00E675D1"/>
    <w:rsid w:val="00E67EFD"/>
    <w:rsid w:val="00E702DC"/>
    <w:rsid w:val="00E711B8"/>
    <w:rsid w:val="00E71FFB"/>
    <w:rsid w:val="00E74C26"/>
    <w:rsid w:val="00E76D1D"/>
    <w:rsid w:val="00E7714C"/>
    <w:rsid w:val="00E806F8"/>
    <w:rsid w:val="00E80F50"/>
    <w:rsid w:val="00E81481"/>
    <w:rsid w:val="00E82FAC"/>
    <w:rsid w:val="00E83715"/>
    <w:rsid w:val="00E84570"/>
    <w:rsid w:val="00E87752"/>
    <w:rsid w:val="00E8793B"/>
    <w:rsid w:val="00E87E35"/>
    <w:rsid w:val="00E90F81"/>
    <w:rsid w:val="00E91A6D"/>
    <w:rsid w:val="00E91D64"/>
    <w:rsid w:val="00E9242D"/>
    <w:rsid w:val="00E92623"/>
    <w:rsid w:val="00E93859"/>
    <w:rsid w:val="00E93BAB"/>
    <w:rsid w:val="00E963DA"/>
    <w:rsid w:val="00E9668C"/>
    <w:rsid w:val="00EA0F3F"/>
    <w:rsid w:val="00EA1020"/>
    <w:rsid w:val="00EA294E"/>
    <w:rsid w:val="00EA2A94"/>
    <w:rsid w:val="00EA3AFF"/>
    <w:rsid w:val="00EA7FD8"/>
    <w:rsid w:val="00EB041C"/>
    <w:rsid w:val="00EB0D89"/>
    <w:rsid w:val="00EB1E8A"/>
    <w:rsid w:val="00EB212D"/>
    <w:rsid w:val="00EB3771"/>
    <w:rsid w:val="00EB3AD0"/>
    <w:rsid w:val="00EC0FB8"/>
    <w:rsid w:val="00EC13C1"/>
    <w:rsid w:val="00EC5874"/>
    <w:rsid w:val="00EC7641"/>
    <w:rsid w:val="00ED192D"/>
    <w:rsid w:val="00ED30B4"/>
    <w:rsid w:val="00ED31F5"/>
    <w:rsid w:val="00ED71FE"/>
    <w:rsid w:val="00EE11C2"/>
    <w:rsid w:val="00EE1D17"/>
    <w:rsid w:val="00EE2A10"/>
    <w:rsid w:val="00EE3181"/>
    <w:rsid w:val="00EE55F0"/>
    <w:rsid w:val="00EE64AD"/>
    <w:rsid w:val="00EF0F94"/>
    <w:rsid w:val="00EF2759"/>
    <w:rsid w:val="00EF40BE"/>
    <w:rsid w:val="00EF45EB"/>
    <w:rsid w:val="00EF5099"/>
    <w:rsid w:val="00EF5E33"/>
    <w:rsid w:val="00EF6C9B"/>
    <w:rsid w:val="00EF7CC1"/>
    <w:rsid w:val="00F00075"/>
    <w:rsid w:val="00F025D4"/>
    <w:rsid w:val="00F06CF7"/>
    <w:rsid w:val="00F07822"/>
    <w:rsid w:val="00F0786C"/>
    <w:rsid w:val="00F10F72"/>
    <w:rsid w:val="00F12C78"/>
    <w:rsid w:val="00F1375D"/>
    <w:rsid w:val="00F15C95"/>
    <w:rsid w:val="00F15CF5"/>
    <w:rsid w:val="00F169C6"/>
    <w:rsid w:val="00F177DE"/>
    <w:rsid w:val="00F20E02"/>
    <w:rsid w:val="00F22985"/>
    <w:rsid w:val="00F22A51"/>
    <w:rsid w:val="00F241AB"/>
    <w:rsid w:val="00F24D9B"/>
    <w:rsid w:val="00F24E28"/>
    <w:rsid w:val="00F27A8C"/>
    <w:rsid w:val="00F30B52"/>
    <w:rsid w:val="00F31382"/>
    <w:rsid w:val="00F318A9"/>
    <w:rsid w:val="00F33186"/>
    <w:rsid w:val="00F33571"/>
    <w:rsid w:val="00F340EB"/>
    <w:rsid w:val="00F35829"/>
    <w:rsid w:val="00F35BF3"/>
    <w:rsid w:val="00F35CC2"/>
    <w:rsid w:val="00F3736C"/>
    <w:rsid w:val="00F374A0"/>
    <w:rsid w:val="00F40ADC"/>
    <w:rsid w:val="00F41279"/>
    <w:rsid w:val="00F41650"/>
    <w:rsid w:val="00F42868"/>
    <w:rsid w:val="00F42E01"/>
    <w:rsid w:val="00F43F46"/>
    <w:rsid w:val="00F4553D"/>
    <w:rsid w:val="00F45A2E"/>
    <w:rsid w:val="00F465A7"/>
    <w:rsid w:val="00F50B7C"/>
    <w:rsid w:val="00F51F80"/>
    <w:rsid w:val="00F5202D"/>
    <w:rsid w:val="00F52CF6"/>
    <w:rsid w:val="00F54496"/>
    <w:rsid w:val="00F55546"/>
    <w:rsid w:val="00F61097"/>
    <w:rsid w:val="00F6180D"/>
    <w:rsid w:val="00F62B8A"/>
    <w:rsid w:val="00F72F10"/>
    <w:rsid w:val="00F73B96"/>
    <w:rsid w:val="00F74345"/>
    <w:rsid w:val="00F74441"/>
    <w:rsid w:val="00F746CF"/>
    <w:rsid w:val="00F75D41"/>
    <w:rsid w:val="00F76842"/>
    <w:rsid w:val="00F772C2"/>
    <w:rsid w:val="00F77553"/>
    <w:rsid w:val="00F77F30"/>
    <w:rsid w:val="00F82589"/>
    <w:rsid w:val="00F82B19"/>
    <w:rsid w:val="00F84449"/>
    <w:rsid w:val="00F84F84"/>
    <w:rsid w:val="00F85846"/>
    <w:rsid w:val="00F90AA7"/>
    <w:rsid w:val="00F9212D"/>
    <w:rsid w:val="00F92155"/>
    <w:rsid w:val="00F93A36"/>
    <w:rsid w:val="00F95851"/>
    <w:rsid w:val="00FA0419"/>
    <w:rsid w:val="00FA082D"/>
    <w:rsid w:val="00FA301A"/>
    <w:rsid w:val="00FA406A"/>
    <w:rsid w:val="00FA5CB6"/>
    <w:rsid w:val="00FA7777"/>
    <w:rsid w:val="00FA7C49"/>
    <w:rsid w:val="00FB04E2"/>
    <w:rsid w:val="00FB3979"/>
    <w:rsid w:val="00FB4434"/>
    <w:rsid w:val="00FB55A6"/>
    <w:rsid w:val="00FB78C9"/>
    <w:rsid w:val="00FC1538"/>
    <w:rsid w:val="00FC3956"/>
    <w:rsid w:val="00FC66AC"/>
    <w:rsid w:val="00FC73B8"/>
    <w:rsid w:val="00FC7F39"/>
    <w:rsid w:val="00FD18F4"/>
    <w:rsid w:val="00FD3150"/>
    <w:rsid w:val="00FD3B7D"/>
    <w:rsid w:val="00FD7146"/>
    <w:rsid w:val="00FD74B4"/>
    <w:rsid w:val="00FE0D31"/>
    <w:rsid w:val="00FE19D8"/>
    <w:rsid w:val="00FE2970"/>
    <w:rsid w:val="00FE56F0"/>
    <w:rsid w:val="00FE7994"/>
    <w:rsid w:val="00FF1A5B"/>
    <w:rsid w:val="00FF293D"/>
    <w:rsid w:val="00FF2F3B"/>
    <w:rsid w:val="00FF3B00"/>
    <w:rsid w:val="00FF6FCE"/>
    <w:rsid w:val="00FF7518"/>
    <w:rsid w:val="00FF7C40"/>
    <w:rsid w:val="00FF7FD8"/>
    <w:rsid w:val="03EB794A"/>
    <w:rsid w:val="053B26FC"/>
    <w:rsid w:val="05742AC8"/>
    <w:rsid w:val="06352F05"/>
    <w:rsid w:val="063E7D85"/>
    <w:rsid w:val="070875E0"/>
    <w:rsid w:val="07293586"/>
    <w:rsid w:val="07295285"/>
    <w:rsid w:val="07770C56"/>
    <w:rsid w:val="092217DD"/>
    <w:rsid w:val="093A7294"/>
    <w:rsid w:val="0BD27BF6"/>
    <w:rsid w:val="0D4264EF"/>
    <w:rsid w:val="0E110D06"/>
    <w:rsid w:val="0F13775A"/>
    <w:rsid w:val="0F9A112B"/>
    <w:rsid w:val="106D2F64"/>
    <w:rsid w:val="10B63710"/>
    <w:rsid w:val="111C2F7A"/>
    <w:rsid w:val="113013DE"/>
    <w:rsid w:val="122B06C2"/>
    <w:rsid w:val="13951726"/>
    <w:rsid w:val="14396509"/>
    <w:rsid w:val="1447165C"/>
    <w:rsid w:val="17210560"/>
    <w:rsid w:val="17735226"/>
    <w:rsid w:val="18504D21"/>
    <w:rsid w:val="1A1C66C0"/>
    <w:rsid w:val="1A42393B"/>
    <w:rsid w:val="1B046F80"/>
    <w:rsid w:val="1B3267B5"/>
    <w:rsid w:val="1BC25DC8"/>
    <w:rsid w:val="1C5E7925"/>
    <w:rsid w:val="1C887FC8"/>
    <w:rsid w:val="1D5F6196"/>
    <w:rsid w:val="1D6132A5"/>
    <w:rsid w:val="1D8E56D5"/>
    <w:rsid w:val="1E7A43DA"/>
    <w:rsid w:val="1EB277FE"/>
    <w:rsid w:val="1FE7539E"/>
    <w:rsid w:val="20963CB8"/>
    <w:rsid w:val="20B07FB6"/>
    <w:rsid w:val="213B74B1"/>
    <w:rsid w:val="215A2310"/>
    <w:rsid w:val="21DE318A"/>
    <w:rsid w:val="21EF5B80"/>
    <w:rsid w:val="22576990"/>
    <w:rsid w:val="229C4EAB"/>
    <w:rsid w:val="24E53122"/>
    <w:rsid w:val="252D53FE"/>
    <w:rsid w:val="25EC2D81"/>
    <w:rsid w:val="264528BD"/>
    <w:rsid w:val="27D15DD1"/>
    <w:rsid w:val="28A76295"/>
    <w:rsid w:val="29206EB8"/>
    <w:rsid w:val="29E325E0"/>
    <w:rsid w:val="2A452503"/>
    <w:rsid w:val="2BA936A8"/>
    <w:rsid w:val="2C315A5A"/>
    <w:rsid w:val="2D9E56F5"/>
    <w:rsid w:val="2E667F96"/>
    <w:rsid w:val="2E8226AB"/>
    <w:rsid w:val="2F832C79"/>
    <w:rsid w:val="2FEF2D58"/>
    <w:rsid w:val="30580BC9"/>
    <w:rsid w:val="311E2ED7"/>
    <w:rsid w:val="315C449C"/>
    <w:rsid w:val="31B82709"/>
    <w:rsid w:val="32400B34"/>
    <w:rsid w:val="329E6876"/>
    <w:rsid w:val="33D934D4"/>
    <w:rsid w:val="33FE2F6A"/>
    <w:rsid w:val="3421166A"/>
    <w:rsid w:val="36074A7F"/>
    <w:rsid w:val="36923549"/>
    <w:rsid w:val="36B75FBF"/>
    <w:rsid w:val="36FB4891"/>
    <w:rsid w:val="38F12CD3"/>
    <w:rsid w:val="38F94775"/>
    <w:rsid w:val="392971ED"/>
    <w:rsid w:val="3B3763D1"/>
    <w:rsid w:val="3CDA245A"/>
    <w:rsid w:val="3CEE0A37"/>
    <w:rsid w:val="3ED02F28"/>
    <w:rsid w:val="3F660E74"/>
    <w:rsid w:val="407A6407"/>
    <w:rsid w:val="423A3BCC"/>
    <w:rsid w:val="433A6FE6"/>
    <w:rsid w:val="4350713C"/>
    <w:rsid w:val="436653E0"/>
    <w:rsid w:val="44CD14E0"/>
    <w:rsid w:val="458946E9"/>
    <w:rsid w:val="46D955A7"/>
    <w:rsid w:val="47133957"/>
    <w:rsid w:val="4779329E"/>
    <w:rsid w:val="47A07E0C"/>
    <w:rsid w:val="4870272E"/>
    <w:rsid w:val="49DC7715"/>
    <w:rsid w:val="4A023139"/>
    <w:rsid w:val="4A7B576F"/>
    <w:rsid w:val="4C4A0649"/>
    <w:rsid w:val="4CE470D3"/>
    <w:rsid w:val="4DEC4FB0"/>
    <w:rsid w:val="4E075D8A"/>
    <w:rsid w:val="4FC62A8C"/>
    <w:rsid w:val="4FE20F0D"/>
    <w:rsid w:val="50504C4B"/>
    <w:rsid w:val="509C6E7C"/>
    <w:rsid w:val="5162104E"/>
    <w:rsid w:val="53277AE1"/>
    <w:rsid w:val="53A039CC"/>
    <w:rsid w:val="53A1505A"/>
    <w:rsid w:val="54063E08"/>
    <w:rsid w:val="543437E8"/>
    <w:rsid w:val="559B174B"/>
    <w:rsid w:val="55CE0CF4"/>
    <w:rsid w:val="56B22A9C"/>
    <w:rsid w:val="57B72A76"/>
    <w:rsid w:val="5A3C747D"/>
    <w:rsid w:val="5ABE2233"/>
    <w:rsid w:val="5B276D18"/>
    <w:rsid w:val="5BDF5D95"/>
    <w:rsid w:val="5DF87A0F"/>
    <w:rsid w:val="5F1A2B43"/>
    <w:rsid w:val="5FB837BB"/>
    <w:rsid w:val="62364782"/>
    <w:rsid w:val="62C90A59"/>
    <w:rsid w:val="63D40BE9"/>
    <w:rsid w:val="63E0211F"/>
    <w:rsid w:val="65373578"/>
    <w:rsid w:val="673F2C7A"/>
    <w:rsid w:val="681F6961"/>
    <w:rsid w:val="68610A2F"/>
    <w:rsid w:val="68805514"/>
    <w:rsid w:val="694E2071"/>
    <w:rsid w:val="697A3B33"/>
    <w:rsid w:val="699E2456"/>
    <w:rsid w:val="6B322639"/>
    <w:rsid w:val="6C636C38"/>
    <w:rsid w:val="6DB34098"/>
    <w:rsid w:val="6DB545B6"/>
    <w:rsid w:val="6E4375A0"/>
    <w:rsid w:val="6E514CED"/>
    <w:rsid w:val="6E79491A"/>
    <w:rsid w:val="6EB563D5"/>
    <w:rsid w:val="6F225983"/>
    <w:rsid w:val="6FFC5590"/>
    <w:rsid w:val="70301DA3"/>
    <w:rsid w:val="706D1DD0"/>
    <w:rsid w:val="70856B87"/>
    <w:rsid w:val="70D527EE"/>
    <w:rsid w:val="715B5300"/>
    <w:rsid w:val="715F4BD7"/>
    <w:rsid w:val="71D27F8A"/>
    <w:rsid w:val="71F744C6"/>
    <w:rsid w:val="71F960CF"/>
    <w:rsid w:val="731F5D5E"/>
    <w:rsid w:val="741C621B"/>
    <w:rsid w:val="741E793C"/>
    <w:rsid w:val="758D75E2"/>
    <w:rsid w:val="77762421"/>
    <w:rsid w:val="780F09F4"/>
    <w:rsid w:val="789C4F47"/>
    <w:rsid w:val="78A90480"/>
    <w:rsid w:val="79282963"/>
    <w:rsid w:val="79811327"/>
    <w:rsid w:val="7A364017"/>
    <w:rsid w:val="7A8265E1"/>
    <w:rsid w:val="7B686D42"/>
    <w:rsid w:val="7B841746"/>
    <w:rsid w:val="7D0239FF"/>
    <w:rsid w:val="7D5E40CD"/>
    <w:rsid w:val="7D693BED"/>
    <w:rsid w:val="7FE47E50"/>
  </w:rsids>
  <w:docVars>
    <w:docVar w:name="commondata" w:val="eyJoZGlkIjoiZWIzM2I5NWQzYWI1MmVmYTk4MGZjYWMyZDUwMjdkNmEifQ=="/>
  </w:docVars>
  <w:uiCompat97To2003/>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semiHidden="0" w:uiPriority="0" w:unhideWhenUsed="0" w:qFormat="1"/>
    <w:lsdException w:name="footnote text" w:semiHidden="0" w:uiPriority="0" w:unhideWhenUsed="0"/>
    <w:lsdException w:name="annotation text" w:uiPriority="0" w:unhideWhenUsed="0"/>
    <w:lsdException w:name="header" w:semiHidden="0" w:uiPriority="0" w:unhideWhenUsed="0"/>
    <w:lsdException w:name="footer" w:semiHidden="0" w:unhideWhenUsed="0"/>
    <w:lsdException w:name="index heading" w:semiHidden="0" w:uiPriority="0" w:unhideWhenUsed="0"/>
    <w:lsdException w:name="caption" w:locked="1"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qFormat="1"/>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locked="1"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locked="1"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locked="1" w:semiHidden="0" w:uiPriority="0" w:unhideWhenUsed="0" w:qFormat="1"/>
    <w:lsdException w:name="Emphasis" w:locked="1"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59" w:unhideWhenUsed="0"/>
    <w:lsdException w:name="Table Theme" w:semiHidden="0"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overflowPunct w:val="0"/>
      <w:snapToGrid w:val="0"/>
      <w:spacing w:before="120" w:after="160" w:line="259" w:lineRule="auto"/>
      <w:ind w:left="432" w:hanging="432"/>
      <w:outlineLvl w:val="0"/>
    </w:pPr>
    <w:rPr>
      <w:rFonts w:eastAsia="黑体"/>
      <w:b/>
      <w:bCs/>
      <w:color w:val="000000"/>
      <w:kern w:val="44"/>
      <w:sz w:val="30"/>
      <w:szCs w:val="30"/>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NormalIndent">
    <w:name w:val="Normal Indent"/>
    <w:basedOn w:val="Normal"/>
    <w:qFormat/>
    <w:pPr>
      <w:ind w:firstLine="420"/>
    </w:pPr>
    <w:rPr>
      <w:szCs w:val="20"/>
    </w:rPr>
  </w:style>
  <w:style w:type="paragraph" w:styleId="CommentText">
    <w:name w:val="annotation text"/>
    <w:basedOn w:val="Normal"/>
    <w:link w:val="Char"/>
    <w:semiHidden/>
    <w:pPr>
      <w:jc w:val="left"/>
    </w:pPr>
    <w:rPr>
      <w:kern w:val="0"/>
      <w:sz w:val="20"/>
    </w:rPr>
  </w:style>
  <w:style w:type="character" w:customStyle="1" w:styleId="Char">
    <w:name w:val="批注文字 Char"/>
    <w:link w:val="CommentText"/>
    <w:locked/>
    <w:rPr>
      <w:rFonts w:ascii="Times New Roman" w:eastAsia="宋体" w:hAnsi="Times New Roman"/>
      <w:sz w:val="24"/>
    </w:rPr>
  </w:style>
  <w:style w:type="paragraph" w:styleId="BodyText">
    <w:name w:val="Body Text"/>
    <w:basedOn w:val="Normal"/>
    <w:link w:val="Char0"/>
    <w:pPr>
      <w:widowControl/>
      <w:snapToGrid w:val="0"/>
      <w:spacing w:before="60" w:after="160" w:line="259" w:lineRule="auto"/>
      <w:ind w:right="113"/>
    </w:pPr>
    <w:rPr>
      <w:kern w:val="0"/>
      <w:sz w:val="18"/>
      <w:szCs w:val="18"/>
    </w:rPr>
  </w:style>
  <w:style w:type="character" w:customStyle="1" w:styleId="Char0">
    <w:name w:val="正文文本 Char"/>
    <w:link w:val="BodyText"/>
    <w:locked/>
    <w:rPr>
      <w:sz w:val="18"/>
    </w:rPr>
  </w:style>
  <w:style w:type="paragraph" w:styleId="BodyTextIndent">
    <w:name w:val="Body Text Indent"/>
    <w:basedOn w:val="Normal"/>
    <w:link w:val="Char1"/>
    <w:semiHidden/>
    <w:pPr>
      <w:spacing w:after="120"/>
      <w:ind w:left="420" w:leftChars="200"/>
    </w:pPr>
  </w:style>
  <w:style w:type="character" w:customStyle="1" w:styleId="Char1">
    <w:name w:val="正文文本缩进 Char"/>
    <w:link w:val="BodyTextIndent"/>
    <w:semiHidden/>
    <w:locked/>
    <w:rPr>
      <w:rFonts w:ascii="Times New Roman" w:eastAsia="宋体" w:hAnsi="Times New Roman" w:cs="Times New Roman"/>
      <w:sz w:val="24"/>
      <w:szCs w:val="24"/>
    </w:rPr>
  </w:style>
  <w:style w:type="paragraph" w:styleId="Date">
    <w:name w:val="Date"/>
    <w:basedOn w:val="Normal"/>
    <w:next w:val="Normal"/>
    <w:link w:val="Char2"/>
    <w:pPr>
      <w:ind w:left="100" w:leftChars="2500"/>
    </w:pPr>
    <w:rPr>
      <w:kern w:val="0"/>
      <w:sz w:val="20"/>
    </w:rPr>
  </w:style>
  <w:style w:type="character" w:customStyle="1" w:styleId="Char2">
    <w:name w:val="日期 Char"/>
    <w:link w:val="Date"/>
    <w:locked/>
    <w:rPr>
      <w:rFonts w:ascii="Times New Roman" w:eastAsia="宋体" w:hAnsi="Times New Roman"/>
      <w:sz w:val="24"/>
    </w:rPr>
  </w:style>
  <w:style w:type="paragraph" w:styleId="EndnoteText">
    <w:name w:val="endnote text"/>
    <w:basedOn w:val="Normal"/>
    <w:link w:val="Char3"/>
    <w:pPr>
      <w:snapToGrid w:val="0"/>
      <w:jc w:val="left"/>
    </w:pPr>
  </w:style>
  <w:style w:type="character" w:customStyle="1" w:styleId="Char3">
    <w:name w:val="尾注文本 Char"/>
    <w:link w:val="EndnoteText"/>
    <w:rPr>
      <w:kern w:val="2"/>
      <w:sz w:val="21"/>
      <w:szCs w:val="24"/>
    </w:rPr>
  </w:style>
  <w:style w:type="paragraph" w:styleId="BalloonText">
    <w:name w:val="Balloon Text"/>
    <w:basedOn w:val="Normal"/>
    <w:link w:val="Char4"/>
    <w:semiHidden/>
    <w:rPr>
      <w:sz w:val="18"/>
      <w:szCs w:val="18"/>
    </w:rPr>
  </w:style>
  <w:style w:type="character" w:customStyle="1" w:styleId="Char4">
    <w:name w:val="批注框文本 Char"/>
    <w:link w:val="BalloonText"/>
    <w:semiHidden/>
    <w:locked/>
    <w:rPr>
      <w:rFonts w:ascii="Times New Roman" w:eastAsia="宋体" w:hAnsi="Times New Roman" w:cs="Times New Roman"/>
      <w:sz w:val="18"/>
      <w:szCs w:val="18"/>
    </w:rPr>
  </w:style>
  <w:style w:type="paragraph" w:styleId="Footer">
    <w:name w:val="footer"/>
    <w:basedOn w:val="Normal"/>
    <w:link w:val="Char5"/>
    <w:uiPriority w:val="99"/>
    <w:pPr>
      <w:tabs>
        <w:tab w:val="center" w:pos="4153"/>
        <w:tab w:val="right" w:pos="8306"/>
      </w:tabs>
      <w:snapToGrid w:val="0"/>
      <w:jc w:val="left"/>
    </w:pPr>
    <w:rPr>
      <w:sz w:val="18"/>
      <w:szCs w:val="18"/>
    </w:rPr>
  </w:style>
  <w:style w:type="character" w:customStyle="1" w:styleId="Char5">
    <w:name w:val="页脚 Char"/>
    <w:link w:val="Footer"/>
    <w:uiPriority w:val="99"/>
    <w:locked/>
    <w:rPr>
      <w:rFonts w:cs="Times New Roman"/>
      <w:sz w:val="18"/>
      <w:szCs w:val="18"/>
    </w:rPr>
  </w:style>
  <w:style w:type="paragraph" w:styleId="Header">
    <w:name w:val="header"/>
    <w:basedOn w:val="Normal"/>
    <w:link w:val="Char6"/>
    <w:pPr>
      <w:pBdr>
        <w:bottom w:val="single" w:sz="6" w:space="1" w:color="auto"/>
      </w:pBdr>
      <w:tabs>
        <w:tab w:val="center" w:pos="4153"/>
        <w:tab w:val="right" w:pos="8306"/>
      </w:tabs>
      <w:snapToGrid w:val="0"/>
      <w:jc w:val="center"/>
    </w:pPr>
    <w:rPr>
      <w:sz w:val="18"/>
      <w:szCs w:val="18"/>
    </w:rPr>
  </w:style>
  <w:style w:type="character" w:customStyle="1" w:styleId="Char6">
    <w:name w:val="页眉 Char"/>
    <w:link w:val="Header"/>
    <w:locked/>
    <w:rPr>
      <w:rFonts w:cs="Times New Roman"/>
      <w:sz w:val="18"/>
      <w:szCs w:val="18"/>
    </w:rPr>
  </w:style>
  <w:style w:type="paragraph" w:styleId="BodyText2">
    <w:name w:val="Body Text 2"/>
    <w:basedOn w:val="Normal"/>
    <w:link w:val="2Char"/>
    <w:pPr>
      <w:spacing w:after="120" w:line="480" w:lineRule="auto"/>
    </w:pPr>
  </w:style>
  <w:style w:type="character" w:customStyle="1" w:styleId="2Char">
    <w:name w:val="正文文本 2 Char"/>
    <w:link w:val="BodyText2"/>
    <w:rPr>
      <w:kern w:val="2"/>
      <w:sz w:val="21"/>
      <w:szCs w:val="24"/>
    </w:rPr>
  </w:style>
  <w:style w:type="paragraph" w:styleId="NormalWeb">
    <w:name w:val="Normal (Web)"/>
    <w:basedOn w:val="Normal"/>
    <w:link w:val="Char10"/>
    <w:qFormat/>
    <w:pPr>
      <w:widowControl/>
      <w:spacing w:before="100" w:beforeAutospacing="1" w:after="100" w:afterAutospacing="1"/>
      <w:jc w:val="left"/>
    </w:pPr>
    <w:rPr>
      <w:rFonts w:ascii="宋体" w:hAnsi="宋体"/>
      <w:kern w:val="0"/>
      <w:sz w:val="24"/>
    </w:rPr>
  </w:style>
  <w:style w:type="character" w:customStyle="1" w:styleId="Char10">
    <w:name w:val="普通(网站) Char1"/>
    <w:link w:val="NormalWeb"/>
    <w:locked/>
    <w:rPr>
      <w:rFonts w:ascii="宋体" w:eastAsia="宋体" w:hAnsi="宋体"/>
      <w:sz w:val="24"/>
    </w:rPr>
  </w:style>
  <w:style w:type="paragraph" w:styleId="CommentSubject">
    <w:name w:val="annotation subject"/>
    <w:basedOn w:val="CommentText"/>
    <w:next w:val="CommentText"/>
    <w:link w:val="Char7"/>
    <w:semiHidden/>
    <w:rPr>
      <w:b/>
      <w:bCs/>
    </w:rPr>
  </w:style>
  <w:style w:type="character" w:customStyle="1" w:styleId="Char7">
    <w:name w:val="批注主题 Char"/>
    <w:link w:val="CommentSubject"/>
    <w:semiHidden/>
    <w:locked/>
    <w:rPr>
      <w:rFonts w:ascii="Times New Roman" w:eastAsia="宋体" w:hAnsi="Times New Roman" w:cs="Times New Roman"/>
      <w:b/>
      <w:bCs/>
      <w:kern w:val="2"/>
      <w:sz w:val="24"/>
      <w:szCs w:val="24"/>
    </w:rPr>
  </w:style>
  <w:style w:type="paragraph" w:styleId="BodyTextFirstIndent2">
    <w:name w:val="Body Text First Indent 2"/>
    <w:basedOn w:val="BodyTextIndent"/>
    <w:link w:val="2Char0"/>
    <w:pPr>
      <w:ind w:firstLine="420" w:firstLineChars="200"/>
    </w:pPr>
  </w:style>
  <w:style w:type="character" w:customStyle="1" w:styleId="2Char0">
    <w:name w:val="正文首行缩进 2 Char"/>
    <w:link w:val="BodyTextFirstIndent2"/>
    <w:rPr>
      <w:rFonts w:ascii="Times New Roman" w:eastAsia="宋体" w:hAnsi="Times New Roman" w:cs="Times New Roman"/>
      <w:kern w:val="2"/>
      <w:sz w:val="21"/>
      <w:szCs w:val="24"/>
    </w:rPr>
  </w:style>
  <w:style w:type="table" w:styleId="TableGrid">
    <w:name w:val="Table Grid"/>
    <w:basedOn w:val="TableNormal"/>
    <w:uiPriority w:val="59"/>
    <w:rPr>
      <w:lang w:val="en-US" w:eastAsia="zh-C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rPr>
      <w:vertAlign w:val="superscript"/>
    </w:rPr>
  </w:style>
  <w:style w:type="character" w:styleId="PageNumber">
    <w:name w:val="page number"/>
  </w:style>
  <w:style w:type="character" w:styleId="CommentReference">
    <w:name w:val="annotation reference"/>
    <w:qFormat/>
    <w:rPr>
      <w:sz w:val="21"/>
    </w:rPr>
  </w:style>
  <w:style w:type="character" w:customStyle="1" w:styleId="a">
    <w:name w:val="日期 字符"/>
    <w:semiHidden/>
    <w:rPr>
      <w:rFonts w:ascii="Times New Roman" w:eastAsia="宋体" w:hAnsi="Times New Roman" w:cs="Times New Roman"/>
      <w:sz w:val="24"/>
      <w:szCs w:val="24"/>
    </w:rPr>
  </w:style>
  <w:style w:type="character" w:customStyle="1" w:styleId="1">
    <w:name w:val="正文文本 字符1"/>
    <w:semiHidden/>
    <w:rPr>
      <w:rFonts w:ascii="Times New Roman" w:eastAsia="宋体" w:hAnsi="Times New Roman" w:cs="Times New Roman"/>
      <w:sz w:val="24"/>
      <w:szCs w:val="24"/>
    </w:rPr>
  </w:style>
  <w:style w:type="paragraph" w:customStyle="1" w:styleId="2">
    <w:name w:val="普通(网站)2"/>
    <w:basedOn w:val="Normal"/>
    <w:pPr>
      <w:widowControl/>
      <w:spacing w:before="100" w:beforeAutospacing="1" w:after="100" w:afterAutospacing="1"/>
      <w:jc w:val="left"/>
    </w:pPr>
    <w:rPr>
      <w:rFonts w:ascii="宋体" w:hAnsi="宋体"/>
      <w:sz w:val="24"/>
      <w:szCs w:val="20"/>
    </w:rPr>
  </w:style>
  <w:style w:type="character" w:customStyle="1" w:styleId="Char8">
    <w:name w:val="表格 Char"/>
    <w:link w:val="a0"/>
    <w:qFormat/>
    <w:locked/>
    <w:rPr>
      <w:rFonts w:ascii="宋体"/>
      <w:sz w:val="21"/>
    </w:rPr>
  </w:style>
  <w:style w:type="paragraph" w:customStyle="1" w:styleId="a0">
    <w:name w:val="表格"/>
    <w:basedOn w:val="Normal"/>
    <w:next w:val="Normal"/>
    <w:link w:val="Char8"/>
    <w:qFormat/>
    <w:pPr>
      <w:adjustRightInd w:val="0"/>
      <w:snapToGrid w:val="0"/>
      <w:spacing w:beforeLines="10" w:afterLines="10" w:line="259" w:lineRule="auto"/>
      <w:jc w:val="center"/>
    </w:pPr>
    <w:rPr>
      <w:rFonts w:ascii="宋体"/>
      <w:kern w:val="0"/>
      <w:sz w:val="20"/>
      <w:szCs w:val="21"/>
    </w:rPr>
  </w:style>
  <w:style w:type="character" w:customStyle="1" w:styleId="10">
    <w:name w:val="批注文字 字符1"/>
    <w:semiHidden/>
    <w:rPr>
      <w:rFonts w:ascii="Times New Roman" w:eastAsia="宋体" w:hAnsi="Times New Roman" w:cs="Times New Roman"/>
      <w:sz w:val="24"/>
      <w:szCs w:val="24"/>
    </w:rPr>
  </w:style>
  <w:style w:type="character" w:customStyle="1" w:styleId="Char9">
    <w:name w:val="普通(网站) Char"/>
    <w:locked/>
    <w:rPr>
      <w:rFonts w:ascii="宋体" w:eastAsia="宋体" w:hAnsi="宋体"/>
      <w:sz w:val="24"/>
    </w:rPr>
  </w:style>
  <w:style w:type="paragraph" w:customStyle="1" w:styleId="Default">
    <w:name w:val="Default"/>
    <w:qFormat/>
    <w:pPr>
      <w:widowControl w:val="0"/>
      <w:autoSpaceDE w:val="0"/>
      <w:autoSpaceDN w:val="0"/>
      <w:adjustRightInd w:val="0"/>
    </w:pPr>
    <w:rPr>
      <w:rFonts w:ascii="黑体" w:eastAsia="黑体" w:cs="黑体"/>
      <w:color w:val="000000"/>
      <w:sz w:val="24"/>
      <w:szCs w:val="24"/>
      <w:lang w:val="en-US" w:eastAsia="zh-CN" w:bidi="ar-SA"/>
    </w:rPr>
  </w:style>
  <w:style w:type="paragraph" w:customStyle="1" w:styleId="20">
    <w:name w:val="正文文本 (2)"/>
    <w:basedOn w:val="Normal"/>
    <w:link w:val="21"/>
    <w:uiPriority w:val="99"/>
    <w:unhideWhenUsed/>
    <w:qFormat/>
    <w:pPr>
      <w:shd w:val="clear" w:color="auto" w:fill="FFFFFF"/>
      <w:spacing w:after="60" w:line="240" w:lineRule="atLeast"/>
      <w:ind w:hanging="100"/>
      <w:jc w:val="center"/>
    </w:pPr>
    <w:rPr>
      <w:rFonts w:ascii="微软雅黑" w:eastAsia="微软雅黑" w:hAnsi="微软雅黑"/>
      <w:spacing w:val="10"/>
      <w:sz w:val="19"/>
      <w:szCs w:val="20"/>
    </w:rPr>
  </w:style>
  <w:style w:type="character" w:customStyle="1" w:styleId="21">
    <w:name w:val="正文文本 (2)_"/>
    <w:link w:val="20"/>
    <w:uiPriority w:val="99"/>
    <w:unhideWhenUsed/>
    <w:qFormat/>
    <w:rPr>
      <w:rFonts w:ascii="微软雅黑" w:eastAsia="微软雅黑" w:hAnsi="微软雅黑"/>
      <w:spacing w:val="10"/>
      <w:kern w:val="2"/>
      <w:sz w:val="19"/>
      <w:shd w:val="clear" w:color="auto" w:fill="FFFFFF"/>
    </w:rPr>
  </w:style>
  <w:style w:type="paragraph" w:customStyle="1" w:styleId="a1">
    <w:name w:val="三塘湖"/>
    <w:basedOn w:val="Normal"/>
    <w:qFormat/>
    <w:pPr>
      <w:spacing w:line="500" w:lineRule="exact"/>
      <w:ind w:firstLine="200" w:firstLineChars="200"/>
      <w:jc w:val="left"/>
    </w:pPr>
    <w:rPr>
      <w:rFonts w:ascii="Arial Narrow" w:eastAsia="汉鼎简书宋" w:hAnsi="Arial Narrow"/>
      <w:bCs/>
      <w:sz w:val="24"/>
    </w:rPr>
  </w:style>
  <w:style w:type="paragraph" w:customStyle="1" w:styleId="11">
    <w:name w:val="列出段落1"/>
    <w:basedOn w:val="Normal"/>
    <w:qFormat/>
    <w:pPr>
      <w:ind w:firstLine="420" w:firstLineChars="200"/>
    </w:pPr>
    <w:rPr>
      <w:szCs w:val="20"/>
    </w:rPr>
  </w:style>
  <w:style w:type="paragraph" w:customStyle="1" w:styleId="099152">
    <w:name w:val="样式 首行缩进:  0.99 厘米 行距: 1.5 倍行距2"/>
    <w:basedOn w:val="Normal"/>
    <w:qFormat/>
    <w:pPr>
      <w:adjustRightInd w:val="0"/>
      <w:snapToGrid w:val="0"/>
      <w:jc w:val="center"/>
    </w:pPr>
    <w:rPr>
      <w:rFonts w:ascii="宋体" w:hAnsi="宋体"/>
      <w:color w:val="FF0000"/>
      <w:szCs w:val="21"/>
    </w:rPr>
  </w:style>
  <w:style w:type="paragraph" w:customStyle="1" w:styleId="TableParagraph">
    <w:name w:val="Table Paragraph"/>
    <w:basedOn w:val="Normal"/>
    <w:uiPriority w:val="1"/>
    <w:qFormat/>
    <w:pPr>
      <w:jc w:val="left"/>
    </w:pPr>
    <w:rPr>
      <w:rFonts w:ascii="Calibri" w:eastAsia="Calibri" w:hAnsi="Calibri"/>
      <w:kern w:val="0"/>
      <w:sz w:val="22"/>
      <w:szCs w:val="22"/>
    </w:rPr>
  </w:style>
  <w:style w:type="character" w:customStyle="1" w:styleId="Char11">
    <w:name w:val="表 Char"/>
    <w:link w:val="a2"/>
    <w:qFormat/>
    <w:rPr>
      <w:sz w:val="24"/>
    </w:rPr>
  </w:style>
  <w:style w:type="paragraph" w:customStyle="1" w:styleId="a2">
    <w:name w:val="表"/>
    <w:link w:val="Char11"/>
    <w:qFormat/>
    <w:pPr>
      <w:spacing w:line="440" w:lineRule="exact"/>
      <w:ind w:firstLine="200" w:firstLineChars="200"/>
      <w:jc w:val="both"/>
    </w:pPr>
    <w:rPr>
      <w:sz w:val="24"/>
      <w:lang w:val="en-US" w:eastAsia="zh-CN" w:bidi="ar-SA"/>
    </w:rPr>
  </w:style>
  <w:style w:type="character" w:customStyle="1" w:styleId="Char20">
    <w:name w:val="君邦正文 Char2"/>
    <w:link w:val="a3"/>
    <w:rPr>
      <w:bCs/>
      <w:snapToGrid/>
      <w:sz w:val="24"/>
    </w:rPr>
  </w:style>
  <w:style w:type="paragraph" w:customStyle="1" w:styleId="a3">
    <w:name w:val="君邦正文"/>
    <w:link w:val="Char20"/>
    <w:pPr>
      <w:spacing w:after="60" w:line="360" w:lineRule="auto"/>
      <w:ind w:firstLine="480" w:firstLineChars="200"/>
      <w:jc w:val="both"/>
    </w:pPr>
    <w:rPr>
      <w:bCs/>
      <w:snapToGrid w:val="0"/>
      <w:sz w:val="24"/>
      <w:lang w:val="en-US" w:eastAsia="zh-CN" w:bidi="ar-SA"/>
    </w:rPr>
  </w:style>
  <w:style w:type="character" w:customStyle="1" w:styleId="CharChar">
    <w:name w:val="引用文章 Char Char"/>
    <w:link w:val="a4"/>
    <w:qFormat/>
    <w:rPr>
      <w:rFonts w:ascii="Calibri" w:eastAsia="楷体_GB2312" w:hAnsi="Calibri" w:cs="黑体"/>
      <w:kern w:val="2"/>
      <w:sz w:val="24"/>
      <w:szCs w:val="22"/>
    </w:rPr>
  </w:style>
  <w:style w:type="paragraph" w:customStyle="1" w:styleId="a4">
    <w:name w:val="引用文章"/>
    <w:basedOn w:val="Normal"/>
    <w:link w:val="CharChar"/>
    <w:qFormat/>
    <w:pPr>
      <w:spacing w:line="360" w:lineRule="auto"/>
      <w:ind w:firstLine="420" w:firstLineChars="200"/>
    </w:pPr>
    <w:rPr>
      <w:rFonts w:ascii="Calibri" w:eastAsia="楷体_GB2312" w:hAnsi="Calibri" w:cs="黑体"/>
      <w:sz w:val="24"/>
      <w:szCs w:val="22"/>
    </w:rPr>
  </w:style>
  <w:style w:type="paragraph" w:customStyle="1" w:styleId="Char12">
    <w:name w:val="小标题 Char"/>
    <w:basedOn w:val="Normal"/>
    <w:pPr>
      <w:spacing w:before="120" w:after="120"/>
      <w:ind w:firstLine="100" w:firstLineChars="100"/>
    </w:pPr>
    <w:rPr>
      <w:rFonts w:eastAsia="楷体_GB2312"/>
      <w:b/>
      <w:bCs/>
      <w:sz w:val="28"/>
      <w:szCs w:val="28"/>
    </w:rPr>
  </w:style>
  <w:style w:type="character" w:customStyle="1" w:styleId="10CharChar">
    <w:name w:val="样式10 Char Char"/>
    <w:link w:val="100"/>
    <w:rPr>
      <w:rFonts w:ascii="宋体" w:hAnsi="宋体"/>
      <w:sz w:val="24"/>
      <w:szCs w:val="24"/>
    </w:rPr>
  </w:style>
  <w:style w:type="paragraph" w:customStyle="1" w:styleId="100">
    <w:name w:val="样式10"/>
    <w:basedOn w:val="Normal"/>
    <w:link w:val="10CharChar"/>
    <w:pPr>
      <w:spacing w:line="360" w:lineRule="auto"/>
      <w:ind w:firstLine="480" w:firstLineChars="200"/>
    </w:pPr>
    <w:rPr>
      <w:rFonts w:ascii="宋体" w:hAnsi="宋体"/>
      <w:kern w:val="0"/>
      <w:sz w:val="24"/>
    </w:rPr>
  </w:style>
  <w:style w:type="character" w:customStyle="1" w:styleId="Char13">
    <w:name w:val="表头、图名 Char"/>
    <w:link w:val="a5"/>
    <w:rPr>
      <w:b/>
      <w:sz w:val="24"/>
    </w:rPr>
  </w:style>
  <w:style w:type="paragraph" w:customStyle="1" w:styleId="a5">
    <w:name w:val="表头、图名"/>
    <w:basedOn w:val="BodyText"/>
    <w:link w:val="Char13"/>
    <w:pPr>
      <w:snapToGrid/>
      <w:spacing w:before="0" w:after="0" w:line="480" w:lineRule="exact"/>
      <w:ind w:right="0"/>
      <w:jc w:val="left"/>
    </w:pPr>
    <w:rPr>
      <w:b/>
      <w:sz w:val="24"/>
      <w:szCs w:val="20"/>
    </w:rPr>
  </w:style>
  <w:style w:type="paragraph" w:customStyle="1" w:styleId="a6">
    <w:name w:val="表格内文字格式"/>
    <w:basedOn w:val="Normal"/>
    <w:next w:val="Normal"/>
    <w:qFormat/>
    <w:pPr>
      <w:spacing w:line="360" w:lineRule="auto"/>
      <w:ind w:right="-49" w:firstLine="436" w:rightChars="-26" w:firstLineChars="200"/>
      <w:jc w:val="left"/>
    </w:pPr>
    <w:rPr>
      <w:rFonts w:ascii="Arial" w:hAnsi="Arial" w:cs="Arial"/>
      <w:bCs/>
      <w:kern w:val="10"/>
      <w:sz w:val="24"/>
      <w:szCs w:val="21"/>
    </w:rPr>
  </w:style>
  <w:style w:type="paragraph" w:customStyle="1" w:styleId="BodyTextFirstIndent21">
    <w:name w:val="Body Text First Indent 21"/>
    <w:basedOn w:val="Normal"/>
    <w:next w:val="Default"/>
    <w:qFormat/>
    <w:pPr>
      <w:tabs>
        <w:tab w:val="left" w:pos="6615"/>
      </w:tabs>
      <w:ind w:firstLine="200" w:firstLineChars="200"/>
    </w:pPr>
    <w:rPr>
      <w:sz w:val="24"/>
    </w:rPr>
  </w:style>
  <w:style w:type="paragraph" w:styleId="NoSpacing">
    <w:name w:val="No Spacing"/>
    <w:link w:val="Char14"/>
    <w:uiPriority w:val="1"/>
    <w:qFormat/>
    <w:pPr>
      <w:widowControl w:val="0"/>
      <w:jc w:val="both"/>
    </w:pPr>
    <w:rPr>
      <w:kern w:val="2"/>
      <w:sz w:val="21"/>
      <w:szCs w:val="22"/>
      <w:lang w:val="en-US" w:eastAsia="zh-CN" w:bidi="ar-SA"/>
    </w:rPr>
  </w:style>
  <w:style w:type="character" w:customStyle="1" w:styleId="Char14">
    <w:name w:val="无间隔 Char"/>
    <w:link w:val="NoSpacing"/>
    <w:uiPriority w:val="1"/>
    <w:qFormat/>
    <w:rPr>
      <w:kern w:val="2"/>
      <w:sz w:val="21"/>
      <w:szCs w:val="22"/>
    </w:rPr>
  </w:style>
  <w:style w:type="paragraph" w:customStyle="1" w:styleId="a7">
    <w:name w:val="图文框"/>
    <w:basedOn w:val="Normal"/>
    <w:qFormat/>
    <w:pPr>
      <w:spacing w:line="240" w:lineRule="exact"/>
      <w:jc w:val="center"/>
    </w:pPr>
    <w:rPr>
      <w:spacing w:val="-2"/>
      <w:szCs w:val="21"/>
    </w:rPr>
  </w:style>
  <w:style w:type="table" w:customStyle="1" w:styleId="12">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footer" Target="footer29.xml" /><Relationship Id="rId33" Type="http://schemas.openxmlformats.org/officeDocument/2006/relationships/footer" Target="footer30.xml" /><Relationship Id="rId34" Type="http://schemas.openxmlformats.org/officeDocument/2006/relationships/footer" Target="footer31.xml" /><Relationship Id="rId35" Type="http://schemas.openxmlformats.org/officeDocument/2006/relationships/footer" Target="footer32.xml" /><Relationship Id="rId36" Type="http://schemas.openxmlformats.org/officeDocument/2006/relationships/footer" Target="footer33.xml" /><Relationship Id="rId37" Type="http://schemas.openxmlformats.org/officeDocument/2006/relationships/footer" Target="footer34.xml" /><Relationship Id="rId38" Type="http://schemas.openxmlformats.org/officeDocument/2006/relationships/footer" Target="footer35.xml" /><Relationship Id="rId39" Type="http://schemas.openxmlformats.org/officeDocument/2006/relationships/footer" Target="footer36.xml" /><Relationship Id="rId4" Type="http://schemas.openxmlformats.org/officeDocument/2006/relationships/footer" Target="footer1.xml" /><Relationship Id="rId40" Type="http://schemas.openxmlformats.org/officeDocument/2006/relationships/image" Target="media/image1.png" /><Relationship Id="rId41" Type="http://schemas.openxmlformats.org/officeDocument/2006/relationships/footer" Target="footer37.xml" /><Relationship Id="rId42" Type="http://schemas.openxmlformats.org/officeDocument/2006/relationships/footer" Target="footer38.xml" /><Relationship Id="rId43" Type="http://schemas.openxmlformats.org/officeDocument/2006/relationships/image" Target="media/image2.png" /><Relationship Id="rId44" Type="http://schemas.openxmlformats.org/officeDocument/2006/relationships/image" Target="media/image3.png" /><Relationship Id="rId45" Type="http://schemas.openxmlformats.org/officeDocument/2006/relationships/image" Target="media/image4.png" /><Relationship Id="rId46" Type="http://schemas.openxmlformats.org/officeDocument/2006/relationships/footer" Target="footer39.xml" /><Relationship Id="rId47" Type="http://schemas.openxmlformats.org/officeDocument/2006/relationships/footer" Target="footer40.xml" /><Relationship Id="rId48" Type="http://schemas.openxmlformats.org/officeDocument/2006/relationships/footer" Target="footer41.xml" /><Relationship Id="rId49" Type="http://schemas.openxmlformats.org/officeDocument/2006/relationships/footer" Target="footer42.xml" /><Relationship Id="rId5" Type="http://schemas.openxmlformats.org/officeDocument/2006/relationships/footer" Target="footer2.xml" /><Relationship Id="rId50" Type="http://schemas.openxmlformats.org/officeDocument/2006/relationships/footer" Target="footer43.xml" /><Relationship Id="rId51" Type="http://schemas.openxmlformats.org/officeDocument/2006/relationships/footer" Target="footer44.xml" /><Relationship Id="rId52" Type="http://schemas.openxmlformats.org/officeDocument/2006/relationships/image" Target="media/image5.png" /><Relationship Id="rId53" Type="http://schemas.openxmlformats.org/officeDocument/2006/relationships/footer" Target="footer45.xml" /><Relationship Id="rId54" Type="http://schemas.openxmlformats.org/officeDocument/2006/relationships/footer" Target="footer46.xml" /><Relationship Id="rId55" Type="http://schemas.openxmlformats.org/officeDocument/2006/relationships/footer" Target="footer47.xml" /><Relationship Id="rId56" Type="http://schemas.openxmlformats.org/officeDocument/2006/relationships/footer" Target="footer48.xml" /><Relationship Id="rId57" Type="http://schemas.openxmlformats.org/officeDocument/2006/relationships/footer" Target="footer49.xml" /><Relationship Id="rId58" Type="http://schemas.openxmlformats.org/officeDocument/2006/relationships/footer" Target="footer50.xml" /><Relationship Id="rId59" Type="http://schemas.openxmlformats.org/officeDocument/2006/relationships/image" Target="media/image6.png" /><Relationship Id="rId6" Type="http://schemas.openxmlformats.org/officeDocument/2006/relationships/footer" Target="footer3.xml" /><Relationship Id="rId60" Type="http://schemas.openxmlformats.org/officeDocument/2006/relationships/footer" Target="footer51.xml" /><Relationship Id="rId61" Type="http://schemas.openxmlformats.org/officeDocument/2006/relationships/footer" Target="footer52.xml" /><Relationship Id="rId62" Type="http://schemas.openxmlformats.org/officeDocument/2006/relationships/footer" Target="footer53.xml" /><Relationship Id="rId63" Type="http://schemas.openxmlformats.org/officeDocument/2006/relationships/footer" Target="footer54.xml" /><Relationship Id="rId64" Type="http://schemas.openxmlformats.org/officeDocument/2006/relationships/footer" Target="footer55.xml" /><Relationship Id="rId65" Type="http://schemas.openxmlformats.org/officeDocument/2006/relationships/footer" Target="footer56.xml" /><Relationship Id="rId66" Type="http://schemas.openxmlformats.org/officeDocument/2006/relationships/footer" Target="footer57.xml" /><Relationship Id="rId67" Type="http://schemas.openxmlformats.org/officeDocument/2006/relationships/footer" Target="footer58.xml" /><Relationship Id="rId68" Type="http://schemas.openxmlformats.org/officeDocument/2006/relationships/footer" Target="footer59.xml" /><Relationship Id="rId69" Type="http://schemas.openxmlformats.org/officeDocument/2006/relationships/footer" Target="footer60.xml" /><Relationship Id="rId7" Type="http://schemas.openxmlformats.org/officeDocument/2006/relationships/footer" Target="footer4.xml" /><Relationship Id="rId70" Type="http://schemas.openxmlformats.org/officeDocument/2006/relationships/footer" Target="footer61.xml" /><Relationship Id="rId71" Type="http://schemas.openxmlformats.org/officeDocument/2006/relationships/footer" Target="footer62.xml" /><Relationship Id="rId72" Type="http://schemas.openxmlformats.org/officeDocument/2006/relationships/footer" Target="footer63.xml" /><Relationship Id="rId73" Type="http://schemas.openxmlformats.org/officeDocument/2006/relationships/footer" Target="footer64.xml" /><Relationship Id="rId74" Type="http://schemas.openxmlformats.org/officeDocument/2006/relationships/footer" Target="footer65.xml" /><Relationship Id="rId75" Type="http://schemas.openxmlformats.org/officeDocument/2006/relationships/footer" Target="footer66.xml" /><Relationship Id="rId76" Type="http://schemas.openxmlformats.org/officeDocument/2006/relationships/footer" Target="footer67.xml" /><Relationship Id="rId77" Type="http://schemas.openxmlformats.org/officeDocument/2006/relationships/footer" Target="footer68.xml" /><Relationship Id="rId78" Type="http://schemas.openxmlformats.org/officeDocument/2006/relationships/footer" Target="footer69.xml" /><Relationship Id="rId79" Type="http://schemas.openxmlformats.org/officeDocument/2006/relationships/footer" Target="footer70.xml" /><Relationship Id="rId8" Type="http://schemas.openxmlformats.org/officeDocument/2006/relationships/footer" Target="footer5.xml" /><Relationship Id="rId80" Type="http://schemas.openxmlformats.org/officeDocument/2006/relationships/footer" Target="footer71.xml" /><Relationship Id="rId81" Type="http://schemas.openxmlformats.org/officeDocument/2006/relationships/footer" Target="footer72.xml" /><Relationship Id="rId82" Type="http://schemas.openxmlformats.org/officeDocument/2006/relationships/footer" Target="footer73.xml" /><Relationship Id="rId83" Type="http://schemas.openxmlformats.org/officeDocument/2006/relationships/footer" Target="footer74.xml" /><Relationship Id="rId84" Type="http://schemas.openxmlformats.org/officeDocument/2006/relationships/footer" Target="footer75.xml" /><Relationship Id="rId85" Type="http://schemas.openxmlformats.org/officeDocument/2006/relationships/footer" Target="footer76.xml" /><Relationship Id="rId86" Type="http://schemas.openxmlformats.org/officeDocument/2006/relationships/footer" Target="footer77.xml" /><Relationship Id="rId87" Type="http://schemas.openxmlformats.org/officeDocument/2006/relationships/footer" Target="footer78.xml" /><Relationship Id="rId88" Type="http://schemas.openxmlformats.org/officeDocument/2006/relationships/hyperlink" Target="https://d.book118.com/936232021041010054" TargetMode="External" /><Relationship Id="rId89" Type="http://schemas.openxmlformats.org/officeDocument/2006/relationships/footer" Target="footer79.xml" /><Relationship Id="rId9" Type="http://schemas.openxmlformats.org/officeDocument/2006/relationships/footer" Target="footer6.xml" /><Relationship Id="rId90" Type="http://schemas.openxmlformats.org/officeDocument/2006/relationships/footer" Target="footer80.xml" /><Relationship Id="rId91" Type="http://schemas.openxmlformats.org/officeDocument/2006/relationships/theme" Target="theme/theme1.xml" /><Relationship Id="rId92" Type="http://schemas.openxmlformats.org/officeDocument/2006/relationships/numbering" Target="numbering.xml" /><Relationship Id="rId93"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157261920</TotalTime>
  <Pages>47</Pages>
  <Words>9382</Words>
  <Characters>53482</Characters>
  <Application>Microsoft Office Word</Application>
  <DocSecurity>0</DocSecurity>
  <Lines>445</Lines>
  <Paragraphs>125</Paragraphs>
  <ScaleCrop>false</ScaleCrop>
  <Company>微软中国</Company>
  <LinksUpToDate>false</LinksUpToDate>
  <CharactersWithSpaces>62739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lhj</dc:creator>
  <cp:lastModifiedBy>龙风呈祥</cp:lastModifiedBy>
  <cp:revision>17</cp:revision>
  <cp:lastPrinted>2020-12-24T01:50:00Z</cp:lastPrinted>
  <dcterms:created xsi:type="dcterms:W3CDTF">2020-12-24T01:42:00Z</dcterms:created>
  <dcterms:modified xsi:type="dcterms:W3CDTF">2024-03-02T03:45:06Z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904706677E3240E388F8EB085A8B7E00</vt:lpwstr>
  </property>
  <property fmtid="{D5CDD505-2E9C-101B-9397-08002B2CF9AE}" pid="3" name="KSOProductBuildVer">
    <vt:lpwstr>2052-11.1.0.10463</vt:lpwstr>
  </property>
</Properties>
</file>