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超细粉碎设备(气流磨)相关行业公司成立报告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930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_Toc9301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65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_Toc28865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66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_Toc24466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02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_Toc4302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79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_Toc22079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92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_Toc17392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343" w:history="1">
        <w:r>
          <w:rPr>
            <w:rFonts w:ascii="仿宋" w:eastAsia="仿宋" w:hAnsi="仿宋" w:cs="仿宋" w:hint="eastAsia"/>
            <w:lang w:eastAsia="zh-CN"/>
          </w:rPr>
          <w:t>二、公司成立背景及可行性分析</w:t>
        </w:r>
        <w:r>
          <w:tab/>
        </w:r>
        <w:r>
          <w:fldChar w:fldCharType="begin"/>
        </w:r>
        <w:r>
          <w:instrText xml:space="preserve"> PAGEREF _Toc9343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81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_Toc6881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62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_Toc28862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_Toc137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59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_Toc10159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20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_Toc20120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55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_Toc25855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51" w:history="1">
        <w:r>
          <w:rPr>
            <w:rFonts w:ascii="仿宋" w:eastAsia="仿宋" w:hAnsi="仿宋" w:cs="仿宋" w:hint="eastAsia"/>
            <w:lang w:eastAsia="zh-CN"/>
          </w:rPr>
          <w:t>(七)、超细粉碎设备(气流磨)项目建设必要性分析</w:t>
        </w:r>
        <w:r>
          <w:tab/>
        </w:r>
        <w:r>
          <w:fldChar w:fldCharType="begin"/>
        </w:r>
        <w:r>
          <w:instrText xml:space="preserve"> PAGEREF _Toc8151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233" w:history="1">
        <w:r>
          <w:rPr>
            <w:rFonts w:ascii="仿宋" w:eastAsia="仿宋" w:hAnsi="仿宋" w:cs="仿宋" w:hint="eastAsia"/>
            <w:lang w:eastAsia="zh-CN"/>
          </w:rPr>
          <w:t>三、公司成立方案</w:t>
        </w:r>
        <w:r>
          <w:tab/>
        </w:r>
        <w:r>
          <w:fldChar w:fldCharType="begin"/>
        </w:r>
        <w:r>
          <w:instrText xml:space="preserve"> PAGEREF _Toc22233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69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_Toc5669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8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_Toc6778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53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_Toc14653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90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_Toc16990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20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_Toc31920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34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_Toc31434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67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_Toc11967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81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_Toc10181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12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_Toc24312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04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_Toc28604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7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_Toc707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" w:history="1">
        <w:r>
          <w:rPr>
            <w:rFonts w:ascii="仿宋" w:eastAsia="仿宋" w:hAnsi="仿宋" w:cs="仿宋" w:hint="eastAsia"/>
            <w:lang w:eastAsia="zh-CN"/>
          </w:rPr>
          <w:t>(一)、超细粉碎设备(气流磨)项目选址原则</w:t>
        </w:r>
        <w:r>
          <w:tab/>
        </w:r>
        <w:r>
          <w:fldChar w:fldCharType="begin"/>
        </w:r>
        <w:r>
          <w:instrText xml:space="preserve"> PAGEREF _Toc103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02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_Toc3902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8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_Toc1958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29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_Toc15129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1" w:history="1">
        <w:r>
          <w:rPr>
            <w:rFonts w:ascii="仿宋" w:eastAsia="仿宋" w:hAnsi="仿宋" w:cs="仿宋" w:hint="eastAsia"/>
            <w:lang w:eastAsia="zh-CN"/>
          </w:rPr>
          <w:t>(五)、超细粉碎设备(气流磨)项目选址综合评价</w:t>
        </w:r>
        <w:r>
          <w:tab/>
        </w:r>
        <w:r>
          <w:fldChar w:fldCharType="begin"/>
        </w:r>
        <w:r>
          <w:instrText xml:space="preserve"> PAGEREF _Toc26731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767" w:history="1">
        <w:r>
          <w:rPr>
            <w:rFonts w:ascii="仿宋" w:eastAsia="仿宋" w:hAnsi="仿宋" w:cs="仿宋" w:hint="eastAsia"/>
            <w:lang w:eastAsia="zh-CN"/>
          </w:rPr>
          <w:t>六、超细粉碎设备(气流磨)项目经济效益</w:t>
        </w:r>
        <w:r>
          <w:tab/>
        </w:r>
        <w:r>
          <w:fldChar w:fldCharType="begin"/>
        </w:r>
        <w:r>
          <w:instrText xml:space="preserve"> PAGEREF _Toc28767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06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_Toc13306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10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_Toc30010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73" w:history="1">
        <w:r>
          <w:rPr>
            <w:rFonts w:ascii="仿宋" w:eastAsia="仿宋" w:hAnsi="仿宋" w:cs="仿宋" w:hint="eastAsia"/>
            <w:lang w:eastAsia="zh-CN"/>
          </w:rPr>
          <w:t>(三)、超细粉碎设备(气流磨)项目盈利能力分析</w:t>
        </w:r>
        <w:r>
          <w:tab/>
        </w:r>
        <w:r>
          <w:fldChar w:fldCharType="begin"/>
        </w:r>
        <w:r>
          <w:instrText xml:space="preserve"> PAGEREF _Toc29173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20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_Toc19520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42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_Toc22042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45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_Toc4045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491" w:history="1">
        <w:r>
          <w:rPr>
            <w:rFonts w:ascii="仿宋" w:eastAsia="仿宋" w:hAnsi="仿宋" w:cs="仿宋" w:hint="eastAsia"/>
            <w:lang w:eastAsia="zh-CN"/>
          </w:rPr>
          <w:t>七、环境保护分析</w:t>
        </w:r>
        <w:r>
          <w:tab/>
        </w:r>
        <w:r>
          <w:fldChar w:fldCharType="begin"/>
        </w:r>
        <w:r>
          <w:instrText xml:space="preserve"> PAGEREF _Toc14491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90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_Toc26990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94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_Toc3694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440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_Toc3440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13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_Toc18713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22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_Toc9222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7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_Toc437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00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_Toc5300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13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_Toc12613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39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_Toc3539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0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_Toc2200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49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_Toc12649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25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_Toc19525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67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_Toc22967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33" w:history="1">
        <w:r>
          <w:rPr>
            <w:rFonts w:ascii="仿宋" w:eastAsia="仿宋" w:hAnsi="仿宋" w:cs="仿宋" w:hint="eastAsia"/>
            <w:lang w:eastAsia="zh-CN"/>
          </w:rPr>
          <w:t>八、建设进度分析</w:t>
        </w:r>
        <w:r>
          <w:tab/>
        </w:r>
        <w:r>
          <w:fldChar w:fldCharType="begin"/>
        </w:r>
        <w:r>
          <w:instrText xml:space="preserve"> PAGEREF _Toc32133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33" w:history="1">
        <w:r>
          <w:rPr>
            <w:rFonts w:ascii="仿宋" w:eastAsia="仿宋" w:hAnsi="仿宋" w:cs="仿宋" w:hint="eastAsia"/>
            <w:lang w:eastAsia="zh-CN"/>
          </w:rPr>
          <w:t>(一)、超细粉碎设备(气流磨)项目进度安排</w:t>
        </w:r>
        <w:r>
          <w:tab/>
        </w:r>
        <w:r>
          <w:fldChar w:fldCharType="begin"/>
        </w:r>
        <w:r>
          <w:instrText xml:space="preserve"> PAGEREF _Toc15133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35" w:history="1">
        <w:r>
          <w:rPr>
            <w:rFonts w:ascii="仿宋" w:eastAsia="仿宋" w:hAnsi="仿宋" w:cs="仿宋" w:hint="eastAsia"/>
            <w:lang w:eastAsia="zh-CN"/>
          </w:rPr>
          <w:t>(二)、超细粉碎设备(气流磨)项目实施保障措施</w:t>
        </w:r>
        <w:r>
          <w:tab/>
        </w:r>
        <w:r>
          <w:fldChar w:fldCharType="begin"/>
        </w:r>
        <w:r>
          <w:instrText xml:space="preserve"> PAGEREF _Toc7935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708" w:history="1">
        <w:r>
          <w:rPr>
            <w:rFonts w:ascii="仿宋" w:eastAsia="仿宋" w:hAnsi="仿宋" w:cs="仿宋" w:hint="eastAsia"/>
            <w:lang w:eastAsia="zh-CN"/>
          </w:rPr>
          <w:t>九、目标客户和受众分析</w:t>
        </w:r>
        <w:r>
          <w:tab/>
        </w:r>
        <w:r>
          <w:fldChar w:fldCharType="begin"/>
        </w:r>
        <w:r>
          <w:instrText xml:space="preserve"> PAGEREF _Toc5708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54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_Toc7354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7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_Toc1247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37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_Toc22737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90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_Toc31690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12" w:history="1">
        <w:r>
          <w:rPr>
            <w:rFonts w:ascii="仿宋" w:eastAsia="仿宋" w:hAnsi="仿宋" w:cs="仿宋" w:hint="eastAsia"/>
            <w:lang w:eastAsia="zh-CN"/>
          </w:rPr>
          <w:t>十、公司组建背景分析</w:t>
        </w:r>
        <w:r>
          <w:tab/>
        </w:r>
        <w:r>
          <w:fldChar w:fldCharType="begin"/>
        </w:r>
        <w:r>
          <w:instrText xml:space="preserve"> PAGEREF _Toc10912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21" w:history="1">
        <w:r>
          <w:rPr>
            <w:rFonts w:ascii="仿宋" w:eastAsia="仿宋" w:hAnsi="仿宋" w:cs="仿宋" w:hint="eastAsia"/>
            <w:lang w:eastAsia="zh-CN"/>
          </w:rPr>
          <w:t>(一)、超细粉碎设备(气流磨)项目背景分析</w:t>
        </w:r>
        <w:r>
          <w:tab/>
        </w:r>
        <w:r>
          <w:fldChar w:fldCharType="begin"/>
        </w:r>
        <w:r>
          <w:instrText xml:space="preserve"> PAGEREF _Toc14921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86" w:history="1">
        <w:r>
          <w:rPr>
            <w:rFonts w:ascii="仿宋" w:eastAsia="仿宋" w:hAnsi="仿宋" w:cs="仿宋" w:hint="eastAsia"/>
            <w:lang w:eastAsia="zh-CN"/>
          </w:rPr>
          <w:t>(二)、超细粉碎设备(气流磨)项目建设必要性分析</w:t>
        </w:r>
        <w:r>
          <w:tab/>
        </w:r>
        <w:r>
          <w:fldChar w:fldCharType="begin"/>
        </w:r>
        <w:r>
          <w:instrText xml:space="preserve"> PAGEREF _Toc19586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80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_Toc20780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95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_Toc21595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517" w:history="1">
        <w:r>
          <w:rPr>
            <w:rFonts w:ascii="仿宋" w:eastAsia="仿宋" w:hAnsi="仿宋" w:cs="仿宋" w:hint="eastAsia"/>
            <w:lang w:eastAsia="zh-CN"/>
          </w:rPr>
          <w:t>十一、战略合作伙伴</w:t>
        </w:r>
        <w:r>
          <w:tab/>
        </w:r>
        <w:r>
          <w:fldChar w:fldCharType="begin"/>
        </w:r>
        <w:r>
          <w:instrText xml:space="preserve"> PAGEREF _Toc3517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73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_Toc30073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06" w:history="1">
        <w:r>
          <w:rPr>
            <w:rFonts w:ascii="仿宋" w:eastAsia="仿宋" w:hAnsi="仿宋" w:cs="仿宋" w:hint="eastAsia"/>
            <w:lang w:eastAsia="zh-CN"/>
          </w:rPr>
          <w:t>(二)、合作超细粉碎设备(气流磨)项目</w:t>
        </w:r>
        <w:r>
          <w:tab/>
        </w:r>
        <w:r>
          <w:fldChar w:fldCharType="begin"/>
        </w:r>
        <w:r>
          <w:instrText xml:space="preserve"> PAGEREF _Toc11406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15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_Toc32415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150" w:history="1">
        <w:r>
          <w:rPr>
            <w:rFonts w:ascii="仿宋" w:eastAsia="仿宋" w:hAnsi="仿宋" w:cs="仿宋" w:hint="eastAsia"/>
            <w:lang w:eastAsia="zh-CN"/>
          </w:rPr>
          <w:t>十二、风险分析</w:t>
        </w:r>
        <w:r>
          <w:tab/>
        </w:r>
        <w:r>
          <w:fldChar w:fldCharType="begin"/>
        </w:r>
        <w:r>
          <w:instrText xml:space="preserve"> PAGEREF _Toc7150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53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_Toc23853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26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_Toc4826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05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_Toc30405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930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8865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4466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股权登记日规定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在召开股东大会、进行股利分配、清算以及需要确认股东身份的其他行为时，会确定一个股权登记日。在股权登记日收市后登记在公司册册上的股东，将享有相关权益。这个规定旨在确保公司股东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股东权益明细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公司的股东拥有一系列权益，包括但不限于：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获得股利和其他形式的利益分配，根据持有的股份份额；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有权请求、召集、主持、参加或委派代理人参加股东大会，并行使相应的表决权；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3. 对公司经营进行监督，可以提出建议或质询；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有权按照法律、法规和章程规定，进行股份的转让、赠与或质押；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可查阅公司章程、股东名册、公司债券存根、股东大会会议记录、董事会会议决议、监事会会议决议和财务会计报告等公司文件；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当公司终止或清算时，可以按照所持有的股份份额参加公司剩余财产的分配；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在对股东大会作出的公司合并、分立等决议持异议的情况下，有权要求公司收购其股份；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还享有根据法律、法规、规章或章程规定的其他权利。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取消违法决议的权利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如果公司股东大会或董事会的决议违反法律和法规，公司股东有权向人民法院请求认定这些决议无效。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对董事和高级管理人员的监督权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如果公司的董事或高级管理人员违反法律、法规或章程的规定，损害了公司股东的利益，股东有权向人民法院提起诉讼，以保护自己的权益。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股东的法定义务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公司的股东需要遵守法律、法规和章程规定的义务，包括：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遵守法律、法规和章程规定；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除非法律法规允许，不得擅自退股；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https://d.book118.com/937042124011006043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超细粉碎设备(气流磨)相关行业公司成立报告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超细粉碎设备(气流磨)相关行业公司成立报告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超细粉碎设备(气流磨)相关行业公司成立报告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超细粉碎设备(气流磨)相关行业公司成立报告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超细粉碎设备(气流磨)相关行业公司成立报告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37042124011006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2024-02-03T05:25:00Z</dcterms:created>
  <dcterms:modified xsi:type="dcterms:W3CDTF">2024-02-03T05:25:22Z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4712E7BEB0AF439CBC64C6C5160211FB_11</vt:lpwstr>
  </property>
  <property fmtid="{D5CDD505-2E9C-101B-9397-08002B2CF9AE}" pid="3" name="KSOProductBuildVer">
    <vt:lpwstr>2052-12.1.0.16250</vt:lpwstr>
  </property>
</Properties>
</file>