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bookmarkStart w:id="0" w:name="_GoBack"/>
      <w:bookmarkEnd w:id="0"/>
    </w:p>
    <w:p>
      <w:pPr>
        <w:rPr>
          <w:rFonts w:ascii="仿宋" w:eastAsia="仿宋" w:hAnsi="仿宋" w:cs="仿宋" w:hint="eastAsia"/>
          <w:b/>
          <w:sz w:val="40"/>
        </w:rPr>
      </w:pPr>
    </w:p>
    <w:p>
      <w:pPr>
        <w:rPr>
          <w:rFonts w:ascii="仿宋" w:eastAsia="仿宋" w:hAnsi="仿宋" w:cs="仿宋" w:hint="eastAsia"/>
          <w:b/>
          <w:sz w:val="40"/>
        </w:rPr>
      </w:pPr>
    </w:p>
    <w:p>
      <w:pPr>
        <w:spacing w:before="254" w:line="360" w:lineRule="auto"/>
        <w:ind w:left="273"/>
        <w:jc w:val="center"/>
        <w:outlineLvl w:val="0"/>
        <w:rPr>
          <w:rFonts w:ascii="微软雅黑" w:eastAsia="微软雅黑" w:hAnsi="微软雅黑" w:cs="微软雅黑"/>
          <w:b/>
          <w:bCs/>
          <w:color w:val="2D54A0"/>
          <w:spacing w:val="8"/>
          <w:sz w:val="59"/>
          <w:szCs w:val="59"/>
        </w:rPr>
      </w:pPr>
      <w:r>
        <w:rPr>
          <w:rFonts w:ascii="微软雅黑" w:eastAsia="微软雅黑" w:hAnsi="微软雅黑" w:cs="微软雅黑"/>
          <w:b/>
          <w:bCs/>
          <w:color w:val="2D54A0"/>
          <w:spacing w:val="9"/>
          <w:sz w:val="59"/>
          <w:szCs w:val="59"/>
        </w:rPr>
        <w:t>2024年门夹行业趋势报告</w:t>
      </w: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hint="default"/>
          <w:b/>
          <w:bCs/>
          <w:color w:val="2D54A0"/>
          <w:spacing w:val="8"/>
          <w:sz w:val="44"/>
          <w:szCs w:val="44"/>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b/>
          <w:bCs/>
          <w:color w:val="2D54A0"/>
          <w:spacing w:val="8"/>
          <w:sz w:val="44"/>
          <w:szCs w:val="44"/>
          <w:lang w:val="en-US" w:eastAsia="zh-CN"/>
        </w:rPr>
        <w:t>《2024年最新评估分析》</w:t>
      </w:r>
    </w:p>
    <w:p>
      <w:pPr>
        <w:spacing w:line="360" w:lineRule="auto"/>
        <w:jc w:val="center"/>
        <w:rPr>
          <w:rFonts w:ascii="微软雅黑" w:eastAsia="微软雅黑" w:hAnsi="微软雅黑" w:cs="微软雅黑" w:hint="eastAsia"/>
          <w:b/>
          <w:bCs w:val="0"/>
          <w:color w:val="2E54A1" w:themeColor="accent1" w:themeShade="BF"/>
          <w:sz w:val="40"/>
        </w:rPr>
      </w:pPr>
      <w:r>
        <w:rPr>
          <w:rFonts w:ascii="微软雅黑" w:eastAsia="微软雅黑" w:hAnsi="微软雅黑" w:cs="微软雅黑" w:hint="eastAsia"/>
          <w:b/>
          <w:bCs w:val="0"/>
          <w:color w:val="2E54A1" w:themeColor="accent1" w:themeShade="BF"/>
          <w:sz w:val="40"/>
          <w:lang w:eastAsia="zh-CN"/>
        </w:rPr>
        <w:t>目录</w:t>
      </w:r>
    </w:p>
    <w:p>
      <w:pPr>
        <w:pStyle w:val="TOC1"/>
        <w:tabs>
          <w:tab w:val="right" w:leader="dot" w:pos="8306"/>
        </w:tabs>
      </w:pPr>
      <w:r>
        <w:fldChar w:fldCharType="begin"/>
      </w:r>
      <w:r>
        <w:instrText>TOC \h \z</w:instrText>
      </w:r>
      <w:r>
        <w:fldChar w:fldCharType="separate"/>
      </w:r>
      <w:hyperlink w:anchor="_Toc8051" w:history="1">
        <w:r>
          <w:rPr>
            <w:rFonts w:ascii="微软雅黑" w:eastAsia="微软雅黑" w:hAnsi="微软雅黑" w:cs="微软雅黑" w:hint="eastAsia"/>
            <w:color w:val="001CAC" w:themeColor="hyperlink" w:themeShade="BF"/>
            <w:lang w:eastAsia="zh-CN"/>
          </w:rPr>
          <w:t>前言</w:t>
        </w:r>
        <w:r>
          <w:tab/>
        </w:r>
        <w:r>
          <w:fldChar w:fldCharType="begin"/>
        </w:r>
        <w:r>
          <w:instrText xml:space="preserve"> PAGEREF _Toc8051 \h </w:instrText>
        </w:r>
        <w:r>
          <w:fldChar w:fldCharType="separate"/>
        </w:r>
        <w:r>
          <w:t>4</w:t>
        </w:r>
        <w:r>
          <w:fldChar w:fldCharType="end"/>
        </w:r>
      </w:hyperlink>
    </w:p>
    <w:p>
      <w:pPr>
        <w:pStyle w:val="TOC1"/>
        <w:tabs>
          <w:tab w:val="right" w:leader="dot" w:pos="8306"/>
        </w:tabs>
      </w:pPr>
      <w:hyperlink w:anchor="_Toc20112" w:history="1">
        <w:r>
          <w:rPr>
            <w:rFonts w:ascii="微软雅黑" w:eastAsia="微软雅黑" w:hAnsi="微软雅黑" w:cs="微软雅黑" w:hint="eastAsia"/>
            <w:color w:val="001CAC" w:themeColor="hyperlink" w:themeShade="BF"/>
            <w:szCs w:val="32"/>
            <w:lang w:eastAsia="zh-CN"/>
          </w:rPr>
          <w:t>一、制度建设与管理</w:t>
        </w:r>
        <w:r>
          <w:tab/>
        </w:r>
        <w:r>
          <w:fldChar w:fldCharType="begin"/>
        </w:r>
        <w:r>
          <w:instrText xml:space="preserve"> PAGEREF _Toc20112 \h </w:instrText>
        </w:r>
        <w:r>
          <w:fldChar w:fldCharType="separate"/>
        </w:r>
        <w:r>
          <w:t>4</w:t>
        </w:r>
        <w:r>
          <w:fldChar w:fldCharType="end"/>
        </w:r>
      </w:hyperlink>
    </w:p>
    <w:p>
      <w:pPr>
        <w:pStyle w:val="TOC2"/>
        <w:tabs>
          <w:tab w:val="right" w:leader="dot" w:pos="8306"/>
        </w:tabs>
      </w:pPr>
      <w:hyperlink w:anchor="_Toc5485" w:history="1">
        <w:r>
          <w:rPr>
            <w:rFonts w:ascii="宋体" w:eastAsia="宋体" w:hAnsi="宋体" w:cs="宋体" w:hint="eastAsia"/>
            <w:bCs w:val="0"/>
            <w:szCs w:val="28"/>
            <w:lang w:eastAsia="zh-CN"/>
          </w:rPr>
          <w:t>(一)、公司治理结构</w:t>
        </w:r>
        <w:r>
          <w:tab/>
        </w:r>
        <w:r>
          <w:fldChar w:fldCharType="begin"/>
        </w:r>
        <w:r>
          <w:instrText xml:space="preserve"> PAGEREF _Toc5485 \h </w:instrText>
        </w:r>
        <w:r>
          <w:fldChar w:fldCharType="separate"/>
        </w:r>
        <w:r>
          <w:t>4</w:t>
        </w:r>
        <w:r>
          <w:fldChar w:fldCharType="end"/>
        </w:r>
      </w:hyperlink>
    </w:p>
    <w:p>
      <w:pPr>
        <w:pStyle w:val="TOC2"/>
        <w:tabs>
          <w:tab w:val="right" w:leader="dot" w:pos="8306"/>
        </w:tabs>
      </w:pPr>
      <w:hyperlink w:anchor="_Toc19238" w:history="1">
        <w:r>
          <w:rPr>
            <w:rFonts w:ascii="宋体" w:eastAsia="宋体" w:hAnsi="宋体" w:cs="宋体" w:hint="eastAsia"/>
            <w:bCs w:val="0"/>
            <w:szCs w:val="28"/>
            <w:lang w:eastAsia="zh-CN"/>
          </w:rPr>
          <w:t>(二)、内部控制与审计</w:t>
        </w:r>
        <w:r>
          <w:tab/>
        </w:r>
        <w:r>
          <w:fldChar w:fldCharType="begin"/>
        </w:r>
        <w:r>
          <w:instrText xml:space="preserve"> PAGEREF _Toc19238 \h </w:instrText>
        </w:r>
        <w:r>
          <w:fldChar w:fldCharType="separate"/>
        </w:r>
        <w:r>
          <w:t>5</w:t>
        </w:r>
        <w:r>
          <w:fldChar w:fldCharType="end"/>
        </w:r>
      </w:hyperlink>
    </w:p>
    <w:p>
      <w:pPr>
        <w:pStyle w:val="TOC2"/>
        <w:tabs>
          <w:tab w:val="right" w:leader="dot" w:pos="8306"/>
        </w:tabs>
      </w:pPr>
      <w:hyperlink w:anchor="_Toc13881" w:history="1">
        <w:r>
          <w:rPr>
            <w:rFonts w:ascii="宋体" w:eastAsia="宋体" w:hAnsi="宋体" w:cs="宋体" w:hint="eastAsia"/>
            <w:bCs w:val="0"/>
            <w:szCs w:val="28"/>
            <w:lang w:eastAsia="zh-CN"/>
          </w:rPr>
          <w:t>(三)、法律法规合规体系</w:t>
        </w:r>
        <w:r>
          <w:tab/>
        </w:r>
        <w:r>
          <w:fldChar w:fldCharType="begin"/>
        </w:r>
        <w:r>
          <w:instrText xml:space="preserve"> PAGEREF _Toc13881 \h </w:instrText>
        </w:r>
        <w:r>
          <w:fldChar w:fldCharType="separate"/>
        </w:r>
        <w:r>
          <w:t>6</w:t>
        </w:r>
        <w:r>
          <w:fldChar w:fldCharType="end"/>
        </w:r>
      </w:hyperlink>
    </w:p>
    <w:p>
      <w:pPr>
        <w:pStyle w:val="TOC1"/>
        <w:tabs>
          <w:tab w:val="right" w:leader="dot" w:pos="8306"/>
        </w:tabs>
      </w:pPr>
      <w:hyperlink w:anchor="_Toc3771" w:history="1">
        <w:r>
          <w:rPr>
            <w:rFonts w:ascii="微软雅黑" w:eastAsia="微软雅黑" w:hAnsi="微软雅黑" w:cs="微软雅黑" w:hint="eastAsia"/>
            <w:color w:val="001CAC" w:themeColor="hyperlink" w:themeShade="BF"/>
            <w:szCs w:val="32"/>
            <w:lang w:eastAsia="zh-CN"/>
          </w:rPr>
          <w:t>二、质量管理与持续改进</w:t>
        </w:r>
        <w:r>
          <w:tab/>
        </w:r>
        <w:r>
          <w:fldChar w:fldCharType="begin"/>
        </w:r>
        <w:r>
          <w:instrText xml:space="preserve"> PAGEREF _Toc3771 \h </w:instrText>
        </w:r>
        <w:r>
          <w:fldChar w:fldCharType="separate"/>
        </w:r>
        <w:r>
          <w:t>6</w:t>
        </w:r>
        <w:r>
          <w:fldChar w:fldCharType="end"/>
        </w:r>
      </w:hyperlink>
    </w:p>
    <w:p>
      <w:pPr>
        <w:pStyle w:val="TOC2"/>
        <w:tabs>
          <w:tab w:val="right" w:leader="dot" w:pos="8306"/>
        </w:tabs>
      </w:pPr>
      <w:hyperlink w:anchor="_Toc15544" w:history="1">
        <w:r>
          <w:rPr>
            <w:rFonts w:ascii="宋体" w:eastAsia="宋体" w:hAnsi="宋体" w:cs="宋体" w:hint="eastAsia"/>
            <w:bCs w:val="0"/>
            <w:szCs w:val="28"/>
            <w:lang w:eastAsia="zh-CN"/>
          </w:rPr>
          <w:t>(一)、质量管理体系建设</w:t>
        </w:r>
        <w:r>
          <w:tab/>
        </w:r>
        <w:r>
          <w:fldChar w:fldCharType="begin"/>
        </w:r>
        <w:r>
          <w:instrText xml:space="preserve"> PAGEREF _Toc15544 \h </w:instrText>
        </w:r>
        <w:r>
          <w:fldChar w:fldCharType="separate"/>
        </w:r>
        <w:r>
          <w:t>6</w:t>
        </w:r>
        <w:r>
          <w:fldChar w:fldCharType="end"/>
        </w:r>
      </w:hyperlink>
    </w:p>
    <w:p>
      <w:pPr>
        <w:pStyle w:val="TOC2"/>
        <w:tabs>
          <w:tab w:val="right" w:leader="dot" w:pos="8306"/>
        </w:tabs>
      </w:pPr>
      <w:hyperlink w:anchor="_Toc15909" w:history="1">
        <w:r>
          <w:rPr>
            <w:rFonts w:ascii="宋体" w:eastAsia="宋体" w:hAnsi="宋体" w:cs="宋体" w:hint="eastAsia"/>
            <w:bCs w:val="0"/>
            <w:szCs w:val="28"/>
            <w:lang w:eastAsia="zh-CN"/>
          </w:rPr>
          <w:t>(二)、生产过程控制与优化</w:t>
        </w:r>
        <w:r>
          <w:tab/>
        </w:r>
        <w:r>
          <w:fldChar w:fldCharType="begin"/>
        </w:r>
        <w:r>
          <w:instrText xml:space="preserve"> PAGEREF _Toc15909 \h </w:instrText>
        </w:r>
        <w:r>
          <w:fldChar w:fldCharType="separate"/>
        </w:r>
        <w:r>
          <w:t>7</w:t>
        </w:r>
        <w:r>
          <w:fldChar w:fldCharType="end"/>
        </w:r>
      </w:hyperlink>
    </w:p>
    <w:p>
      <w:pPr>
        <w:pStyle w:val="TOC2"/>
        <w:tabs>
          <w:tab w:val="right" w:leader="dot" w:pos="8306"/>
        </w:tabs>
      </w:pPr>
      <w:hyperlink w:anchor="_Toc16863" w:history="1">
        <w:r>
          <w:rPr>
            <w:rFonts w:ascii="宋体" w:eastAsia="宋体" w:hAnsi="宋体" w:cs="宋体" w:hint="eastAsia"/>
            <w:bCs w:val="0"/>
            <w:szCs w:val="28"/>
            <w:lang w:eastAsia="zh-CN"/>
          </w:rPr>
          <w:t>(三)、产品质量检验与测试</w:t>
        </w:r>
        <w:r>
          <w:tab/>
        </w:r>
        <w:r>
          <w:fldChar w:fldCharType="begin"/>
        </w:r>
        <w:r>
          <w:instrText xml:space="preserve"> PAGEREF _Toc16863 \h </w:instrText>
        </w:r>
        <w:r>
          <w:fldChar w:fldCharType="separate"/>
        </w:r>
        <w:r>
          <w:t>8</w:t>
        </w:r>
        <w:r>
          <w:fldChar w:fldCharType="end"/>
        </w:r>
      </w:hyperlink>
    </w:p>
    <w:p>
      <w:pPr>
        <w:pStyle w:val="TOC2"/>
        <w:tabs>
          <w:tab w:val="right" w:leader="dot" w:pos="8306"/>
        </w:tabs>
      </w:pPr>
      <w:hyperlink w:anchor="_Toc24606" w:history="1">
        <w:r>
          <w:rPr>
            <w:rFonts w:ascii="宋体" w:eastAsia="宋体" w:hAnsi="宋体" w:cs="宋体" w:hint="eastAsia"/>
            <w:bCs w:val="0"/>
            <w:szCs w:val="28"/>
            <w:lang w:eastAsia="zh-CN"/>
          </w:rPr>
          <w:t>(四)、用户反馈与质量改进</w:t>
        </w:r>
        <w:r>
          <w:tab/>
        </w:r>
        <w:r>
          <w:fldChar w:fldCharType="begin"/>
        </w:r>
        <w:r>
          <w:instrText xml:space="preserve"> PAGEREF _Toc24606 \h </w:instrText>
        </w:r>
        <w:r>
          <w:fldChar w:fldCharType="separate"/>
        </w:r>
        <w:r>
          <w:t>8</w:t>
        </w:r>
        <w:r>
          <w:fldChar w:fldCharType="end"/>
        </w:r>
      </w:hyperlink>
    </w:p>
    <w:p>
      <w:pPr>
        <w:pStyle w:val="TOC1"/>
        <w:tabs>
          <w:tab w:val="right" w:leader="dot" w:pos="8306"/>
        </w:tabs>
      </w:pPr>
      <w:hyperlink w:anchor="_Toc1230" w:history="1">
        <w:r>
          <w:rPr>
            <w:rFonts w:ascii="微软雅黑" w:eastAsia="微软雅黑" w:hAnsi="微软雅黑" w:cs="微软雅黑" w:hint="eastAsia"/>
            <w:color w:val="001CAC" w:themeColor="hyperlink" w:themeShade="BF"/>
            <w:szCs w:val="32"/>
            <w:lang w:eastAsia="zh-CN"/>
          </w:rPr>
          <w:t>三、资金筹措与投资分析</w:t>
        </w:r>
        <w:r>
          <w:tab/>
        </w:r>
        <w:r>
          <w:fldChar w:fldCharType="begin"/>
        </w:r>
        <w:r>
          <w:instrText xml:space="preserve"> PAGEREF _Toc1230 \h </w:instrText>
        </w:r>
        <w:r>
          <w:fldChar w:fldCharType="separate"/>
        </w:r>
        <w:r>
          <w:t>9</w:t>
        </w:r>
        <w:r>
          <w:fldChar w:fldCharType="end"/>
        </w:r>
      </w:hyperlink>
    </w:p>
    <w:p>
      <w:pPr>
        <w:pStyle w:val="TOC2"/>
        <w:tabs>
          <w:tab w:val="right" w:leader="dot" w:pos="8306"/>
        </w:tabs>
      </w:pPr>
      <w:hyperlink w:anchor="_Toc25956" w:history="1">
        <w:r>
          <w:rPr>
            <w:rFonts w:ascii="宋体" w:eastAsia="宋体" w:hAnsi="宋体" w:cs="宋体" w:hint="eastAsia"/>
            <w:bCs w:val="0"/>
            <w:szCs w:val="28"/>
            <w:lang w:eastAsia="zh-CN"/>
          </w:rPr>
          <w:t>(一)、资金需求与筹措计划</w:t>
        </w:r>
        <w:r>
          <w:tab/>
        </w:r>
        <w:r>
          <w:fldChar w:fldCharType="begin"/>
        </w:r>
        <w:r>
          <w:instrText xml:space="preserve"> PAGEREF _Toc25956 \h </w:instrText>
        </w:r>
        <w:r>
          <w:fldChar w:fldCharType="separate"/>
        </w:r>
        <w:r>
          <w:t>9</w:t>
        </w:r>
        <w:r>
          <w:fldChar w:fldCharType="end"/>
        </w:r>
      </w:hyperlink>
    </w:p>
    <w:p>
      <w:pPr>
        <w:pStyle w:val="TOC2"/>
        <w:tabs>
          <w:tab w:val="right" w:leader="dot" w:pos="8306"/>
        </w:tabs>
      </w:pPr>
      <w:hyperlink w:anchor="_Toc12515" w:history="1">
        <w:r>
          <w:rPr>
            <w:rFonts w:ascii="宋体" w:eastAsia="宋体" w:hAnsi="宋体" w:cs="宋体" w:hint="eastAsia"/>
            <w:bCs w:val="0"/>
            <w:szCs w:val="28"/>
            <w:lang w:eastAsia="zh-CN"/>
          </w:rPr>
          <w:t>(二)、投资分析与回报预期</w:t>
        </w:r>
        <w:r>
          <w:tab/>
        </w:r>
        <w:r>
          <w:fldChar w:fldCharType="begin"/>
        </w:r>
        <w:r>
          <w:instrText xml:space="preserve"> PAGEREF _Toc12515 \h </w:instrText>
        </w:r>
        <w:r>
          <w:fldChar w:fldCharType="separate"/>
        </w:r>
        <w:r>
          <w:t>10</w:t>
        </w:r>
        <w:r>
          <w:fldChar w:fldCharType="end"/>
        </w:r>
      </w:hyperlink>
    </w:p>
    <w:p>
      <w:pPr>
        <w:pStyle w:val="TOC1"/>
        <w:tabs>
          <w:tab w:val="right" w:leader="dot" w:pos="8306"/>
        </w:tabs>
      </w:pPr>
      <w:hyperlink w:anchor="_Toc15118" w:history="1">
        <w:r>
          <w:rPr>
            <w:rFonts w:ascii="微软雅黑" w:eastAsia="微软雅黑" w:hAnsi="微软雅黑" w:cs="微软雅黑" w:hint="eastAsia"/>
            <w:color w:val="001CAC" w:themeColor="hyperlink" w:themeShade="BF"/>
            <w:szCs w:val="32"/>
            <w:lang w:eastAsia="zh-CN"/>
          </w:rPr>
          <w:t>四、门夹行业运营管理及商业模式分析</w:t>
        </w:r>
        <w:r>
          <w:tab/>
        </w:r>
        <w:r>
          <w:fldChar w:fldCharType="begin"/>
        </w:r>
        <w:r>
          <w:instrText xml:space="preserve"> PAGEREF _Toc15118 \h </w:instrText>
        </w:r>
        <w:r>
          <w:fldChar w:fldCharType="separate"/>
        </w:r>
        <w:r>
          <w:t>10</w:t>
        </w:r>
        <w:r>
          <w:fldChar w:fldCharType="end"/>
        </w:r>
      </w:hyperlink>
    </w:p>
    <w:p>
      <w:pPr>
        <w:pStyle w:val="TOC2"/>
        <w:tabs>
          <w:tab w:val="right" w:leader="dot" w:pos="8306"/>
        </w:tabs>
      </w:pPr>
      <w:hyperlink w:anchor="_Toc31043" w:history="1">
        <w:r>
          <w:rPr>
            <w:rFonts w:ascii="宋体" w:eastAsia="宋体" w:hAnsi="宋体" w:cs="宋体" w:hint="eastAsia"/>
            <w:bCs w:val="0"/>
            <w:szCs w:val="28"/>
            <w:lang w:eastAsia="zh-CN"/>
          </w:rPr>
          <w:t>(一)、门夹行业数字化发展方案</w:t>
        </w:r>
        <w:r>
          <w:tab/>
        </w:r>
        <w:r>
          <w:fldChar w:fldCharType="begin"/>
        </w:r>
        <w:r>
          <w:instrText xml:space="preserve"> PAGEREF _Toc31043 \h </w:instrText>
        </w:r>
        <w:r>
          <w:fldChar w:fldCharType="separate"/>
        </w:r>
        <w:r>
          <w:t>10</w:t>
        </w:r>
        <w:r>
          <w:fldChar w:fldCharType="end"/>
        </w:r>
      </w:hyperlink>
    </w:p>
    <w:p>
      <w:pPr>
        <w:pStyle w:val="TOC2"/>
        <w:tabs>
          <w:tab w:val="right" w:leader="dot" w:pos="8306"/>
        </w:tabs>
      </w:pPr>
      <w:hyperlink w:anchor="_Toc117" w:history="1">
        <w:r>
          <w:rPr>
            <w:rFonts w:ascii="宋体" w:eastAsia="宋体" w:hAnsi="宋体" w:cs="宋体" w:hint="eastAsia"/>
            <w:bCs w:val="0"/>
            <w:szCs w:val="28"/>
            <w:lang w:eastAsia="zh-CN"/>
          </w:rPr>
          <w:t>(二)、门夹行业新型运营方式</w:t>
        </w:r>
        <w:r>
          <w:tab/>
        </w:r>
        <w:r>
          <w:fldChar w:fldCharType="begin"/>
        </w:r>
        <w:r>
          <w:instrText xml:space="preserve"> PAGEREF _Toc117 \h </w:instrText>
        </w:r>
        <w:r>
          <w:fldChar w:fldCharType="separate"/>
        </w:r>
        <w:r>
          <w:t>13</w:t>
        </w:r>
        <w:r>
          <w:fldChar w:fldCharType="end"/>
        </w:r>
      </w:hyperlink>
    </w:p>
    <w:p>
      <w:pPr>
        <w:pStyle w:val="TOC2"/>
        <w:tabs>
          <w:tab w:val="right" w:leader="dot" w:pos="8306"/>
        </w:tabs>
      </w:pPr>
      <w:hyperlink w:anchor="_Toc23966" w:history="1">
        <w:r>
          <w:rPr>
            <w:rFonts w:ascii="宋体" w:eastAsia="宋体" w:hAnsi="宋体" w:cs="宋体" w:hint="eastAsia"/>
            <w:bCs w:val="0"/>
            <w:szCs w:val="28"/>
            <w:lang w:eastAsia="zh-CN"/>
          </w:rPr>
          <w:t>(三)、门夹行业风险管理</w:t>
        </w:r>
        <w:r>
          <w:tab/>
        </w:r>
        <w:r>
          <w:fldChar w:fldCharType="begin"/>
        </w:r>
        <w:r>
          <w:instrText xml:space="preserve"> PAGEREF _Toc23966 \h </w:instrText>
        </w:r>
        <w:r>
          <w:fldChar w:fldCharType="separate"/>
        </w:r>
        <w:r>
          <w:t>16</w:t>
        </w:r>
        <w:r>
          <w:fldChar w:fldCharType="end"/>
        </w:r>
      </w:hyperlink>
    </w:p>
    <w:p>
      <w:pPr>
        <w:pStyle w:val="TOC1"/>
        <w:tabs>
          <w:tab w:val="right" w:leader="dot" w:pos="8306"/>
        </w:tabs>
      </w:pPr>
      <w:hyperlink w:anchor="_Toc1366" w:history="1">
        <w:r>
          <w:rPr>
            <w:rFonts w:ascii="微软雅黑" w:eastAsia="微软雅黑" w:hAnsi="微软雅黑" w:cs="微软雅黑" w:hint="eastAsia"/>
            <w:color w:val="001CAC" w:themeColor="hyperlink" w:themeShade="BF"/>
            <w:szCs w:val="32"/>
            <w:lang w:eastAsia="zh-CN"/>
          </w:rPr>
          <w:t>五、门夹行业市场营销分析</w:t>
        </w:r>
        <w:r>
          <w:tab/>
        </w:r>
        <w:r>
          <w:fldChar w:fldCharType="begin"/>
        </w:r>
        <w:r>
          <w:instrText xml:space="preserve"> PAGEREF _Toc1366 \h </w:instrText>
        </w:r>
        <w:r>
          <w:fldChar w:fldCharType="separate"/>
        </w:r>
        <w:r>
          <w:t>20</w:t>
        </w:r>
        <w:r>
          <w:fldChar w:fldCharType="end"/>
        </w:r>
      </w:hyperlink>
    </w:p>
    <w:p>
      <w:pPr>
        <w:pStyle w:val="TOC2"/>
        <w:tabs>
          <w:tab w:val="right" w:leader="dot" w:pos="8306"/>
        </w:tabs>
      </w:pPr>
      <w:hyperlink w:anchor="_Toc19014" w:history="1">
        <w:r>
          <w:rPr>
            <w:rFonts w:ascii="宋体" w:eastAsia="宋体" w:hAnsi="宋体" w:cs="宋体" w:hint="eastAsia"/>
            <w:bCs w:val="0"/>
            <w:szCs w:val="28"/>
            <w:lang w:eastAsia="zh-CN"/>
          </w:rPr>
          <w:t>(一)、门夹行业市场营销总体思路</w:t>
        </w:r>
        <w:r>
          <w:tab/>
        </w:r>
        <w:r>
          <w:fldChar w:fldCharType="begin"/>
        </w:r>
        <w:r>
          <w:instrText xml:space="preserve"> PAGEREF _Toc19014 \h </w:instrText>
        </w:r>
        <w:r>
          <w:fldChar w:fldCharType="separate"/>
        </w:r>
        <w:r>
          <w:t>20</w:t>
        </w:r>
        <w:r>
          <w:fldChar w:fldCharType="end"/>
        </w:r>
      </w:hyperlink>
    </w:p>
    <w:p>
      <w:pPr>
        <w:pStyle w:val="TOC2"/>
        <w:tabs>
          <w:tab w:val="right" w:leader="dot" w:pos="8306"/>
        </w:tabs>
      </w:pPr>
      <w:hyperlink w:anchor="_Toc6685" w:history="1">
        <w:r>
          <w:rPr>
            <w:rFonts w:ascii="宋体" w:eastAsia="宋体" w:hAnsi="宋体" w:cs="宋体" w:hint="eastAsia"/>
            <w:bCs w:val="0"/>
            <w:szCs w:val="28"/>
            <w:lang w:eastAsia="zh-CN"/>
          </w:rPr>
          <w:t>(二)、门夹行业组织市场分析</w:t>
        </w:r>
        <w:r>
          <w:tab/>
        </w:r>
        <w:r>
          <w:fldChar w:fldCharType="begin"/>
        </w:r>
        <w:r>
          <w:instrText xml:space="preserve"> PAGEREF _Toc6685 \h </w:instrText>
        </w:r>
        <w:r>
          <w:fldChar w:fldCharType="separate"/>
        </w:r>
        <w:r>
          <w:t>22</w:t>
        </w:r>
        <w:r>
          <w:fldChar w:fldCharType="end"/>
        </w:r>
      </w:hyperlink>
    </w:p>
    <w:p>
      <w:pPr>
        <w:pStyle w:val="TOC2"/>
        <w:tabs>
          <w:tab w:val="right" w:leader="dot" w:pos="8306"/>
        </w:tabs>
      </w:pPr>
      <w:hyperlink w:anchor="_Toc5586" w:history="1">
        <w:r>
          <w:rPr>
            <w:rFonts w:ascii="宋体" w:eastAsia="宋体" w:hAnsi="宋体" w:cs="宋体" w:hint="eastAsia"/>
            <w:bCs w:val="0"/>
            <w:szCs w:val="28"/>
            <w:lang w:eastAsia="zh-CN"/>
          </w:rPr>
          <w:t>(三)、门夹行业目标市场营销战略</w:t>
        </w:r>
        <w:r>
          <w:tab/>
        </w:r>
        <w:r>
          <w:fldChar w:fldCharType="begin"/>
        </w:r>
        <w:r>
          <w:instrText xml:space="preserve"> PAGEREF _Toc5586 \h </w:instrText>
        </w:r>
        <w:r>
          <w:fldChar w:fldCharType="separate"/>
        </w:r>
        <w:r>
          <w:t>23</w:t>
        </w:r>
        <w:r>
          <w:fldChar w:fldCharType="end"/>
        </w:r>
      </w:hyperlink>
    </w:p>
    <w:p>
      <w:pPr>
        <w:pStyle w:val="TOC2"/>
        <w:tabs>
          <w:tab w:val="right" w:leader="dot" w:pos="8306"/>
        </w:tabs>
      </w:pPr>
      <w:hyperlink w:anchor="_Toc19323" w:history="1">
        <w:r>
          <w:rPr>
            <w:rFonts w:ascii="宋体" w:eastAsia="宋体" w:hAnsi="宋体" w:cs="宋体" w:hint="eastAsia"/>
            <w:bCs w:val="0"/>
            <w:szCs w:val="28"/>
            <w:lang w:eastAsia="zh-CN"/>
          </w:rPr>
          <w:t>(四)、门夹行业定价策略</w:t>
        </w:r>
        <w:r>
          <w:tab/>
        </w:r>
        <w:r>
          <w:fldChar w:fldCharType="begin"/>
        </w:r>
        <w:r>
          <w:instrText xml:space="preserve"> PAGEREF _Toc19323 \h </w:instrText>
        </w:r>
        <w:r>
          <w:fldChar w:fldCharType="separate"/>
        </w:r>
        <w:r>
          <w:t>24</w:t>
        </w:r>
        <w:r>
          <w:fldChar w:fldCharType="end"/>
        </w:r>
      </w:hyperlink>
    </w:p>
    <w:p>
      <w:pPr>
        <w:pStyle w:val="TOC2"/>
        <w:tabs>
          <w:tab w:val="right" w:leader="dot" w:pos="8306"/>
        </w:tabs>
      </w:pPr>
      <w:hyperlink w:anchor="_Toc12501" w:history="1">
        <w:r>
          <w:rPr>
            <w:rFonts w:ascii="宋体" w:eastAsia="宋体" w:hAnsi="宋体" w:cs="宋体" w:hint="eastAsia"/>
            <w:bCs w:val="0"/>
            <w:szCs w:val="28"/>
            <w:lang w:eastAsia="zh-CN"/>
          </w:rPr>
          <w:t>(五)、门夹行业促销策略</w:t>
        </w:r>
        <w:r>
          <w:tab/>
        </w:r>
        <w:r>
          <w:fldChar w:fldCharType="begin"/>
        </w:r>
        <w:r>
          <w:instrText xml:space="preserve"> PAGEREF _Toc12501 \h </w:instrText>
        </w:r>
        <w:r>
          <w:fldChar w:fldCharType="separate"/>
        </w:r>
        <w:r>
          <w:t>26</w:t>
        </w:r>
        <w:r>
          <w:fldChar w:fldCharType="end"/>
        </w:r>
      </w:hyperlink>
    </w:p>
    <w:p>
      <w:pPr>
        <w:pStyle w:val="TOC2"/>
        <w:tabs>
          <w:tab w:val="right" w:leader="dot" w:pos="8306"/>
        </w:tabs>
      </w:pPr>
      <w:hyperlink w:anchor="_Toc11189" w:history="1">
        <w:r>
          <w:rPr>
            <w:rFonts w:ascii="宋体" w:eastAsia="宋体" w:hAnsi="宋体" w:cs="宋体" w:hint="eastAsia"/>
            <w:bCs w:val="0"/>
            <w:szCs w:val="28"/>
            <w:lang w:eastAsia="zh-CN"/>
          </w:rPr>
          <w:t>(六)、门夹行业品牌策略</w:t>
        </w:r>
        <w:r>
          <w:tab/>
        </w:r>
        <w:r>
          <w:fldChar w:fldCharType="begin"/>
        </w:r>
        <w:r>
          <w:instrText xml:space="preserve"> PAGEREF _Toc11189 \h </w:instrText>
        </w:r>
        <w:r>
          <w:fldChar w:fldCharType="separate"/>
        </w:r>
        <w:r>
          <w:t>27</w:t>
        </w:r>
        <w:r>
          <w:fldChar w:fldCharType="end"/>
        </w:r>
      </w:hyperlink>
    </w:p>
    <w:p>
      <w:pPr>
        <w:pStyle w:val="TOC2"/>
        <w:tabs>
          <w:tab w:val="right" w:leader="dot" w:pos="8306"/>
        </w:tabs>
      </w:pPr>
      <w:hyperlink w:anchor="_Toc16514" w:history="1">
        <w:r>
          <w:rPr>
            <w:rFonts w:ascii="宋体" w:eastAsia="宋体" w:hAnsi="宋体" w:cs="宋体" w:hint="eastAsia"/>
            <w:bCs w:val="0"/>
            <w:szCs w:val="28"/>
            <w:lang w:eastAsia="zh-CN"/>
          </w:rPr>
          <w:t>(七)、门夹行业关系营销</w:t>
        </w:r>
        <w:r>
          <w:tab/>
        </w:r>
        <w:r>
          <w:fldChar w:fldCharType="begin"/>
        </w:r>
        <w:r>
          <w:instrText xml:space="preserve"> PAGEREF _Toc16514 \h </w:instrText>
        </w:r>
        <w:r>
          <w:fldChar w:fldCharType="separate"/>
        </w:r>
        <w:r>
          <w:t>30</w:t>
        </w:r>
        <w:r>
          <w:fldChar w:fldCharType="end"/>
        </w:r>
      </w:hyperlink>
    </w:p>
    <w:p>
      <w:pPr>
        <w:pStyle w:val="TOC2"/>
        <w:tabs>
          <w:tab w:val="right" w:leader="dot" w:pos="8306"/>
        </w:tabs>
      </w:pPr>
      <w:hyperlink w:anchor="_Toc8005" w:history="1">
        <w:r>
          <w:rPr>
            <w:rFonts w:ascii="宋体" w:eastAsia="宋体" w:hAnsi="宋体" w:cs="宋体" w:hint="eastAsia"/>
            <w:bCs w:val="0"/>
            <w:szCs w:val="28"/>
            <w:lang w:eastAsia="zh-CN"/>
          </w:rPr>
          <w:t>(八)、门夹行业体验营销</w:t>
        </w:r>
        <w:r>
          <w:tab/>
        </w:r>
        <w:r>
          <w:fldChar w:fldCharType="begin"/>
        </w:r>
        <w:r>
          <w:instrText xml:space="preserve"> PAGEREF _Toc8005 \h </w:instrText>
        </w:r>
        <w:r>
          <w:fldChar w:fldCharType="separate"/>
        </w:r>
        <w:r>
          <w:t>32</w:t>
        </w:r>
        <w:r>
          <w:fldChar w:fldCharType="end"/>
        </w:r>
      </w:hyperlink>
    </w:p>
    <w:p>
      <w:pPr>
        <w:pStyle w:val="TOC2"/>
        <w:tabs>
          <w:tab w:val="right" w:leader="dot" w:pos="8306"/>
        </w:tabs>
      </w:pPr>
      <w:hyperlink w:anchor="_Toc25389" w:history="1">
        <w:r>
          <w:rPr>
            <w:rFonts w:ascii="宋体" w:eastAsia="宋体" w:hAnsi="宋体" w:cs="宋体" w:hint="eastAsia"/>
            <w:bCs w:val="0"/>
            <w:szCs w:val="28"/>
            <w:lang w:eastAsia="zh-CN"/>
          </w:rPr>
          <w:t>(九)、门夹行业互联网营销</w:t>
        </w:r>
        <w:r>
          <w:tab/>
        </w:r>
        <w:r>
          <w:fldChar w:fldCharType="begin"/>
        </w:r>
        <w:r>
          <w:instrText xml:space="preserve"> PAGEREF _Toc25389 \h </w:instrText>
        </w:r>
        <w:r>
          <w:fldChar w:fldCharType="separate"/>
        </w:r>
        <w:r>
          <w:t>33</w:t>
        </w:r>
        <w:r>
          <w:fldChar w:fldCharType="end"/>
        </w:r>
      </w:hyperlink>
    </w:p>
    <w:p>
      <w:pPr>
        <w:pStyle w:val="TOC1"/>
        <w:tabs>
          <w:tab w:val="right" w:leader="dot" w:pos="8306"/>
        </w:tabs>
      </w:pPr>
      <w:hyperlink w:anchor="_Toc4047" w:history="1">
        <w:r>
          <w:rPr>
            <w:rFonts w:ascii="微软雅黑" w:eastAsia="微软雅黑" w:hAnsi="微软雅黑" w:cs="微软雅黑" w:hint="eastAsia"/>
            <w:color w:val="001CAC" w:themeColor="hyperlink" w:themeShade="BF"/>
            <w:szCs w:val="32"/>
            <w:lang w:eastAsia="zh-CN"/>
          </w:rPr>
          <w:t>六、质量与技术管理</w:t>
        </w:r>
        <w:r>
          <w:tab/>
        </w:r>
        <w:r>
          <w:fldChar w:fldCharType="begin"/>
        </w:r>
        <w:r>
          <w:instrText xml:space="preserve"> PAGEREF _Toc4047 \h </w:instrText>
        </w:r>
        <w:r>
          <w:fldChar w:fldCharType="separate"/>
        </w:r>
        <w:r>
          <w:t>35</w:t>
        </w:r>
        <w:r>
          <w:fldChar w:fldCharType="end"/>
        </w:r>
      </w:hyperlink>
    </w:p>
    <w:p>
      <w:pPr>
        <w:pStyle w:val="TOC2"/>
        <w:tabs>
          <w:tab w:val="right" w:leader="dot" w:pos="8306"/>
        </w:tabs>
      </w:pPr>
      <w:hyperlink w:anchor="_Toc5638" w:history="1">
        <w:r>
          <w:rPr>
            <w:rFonts w:ascii="宋体" w:eastAsia="宋体" w:hAnsi="宋体" w:cs="宋体" w:hint="eastAsia"/>
            <w:bCs w:val="0"/>
            <w:szCs w:val="28"/>
            <w:lang w:eastAsia="zh-CN"/>
          </w:rPr>
          <w:t>(一)、质量管理体系建设</w:t>
        </w:r>
        <w:r>
          <w:tab/>
        </w:r>
        <w:r>
          <w:fldChar w:fldCharType="begin"/>
        </w:r>
        <w:r>
          <w:instrText xml:space="preserve"> PAGEREF _Toc5638 \h </w:instrText>
        </w:r>
        <w:r>
          <w:fldChar w:fldCharType="separate"/>
        </w:r>
        <w:r>
          <w:t>35</w:t>
        </w:r>
        <w:r>
          <w:fldChar w:fldCharType="end"/>
        </w:r>
      </w:hyperlink>
    </w:p>
    <w:p>
      <w:pPr>
        <w:pStyle w:val="TOC2"/>
        <w:tabs>
          <w:tab w:val="right" w:leader="dot" w:pos="8306"/>
        </w:tabs>
      </w:pPr>
      <w:hyperlink w:anchor="_Toc16250" w:history="1">
        <w:r>
          <w:rPr>
            <w:rFonts w:ascii="宋体" w:eastAsia="宋体" w:hAnsi="宋体" w:cs="宋体" w:hint="eastAsia"/>
            <w:bCs w:val="0"/>
            <w:szCs w:val="28"/>
            <w:lang w:eastAsia="zh-CN"/>
          </w:rPr>
          <w:t>(二)、技术标准与创新</w:t>
        </w:r>
        <w:r>
          <w:tab/>
        </w:r>
        <w:r>
          <w:fldChar w:fldCharType="begin"/>
        </w:r>
        <w:r>
          <w:instrText xml:space="preserve"> PAGEREF _Toc16250 \h </w:instrText>
        </w:r>
        <w:r>
          <w:fldChar w:fldCharType="separate"/>
        </w:r>
        <w:r>
          <w:t>36</w:t>
        </w:r>
        <w:r>
          <w:fldChar w:fldCharType="end"/>
        </w:r>
      </w:hyperlink>
    </w:p>
    <w:p>
      <w:pPr>
        <w:pStyle w:val="TOC1"/>
        <w:tabs>
          <w:tab w:val="right" w:leader="dot" w:pos="8306"/>
        </w:tabs>
      </w:pPr>
      <w:hyperlink w:anchor="_Toc11653" w:history="1">
        <w:r>
          <w:rPr>
            <w:rFonts w:ascii="微软雅黑" w:eastAsia="微软雅黑" w:hAnsi="微软雅黑" w:cs="微软雅黑" w:hint="eastAsia"/>
            <w:color w:val="001CAC" w:themeColor="hyperlink" w:themeShade="BF"/>
            <w:szCs w:val="32"/>
            <w:lang w:eastAsia="zh-CN"/>
          </w:rPr>
          <w:t>七、公司文化与社会责任</w:t>
        </w:r>
        <w:r>
          <w:tab/>
        </w:r>
        <w:r>
          <w:fldChar w:fldCharType="begin"/>
        </w:r>
        <w:r>
          <w:instrText xml:space="preserve"> PAGEREF _Toc11653 \h </w:instrText>
        </w:r>
        <w:r>
          <w:fldChar w:fldCharType="separate"/>
        </w:r>
        <w:r>
          <w:t>36</w:t>
        </w:r>
        <w:r>
          <w:fldChar w:fldCharType="end"/>
        </w:r>
      </w:hyperlink>
    </w:p>
    <w:p>
      <w:pPr>
        <w:pStyle w:val="TOC2"/>
        <w:tabs>
          <w:tab w:val="right" w:leader="dot" w:pos="8306"/>
        </w:tabs>
      </w:pPr>
      <w:hyperlink w:anchor="_Toc2077" w:history="1">
        <w:r>
          <w:rPr>
            <w:rFonts w:ascii="宋体" w:eastAsia="宋体" w:hAnsi="宋体" w:cs="宋体" w:hint="eastAsia"/>
            <w:bCs w:val="0"/>
            <w:szCs w:val="28"/>
            <w:lang w:eastAsia="zh-CN"/>
          </w:rPr>
          <w:t>(一)、公司文化建设</w:t>
        </w:r>
        <w:r>
          <w:tab/>
        </w:r>
        <w:r>
          <w:fldChar w:fldCharType="begin"/>
        </w:r>
        <w:r>
          <w:instrText xml:space="preserve"> PAGEREF _Toc2077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74" w:history="1">
        <w:r>
          <w:rPr>
            <w:rFonts w:ascii="宋体" w:eastAsia="宋体" w:hAnsi="宋体" w:cs="宋体" w:hint="eastAsia"/>
            <w:bCs w:val="0"/>
            <w:szCs w:val="28"/>
            <w:lang w:eastAsia="zh-CN"/>
          </w:rPr>
          <w:t>(二)、企业社会责任与可持续发展</w:t>
        </w:r>
        <w:r>
          <w:tab/>
        </w:r>
        <w:r>
          <w:fldChar w:fldCharType="begin"/>
        </w:r>
        <w:r>
          <w:instrText xml:space="preserve"> PAGEREF _Toc7774 \h </w:instrText>
        </w:r>
        <w:r>
          <w:fldChar w:fldCharType="separate"/>
        </w:r>
        <w:r>
          <w:t>37</w:t>
        </w:r>
        <w:r>
          <w:fldChar w:fldCharType="end"/>
        </w:r>
      </w:hyperlink>
    </w:p>
    <w:p>
      <w:pPr>
        <w:pStyle w:val="TOC1"/>
        <w:tabs>
          <w:tab w:val="right" w:leader="dot" w:pos="8306"/>
        </w:tabs>
      </w:pPr>
      <w:hyperlink w:anchor="_Toc27885" w:history="1">
        <w:r>
          <w:rPr>
            <w:rFonts w:ascii="微软雅黑" w:eastAsia="微软雅黑" w:hAnsi="微软雅黑" w:cs="微软雅黑" w:hint="eastAsia"/>
            <w:color w:val="001CAC" w:themeColor="hyperlink" w:themeShade="BF"/>
            <w:szCs w:val="32"/>
            <w:lang w:eastAsia="zh-CN"/>
          </w:rPr>
          <w:t>八、门夹行业人才招聘与发展</w:t>
        </w:r>
        <w:r>
          <w:tab/>
        </w:r>
        <w:r>
          <w:fldChar w:fldCharType="begin"/>
        </w:r>
        <w:r>
          <w:instrText xml:space="preserve"> PAGEREF _Toc27885 \h </w:instrText>
        </w:r>
        <w:r>
          <w:fldChar w:fldCharType="separate"/>
        </w:r>
        <w:r>
          <w:t>38</w:t>
        </w:r>
        <w:r>
          <w:fldChar w:fldCharType="end"/>
        </w:r>
      </w:hyperlink>
    </w:p>
    <w:p>
      <w:pPr>
        <w:pStyle w:val="TOC2"/>
        <w:tabs>
          <w:tab w:val="right" w:leader="dot" w:pos="8306"/>
        </w:tabs>
      </w:pPr>
      <w:hyperlink w:anchor="_Toc763" w:history="1">
        <w:r>
          <w:rPr>
            <w:rFonts w:ascii="宋体" w:eastAsia="宋体" w:hAnsi="宋体" w:cs="宋体" w:hint="eastAsia"/>
            <w:bCs w:val="0"/>
            <w:szCs w:val="28"/>
            <w:lang w:eastAsia="zh-CN"/>
          </w:rPr>
          <w:t>(一)、人才需求分析</w:t>
        </w:r>
        <w:r>
          <w:tab/>
        </w:r>
        <w:r>
          <w:fldChar w:fldCharType="begin"/>
        </w:r>
        <w:r>
          <w:instrText xml:space="preserve"> PAGEREF _Toc763 \h </w:instrText>
        </w:r>
        <w:r>
          <w:fldChar w:fldCharType="separate"/>
        </w:r>
        <w:r>
          <w:t>38</w:t>
        </w:r>
        <w:r>
          <w:fldChar w:fldCharType="end"/>
        </w:r>
      </w:hyperlink>
    </w:p>
    <w:p>
      <w:pPr>
        <w:pStyle w:val="TOC2"/>
        <w:tabs>
          <w:tab w:val="right" w:leader="dot" w:pos="8306"/>
        </w:tabs>
      </w:pPr>
      <w:hyperlink w:anchor="_Toc23183" w:history="1">
        <w:r>
          <w:rPr>
            <w:rFonts w:ascii="宋体" w:eastAsia="宋体" w:hAnsi="宋体" w:cs="宋体" w:hint="eastAsia"/>
            <w:bCs w:val="0"/>
            <w:szCs w:val="28"/>
            <w:lang w:eastAsia="zh-CN"/>
          </w:rPr>
          <w:t>(二)、招聘计划与流程</w:t>
        </w:r>
        <w:r>
          <w:tab/>
        </w:r>
        <w:r>
          <w:fldChar w:fldCharType="begin"/>
        </w:r>
        <w:r>
          <w:instrText xml:space="preserve"> PAGEREF _Toc23183 \h </w:instrText>
        </w:r>
        <w:r>
          <w:fldChar w:fldCharType="separate"/>
        </w:r>
        <w:r>
          <w:t>39</w:t>
        </w:r>
        <w:r>
          <w:fldChar w:fldCharType="end"/>
        </w:r>
      </w:hyperlink>
    </w:p>
    <w:p>
      <w:pPr>
        <w:pStyle w:val="TOC2"/>
        <w:tabs>
          <w:tab w:val="right" w:leader="dot" w:pos="8306"/>
        </w:tabs>
      </w:pPr>
      <w:hyperlink w:anchor="_Toc27079" w:history="1">
        <w:r>
          <w:rPr>
            <w:rFonts w:ascii="宋体" w:eastAsia="宋体" w:hAnsi="宋体" w:cs="宋体" w:hint="eastAsia"/>
            <w:bCs w:val="0"/>
            <w:szCs w:val="28"/>
            <w:lang w:eastAsia="zh-CN"/>
          </w:rPr>
          <w:t>(三)、员工培训与发展</w:t>
        </w:r>
        <w:r>
          <w:tab/>
        </w:r>
        <w:r>
          <w:fldChar w:fldCharType="begin"/>
        </w:r>
        <w:r>
          <w:instrText xml:space="preserve"> PAGEREF _Toc27079 \h </w:instrText>
        </w:r>
        <w:r>
          <w:fldChar w:fldCharType="separate"/>
        </w:r>
        <w:r>
          <w:t>41</w:t>
        </w:r>
        <w:r>
          <w:fldChar w:fldCharType="end"/>
        </w:r>
      </w:hyperlink>
    </w:p>
    <w:p>
      <w:pPr>
        <w:pStyle w:val="TOC2"/>
        <w:tabs>
          <w:tab w:val="right" w:leader="dot" w:pos="8306"/>
        </w:tabs>
      </w:pPr>
      <w:hyperlink w:anchor="_Toc4279" w:history="1">
        <w:r>
          <w:rPr>
            <w:rFonts w:ascii="宋体" w:eastAsia="宋体" w:hAnsi="宋体" w:cs="宋体" w:hint="eastAsia"/>
            <w:bCs w:val="0"/>
            <w:szCs w:val="28"/>
            <w:lang w:eastAsia="zh-CN"/>
          </w:rPr>
          <w:t>(四)、绩效考核与激励</w:t>
        </w:r>
        <w:r>
          <w:tab/>
        </w:r>
        <w:r>
          <w:fldChar w:fldCharType="begin"/>
        </w:r>
        <w:r>
          <w:instrText xml:space="preserve"> PAGEREF _Toc4279 \h </w:instrText>
        </w:r>
        <w:r>
          <w:fldChar w:fldCharType="separate"/>
        </w:r>
        <w:r>
          <w:t>42</w:t>
        </w:r>
        <w:r>
          <w:fldChar w:fldCharType="end"/>
        </w:r>
      </w:hyperlink>
    </w:p>
    <w:p>
      <w:pPr>
        <w:pStyle w:val="TOC2"/>
        <w:tabs>
          <w:tab w:val="right" w:leader="dot" w:pos="8306"/>
        </w:tabs>
      </w:pPr>
      <w:hyperlink w:anchor="_Toc6863" w:history="1">
        <w:r>
          <w:rPr>
            <w:rFonts w:ascii="宋体" w:eastAsia="宋体" w:hAnsi="宋体" w:cs="宋体" w:hint="eastAsia"/>
            <w:bCs w:val="0"/>
            <w:szCs w:val="28"/>
            <w:lang w:eastAsia="zh-CN"/>
          </w:rPr>
          <w:t>(五)、人才流动与留存</w:t>
        </w:r>
        <w:r>
          <w:tab/>
        </w:r>
        <w:r>
          <w:fldChar w:fldCharType="begin"/>
        </w:r>
        <w:r>
          <w:instrText xml:space="preserve"> PAGEREF _Toc6863 \h </w:instrText>
        </w:r>
        <w:r>
          <w:fldChar w:fldCharType="separate"/>
        </w:r>
        <w:r>
          <w:t>44</w:t>
        </w:r>
        <w:r>
          <w:fldChar w:fldCharType="end"/>
        </w:r>
      </w:hyperlink>
    </w:p>
    <w:p>
      <w:pPr>
        <w:pStyle w:val="TOC1"/>
        <w:tabs>
          <w:tab w:val="right" w:leader="dot" w:pos="8306"/>
        </w:tabs>
      </w:pPr>
      <w:hyperlink w:anchor="_Toc18876" w:history="1">
        <w:r>
          <w:rPr>
            <w:rFonts w:ascii="微软雅黑" w:eastAsia="微软雅黑" w:hAnsi="微软雅黑" w:cs="微软雅黑" w:hint="eastAsia"/>
            <w:color w:val="001CAC" w:themeColor="hyperlink" w:themeShade="BF"/>
            <w:szCs w:val="32"/>
            <w:lang w:eastAsia="zh-CN"/>
          </w:rPr>
          <w:t>九、项目运营与管理</w:t>
        </w:r>
        <w:r>
          <w:tab/>
        </w:r>
        <w:r>
          <w:fldChar w:fldCharType="begin"/>
        </w:r>
        <w:r>
          <w:instrText xml:space="preserve"> PAGEREF _Toc18876 \h </w:instrText>
        </w:r>
        <w:r>
          <w:fldChar w:fldCharType="separate"/>
        </w:r>
        <w:r>
          <w:t>45</w:t>
        </w:r>
        <w:r>
          <w:fldChar w:fldCharType="end"/>
        </w:r>
      </w:hyperlink>
    </w:p>
    <w:p>
      <w:pPr>
        <w:pStyle w:val="TOC2"/>
        <w:tabs>
          <w:tab w:val="right" w:leader="dot" w:pos="8306"/>
        </w:tabs>
      </w:pPr>
      <w:hyperlink w:anchor="_Toc14220" w:history="1">
        <w:r>
          <w:rPr>
            <w:rFonts w:ascii="宋体" w:eastAsia="宋体" w:hAnsi="宋体" w:cs="宋体" w:hint="eastAsia"/>
            <w:bCs w:val="0"/>
            <w:szCs w:val="28"/>
            <w:lang w:eastAsia="zh-CN"/>
          </w:rPr>
          <w:t>(一)、运营模式选择</w:t>
        </w:r>
        <w:r>
          <w:tab/>
        </w:r>
        <w:r>
          <w:fldChar w:fldCharType="begin"/>
        </w:r>
        <w:r>
          <w:instrText xml:space="preserve"> PAGEREF _Toc14220 \h </w:instrText>
        </w:r>
        <w:r>
          <w:fldChar w:fldCharType="separate"/>
        </w:r>
        <w:r>
          <w:t>45</w:t>
        </w:r>
        <w:r>
          <w:fldChar w:fldCharType="end"/>
        </w:r>
      </w:hyperlink>
    </w:p>
    <w:p>
      <w:pPr>
        <w:pStyle w:val="TOC2"/>
        <w:tabs>
          <w:tab w:val="right" w:leader="dot" w:pos="8306"/>
        </w:tabs>
      </w:pPr>
      <w:hyperlink w:anchor="_Toc6085" w:history="1">
        <w:r>
          <w:rPr>
            <w:rFonts w:ascii="宋体" w:eastAsia="宋体" w:hAnsi="宋体" w:cs="宋体" w:hint="eastAsia"/>
            <w:bCs w:val="0"/>
            <w:szCs w:val="28"/>
            <w:lang w:eastAsia="zh-CN"/>
          </w:rPr>
          <w:t>(二)、人力资源规划</w:t>
        </w:r>
        <w:r>
          <w:tab/>
        </w:r>
        <w:r>
          <w:fldChar w:fldCharType="begin"/>
        </w:r>
        <w:r>
          <w:instrText xml:space="preserve"> PAGEREF _Toc6085 \h </w:instrText>
        </w:r>
        <w:r>
          <w:fldChar w:fldCharType="separate"/>
        </w:r>
        <w:r>
          <w:t>45</w:t>
        </w:r>
        <w:r>
          <w:fldChar w:fldCharType="end"/>
        </w:r>
      </w:hyperlink>
    </w:p>
    <w:p>
      <w:pPr>
        <w:pStyle w:val="TOC2"/>
        <w:tabs>
          <w:tab w:val="right" w:leader="dot" w:pos="8306"/>
        </w:tabs>
      </w:pPr>
      <w:hyperlink w:anchor="_Toc28111" w:history="1">
        <w:r>
          <w:rPr>
            <w:rFonts w:ascii="宋体" w:eastAsia="宋体" w:hAnsi="宋体" w:cs="宋体" w:hint="eastAsia"/>
            <w:bCs w:val="0"/>
            <w:szCs w:val="28"/>
            <w:lang w:eastAsia="zh-CN"/>
          </w:rPr>
          <w:t>(三)、财务管理计划</w:t>
        </w:r>
        <w:r>
          <w:tab/>
        </w:r>
        <w:r>
          <w:fldChar w:fldCharType="begin"/>
        </w:r>
        <w:r>
          <w:instrText xml:space="preserve"> PAGEREF _Toc28111 \h </w:instrText>
        </w:r>
        <w:r>
          <w:fldChar w:fldCharType="separate"/>
        </w:r>
        <w:r>
          <w:t>46</w:t>
        </w:r>
        <w:r>
          <w:fldChar w:fldCharType="end"/>
        </w:r>
      </w:hyperlink>
    </w:p>
    <w:p>
      <w:pPr>
        <w:pStyle w:val="TOC2"/>
        <w:tabs>
          <w:tab w:val="right" w:leader="dot" w:pos="8306"/>
        </w:tabs>
      </w:pPr>
      <w:hyperlink w:anchor="_Toc27779" w:history="1">
        <w:r>
          <w:rPr>
            <w:rFonts w:ascii="宋体" w:eastAsia="宋体" w:hAnsi="宋体" w:cs="宋体" w:hint="eastAsia"/>
            <w:bCs w:val="0"/>
            <w:szCs w:val="28"/>
            <w:lang w:eastAsia="zh-CN"/>
          </w:rPr>
          <w:t>(四)、供应链管理</w:t>
        </w:r>
        <w:r>
          <w:tab/>
        </w:r>
        <w:r>
          <w:fldChar w:fldCharType="begin"/>
        </w:r>
        <w:r>
          <w:instrText xml:space="preserve"> PAGEREF _Toc27779 \h </w:instrText>
        </w:r>
        <w:r>
          <w:fldChar w:fldCharType="separate"/>
        </w:r>
        <w:r>
          <w:t>46</w:t>
        </w:r>
        <w:r>
          <w:fldChar w:fldCharType="end"/>
        </w:r>
      </w:hyperlink>
    </w:p>
    <w:p>
      <w:pPr>
        <w:pStyle w:val="TOC1"/>
        <w:tabs>
          <w:tab w:val="right" w:leader="dot" w:pos="8306"/>
        </w:tabs>
      </w:pPr>
      <w:hyperlink w:anchor="_Toc32543" w:history="1">
        <w:r>
          <w:rPr>
            <w:rFonts w:ascii="微软雅黑" w:eastAsia="微软雅黑" w:hAnsi="微软雅黑" w:cs="微软雅黑" w:hint="eastAsia"/>
            <w:color w:val="001CAC" w:themeColor="hyperlink" w:themeShade="BF"/>
            <w:szCs w:val="32"/>
            <w:lang w:eastAsia="zh-CN"/>
          </w:rPr>
          <w:t>十、门夹行业人力资源管理策略</w:t>
        </w:r>
        <w:r>
          <w:tab/>
        </w:r>
        <w:r>
          <w:fldChar w:fldCharType="begin"/>
        </w:r>
        <w:r>
          <w:instrText xml:space="preserve"> PAGEREF _Toc32543 \h </w:instrText>
        </w:r>
        <w:r>
          <w:fldChar w:fldCharType="separate"/>
        </w:r>
        <w:r>
          <w:t>48</w:t>
        </w:r>
        <w:r>
          <w:fldChar w:fldCharType="end"/>
        </w:r>
      </w:hyperlink>
    </w:p>
    <w:p>
      <w:pPr>
        <w:pStyle w:val="TOC2"/>
        <w:tabs>
          <w:tab w:val="right" w:leader="dot" w:pos="8306"/>
        </w:tabs>
      </w:pPr>
      <w:hyperlink w:anchor="_Toc10131" w:history="1">
        <w:r>
          <w:rPr>
            <w:rFonts w:ascii="宋体" w:eastAsia="宋体" w:hAnsi="宋体" w:cs="宋体" w:hint="eastAsia"/>
            <w:bCs w:val="0"/>
            <w:szCs w:val="28"/>
            <w:lang w:eastAsia="zh-CN"/>
          </w:rPr>
          <w:t>(一)、门夹行业人力资源管理原则</w:t>
        </w:r>
        <w:r>
          <w:tab/>
        </w:r>
        <w:r>
          <w:fldChar w:fldCharType="begin"/>
        </w:r>
        <w:r>
          <w:instrText xml:space="preserve"> PAGEREF _Toc10131 \h </w:instrText>
        </w:r>
        <w:r>
          <w:fldChar w:fldCharType="separate"/>
        </w:r>
        <w:r>
          <w:t>48</w:t>
        </w:r>
        <w:r>
          <w:fldChar w:fldCharType="end"/>
        </w:r>
      </w:hyperlink>
    </w:p>
    <w:p>
      <w:pPr>
        <w:pStyle w:val="TOC2"/>
        <w:tabs>
          <w:tab w:val="right" w:leader="dot" w:pos="8306"/>
        </w:tabs>
      </w:pPr>
      <w:hyperlink w:anchor="_Toc10258" w:history="1">
        <w:r>
          <w:rPr>
            <w:rFonts w:ascii="宋体" w:eastAsia="宋体" w:hAnsi="宋体" w:cs="宋体" w:hint="eastAsia"/>
            <w:bCs w:val="0"/>
            <w:szCs w:val="28"/>
            <w:lang w:eastAsia="zh-CN"/>
          </w:rPr>
          <w:t>(二)、门夹行业劳动关系管理</w:t>
        </w:r>
        <w:r>
          <w:tab/>
        </w:r>
        <w:r>
          <w:fldChar w:fldCharType="begin"/>
        </w:r>
        <w:r>
          <w:instrText xml:space="preserve"> PAGEREF _Toc10258 \h </w:instrText>
        </w:r>
        <w:r>
          <w:fldChar w:fldCharType="separate"/>
        </w:r>
        <w:r>
          <w:t>51</w:t>
        </w:r>
        <w:r>
          <w:fldChar w:fldCharType="end"/>
        </w:r>
      </w:hyperlink>
    </w:p>
    <w:p>
      <w:pPr>
        <w:pStyle w:val="TOC2"/>
        <w:tabs>
          <w:tab w:val="right" w:leader="dot" w:pos="8306"/>
        </w:tabs>
      </w:pPr>
      <w:hyperlink w:anchor="_Toc10482" w:history="1">
        <w:r>
          <w:rPr>
            <w:rFonts w:ascii="宋体" w:eastAsia="宋体" w:hAnsi="宋体" w:cs="宋体" w:hint="eastAsia"/>
            <w:bCs w:val="0"/>
            <w:szCs w:val="28"/>
            <w:lang w:eastAsia="zh-CN"/>
          </w:rPr>
          <w:t>(三)、门夹行业人员配置方案</w:t>
        </w:r>
        <w:r>
          <w:tab/>
        </w:r>
        <w:r>
          <w:fldChar w:fldCharType="begin"/>
        </w:r>
        <w:r>
          <w:instrText xml:space="preserve"> PAGEREF _Toc10482 \h </w:instrText>
        </w:r>
        <w:r>
          <w:fldChar w:fldCharType="separate"/>
        </w:r>
        <w:r>
          <w:t>52</w:t>
        </w:r>
        <w:r>
          <w:fldChar w:fldCharType="end"/>
        </w:r>
      </w:hyperlink>
    </w:p>
    <w:p>
      <w:pPr>
        <w:pStyle w:val="TOC2"/>
        <w:tabs>
          <w:tab w:val="right" w:leader="dot" w:pos="8306"/>
        </w:tabs>
      </w:pPr>
      <w:hyperlink w:anchor="_Toc3944" w:history="1">
        <w:r>
          <w:rPr>
            <w:rFonts w:ascii="宋体" w:eastAsia="宋体" w:hAnsi="宋体" w:cs="宋体" w:hint="eastAsia"/>
            <w:bCs w:val="0"/>
            <w:szCs w:val="28"/>
            <w:lang w:eastAsia="zh-CN"/>
          </w:rPr>
          <w:t>(四)、门夹行业员工招聘方案</w:t>
        </w:r>
        <w:r>
          <w:tab/>
        </w:r>
        <w:r>
          <w:fldChar w:fldCharType="begin"/>
        </w:r>
        <w:r>
          <w:instrText xml:space="preserve"> PAGEREF _Toc3944 \h </w:instrText>
        </w:r>
        <w:r>
          <w:fldChar w:fldCharType="separate"/>
        </w:r>
        <w:r>
          <w:t>53</w:t>
        </w:r>
        <w:r>
          <w:fldChar w:fldCharType="end"/>
        </w:r>
      </w:hyperlink>
    </w:p>
    <w:p>
      <w:pPr>
        <w:pStyle w:val="TOC2"/>
        <w:tabs>
          <w:tab w:val="right" w:leader="dot" w:pos="8306"/>
        </w:tabs>
      </w:pPr>
      <w:hyperlink w:anchor="_Toc4150" w:history="1">
        <w:r>
          <w:rPr>
            <w:rFonts w:ascii="宋体" w:eastAsia="宋体" w:hAnsi="宋体" w:cs="宋体" w:hint="eastAsia"/>
            <w:bCs w:val="0"/>
            <w:szCs w:val="28"/>
            <w:lang w:eastAsia="zh-CN"/>
          </w:rPr>
          <w:t>(五)、门夹行业绩效和薪酬管理方案</w:t>
        </w:r>
        <w:r>
          <w:tab/>
        </w:r>
        <w:r>
          <w:fldChar w:fldCharType="begin"/>
        </w:r>
        <w:r>
          <w:instrText xml:space="preserve"> PAGEREF _Toc4150 \h </w:instrText>
        </w:r>
        <w:r>
          <w:fldChar w:fldCharType="separate"/>
        </w:r>
        <w:r>
          <w:t>55</w:t>
        </w:r>
        <w:r>
          <w:fldChar w:fldCharType="end"/>
        </w:r>
      </w:hyperlink>
    </w:p>
    <w:p>
      <w:pPr>
        <w:pStyle w:val="TOC2"/>
        <w:tabs>
          <w:tab w:val="right" w:leader="dot" w:pos="8306"/>
        </w:tabs>
      </w:pPr>
      <w:hyperlink w:anchor="_Toc25321" w:history="1">
        <w:r>
          <w:rPr>
            <w:rFonts w:ascii="宋体" w:eastAsia="宋体" w:hAnsi="宋体" w:cs="宋体" w:hint="eastAsia"/>
            <w:bCs w:val="0"/>
            <w:szCs w:val="28"/>
            <w:lang w:eastAsia="zh-CN"/>
          </w:rPr>
          <w:t>(六)、门夹行业员工福利管理方案</w:t>
        </w:r>
        <w:r>
          <w:tab/>
        </w:r>
        <w:r>
          <w:fldChar w:fldCharType="begin"/>
        </w:r>
        <w:r>
          <w:instrText xml:space="preserve"> PAGEREF _Toc25321 \h </w:instrText>
        </w:r>
        <w:r>
          <w:fldChar w:fldCharType="separate"/>
        </w:r>
        <w:r>
          <w:t>56</w:t>
        </w:r>
        <w:r>
          <w:fldChar w:fldCharType="end"/>
        </w:r>
      </w:hyperlink>
    </w:p>
    <w:p>
      <w:pPr>
        <w:pStyle w:val="TOC1"/>
        <w:tabs>
          <w:tab w:val="right" w:leader="dot" w:pos="8306"/>
        </w:tabs>
      </w:pPr>
      <w:hyperlink w:anchor="_Toc22118" w:history="1">
        <w:r>
          <w:rPr>
            <w:rFonts w:ascii="微软雅黑" w:eastAsia="微软雅黑" w:hAnsi="微软雅黑" w:cs="微软雅黑" w:hint="eastAsia"/>
            <w:color w:val="001CAC" w:themeColor="hyperlink" w:themeShade="BF"/>
            <w:szCs w:val="32"/>
            <w:lang w:eastAsia="zh-CN"/>
          </w:rPr>
          <w:t>十一、制度运行与优化</w:t>
        </w:r>
        <w:r>
          <w:tab/>
        </w:r>
        <w:r>
          <w:fldChar w:fldCharType="begin"/>
        </w:r>
        <w:r>
          <w:instrText xml:space="preserve"> PAGEREF _Toc22118 \h </w:instrText>
        </w:r>
        <w:r>
          <w:fldChar w:fldCharType="separate"/>
        </w:r>
        <w:r>
          <w:t>58</w:t>
        </w:r>
        <w:r>
          <w:fldChar w:fldCharType="end"/>
        </w:r>
      </w:hyperlink>
    </w:p>
    <w:p>
      <w:pPr>
        <w:pStyle w:val="TOC2"/>
        <w:tabs>
          <w:tab w:val="right" w:leader="dot" w:pos="8306"/>
        </w:tabs>
      </w:pPr>
      <w:hyperlink w:anchor="_Toc14429" w:history="1">
        <w:r>
          <w:rPr>
            <w:rFonts w:ascii="宋体" w:eastAsia="宋体" w:hAnsi="宋体" w:cs="宋体" w:hint="eastAsia"/>
            <w:bCs w:val="0"/>
            <w:szCs w:val="28"/>
            <w:lang w:eastAsia="zh-CN"/>
          </w:rPr>
          <w:t>(一)、制度执行与监督</w:t>
        </w:r>
        <w:r>
          <w:tab/>
        </w:r>
        <w:r>
          <w:fldChar w:fldCharType="begin"/>
        </w:r>
        <w:r>
          <w:instrText xml:space="preserve"> PAGEREF _Toc14429 \h </w:instrText>
        </w:r>
        <w:r>
          <w:fldChar w:fldCharType="separate"/>
        </w:r>
        <w:r>
          <w:t>58</w:t>
        </w:r>
        <w:r>
          <w:fldChar w:fldCharType="end"/>
        </w:r>
      </w:hyperlink>
    </w:p>
    <w:p>
      <w:pPr>
        <w:pStyle w:val="TOC2"/>
        <w:tabs>
          <w:tab w:val="right" w:leader="dot" w:pos="8306"/>
        </w:tabs>
      </w:pPr>
      <w:hyperlink w:anchor="_Toc8096" w:history="1">
        <w:r>
          <w:rPr>
            <w:rFonts w:ascii="宋体" w:eastAsia="宋体" w:hAnsi="宋体" w:cs="宋体" w:hint="eastAsia"/>
            <w:bCs w:val="0"/>
            <w:szCs w:val="28"/>
            <w:lang w:eastAsia="zh-CN"/>
          </w:rPr>
          <w:t>(二)、制度优化与更新</w:t>
        </w:r>
        <w:r>
          <w:tab/>
        </w:r>
        <w:r>
          <w:fldChar w:fldCharType="begin"/>
        </w:r>
        <w:r>
          <w:instrText xml:space="preserve"> PAGEREF _Toc8096 \h </w:instrText>
        </w:r>
        <w:r>
          <w:fldChar w:fldCharType="separate"/>
        </w:r>
        <w:r>
          <w:t>59</w:t>
        </w:r>
        <w:r>
          <w:fldChar w:fldCharType="end"/>
        </w:r>
      </w:hyperlink>
    </w:p>
    <w:p>
      <w:pPr>
        <w:pStyle w:val="TOC1"/>
        <w:tabs>
          <w:tab w:val="right" w:leader="dot" w:pos="8306"/>
        </w:tabs>
      </w:pPr>
      <w:hyperlink w:anchor="_Toc15123" w:history="1">
        <w:r>
          <w:rPr>
            <w:rFonts w:ascii="微软雅黑" w:eastAsia="微软雅黑" w:hAnsi="微软雅黑" w:cs="微软雅黑" w:hint="eastAsia"/>
            <w:color w:val="001CAC" w:themeColor="hyperlink" w:themeShade="BF"/>
            <w:szCs w:val="32"/>
            <w:lang w:eastAsia="zh-CN"/>
          </w:rPr>
          <w:t>十二、门夹行业财务管理分析</w:t>
        </w:r>
        <w:r>
          <w:tab/>
        </w:r>
        <w:r>
          <w:fldChar w:fldCharType="begin"/>
        </w:r>
        <w:r>
          <w:instrText xml:space="preserve"> PAGEREF _Toc15123 \h </w:instrText>
        </w:r>
        <w:r>
          <w:fldChar w:fldCharType="separate"/>
        </w:r>
        <w:r>
          <w:t>59</w:t>
        </w:r>
        <w:r>
          <w:fldChar w:fldCharType="end"/>
        </w:r>
      </w:hyperlink>
    </w:p>
    <w:p>
      <w:pPr>
        <w:pStyle w:val="TOC2"/>
        <w:tabs>
          <w:tab w:val="right" w:leader="dot" w:pos="8306"/>
        </w:tabs>
      </w:pPr>
      <w:hyperlink w:anchor="_Toc19188" w:history="1">
        <w:r>
          <w:rPr>
            <w:rFonts w:ascii="宋体" w:eastAsia="宋体" w:hAnsi="宋体" w:cs="宋体" w:hint="eastAsia"/>
            <w:bCs w:val="0"/>
            <w:szCs w:val="28"/>
            <w:lang w:eastAsia="zh-CN"/>
          </w:rPr>
          <w:t>(一)、门夹行业财务管理制度</w:t>
        </w:r>
        <w:r>
          <w:tab/>
        </w:r>
        <w:r>
          <w:fldChar w:fldCharType="begin"/>
        </w:r>
        <w:r>
          <w:instrText xml:space="preserve"> PAGEREF _Toc19188 \h </w:instrText>
        </w:r>
        <w:r>
          <w:fldChar w:fldCharType="separate"/>
        </w:r>
        <w:r>
          <w:t>59</w:t>
        </w:r>
        <w:r>
          <w:fldChar w:fldCharType="end"/>
        </w:r>
      </w:hyperlink>
    </w:p>
    <w:p>
      <w:pPr>
        <w:pStyle w:val="TOC2"/>
        <w:tabs>
          <w:tab w:val="right" w:leader="dot" w:pos="8306"/>
        </w:tabs>
      </w:pPr>
      <w:hyperlink w:anchor="_Toc13011" w:history="1">
        <w:r>
          <w:rPr>
            <w:rFonts w:ascii="宋体" w:eastAsia="宋体" w:hAnsi="宋体" w:cs="宋体" w:hint="eastAsia"/>
            <w:bCs w:val="0"/>
            <w:szCs w:val="28"/>
            <w:lang w:eastAsia="zh-CN"/>
          </w:rPr>
          <w:t>(二)、门夹行业经济效益分析</w:t>
        </w:r>
        <w:r>
          <w:tab/>
        </w:r>
        <w:r>
          <w:fldChar w:fldCharType="begin"/>
        </w:r>
        <w:r>
          <w:instrText xml:space="preserve"> PAGEREF _Toc13011 \h </w:instrText>
        </w:r>
        <w:r>
          <w:fldChar w:fldCharType="separate"/>
        </w:r>
        <w:r>
          <w:t>61</w:t>
        </w:r>
        <w:r>
          <w:fldChar w:fldCharType="end"/>
        </w:r>
      </w:hyperlink>
    </w:p>
    <w:p>
      <w:pPr>
        <w:pStyle w:val="TOC2"/>
        <w:tabs>
          <w:tab w:val="right" w:leader="dot" w:pos="8306"/>
        </w:tabs>
      </w:pPr>
      <w:hyperlink w:anchor="_Toc14880" w:history="1">
        <w:r>
          <w:rPr>
            <w:rFonts w:ascii="宋体" w:eastAsia="宋体" w:hAnsi="宋体" w:cs="宋体" w:hint="eastAsia"/>
            <w:bCs w:val="0"/>
            <w:szCs w:val="28"/>
            <w:lang w:eastAsia="zh-CN"/>
          </w:rPr>
          <w:t>(三)、门夹行业收入及成本核算</w:t>
        </w:r>
        <w:r>
          <w:tab/>
        </w:r>
        <w:r>
          <w:fldChar w:fldCharType="begin"/>
        </w:r>
        <w:r>
          <w:instrText xml:space="preserve"> PAGEREF _Toc14880 \h </w:instrText>
        </w:r>
        <w:r>
          <w:fldChar w:fldCharType="separate"/>
        </w:r>
        <w:r>
          <w:t>62</w:t>
        </w:r>
        <w:r>
          <w:fldChar w:fldCharType="end"/>
        </w:r>
      </w:hyperlink>
    </w:p>
    <w:p>
      <w:pPr>
        <w:pStyle w:val="TOC2"/>
        <w:tabs>
          <w:tab w:val="right" w:leader="dot" w:pos="8306"/>
        </w:tabs>
      </w:pPr>
      <w:hyperlink w:anchor="_Toc5936" w:history="1">
        <w:r>
          <w:rPr>
            <w:rFonts w:ascii="宋体" w:eastAsia="宋体" w:hAnsi="宋体" w:cs="宋体" w:hint="eastAsia"/>
            <w:bCs w:val="0"/>
            <w:szCs w:val="28"/>
            <w:lang w:eastAsia="zh-CN"/>
          </w:rPr>
          <w:t>(四)、门夹行业成本管理</w:t>
        </w:r>
        <w:r>
          <w:tab/>
        </w:r>
        <w:r>
          <w:fldChar w:fldCharType="begin"/>
        </w:r>
        <w:r>
          <w:instrText xml:space="preserve"> PAGEREF _Toc5936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微软雅黑" w:eastAsia="微软雅黑" w:hAnsi="微软雅黑" w:cs="微软雅黑" w:hint="eastAsia"/>
          <w:color w:val="2E54A1" w:themeColor="accent1" w:themeShade="BF"/>
          <w:lang w:eastAsia="zh-CN"/>
        </w:rPr>
      </w:pPr>
      <w:bookmarkStart w:id="1" w:name="_Toc8051"/>
      <w:r>
        <w:rPr>
          <w:rFonts w:ascii="微软雅黑" w:eastAsia="微软雅黑" w:hAnsi="微软雅黑" w:cs="微软雅黑" w:hint="eastAsia"/>
          <w:color w:val="2E54A1" w:themeColor="accent1" w:themeShade="BF"/>
          <w:lang w:eastAsia="zh-CN"/>
        </w:rPr>
        <w:t>前言</w:t>
      </w:r>
      <w:bookmarkEnd w:id="1"/>
    </w:p>
    <w:p>
      <w:pPr>
        <w:spacing w:line="480" w:lineRule="auto"/>
        <w:ind w:firstLine="480" w:firstLineChars="200"/>
        <w:rPr>
          <w:rFonts w:ascii="宋体" w:eastAsia="宋体" w:hAnsi="宋体" w:cs="宋体" w:hint="eastAsia"/>
          <w:sz w:val="24"/>
          <w:szCs w:val="22"/>
        </w:rPr>
      </w:pPr>
      <w:r>
        <w:rPr>
          <w:rFonts w:ascii="宋体" w:eastAsia="宋体" w:hAnsi="宋体" w:cs="宋体" w:hint="eastAsia"/>
          <w:sz w:val="24"/>
          <w:szCs w:val="22"/>
          <w:lang w:eastAsia="zh-CN"/>
        </w:rPr>
        <w:t>门夹行业研究报告旨在对门夹行业进行深入分析和研究,为 相关从业人员提供参考依据。报告内容仅供学习交流使用，不可用于商业用途。通过梳理门夹行业发展历程、分析市场潜力和主要竞争对手，探讨行业趋势及未来发展方向，旨在提供启示和建议。</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2" w:name="_Toc20112"/>
      <w:r>
        <w:rPr>
          <w:rFonts w:ascii="微软雅黑" w:eastAsia="微软雅黑" w:hAnsi="微软雅黑" w:cs="微软雅黑" w:hint="eastAsia"/>
          <w:color w:val="2E54A1" w:themeColor="accent1" w:themeShade="BF"/>
          <w:sz w:val="32"/>
          <w:szCs w:val="32"/>
          <w:lang w:eastAsia="zh-CN"/>
        </w:rPr>
        <w:t>一、制度建设与管理</w:t>
      </w:r>
      <w:bookmarkEnd w:id="2"/>
    </w:p>
    <w:p>
      <w:pPr>
        <w:pStyle w:val="Heading2"/>
        <w:spacing w:line="480" w:lineRule="auto"/>
        <w:rPr>
          <w:rFonts w:ascii="宋体" w:eastAsia="宋体" w:hAnsi="宋体" w:cs="宋体" w:hint="eastAsia"/>
          <w:bCs w:val="0"/>
          <w:sz w:val="28"/>
          <w:szCs w:val="28"/>
          <w:lang w:eastAsia="zh-CN"/>
        </w:rPr>
      </w:pPr>
      <w:bookmarkStart w:id="3" w:name="_Toc5485"/>
      <w:r>
        <w:rPr>
          <w:rFonts w:ascii="宋体" w:eastAsia="宋体" w:hAnsi="宋体" w:cs="宋体" w:hint="eastAsia"/>
          <w:b/>
          <w:bCs w:val="0"/>
          <w:sz w:val="28"/>
          <w:szCs w:val="28"/>
          <w:lang w:eastAsia="zh-CN"/>
        </w:rPr>
        <w:t>(一)、公司治理结构</w:t>
      </w:r>
      <w:bookmarkEnd w:id="3"/>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公司治理结构的建设中，我们坚持科学合理的原则，通过精心设计的治理框架，确保公司内部管理层次清晰，权责明晰。通过这一结构，我们在公司的各个层级建立了有效的沟通和反馈机制，使得信息能够迅速传递，决策能够得到及时的执行。高效透明的治理体系是公司健康发展的基石，我们追求创新，不断引入现代治理理念，确保公司在竞争激烈的市场环境中保持灵活性和应变能力。</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公司治理结构的科学建设也在于为公司各层级提供明确的指导和监督机制。通过规范的公司治理程序，我们确保公司各级管理层都能够明白公司的整体战略和目标,以及自身在这个体系中的具体职责。这不仅有助于激发每个管理层的积极性,更有助于实现整个公司的协同运作。同时，监督机制的建立让公司管理更具透明性，确保了决策的合法性和公正性。</w:t>
      </w:r>
    </w:p>
    <w:p>
      <w:pPr>
        <w:spacing w:line="480" w:lineRule="auto"/>
        <w:ind w:firstLine="420" w:firstLineChars="0"/>
        <w:rPr>
          <w:rFonts w:ascii="宋体" w:eastAsia="宋体" w:hAnsi="宋体" w:cs="宋体" w:hint="eastAsia"/>
          <w:sz w:val="24"/>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我们在公司治理方面不仅注重结构的完备，更注重其创新性。随着市场和公司自身的发展，我们不断优化治理机制，引入先进的管理理念和方法，以适应不断变化的环境。这种创新性的治理结构使公司能够更好地应对挑战，更灵活地调整战略，更高效地运营。</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整个公司治理结构建设的过程中,我们将一切努力都用于确保公司能够在不断变化的商业环境中保持竞争力。高效透明、科学创新的治理体系为公司提供了强大的支持，使得我们能够更好地实现公司战略目标，确保公司长期稳健发展。</w:t>
      </w:r>
    </w:p>
    <w:p>
      <w:pPr>
        <w:pStyle w:val="Heading2"/>
        <w:spacing w:line="480" w:lineRule="auto"/>
        <w:rPr>
          <w:rFonts w:ascii="宋体" w:eastAsia="宋体" w:hAnsi="宋体" w:cs="宋体" w:hint="eastAsia"/>
          <w:bCs w:val="0"/>
          <w:sz w:val="28"/>
          <w:szCs w:val="28"/>
          <w:lang w:eastAsia="zh-CN"/>
        </w:rPr>
      </w:pPr>
      <w:bookmarkStart w:id="4" w:name="_Toc19238"/>
      <w:r>
        <w:rPr>
          <w:rFonts w:ascii="宋体" w:eastAsia="宋体" w:hAnsi="宋体" w:cs="宋体" w:hint="eastAsia"/>
          <w:b/>
          <w:bCs w:val="0"/>
          <w:sz w:val="28"/>
          <w:szCs w:val="28"/>
          <w:lang w:eastAsia="zh-CN"/>
        </w:rPr>
        <w:t>(二)、内部控制与审计</w:t>
      </w:r>
      <w:bookmarkEnd w:id="4"/>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内部控制与审计在公司的持续稳健经营中扮演着至关重要的角色。我们不仅建立了严谨完善的内部控制制度，还通过科学合理的内部流程和规范来确保公司各项运营活动的合规性和规范性。内部控制的建立不仅仅是为了规遍管理，更是为了预防潜在的风险，保障公司业务的可持续性。通过明确的职责分工和审批流程，我们建立了一个严密的内部控制网络，以确保公司在日常运营中不受到内部瑕疵的影响。</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为了更加全面地了解和评估公司的内部运营情况,我们实施定期的内部审计。通过这一审计过程，我们对公司内部控制的有效性进行评估，及时发现潜在的问题并加以解决。内部审计不仅关注业务过程的执行，还关注财务信息的真实性和准确性。通过审计，我们确保公司财务报告的透明度和准确性,提高了决策的科学性和公司的整体运营效率。</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内部控制与审计的相互配合形成了一个相对完备的监督和检查体系。内部控制是日常运营的保障，而审计则是对内控有效性的验证和完善。通过这两者的有机结合，我们能够更全面地把握公司的运营状况，及时纠正存在的问题，降低内部操作风险，确保公司运营活动的正常有序进行。内部控制与审计的不断完善与提升将持续推动公司的持续稳健经营。</w:t>
      </w:r>
      <w:r>
        <w:rPr>
          <w:rFonts w:ascii="宋体" w:eastAsia="宋体" w:hAnsi="宋体" w:cs="宋体" w:hint="eastAsia"/>
          <w:sz w:val="24"/>
        </w:rPr>
        <w:br/>
      </w:r>
      <w:r>
        <w:rPr>
          <w:rFonts w:ascii="宋体" w:eastAsia="宋体" w:hAnsi="宋体" w:cs="宋体"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https://d.book118.com/937044065013006034</w:t>
        </w:r>
      </w:hyperlink>
    </w:p>
    <w:p>
      <w:pPr>
        <w:spacing w:line="480" w:lineRule="auto"/>
        <w:ind w:firstLine="420" w:firstLineChars="0"/>
        <w:rPr>
          <w:rFonts w:ascii="宋体" w:eastAsia="宋体" w:hAnsi="宋体" w:cs="宋体" w:hint="eastAsia"/>
          <w:sz w:val="24"/>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2775B3"/>
    <w:rsid w:val="02623C3C"/>
    <w:rsid w:val="03734037"/>
    <w:rsid w:val="110A28BF"/>
    <w:rsid w:val="13614867"/>
    <w:rsid w:val="3DAC44EE"/>
    <w:rsid w:val="453746B4"/>
    <w:rsid w:val="482775B3"/>
    <w:rsid w:val="49C53810"/>
    <w:rsid w:val="4E155AC7"/>
    <w:rsid w:val="50930768"/>
    <w:rsid w:val="62A91464"/>
    <w:rsid w:val="692E1C42"/>
  </w:rsids>
  <w:docVars>
    <w:docVar w:name="commondata" w:val="eyJoZGlkIjoiYjEzZTI3MzIxYzUxM2E3Y2YyMDVhZDRkMWU5YjEx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autoRedefine/>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3704406501300603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小海豹</cp:lastModifiedBy>
  <cp:revision>1</cp:revision>
  <dcterms:created xsi:type="dcterms:W3CDTF">2023-12-10T12:06:00Z</dcterms:created>
  <dcterms:modified xsi:type="dcterms:W3CDTF">2024-01-17T07:36:37Z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1E39AA5D4B7F4B19B7D16FD992F8235D_13</vt:lpwstr>
  </property>
  <property fmtid="{D5CDD505-2E9C-101B-9397-08002B2CF9AE}" pid="3" name="KSOProductBuildVer">
    <vt:lpwstr>2052-12.1.0.16120</vt:lpwstr>
  </property>
</Properties>
</file>