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bookmarkStart w:id="0" w:name="_GoBack"/>
      <w:bookmarkEnd w:id="0"/>
    </w:p>
    <w:p>
      <w:pPr>
        <w:rPr>
          <w:rFonts w:ascii="仿宋" w:eastAsia="仿宋" w:hAnsi="仿宋" w:cs="仿宋" w:hint="eastAsia"/>
          <w:b/>
          <w:sz w:val="40"/>
        </w:rPr>
      </w:pPr>
    </w:p>
    <w:p>
      <w:pPr>
        <w:rPr>
          <w:rFonts w:ascii="仿宋" w:eastAsia="仿宋" w:hAnsi="仿宋" w:cs="仿宋" w:hint="eastAsia"/>
          <w:b/>
          <w:sz w:val="40"/>
        </w:rPr>
      </w:pPr>
    </w:p>
    <w:p>
      <w:pPr>
        <w:spacing w:before="254" w:line="360" w:lineRule="auto"/>
        <w:ind w:left="273"/>
        <w:jc w:val="center"/>
        <w:outlineLvl w:val="0"/>
        <w:rPr>
          <w:rFonts w:ascii="微软雅黑" w:eastAsia="微软雅黑" w:hAnsi="微软雅黑" w:cs="微软雅黑"/>
          <w:b/>
          <w:bCs/>
          <w:color w:val="2D54A0"/>
          <w:spacing w:val="8"/>
          <w:sz w:val="59"/>
          <w:szCs w:val="59"/>
        </w:rPr>
      </w:pPr>
      <w:r>
        <w:rPr>
          <w:rFonts w:ascii="微软雅黑" w:eastAsia="微软雅黑" w:hAnsi="微软雅黑" w:cs="微软雅黑"/>
          <w:b/>
          <w:bCs/>
          <w:color w:val="2D54A0"/>
          <w:spacing w:val="9"/>
          <w:sz w:val="59"/>
          <w:szCs w:val="59"/>
        </w:rPr>
        <w:t>2024年配电箱行业趋势报告</w:t>
      </w:r>
    </w:p>
    <w:p>
      <w:pPr>
        <w:spacing w:before="254" w:line="360" w:lineRule="auto"/>
        <w:ind w:left="273"/>
        <w:jc w:val="center"/>
        <w:outlineLvl w:val="0"/>
        <w:rPr>
          <w:rFonts w:ascii="微软雅黑" w:eastAsia="微软雅黑" w:hAnsi="微软雅黑" w:cs="微软雅黑"/>
          <w:b/>
          <w:bCs/>
          <w:color w:val="2D54A0"/>
          <w:spacing w:val="8"/>
          <w:sz w:val="59"/>
          <w:szCs w:val="59"/>
        </w:rPr>
      </w:pPr>
    </w:p>
    <w:p>
      <w:pPr>
        <w:spacing w:before="254" w:line="360" w:lineRule="auto"/>
        <w:ind w:left="273"/>
        <w:jc w:val="center"/>
        <w:outlineLvl w:val="0"/>
        <w:rPr>
          <w:rFonts w:ascii="微软雅黑" w:eastAsia="微软雅黑" w:hAnsi="微软雅黑" w:cs="微软雅黑"/>
          <w:b/>
          <w:bCs/>
          <w:color w:val="2D54A0"/>
          <w:spacing w:val="8"/>
          <w:sz w:val="59"/>
          <w:szCs w:val="59"/>
        </w:rPr>
      </w:pPr>
    </w:p>
    <w:p>
      <w:pPr>
        <w:spacing w:before="254" w:line="360" w:lineRule="auto"/>
        <w:ind w:left="273"/>
        <w:jc w:val="center"/>
        <w:outlineLvl w:val="0"/>
        <w:rPr>
          <w:rFonts w:ascii="微软雅黑" w:eastAsia="微软雅黑" w:hAnsi="微软雅黑" w:cs="微软雅黑"/>
          <w:b/>
          <w:bCs/>
          <w:color w:val="2D54A0"/>
          <w:spacing w:val="8"/>
          <w:sz w:val="59"/>
          <w:szCs w:val="59"/>
        </w:rPr>
      </w:pPr>
    </w:p>
    <w:p>
      <w:pPr>
        <w:spacing w:before="254" w:line="360" w:lineRule="auto"/>
        <w:ind w:left="273"/>
        <w:jc w:val="center"/>
        <w:outlineLvl w:val="0"/>
        <w:rPr>
          <w:rFonts w:ascii="微软雅黑" w:eastAsia="微软雅黑" w:hAnsi="微软雅黑" w:cs="微软雅黑"/>
          <w:b/>
          <w:bCs/>
          <w:color w:val="2D54A0"/>
          <w:spacing w:val="8"/>
          <w:sz w:val="59"/>
          <w:szCs w:val="59"/>
        </w:rPr>
      </w:pPr>
    </w:p>
    <w:p>
      <w:pPr>
        <w:spacing w:before="254" w:line="360" w:lineRule="auto"/>
        <w:ind w:left="273"/>
        <w:jc w:val="center"/>
        <w:outlineLvl w:val="0"/>
        <w:rPr>
          <w:rFonts w:ascii="微软雅黑" w:eastAsia="微软雅黑" w:hAnsi="微软雅黑" w:cs="微软雅黑" w:hint="default"/>
          <w:b/>
          <w:bCs/>
          <w:color w:val="2D54A0"/>
          <w:spacing w:val="8"/>
          <w:sz w:val="44"/>
          <w:szCs w:val="44"/>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微软雅黑" w:eastAsia="微软雅黑" w:hAnsi="微软雅黑" w:cs="微软雅黑" w:hint="eastAsia"/>
          <w:b/>
          <w:bCs/>
          <w:color w:val="2D54A0"/>
          <w:spacing w:val="8"/>
          <w:sz w:val="44"/>
          <w:szCs w:val="44"/>
          <w:lang w:val="en-US" w:eastAsia="zh-CN"/>
        </w:rPr>
        <w:t>《2024年最新评估分析》</w:t>
      </w:r>
    </w:p>
    <w:p>
      <w:pPr>
        <w:spacing w:line="360" w:lineRule="auto"/>
        <w:jc w:val="center"/>
        <w:rPr>
          <w:rFonts w:ascii="微软雅黑" w:eastAsia="微软雅黑" w:hAnsi="微软雅黑" w:cs="微软雅黑" w:hint="eastAsia"/>
          <w:b/>
          <w:bCs w:val="0"/>
          <w:color w:val="2E54A1" w:themeColor="accent1" w:themeShade="BF"/>
          <w:sz w:val="40"/>
        </w:rPr>
      </w:pPr>
      <w:r>
        <w:rPr>
          <w:rFonts w:ascii="微软雅黑" w:eastAsia="微软雅黑" w:hAnsi="微软雅黑" w:cs="微软雅黑" w:hint="eastAsia"/>
          <w:b/>
          <w:bCs w:val="0"/>
          <w:color w:val="2E54A1" w:themeColor="accent1" w:themeShade="BF"/>
          <w:sz w:val="40"/>
          <w:lang w:eastAsia="zh-CN"/>
        </w:rPr>
        <w:t>目录</w:t>
      </w:r>
    </w:p>
    <w:p>
      <w:pPr>
        <w:pStyle w:val="TOC1"/>
        <w:tabs>
          <w:tab w:val="right" w:leader="dot" w:pos="8306"/>
        </w:tabs>
      </w:pPr>
      <w:r>
        <w:fldChar w:fldCharType="begin"/>
      </w:r>
      <w:r>
        <w:instrText>TOC \h \z</w:instrText>
      </w:r>
      <w:r>
        <w:fldChar w:fldCharType="separate"/>
      </w:r>
      <w:hyperlink w:anchor="_Toc22968" w:history="1">
        <w:r>
          <w:rPr>
            <w:rFonts w:ascii="微软雅黑" w:eastAsia="微软雅黑" w:hAnsi="微软雅黑" w:cs="微软雅黑" w:hint="eastAsia"/>
            <w:color w:val="001CAC" w:themeColor="hyperlink" w:themeShade="BF"/>
            <w:lang w:eastAsia="zh-CN"/>
          </w:rPr>
          <w:t>前言</w:t>
        </w:r>
        <w:r>
          <w:tab/>
        </w:r>
        <w:r>
          <w:fldChar w:fldCharType="begin"/>
        </w:r>
        <w:r>
          <w:instrText xml:space="preserve"> PAGEREF _Toc22968 \h </w:instrText>
        </w:r>
        <w:r>
          <w:fldChar w:fldCharType="separate"/>
        </w:r>
        <w:r>
          <w:t>4</w:t>
        </w:r>
        <w:r>
          <w:fldChar w:fldCharType="end"/>
        </w:r>
      </w:hyperlink>
    </w:p>
    <w:p>
      <w:pPr>
        <w:pStyle w:val="TOC1"/>
        <w:tabs>
          <w:tab w:val="right" w:leader="dot" w:pos="8306"/>
        </w:tabs>
      </w:pPr>
      <w:hyperlink w:anchor="_Toc8452" w:history="1">
        <w:r>
          <w:rPr>
            <w:rFonts w:ascii="微软雅黑" w:eastAsia="微软雅黑" w:hAnsi="微软雅黑" w:cs="微软雅黑" w:hint="eastAsia"/>
            <w:color w:val="001CAC" w:themeColor="hyperlink" w:themeShade="BF"/>
            <w:szCs w:val="32"/>
            <w:lang w:eastAsia="zh-CN"/>
          </w:rPr>
          <w:t>一、配电箱行业人力资源管理策略</w:t>
        </w:r>
        <w:r>
          <w:tab/>
        </w:r>
        <w:r>
          <w:fldChar w:fldCharType="begin"/>
        </w:r>
        <w:r>
          <w:instrText xml:space="preserve"> PAGEREF _Toc8452 \h </w:instrText>
        </w:r>
        <w:r>
          <w:fldChar w:fldCharType="separate"/>
        </w:r>
        <w:r>
          <w:t>4</w:t>
        </w:r>
        <w:r>
          <w:fldChar w:fldCharType="end"/>
        </w:r>
      </w:hyperlink>
    </w:p>
    <w:p>
      <w:pPr>
        <w:pStyle w:val="TOC2"/>
        <w:tabs>
          <w:tab w:val="right" w:leader="dot" w:pos="8306"/>
        </w:tabs>
      </w:pPr>
      <w:hyperlink w:anchor="_Toc26855" w:history="1">
        <w:r>
          <w:rPr>
            <w:rFonts w:ascii="宋体" w:eastAsia="宋体" w:hAnsi="宋体" w:cs="宋体" w:hint="eastAsia"/>
            <w:bCs w:val="0"/>
            <w:szCs w:val="28"/>
            <w:lang w:eastAsia="zh-CN"/>
          </w:rPr>
          <w:t>(一)、配电箱行业人力资源管理原则</w:t>
        </w:r>
        <w:r>
          <w:tab/>
        </w:r>
        <w:r>
          <w:fldChar w:fldCharType="begin"/>
        </w:r>
        <w:r>
          <w:instrText xml:space="preserve"> PAGEREF _Toc26855 \h </w:instrText>
        </w:r>
        <w:r>
          <w:fldChar w:fldCharType="separate"/>
        </w:r>
        <w:r>
          <w:t>4</w:t>
        </w:r>
        <w:r>
          <w:fldChar w:fldCharType="end"/>
        </w:r>
      </w:hyperlink>
    </w:p>
    <w:p>
      <w:pPr>
        <w:pStyle w:val="TOC2"/>
        <w:tabs>
          <w:tab w:val="right" w:leader="dot" w:pos="8306"/>
        </w:tabs>
      </w:pPr>
      <w:hyperlink w:anchor="_Toc1111" w:history="1">
        <w:r>
          <w:rPr>
            <w:rFonts w:ascii="宋体" w:eastAsia="宋体" w:hAnsi="宋体" w:cs="宋体" w:hint="eastAsia"/>
            <w:bCs w:val="0"/>
            <w:szCs w:val="28"/>
            <w:lang w:eastAsia="zh-CN"/>
          </w:rPr>
          <w:t>(二)、配电箱行业劳动关系管理</w:t>
        </w:r>
        <w:r>
          <w:tab/>
        </w:r>
        <w:r>
          <w:fldChar w:fldCharType="begin"/>
        </w:r>
        <w:r>
          <w:instrText xml:space="preserve"> PAGEREF _Toc1111 \h </w:instrText>
        </w:r>
        <w:r>
          <w:fldChar w:fldCharType="separate"/>
        </w:r>
        <w:r>
          <w:t>7</w:t>
        </w:r>
        <w:r>
          <w:fldChar w:fldCharType="end"/>
        </w:r>
      </w:hyperlink>
    </w:p>
    <w:p>
      <w:pPr>
        <w:pStyle w:val="TOC2"/>
        <w:tabs>
          <w:tab w:val="right" w:leader="dot" w:pos="8306"/>
        </w:tabs>
      </w:pPr>
      <w:hyperlink w:anchor="_Toc13169" w:history="1">
        <w:r>
          <w:rPr>
            <w:rFonts w:ascii="宋体" w:eastAsia="宋体" w:hAnsi="宋体" w:cs="宋体" w:hint="eastAsia"/>
            <w:bCs w:val="0"/>
            <w:szCs w:val="28"/>
            <w:lang w:eastAsia="zh-CN"/>
          </w:rPr>
          <w:t>(三)、配电箱行业人员配置方案</w:t>
        </w:r>
        <w:r>
          <w:tab/>
        </w:r>
        <w:r>
          <w:fldChar w:fldCharType="begin"/>
        </w:r>
        <w:r>
          <w:instrText xml:space="preserve"> PAGEREF _Toc13169 \h </w:instrText>
        </w:r>
        <w:r>
          <w:fldChar w:fldCharType="separate"/>
        </w:r>
        <w:r>
          <w:t>8</w:t>
        </w:r>
        <w:r>
          <w:fldChar w:fldCharType="end"/>
        </w:r>
      </w:hyperlink>
    </w:p>
    <w:p>
      <w:pPr>
        <w:pStyle w:val="TOC2"/>
        <w:tabs>
          <w:tab w:val="right" w:leader="dot" w:pos="8306"/>
        </w:tabs>
      </w:pPr>
      <w:hyperlink w:anchor="_Toc20946" w:history="1">
        <w:r>
          <w:rPr>
            <w:rFonts w:ascii="宋体" w:eastAsia="宋体" w:hAnsi="宋体" w:cs="宋体" w:hint="eastAsia"/>
            <w:bCs w:val="0"/>
            <w:szCs w:val="28"/>
            <w:lang w:eastAsia="zh-CN"/>
          </w:rPr>
          <w:t>(四)、配电箱行业员工招聘方案</w:t>
        </w:r>
        <w:r>
          <w:tab/>
        </w:r>
        <w:r>
          <w:fldChar w:fldCharType="begin"/>
        </w:r>
        <w:r>
          <w:instrText xml:space="preserve"> PAGEREF _Toc20946 \h </w:instrText>
        </w:r>
        <w:r>
          <w:fldChar w:fldCharType="separate"/>
        </w:r>
        <w:r>
          <w:t>9</w:t>
        </w:r>
        <w:r>
          <w:fldChar w:fldCharType="end"/>
        </w:r>
      </w:hyperlink>
    </w:p>
    <w:p>
      <w:pPr>
        <w:pStyle w:val="TOC2"/>
        <w:tabs>
          <w:tab w:val="right" w:leader="dot" w:pos="8306"/>
        </w:tabs>
      </w:pPr>
      <w:hyperlink w:anchor="_Toc9171" w:history="1">
        <w:r>
          <w:rPr>
            <w:rFonts w:ascii="宋体" w:eastAsia="宋体" w:hAnsi="宋体" w:cs="宋体" w:hint="eastAsia"/>
            <w:bCs w:val="0"/>
            <w:szCs w:val="28"/>
            <w:lang w:eastAsia="zh-CN"/>
          </w:rPr>
          <w:t>(五)、配电箱行业绩效和薪酬管理方案</w:t>
        </w:r>
        <w:r>
          <w:tab/>
        </w:r>
        <w:r>
          <w:fldChar w:fldCharType="begin"/>
        </w:r>
        <w:r>
          <w:instrText xml:space="preserve"> PAGEREF _Toc9171 \h </w:instrText>
        </w:r>
        <w:r>
          <w:fldChar w:fldCharType="separate"/>
        </w:r>
        <w:r>
          <w:t>11</w:t>
        </w:r>
        <w:r>
          <w:fldChar w:fldCharType="end"/>
        </w:r>
      </w:hyperlink>
    </w:p>
    <w:p>
      <w:pPr>
        <w:pStyle w:val="TOC2"/>
        <w:tabs>
          <w:tab w:val="right" w:leader="dot" w:pos="8306"/>
        </w:tabs>
      </w:pPr>
      <w:hyperlink w:anchor="_Toc21969" w:history="1">
        <w:r>
          <w:rPr>
            <w:rFonts w:ascii="宋体" w:eastAsia="宋体" w:hAnsi="宋体" w:cs="宋体" w:hint="eastAsia"/>
            <w:bCs w:val="0"/>
            <w:szCs w:val="28"/>
            <w:lang w:eastAsia="zh-CN"/>
          </w:rPr>
          <w:t>(六)、配电箱行业员工福利管理方案</w:t>
        </w:r>
        <w:r>
          <w:tab/>
        </w:r>
        <w:r>
          <w:fldChar w:fldCharType="begin"/>
        </w:r>
        <w:r>
          <w:instrText xml:space="preserve"> PAGEREF _Toc21969 \h </w:instrText>
        </w:r>
        <w:r>
          <w:fldChar w:fldCharType="separate"/>
        </w:r>
        <w:r>
          <w:t>12</w:t>
        </w:r>
        <w:r>
          <w:fldChar w:fldCharType="end"/>
        </w:r>
      </w:hyperlink>
    </w:p>
    <w:p>
      <w:pPr>
        <w:pStyle w:val="TOC1"/>
        <w:tabs>
          <w:tab w:val="right" w:leader="dot" w:pos="8306"/>
        </w:tabs>
      </w:pPr>
      <w:hyperlink w:anchor="_Toc31109" w:history="1">
        <w:r>
          <w:rPr>
            <w:rFonts w:ascii="微软雅黑" w:eastAsia="微软雅黑" w:hAnsi="微软雅黑" w:cs="微软雅黑" w:hint="eastAsia"/>
            <w:color w:val="001CAC" w:themeColor="hyperlink" w:themeShade="BF"/>
            <w:szCs w:val="32"/>
            <w:lang w:eastAsia="zh-CN"/>
          </w:rPr>
          <w:t>二、配电箱行业财务管理分析</w:t>
        </w:r>
        <w:r>
          <w:tab/>
        </w:r>
        <w:r>
          <w:fldChar w:fldCharType="begin"/>
        </w:r>
        <w:r>
          <w:instrText xml:space="preserve"> PAGEREF _Toc31109 \h </w:instrText>
        </w:r>
        <w:r>
          <w:fldChar w:fldCharType="separate"/>
        </w:r>
        <w:r>
          <w:t>14</w:t>
        </w:r>
        <w:r>
          <w:fldChar w:fldCharType="end"/>
        </w:r>
      </w:hyperlink>
    </w:p>
    <w:p>
      <w:pPr>
        <w:pStyle w:val="TOC2"/>
        <w:tabs>
          <w:tab w:val="right" w:leader="dot" w:pos="8306"/>
        </w:tabs>
      </w:pPr>
      <w:hyperlink w:anchor="_Toc3153" w:history="1">
        <w:r>
          <w:rPr>
            <w:rFonts w:ascii="宋体" w:eastAsia="宋体" w:hAnsi="宋体" w:cs="宋体" w:hint="eastAsia"/>
            <w:bCs w:val="0"/>
            <w:szCs w:val="28"/>
            <w:lang w:eastAsia="zh-CN"/>
          </w:rPr>
          <w:t>(一)、配电箱行业财务管理制度</w:t>
        </w:r>
        <w:r>
          <w:tab/>
        </w:r>
        <w:r>
          <w:fldChar w:fldCharType="begin"/>
        </w:r>
        <w:r>
          <w:instrText xml:space="preserve"> PAGEREF _Toc3153 \h </w:instrText>
        </w:r>
        <w:r>
          <w:fldChar w:fldCharType="separate"/>
        </w:r>
        <w:r>
          <w:t>14</w:t>
        </w:r>
        <w:r>
          <w:fldChar w:fldCharType="end"/>
        </w:r>
      </w:hyperlink>
    </w:p>
    <w:p>
      <w:pPr>
        <w:pStyle w:val="TOC2"/>
        <w:tabs>
          <w:tab w:val="right" w:leader="dot" w:pos="8306"/>
        </w:tabs>
      </w:pPr>
      <w:hyperlink w:anchor="_Toc6506" w:history="1">
        <w:r>
          <w:rPr>
            <w:rFonts w:ascii="宋体" w:eastAsia="宋体" w:hAnsi="宋体" w:cs="宋体" w:hint="eastAsia"/>
            <w:bCs w:val="0"/>
            <w:szCs w:val="28"/>
            <w:lang w:eastAsia="zh-CN"/>
          </w:rPr>
          <w:t>(二)、配电箱行业经济效益分析</w:t>
        </w:r>
        <w:r>
          <w:tab/>
        </w:r>
        <w:r>
          <w:fldChar w:fldCharType="begin"/>
        </w:r>
        <w:r>
          <w:instrText xml:space="preserve"> PAGEREF _Toc6506 \h </w:instrText>
        </w:r>
        <w:r>
          <w:fldChar w:fldCharType="separate"/>
        </w:r>
        <w:r>
          <w:t>15</w:t>
        </w:r>
        <w:r>
          <w:fldChar w:fldCharType="end"/>
        </w:r>
      </w:hyperlink>
    </w:p>
    <w:p>
      <w:pPr>
        <w:pStyle w:val="TOC2"/>
        <w:tabs>
          <w:tab w:val="right" w:leader="dot" w:pos="8306"/>
        </w:tabs>
      </w:pPr>
      <w:hyperlink w:anchor="_Toc9236" w:history="1">
        <w:r>
          <w:rPr>
            <w:rFonts w:ascii="宋体" w:eastAsia="宋体" w:hAnsi="宋体" w:cs="宋体" w:hint="eastAsia"/>
            <w:bCs w:val="0"/>
            <w:szCs w:val="28"/>
            <w:lang w:eastAsia="zh-CN"/>
          </w:rPr>
          <w:t>(三)、配电箱行业收入及成本核算</w:t>
        </w:r>
        <w:r>
          <w:tab/>
        </w:r>
        <w:r>
          <w:fldChar w:fldCharType="begin"/>
        </w:r>
        <w:r>
          <w:instrText xml:space="preserve"> PAGEREF _Toc9236 \h </w:instrText>
        </w:r>
        <w:r>
          <w:fldChar w:fldCharType="separate"/>
        </w:r>
        <w:r>
          <w:t>17</w:t>
        </w:r>
        <w:r>
          <w:fldChar w:fldCharType="end"/>
        </w:r>
      </w:hyperlink>
    </w:p>
    <w:p>
      <w:pPr>
        <w:pStyle w:val="TOC2"/>
        <w:tabs>
          <w:tab w:val="right" w:leader="dot" w:pos="8306"/>
        </w:tabs>
      </w:pPr>
      <w:hyperlink w:anchor="_Toc9954" w:history="1">
        <w:r>
          <w:rPr>
            <w:rFonts w:ascii="宋体" w:eastAsia="宋体" w:hAnsi="宋体" w:cs="宋体" w:hint="eastAsia"/>
            <w:bCs w:val="0"/>
            <w:szCs w:val="28"/>
            <w:lang w:eastAsia="zh-CN"/>
          </w:rPr>
          <w:t>(四)、配电箱行业成本管理</w:t>
        </w:r>
        <w:r>
          <w:tab/>
        </w:r>
        <w:r>
          <w:fldChar w:fldCharType="begin"/>
        </w:r>
        <w:r>
          <w:instrText xml:space="preserve"> PAGEREF _Toc9954 \h </w:instrText>
        </w:r>
        <w:r>
          <w:fldChar w:fldCharType="separate"/>
        </w:r>
        <w:r>
          <w:t>18</w:t>
        </w:r>
        <w:r>
          <w:fldChar w:fldCharType="end"/>
        </w:r>
      </w:hyperlink>
    </w:p>
    <w:p>
      <w:pPr>
        <w:pStyle w:val="TOC1"/>
        <w:tabs>
          <w:tab w:val="right" w:leader="dot" w:pos="8306"/>
        </w:tabs>
      </w:pPr>
      <w:hyperlink w:anchor="_Toc19460" w:history="1">
        <w:r>
          <w:rPr>
            <w:rFonts w:ascii="微软雅黑" w:eastAsia="微软雅黑" w:hAnsi="微软雅黑" w:cs="微软雅黑" w:hint="eastAsia"/>
            <w:color w:val="001CAC" w:themeColor="hyperlink" w:themeShade="BF"/>
            <w:szCs w:val="32"/>
            <w:lang w:eastAsia="zh-CN"/>
          </w:rPr>
          <w:t>三、配电箱行业运营管理及商业模式分析</w:t>
        </w:r>
        <w:r>
          <w:tab/>
        </w:r>
        <w:r>
          <w:fldChar w:fldCharType="begin"/>
        </w:r>
        <w:r>
          <w:instrText xml:space="preserve"> PAGEREF _Toc19460 \h </w:instrText>
        </w:r>
        <w:r>
          <w:fldChar w:fldCharType="separate"/>
        </w:r>
        <w:r>
          <w:t>21</w:t>
        </w:r>
        <w:r>
          <w:fldChar w:fldCharType="end"/>
        </w:r>
      </w:hyperlink>
    </w:p>
    <w:p>
      <w:pPr>
        <w:pStyle w:val="TOC2"/>
        <w:tabs>
          <w:tab w:val="right" w:leader="dot" w:pos="8306"/>
        </w:tabs>
      </w:pPr>
      <w:hyperlink w:anchor="_Toc21041" w:history="1">
        <w:r>
          <w:rPr>
            <w:rFonts w:ascii="宋体" w:eastAsia="宋体" w:hAnsi="宋体" w:cs="宋体" w:hint="eastAsia"/>
            <w:bCs w:val="0"/>
            <w:szCs w:val="28"/>
            <w:lang w:eastAsia="zh-CN"/>
          </w:rPr>
          <w:t>(一)、配电箱行业数字化发展方案</w:t>
        </w:r>
        <w:r>
          <w:tab/>
        </w:r>
        <w:r>
          <w:fldChar w:fldCharType="begin"/>
        </w:r>
        <w:r>
          <w:instrText xml:space="preserve"> PAGEREF _Toc21041 \h </w:instrText>
        </w:r>
        <w:r>
          <w:fldChar w:fldCharType="separate"/>
        </w:r>
        <w:r>
          <w:t>21</w:t>
        </w:r>
        <w:r>
          <w:fldChar w:fldCharType="end"/>
        </w:r>
      </w:hyperlink>
    </w:p>
    <w:p>
      <w:pPr>
        <w:pStyle w:val="TOC2"/>
        <w:tabs>
          <w:tab w:val="right" w:leader="dot" w:pos="8306"/>
        </w:tabs>
      </w:pPr>
      <w:hyperlink w:anchor="_Toc9313" w:history="1">
        <w:r>
          <w:rPr>
            <w:rFonts w:ascii="宋体" w:eastAsia="宋体" w:hAnsi="宋体" w:cs="宋体" w:hint="eastAsia"/>
            <w:bCs w:val="0"/>
            <w:szCs w:val="28"/>
            <w:lang w:eastAsia="zh-CN"/>
          </w:rPr>
          <w:t>(二)、配电箱行业新型运营方式</w:t>
        </w:r>
        <w:r>
          <w:tab/>
        </w:r>
        <w:r>
          <w:fldChar w:fldCharType="begin"/>
        </w:r>
        <w:r>
          <w:instrText xml:space="preserve"> PAGEREF _Toc9313 \h </w:instrText>
        </w:r>
        <w:r>
          <w:fldChar w:fldCharType="separate"/>
        </w:r>
        <w:r>
          <w:t>24</w:t>
        </w:r>
        <w:r>
          <w:fldChar w:fldCharType="end"/>
        </w:r>
      </w:hyperlink>
    </w:p>
    <w:p>
      <w:pPr>
        <w:pStyle w:val="TOC2"/>
        <w:tabs>
          <w:tab w:val="right" w:leader="dot" w:pos="8306"/>
        </w:tabs>
      </w:pPr>
      <w:hyperlink w:anchor="_Toc28506" w:history="1">
        <w:r>
          <w:rPr>
            <w:rFonts w:ascii="宋体" w:eastAsia="宋体" w:hAnsi="宋体" w:cs="宋体" w:hint="eastAsia"/>
            <w:bCs w:val="0"/>
            <w:szCs w:val="28"/>
            <w:lang w:eastAsia="zh-CN"/>
          </w:rPr>
          <w:t>(三)、配电箱行业风险管理</w:t>
        </w:r>
        <w:r>
          <w:tab/>
        </w:r>
        <w:r>
          <w:fldChar w:fldCharType="begin"/>
        </w:r>
        <w:r>
          <w:instrText xml:space="preserve"> PAGEREF _Toc28506 \h </w:instrText>
        </w:r>
        <w:r>
          <w:fldChar w:fldCharType="separate"/>
        </w:r>
        <w:r>
          <w:t>27</w:t>
        </w:r>
        <w:r>
          <w:fldChar w:fldCharType="end"/>
        </w:r>
      </w:hyperlink>
    </w:p>
    <w:p>
      <w:pPr>
        <w:pStyle w:val="TOC1"/>
        <w:tabs>
          <w:tab w:val="right" w:leader="dot" w:pos="8306"/>
        </w:tabs>
      </w:pPr>
      <w:hyperlink w:anchor="_Toc15047" w:history="1">
        <w:r>
          <w:rPr>
            <w:rFonts w:ascii="微软雅黑" w:eastAsia="微软雅黑" w:hAnsi="微软雅黑" w:cs="微软雅黑" w:hint="eastAsia"/>
            <w:color w:val="001CAC" w:themeColor="hyperlink" w:themeShade="BF"/>
            <w:szCs w:val="32"/>
            <w:lang w:eastAsia="zh-CN"/>
          </w:rPr>
          <w:t>四、领导力发展与企业文化</w:t>
        </w:r>
        <w:r>
          <w:tab/>
        </w:r>
        <w:r>
          <w:fldChar w:fldCharType="begin"/>
        </w:r>
        <w:r>
          <w:instrText xml:space="preserve"> PAGEREF _Toc15047 \h </w:instrText>
        </w:r>
        <w:r>
          <w:fldChar w:fldCharType="separate"/>
        </w:r>
        <w:r>
          <w:t>31</w:t>
        </w:r>
        <w:r>
          <w:fldChar w:fldCharType="end"/>
        </w:r>
      </w:hyperlink>
    </w:p>
    <w:p>
      <w:pPr>
        <w:pStyle w:val="TOC2"/>
        <w:tabs>
          <w:tab w:val="right" w:leader="dot" w:pos="8306"/>
        </w:tabs>
      </w:pPr>
      <w:hyperlink w:anchor="_Toc16546" w:history="1">
        <w:r>
          <w:rPr>
            <w:rFonts w:ascii="宋体" w:eastAsia="宋体" w:hAnsi="宋体" w:cs="宋体" w:hint="eastAsia"/>
            <w:bCs w:val="0"/>
            <w:szCs w:val="28"/>
            <w:lang w:eastAsia="zh-CN"/>
          </w:rPr>
          <w:t>(一)、高效团队建设原则</w:t>
        </w:r>
        <w:r>
          <w:tab/>
        </w:r>
        <w:r>
          <w:fldChar w:fldCharType="begin"/>
        </w:r>
        <w:r>
          <w:instrText xml:space="preserve"> PAGEREF _Toc16546 \h </w:instrText>
        </w:r>
        <w:r>
          <w:fldChar w:fldCharType="separate"/>
        </w:r>
        <w:r>
          <w:t>31</w:t>
        </w:r>
        <w:r>
          <w:fldChar w:fldCharType="end"/>
        </w:r>
      </w:hyperlink>
    </w:p>
    <w:p>
      <w:pPr>
        <w:pStyle w:val="TOC2"/>
        <w:tabs>
          <w:tab w:val="right" w:leader="dot" w:pos="8306"/>
        </w:tabs>
      </w:pPr>
      <w:hyperlink w:anchor="_Toc28440" w:history="1">
        <w:r>
          <w:rPr>
            <w:rFonts w:ascii="宋体" w:eastAsia="宋体" w:hAnsi="宋体" w:cs="宋体" w:hint="eastAsia"/>
            <w:bCs w:val="0"/>
            <w:szCs w:val="28"/>
            <w:lang w:eastAsia="zh-CN"/>
          </w:rPr>
          <w:t>(二)、团队文化与价值观塑造</w:t>
        </w:r>
        <w:r>
          <w:tab/>
        </w:r>
        <w:r>
          <w:fldChar w:fldCharType="begin"/>
        </w:r>
        <w:r>
          <w:instrText xml:space="preserve"> PAGEREF _Toc28440 \h </w:instrText>
        </w:r>
        <w:r>
          <w:fldChar w:fldCharType="separate"/>
        </w:r>
        <w:r>
          <w:t>32</w:t>
        </w:r>
        <w:r>
          <w:fldChar w:fldCharType="end"/>
        </w:r>
      </w:hyperlink>
    </w:p>
    <w:p>
      <w:pPr>
        <w:pStyle w:val="TOC2"/>
        <w:tabs>
          <w:tab w:val="right" w:leader="dot" w:pos="8306"/>
        </w:tabs>
      </w:pPr>
      <w:hyperlink w:anchor="_Toc31316" w:history="1">
        <w:r>
          <w:rPr>
            <w:rFonts w:ascii="宋体" w:eastAsia="宋体" w:hAnsi="宋体" w:cs="宋体" w:hint="eastAsia"/>
            <w:bCs w:val="0"/>
            <w:szCs w:val="28"/>
            <w:lang w:eastAsia="zh-CN"/>
          </w:rPr>
          <w:t>(三)、领导力发展计划</w:t>
        </w:r>
        <w:r>
          <w:tab/>
        </w:r>
        <w:r>
          <w:fldChar w:fldCharType="begin"/>
        </w:r>
        <w:r>
          <w:instrText xml:space="preserve"> PAGEREF _Toc31316 \h </w:instrText>
        </w:r>
        <w:r>
          <w:fldChar w:fldCharType="separate"/>
        </w:r>
        <w:r>
          <w:t>33</w:t>
        </w:r>
        <w:r>
          <w:fldChar w:fldCharType="end"/>
        </w:r>
      </w:hyperlink>
    </w:p>
    <w:p>
      <w:pPr>
        <w:pStyle w:val="TOC2"/>
        <w:tabs>
          <w:tab w:val="right" w:leader="dot" w:pos="8306"/>
        </w:tabs>
      </w:pPr>
      <w:hyperlink w:anchor="_Toc20662" w:history="1">
        <w:r>
          <w:rPr>
            <w:rFonts w:ascii="宋体" w:eastAsia="宋体" w:hAnsi="宋体" w:cs="宋体" w:hint="eastAsia"/>
            <w:bCs w:val="0"/>
            <w:szCs w:val="28"/>
            <w:lang w:eastAsia="zh-CN"/>
          </w:rPr>
          <w:t>(四)、领导力在变革中的作用</w:t>
        </w:r>
        <w:r>
          <w:tab/>
        </w:r>
        <w:r>
          <w:fldChar w:fldCharType="begin"/>
        </w:r>
        <w:r>
          <w:instrText xml:space="preserve"> PAGEREF _Toc20662 \h </w:instrText>
        </w:r>
        <w:r>
          <w:fldChar w:fldCharType="separate"/>
        </w:r>
        <w:r>
          <w:t>34</w:t>
        </w:r>
        <w:r>
          <w:fldChar w:fldCharType="end"/>
        </w:r>
      </w:hyperlink>
    </w:p>
    <w:p>
      <w:pPr>
        <w:pStyle w:val="TOC1"/>
        <w:tabs>
          <w:tab w:val="right" w:leader="dot" w:pos="8306"/>
        </w:tabs>
      </w:pPr>
      <w:hyperlink w:anchor="_Toc29055" w:history="1">
        <w:r>
          <w:rPr>
            <w:rFonts w:ascii="微软雅黑" w:eastAsia="微软雅黑" w:hAnsi="微软雅黑" w:cs="微软雅黑" w:hint="eastAsia"/>
            <w:color w:val="001CAC" w:themeColor="hyperlink" w:themeShade="BF"/>
            <w:szCs w:val="32"/>
            <w:lang w:eastAsia="zh-CN"/>
          </w:rPr>
          <w:t>五、配电箱行业项目管理与实施</w:t>
        </w:r>
        <w:r>
          <w:tab/>
        </w:r>
        <w:r>
          <w:fldChar w:fldCharType="begin"/>
        </w:r>
        <w:r>
          <w:instrText xml:space="preserve"> PAGEREF _Toc29055 \h </w:instrText>
        </w:r>
        <w:r>
          <w:fldChar w:fldCharType="separate"/>
        </w:r>
        <w:r>
          <w:t>35</w:t>
        </w:r>
        <w:r>
          <w:fldChar w:fldCharType="end"/>
        </w:r>
      </w:hyperlink>
    </w:p>
    <w:p>
      <w:pPr>
        <w:pStyle w:val="TOC2"/>
        <w:tabs>
          <w:tab w:val="right" w:leader="dot" w:pos="8306"/>
        </w:tabs>
      </w:pPr>
      <w:hyperlink w:anchor="_Toc16070" w:history="1">
        <w:r>
          <w:rPr>
            <w:rFonts w:ascii="宋体" w:eastAsia="宋体" w:hAnsi="宋体" w:cs="宋体" w:hint="eastAsia"/>
            <w:bCs w:val="0"/>
            <w:szCs w:val="28"/>
            <w:lang w:eastAsia="zh-CN"/>
          </w:rPr>
          <w:t>(一)、项目进度安排</w:t>
        </w:r>
        <w:r>
          <w:tab/>
        </w:r>
        <w:r>
          <w:fldChar w:fldCharType="begin"/>
        </w:r>
        <w:r>
          <w:instrText xml:space="preserve"> PAGEREF _Toc16070 \h </w:instrText>
        </w:r>
        <w:r>
          <w:fldChar w:fldCharType="separate"/>
        </w:r>
        <w:r>
          <w:t>35</w:t>
        </w:r>
        <w:r>
          <w:fldChar w:fldCharType="end"/>
        </w:r>
      </w:hyperlink>
    </w:p>
    <w:p>
      <w:pPr>
        <w:pStyle w:val="TOC2"/>
        <w:tabs>
          <w:tab w:val="right" w:leader="dot" w:pos="8306"/>
        </w:tabs>
      </w:pPr>
      <w:hyperlink w:anchor="_Toc13761" w:history="1">
        <w:r>
          <w:rPr>
            <w:rFonts w:ascii="宋体" w:eastAsia="宋体" w:hAnsi="宋体" w:cs="宋体" w:hint="eastAsia"/>
            <w:bCs w:val="0"/>
            <w:szCs w:val="28"/>
            <w:lang w:eastAsia="zh-CN"/>
          </w:rPr>
          <w:t>(二)、项目实施保障措施</w:t>
        </w:r>
        <w:r>
          <w:tab/>
        </w:r>
        <w:r>
          <w:fldChar w:fldCharType="begin"/>
        </w:r>
        <w:r>
          <w:instrText xml:space="preserve"> PAGEREF _Toc13761 \h </w:instrText>
        </w:r>
        <w:r>
          <w:fldChar w:fldCharType="separate"/>
        </w:r>
        <w:r>
          <w:t>36</w:t>
        </w:r>
        <w:r>
          <w:fldChar w:fldCharType="end"/>
        </w:r>
      </w:hyperlink>
    </w:p>
    <w:p>
      <w:pPr>
        <w:pStyle w:val="TOC2"/>
        <w:tabs>
          <w:tab w:val="right" w:leader="dot" w:pos="8306"/>
        </w:tabs>
      </w:pPr>
      <w:hyperlink w:anchor="_Toc11084" w:history="1">
        <w:r>
          <w:rPr>
            <w:rFonts w:ascii="宋体" w:eastAsia="宋体" w:hAnsi="宋体" w:cs="宋体" w:hint="eastAsia"/>
            <w:bCs w:val="0"/>
            <w:szCs w:val="28"/>
            <w:lang w:eastAsia="zh-CN"/>
          </w:rPr>
          <w:t>(三)、项目风险分析与对策</w:t>
        </w:r>
        <w:r>
          <w:tab/>
        </w:r>
        <w:r>
          <w:fldChar w:fldCharType="begin"/>
        </w:r>
        <w:r>
          <w:instrText xml:space="preserve"> PAGEREF _Toc11084 \h </w:instrText>
        </w:r>
        <w:r>
          <w:fldChar w:fldCharType="separate"/>
        </w:r>
        <w:r>
          <w:t>36</w:t>
        </w:r>
        <w:r>
          <w:fldChar w:fldCharType="end"/>
        </w:r>
      </w:hyperlink>
    </w:p>
    <w:p>
      <w:pPr>
        <w:pStyle w:val="TOC1"/>
        <w:tabs>
          <w:tab w:val="right" w:leader="dot" w:pos="8306"/>
        </w:tabs>
      </w:pPr>
      <w:hyperlink w:anchor="_Toc5733" w:history="1">
        <w:r>
          <w:rPr>
            <w:rFonts w:ascii="微软雅黑" w:eastAsia="微软雅黑" w:hAnsi="微软雅黑" w:cs="微软雅黑" w:hint="eastAsia"/>
            <w:color w:val="001CAC" w:themeColor="hyperlink" w:themeShade="BF"/>
            <w:szCs w:val="32"/>
            <w:lang w:eastAsia="zh-CN"/>
          </w:rPr>
          <w:t>六、项目运营与管理</w:t>
        </w:r>
        <w:r>
          <w:tab/>
        </w:r>
        <w:r>
          <w:fldChar w:fldCharType="begin"/>
        </w:r>
        <w:r>
          <w:instrText xml:space="preserve"> PAGEREF _Toc5733 \h </w:instrText>
        </w:r>
        <w:r>
          <w:fldChar w:fldCharType="separate"/>
        </w:r>
        <w:r>
          <w:t>37</w:t>
        </w:r>
        <w:r>
          <w:fldChar w:fldCharType="end"/>
        </w:r>
      </w:hyperlink>
    </w:p>
    <w:p>
      <w:pPr>
        <w:pStyle w:val="TOC2"/>
        <w:tabs>
          <w:tab w:val="right" w:leader="dot" w:pos="8306"/>
        </w:tabs>
      </w:pPr>
      <w:hyperlink w:anchor="_Toc8286" w:history="1">
        <w:r>
          <w:rPr>
            <w:rFonts w:ascii="宋体" w:eastAsia="宋体" w:hAnsi="宋体" w:cs="宋体" w:hint="eastAsia"/>
            <w:bCs w:val="0"/>
            <w:szCs w:val="28"/>
            <w:lang w:eastAsia="zh-CN"/>
          </w:rPr>
          <w:t>(一)、运营模式选择</w:t>
        </w:r>
        <w:r>
          <w:tab/>
        </w:r>
        <w:r>
          <w:fldChar w:fldCharType="begin"/>
        </w:r>
        <w:r>
          <w:instrText xml:space="preserve"> PAGEREF _Toc8286 \h </w:instrText>
        </w:r>
        <w:r>
          <w:fldChar w:fldCharType="separate"/>
        </w:r>
        <w:r>
          <w:t>37</w:t>
        </w:r>
        <w:r>
          <w:fldChar w:fldCharType="end"/>
        </w:r>
      </w:hyperlink>
    </w:p>
    <w:p>
      <w:pPr>
        <w:pStyle w:val="TOC2"/>
        <w:tabs>
          <w:tab w:val="right" w:leader="dot" w:pos="8306"/>
        </w:tabs>
      </w:pPr>
      <w:hyperlink w:anchor="_Toc21842" w:history="1">
        <w:r>
          <w:rPr>
            <w:rFonts w:ascii="宋体" w:eastAsia="宋体" w:hAnsi="宋体" w:cs="宋体" w:hint="eastAsia"/>
            <w:bCs w:val="0"/>
            <w:szCs w:val="28"/>
            <w:lang w:eastAsia="zh-CN"/>
          </w:rPr>
          <w:t>(二)、人力资源规划</w:t>
        </w:r>
        <w:r>
          <w:tab/>
        </w:r>
        <w:r>
          <w:fldChar w:fldCharType="begin"/>
        </w:r>
        <w:r>
          <w:instrText xml:space="preserve"> PAGEREF _Toc21842 \h </w:instrText>
        </w:r>
        <w:r>
          <w:fldChar w:fldCharType="separate"/>
        </w:r>
        <w:r>
          <w:t>37</w:t>
        </w:r>
        <w:r>
          <w:fldChar w:fldCharType="end"/>
        </w:r>
      </w:hyperlink>
    </w:p>
    <w:p>
      <w:pPr>
        <w:pStyle w:val="TOC2"/>
        <w:tabs>
          <w:tab w:val="right" w:leader="dot" w:pos="8306"/>
        </w:tabs>
      </w:pPr>
      <w:hyperlink w:anchor="_Toc24520" w:history="1">
        <w:r>
          <w:rPr>
            <w:rFonts w:ascii="宋体" w:eastAsia="宋体" w:hAnsi="宋体" w:cs="宋体" w:hint="eastAsia"/>
            <w:bCs w:val="0"/>
            <w:szCs w:val="28"/>
            <w:lang w:eastAsia="zh-CN"/>
          </w:rPr>
          <w:t>(三)、财务管理计划</w:t>
        </w:r>
        <w:r>
          <w:tab/>
        </w:r>
        <w:r>
          <w:fldChar w:fldCharType="begin"/>
        </w:r>
        <w:r>
          <w:instrText xml:space="preserve"> PAGEREF _Toc24520 \h </w:instrText>
        </w:r>
        <w:r>
          <w:fldChar w:fldCharType="separate"/>
        </w:r>
        <w:r>
          <w:t>38</w:t>
        </w:r>
        <w:r>
          <w:fldChar w:fldCharType="end"/>
        </w:r>
      </w:hyperlink>
    </w:p>
    <w:p>
      <w:pPr>
        <w:pStyle w:val="TOC2"/>
        <w:tabs>
          <w:tab w:val="right" w:leader="dot" w:pos="8306"/>
        </w:tabs>
      </w:pPr>
      <w:hyperlink w:anchor="_Toc7844" w:history="1">
        <w:r>
          <w:rPr>
            <w:rFonts w:ascii="宋体" w:eastAsia="宋体" w:hAnsi="宋体" w:cs="宋体" w:hint="eastAsia"/>
            <w:bCs w:val="0"/>
            <w:szCs w:val="28"/>
            <w:lang w:eastAsia="zh-CN"/>
          </w:rPr>
          <w:t>(四)、供应链管理</w:t>
        </w:r>
        <w:r>
          <w:tab/>
        </w:r>
        <w:r>
          <w:fldChar w:fldCharType="begin"/>
        </w:r>
        <w:r>
          <w:instrText xml:space="preserve"> PAGEREF _Toc7844 \h </w:instrText>
        </w:r>
        <w:r>
          <w:fldChar w:fldCharType="separate"/>
        </w:r>
        <w:r>
          <w:t>39</w:t>
        </w:r>
        <w:r>
          <w:fldChar w:fldCharType="end"/>
        </w:r>
      </w:hyperlink>
    </w:p>
    <w:p>
      <w:pPr>
        <w:pStyle w:val="TOC1"/>
        <w:tabs>
          <w:tab w:val="right" w:leader="dot" w:pos="8306"/>
        </w:tabs>
      </w:pPr>
      <w:hyperlink w:anchor="_Toc30919" w:history="1">
        <w:r>
          <w:rPr>
            <w:rFonts w:ascii="微软雅黑" w:eastAsia="微软雅黑" w:hAnsi="微软雅黑" w:cs="微软雅黑" w:hint="eastAsia"/>
            <w:color w:val="001CAC" w:themeColor="hyperlink" w:themeShade="BF"/>
            <w:szCs w:val="32"/>
            <w:lang w:eastAsia="zh-CN"/>
          </w:rPr>
          <w:t>七、配电箱行业公司治理与社会责任</w:t>
        </w:r>
        <w:r>
          <w:tab/>
        </w:r>
        <w:r>
          <w:fldChar w:fldCharType="begin"/>
        </w:r>
        <w:r>
          <w:instrText xml:space="preserve"> PAGEREF _Toc30919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968" w:history="1">
        <w:r>
          <w:rPr>
            <w:rFonts w:ascii="宋体" w:eastAsia="宋体" w:hAnsi="宋体" w:cs="宋体" w:hint="eastAsia"/>
            <w:bCs w:val="0"/>
            <w:szCs w:val="28"/>
            <w:lang w:eastAsia="zh-CN"/>
          </w:rPr>
          <w:t>(一)、公司治理结构</w:t>
        </w:r>
        <w:r>
          <w:tab/>
        </w:r>
        <w:r>
          <w:fldChar w:fldCharType="begin"/>
        </w:r>
        <w:r>
          <w:instrText xml:space="preserve"> PAGEREF _Toc20968 \h </w:instrText>
        </w:r>
        <w:r>
          <w:fldChar w:fldCharType="separate"/>
        </w:r>
        <w:r>
          <w:t>40</w:t>
        </w:r>
        <w:r>
          <w:fldChar w:fldCharType="end"/>
        </w:r>
      </w:hyperlink>
    </w:p>
    <w:p>
      <w:pPr>
        <w:pStyle w:val="TOC2"/>
        <w:tabs>
          <w:tab w:val="right" w:leader="dot" w:pos="8306"/>
        </w:tabs>
      </w:pPr>
      <w:hyperlink w:anchor="_Toc19669" w:history="1">
        <w:r>
          <w:rPr>
            <w:rFonts w:ascii="宋体" w:eastAsia="宋体" w:hAnsi="宋体" w:cs="宋体" w:hint="eastAsia"/>
            <w:bCs w:val="0"/>
            <w:szCs w:val="28"/>
            <w:lang w:eastAsia="zh-CN"/>
          </w:rPr>
          <w:t>(二)、董事会运作与决策</w:t>
        </w:r>
        <w:r>
          <w:tab/>
        </w:r>
        <w:r>
          <w:fldChar w:fldCharType="begin"/>
        </w:r>
        <w:r>
          <w:instrText xml:space="preserve"> PAGEREF _Toc19669 \h </w:instrText>
        </w:r>
        <w:r>
          <w:fldChar w:fldCharType="separate"/>
        </w:r>
        <w:r>
          <w:t>41</w:t>
        </w:r>
        <w:r>
          <w:fldChar w:fldCharType="end"/>
        </w:r>
      </w:hyperlink>
    </w:p>
    <w:p>
      <w:pPr>
        <w:pStyle w:val="TOC2"/>
        <w:tabs>
          <w:tab w:val="right" w:leader="dot" w:pos="8306"/>
        </w:tabs>
      </w:pPr>
      <w:hyperlink w:anchor="_Toc21070" w:history="1">
        <w:r>
          <w:rPr>
            <w:rFonts w:ascii="宋体" w:eastAsia="宋体" w:hAnsi="宋体" w:cs="宋体" w:hint="eastAsia"/>
            <w:bCs w:val="0"/>
            <w:szCs w:val="28"/>
            <w:lang w:eastAsia="zh-CN"/>
          </w:rPr>
          <w:t>(三)、内部控制与审计</w:t>
        </w:r>
        <w:r>
          <w:tab/>
        </w:r>
        <w:r>
          <w:fldChar w:fldCharType="begin"/>
        </w:r>
        <w:r>
          <w:instrText xml:space="preserve"> PAGEREF _Toc21070 \h </w:instrText>
        </w:r>
        <w:r>
          <w:fldChar w:fldCharType="separate"/>
        </w:r>
        <w:r>
          <w:t>41</w:t>
        </w:r>
        <w:r>
          <w:fldChar w:fldCharType="end"/>
        </w:r>
      </w:hyperlink>
    </w:p>
    <w:p>
      <w:pPr>
        <w:pStyle w:val="TOC2"/>
        <w:tabs>
          <w:tab w:val="right" w:leader="dot" w:pos="8306"/>
        </w:tabs>
      </w:pPr>
      <w:hyperlink w:anchor="_Toc919" w:history="1">
        <w:r>
          <w:rPr>
            <w:rFonts w:ascii="宋体" w:eastAsia="宋体" w:hAnsi="宋体" w:cs="宋体" w:hint="eastAsia"/>
            <w:bCs w:val="0"/>
            <w:szCs w:val="28"/>
            <w:lang w:eastAsia="zh-CN"/>
          </w:rPr>
          <w:t>(四)、法律法规合规体系</w:t>
        </w:r>
        <w:r>
          <w:tab/>
        </w:r>
        <w:r>
          <w:fldChar w:fldCharType="begin"/>
        </w:r>
        <w:r>
          <w:instrText xml:space="preserve"> PAGEREF _Toc919 \h </w:instrText>
        </w:r>
        <w:r>
          <w:fldChar w:fldCharType="separate"/>
        </w:r>
        <w:r>
          <w:t>42</w:t>
        </w:r>
        <w:r>
          <w:fldChar w:fldCharType="end"/>
        </w:r>
      </w:hyperlink>
    </w:p>
    <w:p>
      <w:pPr>
        <w:pStyle w:val="TOC2"/>
        <w:tabs>
          <w:tab w:val="right" w:leader="dot" w:pos="8306"/>
        </w:tabs>
      </w:pPr>
      <w:hyperlink w:anchor="_Toc32077" w:history="1">
        <w:r>
          <w:rPr>
            <w:rFonts w:ascii="宋体" w:eastAsia="宋体" w:hAnsi="宋体" w:cs="宋体" w:hint="eastAsia"/>
            <w:bCs w:val="0"/>
            <w:szCs w:val="28"/>
            <w:lang w:eastAsia="zh-CN"/>
          </w:rPr>
          <w:t>(五)、企业社会责任与道德经营</w:t>
        </w:r>
        <w:r>
          <w:tab/>
        </w:r>
        <w:r>
          <w:fldChar w:fldCharType="begin"/>
        </w:r>
        <w:r>
          <w:instrText xml:space="preserve"> PAGEREF _Toc32077 \h </w:instrText>
        </w:r>
        <w:r>
          <w:fldChar w:fldCharType="separate"/>
        </w:r>
        <w:r>
          <w:t>43</w:t>
        </w:r>
        <w:r>
          <w:fldChar w:fldCharType="end"/>
        </w:r>
      </w:hyperlink>
    </w:p>
    <w:p>
      <w:pPr>
        <w:pStyle w:val="TOC1"/>
        <w:tabs>
          <w:tab w:val="right" w:leader="dot" w:pos="8306"/>
        </w:tabs>
      </w:pPr>
      <w:hyperlink w:anchor="_Toc12137" w:history="1">
        <w:r>
          <w:rPr>
            <w:rFonts w:ascii="微软雅黑" w:eastAsia="微软雅黑" w:hAnsi="微软雅黑" w:cs="微软雅黑" w:hint="eastAsia"/>
            <w:color w:val="001CAC" w:themeColor="hyperlink" w:themeShade="BF"/>
            <w:szCs w:val="32"/>
            <w:lang w:eastAsia="zh-CN"/>
          </w:rPr>
          <w:t>八、配电箱行业制度建设与执行</w:t>
        </w:r>
        <w:r>
          <w:tab/>
        </w:r>
        <w:r>
          <w:fldChar w:fldCharType="begin"/>
        </w:r>
        <w:r>
          <w:instrText xml:space="preserve"> PAGEREF _Toc12137 \h </w:instrText>
        </w:r>
        <w:r>
          <w:fldChar w:fldCharType="separate"/>
        </w:r>
        <w:r>
          <w:t>44</w:t>
        </w:r>
        <w:r>
          <w:fldChar w:fldCharType="end"/>
        </w:r>
      </w:hyperlink>
    </w:p>
    <w:p>
      <w:pPr>
        <w:pStyle w:val="TOC2"/>
        <w:tabs>
          <w:tab w:val="right" w:leader="dot" w:pos="8306"/>
        </w:tabs>
      </w:pPr>
      <w:hyperlink w:anchor="_Toc9102" w:history="1">
        <w:r>
          <w:rPr>
            <w:rFonts w:ascii="宋体" w:eastAsia="宋体" w:hAnsi="宋体" w:cs="宋体" w:hint="eastAsia"/>
            <w:bCs w:val="0"/>
            <w:szCs w:val="28"/>
            <w:lang w:eastAsia="zh-CN"/>
          </w:rPr>
          <w:t>(一)、公司制度体系规划</w:t>
        </w:r>
        <w:r>
          <w:tab/>
        </w:r>
        <w:r>
          <w:fldChar w:fldCharType="begin"/>
        </w:r>
        <w:r>
          <w:instrText xml:space="preserve"> PAGEREF _Toc9102 \h </w:instrText>
        </w:r>
        <w:r>
          <w:fldChar w:fldCharType="separate"/>
        </w:r>
        <w:r>
          <w:t>44</w:t>
        </w:r>
        <w:r>
          <w:fldChar w:fldCharType="end"/>
        </w:r>
      </w:hyperlink>
    </w:p>
    <w:p>
      <w:pPr>
        <w:pStyle w:val="TOC2"/>
        <w:tabs>
          <w:tab w:val="right" w:leader="dot" w:pos="8306"/>
        </w:tabs>
      </w:pPr>
      <w:hyperlink w:anchor="_Toc12063" w:history="1">
        <w:r>
          <w:rPr>
            <w:rFonts w:ascii="宋体" w:eastAsia="宋体" w:hAnsi="宋体" w:cs="宋体" w:hint="eastAsia"/>
            <w:bCs w:val="0"/>
            <w:szCs w:val="28"/>
            <w:lang w:eastAsia="zh-CN"/>
          </w:rPr>
          <w:t>(二)、员工手册编制与更新</w:t>
        </w:r>
        <w:r>
          <w:tab/>
        </w:r>
        <w:r>
          <w:fldChar w:fldCharType="begin"/>
        </w:r>
        <w:r>
          <w:instrText xml:space="preserve"> PAGEREF _Toc12063 \h </w:instrText>
        </w:r>
        <w:r>
          <w:fldChar w:fldCharType="separate"/>
        </w:r>
        <w:r>
          <w:t>46</w:t>
        </w:r>
        <w:r>
          <w:fldChar w:fldCharType="end"/>
        </w:r>
      </w:hyperlink>
    </w:p>
    <w:p>
      <w:pPr>
        <w:pStyle w:val="TOC2"/>
        <w:tabs>
          <w:tab w:val="right" w:leader="dot" w:pos="8306"/>
        </w:tabs>
      </w:pPr>
      <w:hyperlink w:anchor="_Toc32289" w:history="1">
        <w:r>
          <w:rPr>
            <w:rFonts w:ascii="宋体" w:eastAsia="宋体" w:hAnsi="宋体" w:cs="宋体" w:hint="eastAsia"/>
            <w:bCs w:val="0"/>
            <w:szCs w:val="28"/>
            <w:lang w:eastAsia="zh-CN"/>
          </w:rPr>
          <w:t>(三)、制度宣导与培训</w:t>
        </w:r>
        <w:r>
          <w:tab/>
        </w:r>
        <w:r>
          <w:fldChar w:fldCharType="begin"/>
        </w:r>
        <w:r>
          <w:instrText xml:space="preserve"> PAGEREF _Toc32289 \h </w:instrText>
        </w:r>
        <w:r>
          <w:fldChar w:fldCharType="separate"/>
        </w:r>
        <w:r>
          <w:t>47</w:t>
        </w:r>
        <w:r>
          <w:fldChar w:fldCharType="end"/>
        </w:r>
      </w:hyperlink>
    </w:p>
    <w:p>
      <w:pPr>
        <w:pStyle w:val="TOC2"/>
        <w:tabs>
          <w:tab w:val="right" w:leader="dot" w:pos="8306"/>
        </w:tabs>
      </w:pPr>
      <w:hyperlink w:anchor="_Toc32494" w:history="1">
        <w:r>
          <w:rPr>
            <w:rFonts w:ascii="宋体" w:eastAsia="宋体" w:hAnsi="宋体" w:cs="宋体" w:hint="eastAsia"/>
            <w:bCs w:val="0"/>
            <w:szCs w:val="28"/>
            <w:lang w:eastAsia="zh-CN"/>
          </w:rPr>
          <w:t>(四)、主要防范措施</w:t>
        </w:r>
        <w:r>
          <w:tab/>
        </w:r>
        <w:r>
          <w:fldChar w:fldCharType="begin"/>
        </w:r>
        <w:r>
          <w:instrText xml:space="preserve"> PAGEREF _Toc32494 \h </w:instrText>
        </w:r>
        <w:r>
          <w:fldChar w:fldCharType="separate"/>
        </w:r>
        <w:r>
          <w:t>48</w:t>
        </w:r>
        <w:r>
          <w:fldChar w:fldCharType="end"/>
        </w:r>
      </w:hyperlink>
    </w:p>
    <w:p>
      <w:pPr>
        <w:pStyle w:val="TOC2"/>
        <w:tabs>
          <w:tab w:val="right" w:leader="dot" w:pos="8306"/>
        </w:tabs>
      </w:pPr>
      <w:hyperlink w:anchor="_Toc10811" w:history="1">
        <w:r>
          <w:rPr>
            <w:rFonts w:ascii="宋体" w:eastAsia="宋体" w:hAnsi="宋体" w:cs="宋体" w:hint="eastAsia"/>
            <w:bCs w:val="0"/>
            <w:szCs w:val="28"/>
            <w:lang w:eastAsia="zh-CN"/>
          </w:rPr>
          <w:t>(五)、制度优化与更新</w:t>
        </w:r>
        <w:r>
          <w:tab/>
        </w:r>
        <w:r>
          <w:fldChar w:fldCharType="begin"/>
        </w:r>
        <w:r>
          <w:instrText xml:space="preserve"> PAGEREF _Toc10811 \h </w:instrText>
        </w:r>
        <w:r>
          <w:fldChar w:fldCharType="separate"/>
        </w:r>
        <w:r>
          <w:t>49</w:t>
        </w:r>
        <w:r>
          <w:fldChar w:fldCharType="end"/>
        </w:r>
      </w:hyperlink>
    </w:p>
    <w:p>
      <w:pPr>
        <w:pStyle w:val="TOC1"/>
        <w:tabs>
          <w:tab w:val="right" w:leader="dot" w:pos="8306"/>
        </w:tabs>
      </w:pPr>
      <w:hyperlink w:anchor="_Toc31143" w:history="1">
        <w:r>
          <w:rPr>
            <w:rFonts w:ascii="微软雅黑" w:eastAsia="微软雅黑" w:hAnsi="微软雅黑" w:cs="微软雅黑" w:hint="eastAsia"/>
            <w:color w:val="001CAC" w:themeColor="hyperlink" w:themeShade="BF"/>
            <w:szCs w:val="32"/>
            <w:lang w:eastAsia="zh-CN"/>
          </w:rPr>
          <w:t>九、配电箱行业市场营销分析</w:t>
        </w:r>
        <w:r>
          <w:tab/>
        </w:r>
        <w:r>
          <w:fldChar w:fldCharType="begin"/>
        </w:r>
        <w:r>
          <w:instrText xml:space="preserve"> PAGEREF _Toc31143 \h </w:instrText>
        </w:r>
        <w:r>
          <w:fldChar w:fldCharType="separate"/>
        </w:r>
        <w:r>
          <w:t>49</w:t>
        </w:r>
        <w:r>
          <w:fldChar w:fldCharType="end"/>
        </w:r>
      </w:hyperlink>
    </w:p>
    <w:p>
      <w:pPr>
        <w:pStyle w:val="TOC2"/>
        <w:tabs>
          <w:tab w:val="right" w:leader="dot" w:pos="8306"/>
        </w:tabs>
      </w:pPr>
      <w:hyperlink w:anchor="_Toc18455" w:history="1">
        <w:r>
          <w:rPr>
            <w:rFonts w:ascii="宋体" w:eastAsia="宋体" w:hAnsi="宋体" w:cs="宋体" w:hint="eastAsia"/>
            <w:bCs w:val="0"/>
            <w:szCs w:val="28"/>
            <w:lang w:eastAsia="zh-CN"/>
          </w:rPr>
          <w:t>(一)、配电箱行业市场营销总体思路</w:t>
        </w:r>
        <w:r>
          <w:tab/>
        </w:r>
        <w:r>
          <w:fldChar w:fldCharType="begin"/>
        </w:r>
        <w:r>
          <w:instrText xml:space="preserve"> PAGEREF _Toc18455 \h </w:instrText>
        </w:r>
        <w:r>
          <w:fldChar w:fldCharType="separate"/>
        </w:r>
        <w:r>
          <w:t>49</w:t>
        </w:r>
        <w:r>
          <w:fldChar w:fldCharType="end"/>
        </w:r>
      </w:hyperlink>
    </w:p>
    <w:p>
      <w:pPr>
        <w:pStyle w:val="TOC2"/>
        <w:tabs>
          <w:tab w:val="right" w:leader="dot" w:pos="8306"/>
        </w:tabs>
      </w:pPr>
      <w:hyperlink w:anchor="_Toc21664" w:history="1">
        <w:r>
          <w:rPr>
            <w:rFonts w:ascii="宋体" w:eastAsia="宋体" w:hAnsi="宋体" w:cs="宋体" w:hint="eastAsia"/>
            <w:bCs w:val="0"/>
            <w:szCs w:val="28"/>
            <w:lang w:eastAsia="zh-CN"/>
          </w:rPr>
          <w:t>(二)、配电箱行业组织市场分析</w:t>
        </w:r>
        <w:r>
          <w:tab/>
        </w:r>
        <w:r>
          <w:fldChar w:fldCharType="begin"/>
        </w:r>
        <w:r>
          <w:instrText xml:space="preserve"> PAGEREF _Toc21664 \h </w:instrText>
        </w:r>
        <w:r>
          <w:fldChar w:fldCharType="separate"/>
        </w:r>
        <w:r>
          <w:t>51</w:t>
        </w:r>
        <w:r>
          <w:fldChar w:fldCharType="end"/>
        </w:r>
      </w:hyperlink>
    </w:p>
    <w:p>
      <w:pPr>
        <w:pStyle w:val="TOC2"/>
        <w:tabs>
          <w:tab w:val="right" w:leader="dot" w:pos="8306"/>
        </w:tabs>
      </w:pPr>
      <w:hyperlink w:anchor="_Toc32173" w:history="1">
        <w:r>
          <w:rPr>
            <w:rFonts w:ascii="宋体" w:eastAsia="宋体" w:hAnsi="宋体" w:cs="宋体" w:hint="eastAsia"/>
            <w:bCs w:val="0"/>
            <w:szCs w:val="28"/>
            <w:lang w:eastAsia="zh-CN"/>
          </w:rPr>
          <w:t>(三)、配电箱行业目标市场营销战略</w:t>
        </w:r>
        <w:r>
          <w:tab/>
        </w:r>
        <w:r>
          <w:fldChar w:fldCharType="begin"/>
        </w:r>
        <w:r>
          <w:instrText xml:space="preserve"> PAGEREF _Toc32173 \h </w:instrText>
        </w:r>
        <w:r>
          <w:fldChar w:fldCharType="separate"/>
        </w:r>
        <w:r>
          <w:t>52</w:t>
        </w:r>
        <w:r>
          <w:fldChar w:fldCharType="end"/>
        </w:r>
      </w:hyperlink>
    </w:p>
    <w:p>
      <w:pPr>
        <w:pStyle w:val="TOC2"/>
        <w:tabs>
          <w:tab w:val="right" w:leader="dot" w:pos="8306"/>
        </w:tabs>
      </w:pPr>
      <w:hyperlink w:anchor="_Toc13306" w:history="1">
        <w:r>
          <w:rPr>
            <w:rFonts w:ascii="宋体" w:eastAsia="宋体" w:hAnsi="宋体" w:cs="宋体" w:hint="eastAsia"/>
            <w:bCs w:val="0"/>
            <w:szCs w:val="28"/>
            <w:lang w:eastAsia="zh-CN"/>
          </w:rPr>
          <w:t>(四)、配电箱行业定价策略</w:t>
        </w:r>
        <w:r>
          <w:tab/>
        </w:r>
        <w:r>
          <w:fldChar w:fldCharType="begin"/>
        </w:r>
        <w:r>
          <w:instrText xml:space="preserve"> PAGEREF _Toc13306 \h </w:instrText>
        </w:r>
        <w:r>
          <w:fldChar w:fldCharType="separate"/>
        </w:r>
        <w:r>
          <w:t>53</w:t>
        </w:r>
        <w:r>
          <w:fldChar w:fldCharType="end"/>
        </w:r>
      </w:hyperlink>
    </w:p>
    <w:p>
      <w:pPr>
        <w:pStyle w:val="TOC2"/>
        <w:tabs>
          <w:tab w:val="right" w:leader="dot" w:pos="8306"/>
        </w:tabs>
      </w:pPr>
      <w:hyperlink w:anchor="_Toc25697" w:history="1">
        <w:r>
          <w:rPr>
            <w:rFonts w:ascii="宋体" w:eastAsia="宋体" w:hAnsi="宋体" w:cs="宋体" w:hint="eastAsia"/>
            <w:bCs w:val="0"/>
            <w:szCs w:val="28"/>
            <w:lang w:eastAsia="zh-CN"/>
          </w:rPr>
          <w:t>(五)、配电箱行业促销策略</w:t>
        </w:r>
        <w:r>
          <w:tab/>
        </w:r>
        <w:r>
          <w:fldChar w:fldCharType="begin"/>
        </w:r>
        <w:r>
          <w:instrText xml:space="preserve"> PAGEREF _Toc25697 \h </w:instrText>
        </w:r>
        <w:r>
          <w:fldChar w:fldCharType="separate"/>
        </w:r>
        <w:r>
          <w:t>55</w:t>
        </w:r>
        <w:r>
          <w:fldChar w:fldCharType="end"/>
        </w:r>
      </w:hyperlink>
    </w:p>
    <w:p>
      <w:pPr>
        <w:pStyle w:val="TOC2"/>
        <w:tabs>
          <w:tab w:val="right" w:leader="dot" w:pos="8306"/>
        </w:tabs>
      </w:pPr>
      <w:hyperlink w:anchor="_Toc25142" w:history="1">
        <w:r>
          <w:rPr>
            <w:rFonts w:ascii="宋体" w:eastAsia="宋体" w:hAnsi="宋体" w:cs="宋体" w:hint="eastAsia"/>
            <w:bCs w:val="0"/>
            <w:szCs w:val="28"/>
            <w:lang w:eastAsia="zh-CN"/>
          </w:rPr>
          <w:t>(六)、配电箱行业品牌策略</w:t>
        </w:r>
        <w:r>
          <w:tab/>
        </w:r>
        <w:r>
          <w:fldChar w:fldCharType="begin"/>
        </w:r>
        <w:r>
          <w:instrText xml:space="preserve"> PAGEREF _Toc25142 \h </w:instrText>
        </w:r>
        <w:r>
          <w:fldChar w:fldCharType="separate"/>
        </w:r>
        <w:r>
          <w:t>57</w:t>
        </w:r>
        <w:r>
          <w:fldChar w:fldCharType="end"/>
        </w:r>
      </w:hyperlink>
    </w:p>
    <w:p>
      <w:pPr>
        <w:pStyle w:val="TOC2"/>
        <w:tabs>
          <w:tab w:val="right" w:leader="dot" w:pos="8306"/>
        </w:tabs>
      </w:pPr>
      <w:hyperlink w:anchor="_Toc24784" w:history="1">
        <w:r>
          <w:rPr>
            <w:rFonts w:ascii="宋体" w:eastAsia="宋体" w:hAnsi="宋体" w:cs="宋体" w:hint="eastAsia"/>
            <w:bCs w:val="0"/>
            <w:szCs w:val="28"/>
            <w:lang w:eastAsia="zh-CN"/>
          </w:rPr>
          <w:t>(七)、配电箱行业关系营销</w:t>
        </w:r>
        <w:r>
          <w:tab/>
        </w:r>
        <w:r>
          <w:fldChar w:fldCharType="begin"/>
        </w:r>
        <w:r>
          <w:instrText xml:space="preserve"> PAGEREF _Toc24784 \h </w:instrText>
        </w:r>
        <w:r>
          <w:fldChar w:fldCharType="separate"/>
        </w:r>
        <w:r>
          <w:t>59</w:t>
        </w:r>
        <w:r>
          <w:fldChar w:fldCharType="end"/>
        </w:r>
      </w:hyperlink>
    </w:p>
    <w:p>
      <w:pPr>
        <w:pStyle w:val="TOC2"/>
        <w:tabs>
          <w:tab w:val="right" w:leader="dot" w:pos="8306"/>
        </w:tabs>
      </w:pPr>
      <w:hyperlink w:anchor="_Toc19750" w:history="1">
        <w:r>
          <w:rPr>
            <w:rFonts w:ascii="宋体" w:eastAsia="宋体" w:hAnsi="宋体" w:cs="宋体" w:hint="eastAsia"/>
            <w:bCs w:val="0"/>
            <w:szCs w:val="28"/>
            <w:lang w:eastAsia="zh-CN"/>
          </w:rPr>
          <w:t>(八)、配电箱行业体验营销</w:t>
        </w:r>
        <w:r>
          <w:tab/>
        </w:r>
        <w:r>
          <w:fldChar w:fldCharType="begin"/>
        </w:r>
        <w:r>
          <w:instrText xml:space="preserve"> PAGEREF _Toc19750 \h </w:instrText>
        </w:r>
        <w:r>
          <w:fldChar w:fldCharType="separate"/>
        </w:r>
        <w:r>
          <w:t>61</w:t>
        </w:r>
        <w:r>
          <w:fldChar w:fldCharType="end"/>
        </w:r>
      </w:hyperlink>
    </w:p>
    <w:p>
      <w:pPr>
        <w:pStyle w:val="TOC2"/>
        <w:tabs>
          <w:tab w:val="right" w:leader="dot" w:pos="8306"/>
        </w:tabs>
      </w:pPr>
      <w:hyperlink w:anchor="_Toc7784" w:history="1">
        <w:r>
          <w:rPr>
            <w:rFonts w:ascii="宋体" w:eastAsia="宋体" w:hAnsi="宋体" w:cs="宋体" w:hint="eastAsia"/>
            <w:bCs w:val="0"/>
            <w:szCs w:val="28"/>
            <w:lang w:eastAsia="zh-CN"/>
          </w:rPr>
          <w:t>(九)、配电箱行业互联网营销</w:t>
        </w:r>
        <w:r>
          <w:tab/>
        </w:r>
        <w:r>
          <w:fldChar w:fldCharType="begin"/>
        </w:r>
        <w:r>
          <w:instrText xml:space="preserve"> PAGEREF _Toc7784 \h </w:instrText>
        </w:r>
        <w:r>
          <w:fldChar w:fldCharType="separate"/>
        </w:r>
        <w:r>
          <w:t>62</w:t>
        </w:r>
        <w:r>
          <w:fldChar w:fldCharType="end"/>
        </w:r>
      </w:hyperlink>
    </w:p>
    <w:p>
      <w:pPr>
        <w:pStyle w:val="TOC1"/>
        <w:tabs>
          <w:tab w:val="right" w:leader="dot" w:pos="8306"/>
        </w:tabs>
      </w:pPr>
      <w:hyperlink w:anchor="_Toc15300" w:history="1">
        <w:r>
          <w:rPr>
            <w:rFonts w:ascii="微软雅黑" w:eastAsia="微软雅黑" w:hAnsi="微软雅黑" w:cs="微软雅黑" w:hint="eastAsia"/>
            <w:color w:val="001CAC" w:themeColor="hyperlink" w:themeShade="BF"/>
            <w:szCs w:val="32"/>
            <w:lang w:eastAsia="zh-CN"/>
          </w:rPr>
          <w:t>十、可持续发展与绿色经营</w:t>
        </w:r>
        <w:r>
          <w:tab/>
        </w:r>
        <w:r>
          <w:fldChar w:fldCharType="begin"/>
        </w:r>
        <w:r>
          <w:instrText xml:space="preserve"> PAGEREF _Toc15300 \h </w:instrText>
        </w:r>
        <w:r>
          <w:fldChar w:fldCharType="separate"/>
        </w:r>
        <w:r>
          <w:t>64</w:t>
        </w:r>
        <w:r>
          <w:fldChar w:fldCharType="end"/>
        </w:r>
      </w:hyperlink>
    </w:p>
    <w:p>
      <w:pPr>
        <w:pStyle w:val="TOC2"/>
        <w:tabs>
          <w:tab w:val="right" w:leader="dot" w:pos="8306"/>
        </w:tabs>
      </w:pPr>
      <w:hyperlink w:anchor="_Toc29814" w:history="1">
        <w:r>
          <w:rPr>
            <w:rFonts w:ascii="宋体" w:eastAsia="宋体" w:hAnsi="宋体" w:cs="宋体" w:hint="eastAsia"/>
            <w:bCs w:val="0"/>
            <w:szCs w:val="28"/>
            <w:lang w:eastAsia="zh-CN"/>
          </w:rPr>
          <w:t>(一)、可持续发展战略与目标</w:t>
        </w:r>
        <w:r>
          <w:tab/>
        </w:r>
        <w:r>
          <w:fldChar w:fldCharType="begin"/>
        </w:r>
        <w:r>
          <w:instrText xml:space="preserve"> PAGEREF _Toc29814 \h </w:instrText>
        </w:r>
        <w:r>
          <w:fldChar w:fldCharType="separate"/>
        </w:r>
        <w:r>
          <w:t>64</w:t>
        </w:r>
        <w:r>
          <w:fldChar w:fldCharType="end"/>
        </w:r>
      </w:hyperlink>
    </w:p>
    <w:p>
      <w:pPr>
        <w:pStyle w:val="TOC2"/>
        <w:tabs>
          <w:tab w:val="right" w:leader="dot" w:pos="8306"/>
        </w:tabs>
      </w:pPr>
      <w:hyperlink w:anchor="_Toc2941" w:history="1">
        <w:r>
          <w:rPr>
            <w:rFonts w:ascii="宋体" w:eastAsia="宋体" w:hAnsi="宋体" w:cs="宋体" w:hint="eastAsia"/>
            <w:bCs w:val="0"/>
            <w:szCs w:val="28"/>
            <w:lang w:eastAsia="zh-CN"/>
          </w:rPr>
          <w:t>(二)、环保政策与实践</w:t>
        </w:r>
        <w:r>
          <w:tab/>
        </w:r>
        <w:r>
          <w:fldChar w:fldCharType="begin"/>
        </w:r>
        <w:r>
          <w:instrText xml:space="preserve"> PAGEREF _Toc2941 \h </w:instrText>
        </w:r>
        <w:r>
          <w:fldChar w:fldCharType="separate"/>
        </w:r>
        <w:r>
          <w:t>66</w:t>
        </w:r>
        <w:r>
          <w:fldChar w:fldCharType="end"/>
        </w:r>
      </w:hyperlink>
    </w:p>
    <w:p>
      <w:pPr>
        <w:pStyle w:val="TOC2"/>
        <w:tabs>
          <w:tab w:val="right" w:leader="dot" w:pos="8306"/>
        </w:tabs>
      </w:pPr>
      <w:hyperlink w:anchor="_Toc26817" w:history="1">
        <w:r>
          <w:rPr>
            <w:rFonts w:ascii="宋体" w:eastAsia="宋体" w:hAnsi="宋体" w:cs="宋体" w:hint="eastAsia"/>
            <w:bCs w:val="0"/>
            <w:szCs w:val="28"/>
            <w:lang w:eastAsia="zh-CN"/>
          </w:rPr>
          <w:t>(三)、资源利用与循环经济</w:t>
        </w:r>
        <w:r>
          <w:tab/>
        </w:r>
        <w:r>
          <w:fldChar w:fldCharType="begin"/>
        </w:r>
        <w:r>
          <w:instrText xml:space="preserve"> PAGEREF _Toc26817 \h </w:instrText>
        </w:r>
        <w:r>
          <w:fldChar w:fldCharType="separate"/>
        </w:r>
        <w:r>
          <w:t>68</w:t>
        </w:r>
        <w:r>
          <w:fldChar w:fldCharType="end"/>
        </w:r>
      </w:hyperlink>
    </w:p>
    <w:p>
      <w:pPr>
        <w:pStyle w:val="TOC2"/>
        <w:tabs>
          <w:tab w:val="right" w:leader="dot" w:pos="8306"/>
        </w:tabs>
      </w:pPr>
      <w:hyperlink w:anchor="_Toc30944" w:history="1">
        <w:r>
          <w:rPr>
            <w:rFonts w:ascii="宋体" w:eastAsia="宋体" w:hAnsi="宋体" w:cs="宋体" w:hint="eastAsia"/>
            <w:bCs w:val="0"/>
            <w:szCs w:val="28"/>
            <w:lang w:eastAsia="zh-CN"/>
          </w:rPr>
          <w:t>(四)、碳中和与生态足迹</w:t>
        </w:r>
        <w:r>
          <w:tab/>
        </w:r>
        <w:r>
          <w:fldChar w:fldCharType="begin"/>
        </w:r>
        <w:r>
          <w:instrText xml:space="preserve"> PAGEREF _Toc30944 \h </w:instrText>
        </w:r>
        <w:r>
          <w:fldChar w:fldCharType="separate"/>
        </w:r>
        <w:r>
          <w:t>70</w:t>
        </w:r>
        <w:r>
          <w:fldChar w:fldCharType="end"/>
        </w:r>
      </w:hyperlink>
    </w:p>
    <w:p>
      <w:pPr>
        <w:pStyle w:val="TOC1"/>
        <w:tabs>
          <w:tab w:val="right" w:leader="dot" w:pos="8306"/>
        </w:tabs>
      </w:pPr>
      <w:hyperlink w:anchor="_Toc25586" w:history="1">
        <w:r>
          <w:rPr>
            <w:rFonts w:ascii="微软雅黑" w:eastAsia="微软雅黑" w:hAnsi="微软雅黑" w:cs="微软雅黑" w:hint="eastAsia"/>
            <w:color w:val="001CAC" w:themeColor="hyperlink" w:themeShade="BF"/>
            <w:szCs w:val="32"/>
            <w:lang w:eastAsia="zh-CN"/>
          </w:rPr>
          <w:t>十一、制度运行与优化</w:t>
        </w:r>
        <w:r>
          <w:tab/>
        </w:r>
        <w:r>
          <w:fldChar w:fldCharType="begin"/>
        </w:r>
        <w:r>
          <w:instrText xml:space="preserve"> PAGEREF _Toc25586 \h </w:instrText>
        </w:r>
        <w:r>
          <w:fldChar w:fldCharType="separate"/>
        </w:r>
        <w:r>
          <w:t>72</w:t>
        </w:r>
        <w:r>
          <w:fldChar w:fldCharType="end"/>
        </w:r>
      </w:hyperlink>
    </w:p>
    <w:p>
      <w:pPr>
        <w:pStyle w:val="TOC2"/>
        <w:tabs>
          <w:tab w:val="right" w:leader="dot" w:pos="8306"/>
        </w:tabs>
      </w:pPr>
      <w:hyperlink w:anchor="_Toc22239" w:history="1">
        <w:r>
          <w:rPr>
            <w:rFonts w:ascii="宋体" w:eastAsia="宋体" w:hAnsi="宋体" w:cs="宋体" w:hint="eastAsia"/>
            <w:bCs w:val="0"/>
            <w:szCs w:val="28"/>
            <w:lang w:eastAsia="zh-CN"/>
          </w:rPr>
          <w:t>(一)、制度执行与监督</w:t>
        </w:r>
        <w:r>
          <w:tab/>
        </w:r>
        <w:r>
          <w:fldChar w:fldCharType="begin"/>
        </w:r>
        <w:r>
          <w:instrText xml:space="preserve"> PAGEREF _Toc22239 \h </w:instrText>
        </w:r>
        <w:r>
          <w:fldChar w:fldCharType="separate"/>
        </w:r>
        <w:r>
          <w:t>72</w:t>
        </w:r>
        <w:r>
          <w:fldChar w:fldCharType="end"/>
        </w:r>
      </w:hyperlink>
    </w:p>
    <w:p>
      <w:pPr>
        <w:pStyle w:val="TOC2"/>
        <w:tabs>
          <w:tab w:val="right" w:leader="dot" w:pos="8306"/>
        </w:tabs>
      </w:pPr>
      <w:hyperlink w:anchor="_Toc3676" w:history="1">
        <w:r>
          <w:rPr>
            <w:rFonts w:ascii="宋体" w:eastAsia="宋体" w:hAnsi="宋体" w:cs="宋体" w:hint="eastAsia"/>
            <w:bCs w:val="0"/>
            <w:szCs w:val="28"/>
            <w:lang w:eastAsia="zh-CN"/>
          </w:rPr>
          <w:t>(二)、制度优化与更新</w:t>
        </w:r>
        <w:r>
          <w:tab/>
        </w:r>
        <w:r>
          <w:fldChar w:fldCharType="begin"/>
        </w:r>
        <w:r>
          <w:instrText xml:space="preserve"> PAGEREF _Toc3676 \h </w:instrText>
        </w:r>
        <w:r>
          <w:fldChar w:fldCharType="separate"/>
        </w:r>
        <w:r>
          <w:t>72</w:t>
        </w:r>
        <w:r>
          <w:fldChar w:fldCharType="end"/>
        </w:r>
      </w:hyperlink>
    </w:p>
    <w:p>
      <w:pPr>
        <w:pStyle w:val="TOC1"/>
        <w:tabs>
          <w:tab w:val="right" w:leader="dot" w:pos="8306"/>
        </w:tabs>
      </w:pPr>
      <w:hyperlink w:anchor="_Toc28932" w:history="1">
        <w:r>
          <w:rPr>
            <w:rFonts w:ascii="微软雅黑" w:eastAsia="微软雅黑" w:hAnsi="微软雅黑" w:cs="微软雅黑" w:hint="eastAsia"/>
            <w:color w:val="001CAC" w:themeColor="hyperlink" w:themeShade="BF"/>
            <w:szCs w:val="32"/>
            <w:lang w:eastAsia="zh-CN"/>
          </w:rPr>
          <w:t>十二、配电箱行业选址方案分析</w:t>
        </w:r>
        <w:r>
          <w:tab/>
        </w:r>
        <w:r>
          <w:fldChar w:fldCharType="begin"/>
        </w:r>
        <w:r>
          <w:instrText xml:space="preserve"> PAGEREF _Toc28932 \h </w:instrText>
        </w:r>
        <w:r>
          <w:fldChar w:fldCharType="separate"/>
        </w:r>
        <w:r>
          <w:t>73</w:t>
        </w:r>
        <w:r>
          <w:fldChar w:fldCharType="end"/>
        </w:r>
      </w:hyperlink>
    </w:p>
    <w:p>
      <w:pPr>
        <w:pStyle w:val="TOC2"/>
        <w:tabs>
          <w:tab w:val="right" w:leader="dot" w:pos="8306"/>
        </w:tabs>
      </w:pPr>
      <w:hyperlink w:anchor="_Toc16354" w:history="1">
        <w:r>
          <w:rPr>
            <w:rFonts w:ascii="宋体" w:eastAsia="宋体" w:hAnsi="宋体" w:cs="宋体" w:hint="eastAsia"/>
            <w:bCs w:val="0"/>
            <w:szCs w:val="28"/>
            <w:lang w:eastAsia="zh-CN"/>
          </w:rPr>
          <w:t>(一)、配电箱行业选址影响因素</w:t>
        </w:r>
        <w:r>
          <w:tab/>
        </w:r>
        <w:r>
          <w:fldChar w:fldCharType="begin"/>
        </w:r>
        <w:r>
          <w:instrText xml:space="preserve"> PAGEREF _Toc16354 \h </w:instrText>
        </w:r>
        <w:r>
          <w:fldChar w:fldCharType="separate"/>
        </w:r>
        <w:r>
          <w:t>73</w:t>
        </w:r>
        <w:r>
          <w:fldChar w:fldCharType="end"/>
        </w:r>
      </w:hyperlink>
    </w:p>
    <w:p>
      <w:pPr>
        <w:pStyle w:val="TOC2"/>
        <w:tabs>
          <w:tab w:val="right" w:leader="dot" w:pos="8306"/>
        </w:tabs>
      </w:pPr>
      <w:hyperlink w:anchor="_Toc30780" w:history="1">
        <w:r>
          <w:rPr>
            <w:rFonts w:ascii="宋体" w:eastAsia="宋体" w:hAnsi="宋体" w:cs="宋体" w:hint="eastAsia"/>
            <w:bCs w:val="0"/>
            <w:szCs w:val="28"/>
            <w:lang w:eastAsia="zh-CN"/>
          </w:rPr>
          <w:t>(二)、配电箱行业选址原则</w:t>
        </w:r>
        <w:r>
          <w:tab/>
        </w:r>
        <w:r>
          <w:fldChar w:fldCharType="begin"/>
        </w:r>
        <w:r>
          <w:instrText xml:space="preserve"> PAGEREF _Toc30780 \h </w:instrText>
        </w:r>
        <w:r>
          <w:fldChar w:fldCharType="separate"/>
        </w:r>
        <w:r>
          <w:t>76</w:t>
        </w:r>
        <w:r>
          <w:fldChar w:fldCharType="end"/>
        </w:r>
      </w:hyperlink>
    </w:p>
    <w:p>
      <w:pPr>
        <w:pStyle w:val="TOC2"/>
        <w:tabs>
          <w:tab w:val="right" w:leader="dot" w:pos="8306"/>
        </w:tabs>
      </w:pPr>
      <w:hyperlink w:anchor="_Toc1023" w:history="1">
        <w:r>
          <w:rPr>
            <w:rFonts w:ascii="宋体" w:eastAsia="宋体" w:hAnsi="宋体" w:cs="宋体" w:hint="eastAsia"/>
            <w:bCs w:val="0"/>
            <w:szCs w:val="28"/>
            <w:lang w:eastAsia="zh-CN"/>
          </w:rPr>
          <w:t>(三)、消费习惯对配电箱行业选址的影响</w:t>
        </w:r>
        <w:r>
          <w:tab/>
        </w:r>
        <w:r>
          <w:fldChar w:fldCharType="begin"/>
        </w:r>
        <w:r>
          <w:instrText xml:space="preserve"> PAGEREF _Toc1023 \h </w:instrText>
        </w:r>
        <w:r>
          <w:fldChar w:fldCharType="separate"/>
        </w:r>
        <w:r>
          <w:t>77</w:t>
        </w:r>
        <w:r>
          <w:fldChar w:fldCharType="end"/>
        </w:r>
      </w:hyperlink>
    </w:p>
    <w:p>
      <w:pPr>
        <w:pStyle w:val="TOC2"/>
        <w:tabs>
          <w:tab w:val="right" w:leader="dot" w:pos="8306"/>
        </w:tabs>
      </w:pPr>
      <w:hyperlink w:anchor="_Toc5939" w:history="1">
        <w:r>
          <w:rPr>
            <w:rFonts w:ascii="宋体" w:eastAsia="宋体" w:hAnsi="宋体" w:cs="宋体" w:hint="eastAsia"/>
            <w:bCs w:val="0"/>
            <w:szCs w:val="28"/>
            <w:lang w:eastAsia="zh-CN"/>
          </w:rPr>
          <w:t>(四)、消费能力对配电箱行业选址的影响</w:t>
        </w:r>
        <w:r>
          <w:tab/>
        </w:r>
        <w:r>
          <w:fldChar w:fldCharType="begin"/>
        </w:r>
        <w:r>
          <w:instrText xml:space="preserve"> PAGEREF _Toc5939 \h </w:instrText>
        </w:r>
        <w:r>
          <w:fldChar w:fldCharType="separate"/>
        </w:r>
        <w:r>
          <w:t>78</w:t>
        </w:r>
        <w:r>
          <w:fldChar w:fldCharType="end"/>
        </w:r>
      </w:hyperlink>
    </w:p>
    <w:p>
      <w:pPr>
        <w:pStyle w:val="TOC2"/>
        <w:tabs>
          <w:tab w:val="right" w:leader="dot" w:pos="8306"/>
        </w:tabs>
      </w:pPr>
      <w:hyperlink w:anchor="_Toc31564" w:history="1">
        <w:r>
          <w:rPr>
            <w:rFonts w:ascii="宋体" w:eastAsia="宋体" w:hAnsi="宋体" w:cs="宋体" w:hint="eastAsia"/>
            <w:bCs w:val="0"/>
            <w:szCs w:val="28"/>
            <w:lang w:eastAsia="zh-CN"/>
          </w:rPr>
          <w:t>(五)、经营成本对配电箱行业选址的影响</w:t>
        </w:r>
        <w:r>
          <w:tab/>
        </w:r>
        <w:r>
          <w:fldChar w:fldCharType="begin"/>
        </w:r>
        <w:r>
          <w:instrText xml:space="preserve"> PAGEREF _Toc31564 \h </w:instrText>
        </w:r>
        <w:r>
          <w:fldChar w:fldCharType="separate"/>
        </w:r>
        <w:r>
          <w:t>80</w:t>
        </w:r>
        <w:r>
          <w:fldChar w:fldCharType="end"/>
        </w:r>
      </w:hyperlink>
    </w:p>
    <w:p>
      <w:pPr>
        <w:pStyle w:val="TOC2"/>
        <w:tabs>
          <w:tab w:val="right" w:leader="dot" w:pos="8306"/>
        </w:tabs>
      </w:pPr>
      <w:hyperlink w:anchor="_Toc29268" w:history="1">
        <w:r>
          <w:rPr>
            <w:rFonts w:ascii="宋体" w:eastAsia="宋体" w:hAnsi="宋体" w:cs="宋体" w:hint="eastAsia"/>
            <w:bCs w:val="0"/>
            <w:szCs w:val="28"/>
            <w:lang w:eastAsia="zh-CN"/>
          </w:rPr>
          <w:t>(六)、交通条件对配电箱行业选址的影响</w:t>
        </w:r>
        <w:r>
          <w:tab/>
        </w:r>
        <w:r>
          <w:fldChar w:fldCharType="begin"/>
        </w:r>
        <w:r>
          <w:instrText xml:space="preserve"> PAGEREF _Toc29268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p>
    <w:p>
      <w:pPr>
        <w:pStyle w:val="Heading1"/>
        <w:jc w:val="center"/>
        <w:rPr>
          <w:rFonts w:ascii="微软雅黑" w:eastAsia="微软雅黑" w:hAnsi="微软雅黑" w:cs="微软雅黑" w:hint="eastAsia"/>
          <w:color w:val="2E54A1" w:themeColor="accent1" w:themeShade="BF"/>
          <w:lang w:eastAsia="zh-CN"/>
        </w:rPr>
      </w:pPr>
      <w:bookmarkStart w:id="1" w:name="_Toc22968"/>
      <w:r>
        <w:rPr>
          <w:rFonts w:ascii="微软雅黑" w:eastAsia="微软雅黑" w:hAnsi="微软雅黑" w:cs="微软雅黑" w:hint="eastAsia"/>
          <w:color w:val="2E54A1" w:themeColor="accent1" w:themeShade="BF"/>
          <w:lang w:eastAsia="zh-CN"/>
        </w:rPr>
        <w:t>前言</w:t>
      </w:r>
      <w:bookmarkEnd w:id="1"/>
    </w:p>
    <w:p>
      <w:pPr>
        <w:spacing w:line="480" w:lineRule="auto"/>
        <w:ind w:firstLine="480" w:firstLineChars="200"/>
        <w:rPr>
          <w:rFonts w:ascii="宋体" w:eastAsia="宋体" w:hAnsi="宋体" w:cs="宋体" w:hint="eastAsia"/>
          <w:sz w:val="24"/>
          <w:szCs w:val="22"/>
        </w:rPr>
      </w:pPr>
      <w:r>
        <w:rPr>
          <w:rFonts w:ascii="宋体" w:eastAsia="宋体" w:hAnsi="宋体" w:cs="宋体" w:hint="eastAsia"/>
          <w:sz w:val="24"/>
          <w:szCs w:val="22"/>
          <w:lang w:eastAsia="zh-CN"/>
        </w:rPr>
        <w:t>配电箱行业研究报告是对配电箱行业深入剖析的结果，旨在为配电箱行业从业人员提供参考和借鉴。该报告所涉及的内容仅供学术研究和学习交流,不可用于商业用途。通过对配电箱行业现状、市场规模和发展趋势的综合分析,以及对竞争格局和影响因素的评估，本报告旨在为读者提供全面的行业了解和决策支持。</w:t>
      </w:r>
    </w:p>
    <w:p>
      <w:pPr>
        <w:pStyle w:val="Heading1"/>
        <w:spacing w:line="480" w:lineRule="auto"/>
        <w:rPr>
          <w:rFonts w:ascii="微软雅黑" w:eastAsia="微软雅黑" w:hAnsi="微软雅黑" w:cs="微软雅黑" w:hint="eastAsia"/>
          <w:color w:val="2E54A1" w:themeColor="accent1" w:themeShade="BF"/>
          <w:sz w:val="32"/>
          <w:szCs w:val="32"/>
          <w:lang w:eastAsia="zh-CN"/>
        </w:rPr>
      </w:pPr>
      <w:bookmarkStart w:id="2" w:name="_Toc8452"/>
      <w:r>
        <w:rPr>
          <w:rFonts w:ascii="微软雅黑" w:eastAsia="微软雅黑" w:hAnsi="微软雅黑" w:cs="微软雅黑" w:hint="eastAsia"/>
          <w:color w:val="2E54A1" w:themeColor="accent1" w:themeShade="BF"/>
          <w:sz w:val="32"/>
          <w:szCs w:val="32"/>
          <w:lang w:eastAsia="zh-CN"/>
        </w:rPr>
        <w:t>一、配电箱行业人力资源管理策略</w:t>
      </w:r>
      <w:bookmarkEnd w:id="2"/>
    </w:p>
    <w:p>
      <w:pPr>
        <w:pStyle w:val="Heading2"/>
        <w:spacing w:line="480" w:lineRule="auto"/>
        <w:rPr>
          <w:rFonts w:ascii="宋体" w:eastAsia="宋体" w:hAnsi="宋体" w:cs="宋体" w:hint="eastAsia"/>
          <w:bCs w:val="0"/>
          <w:sz w:val="28"/>
          <w:szCs w:val="28"/>
          <w:lang w:eastAsia="zh-CN"/>
        </w:rPr>
      </w:pPr>
      <w:bookmarkStart w:id="3" w:name="_Toc26855"/>
      <w:r>
        <w:rPr>
          <w:rFonts w:ascii="宋体" w:eastAsia="宋体" w:hAnsi="宋体" w:cs="宋体" w:hint="eastAsia"/>
          <w:b/>
          <w:bCs w:val="0"/>
          <w:sz w:val="28"/>
          <w:szCs w:val="28"/>
          <w:lang w:eastAsia="zh-CN"/>
        </w:rPr>
        <w:t>(一)、配电箱行业人力资源管理原则</w:t>
      </w:r>
      <w:bookmarkEnd w:id="3"/>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1.择优而用</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在人才招聘中，择优而用是确保企业长期成功的首要原则。通过细致入微的面试和评估流程,我们能够识别并吸引具备适应力、技能娴熟、经验丰富的候选人。这种选择最适合职位需求的方法，将为团队的协同工作和业务目标的实现翼定坚实基础。</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2.培养与发展</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注重员工培训与发展是建设富有创造力和创新力团队的关键步骤。我们制定个性化的培训计划，以提高员工的专业技能，并通过提供职业发展通道,激发员工的学习热情,使其在职业生涯中持续进步。</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3.公平薪酬体系</w:t>
      </w:r>
    </w:p>
    <w:p>
      <w:pPr>
        <w:spacing w:line="480" w:lineRule="auto"/>
        <w:ind w:firstLine="420" w:firstLineChars="0"/>
        <w:rPr>
          <w:rFonts w:ascii="宋体" w:eastAsia="宋体" w:hAnsi="宋体" w:cs="宋体" w:hint="eastAsia"/>
          <w:sz w:val="24"/>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宋体" w:eastAsia="宋体" w:hAnsi="宋体" w:cs="宋体" w:hint="eastAsia"/>
          <w:sz w:val="24"/>
          <w:szCs w:val="24"/>
          <w:lang w:eastAsia="zh-CN"/>
        </w:rPr>
        <w:t>建立公平合理的薪酬体系，是对员工贡献和表现的公正回报。我们致力于确保薪酬结构的透明度，以便员工理解薪酬决策的依据，激发其更高的工作积极性和创造力。</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4.激励与奖励</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激励机制和奖励制度是激发员工积极性的有效手段。通过设立晋升机会、提供年终奖金、优厚的员工福利等，我们努力确保员工在公司取得显著成就时能够得到公平而有力的回报。</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5.平等对待</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在招聘、晋升、薪酬等决策中，我们始终坚持平等对待的原则，不受性别、年龄、种族、宗教信仰等因素的干扰。这有助于建立一个公正、平等的工作环境，吸引并留住多样化的人才。</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6.工作生活平衡</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我们关注员工的工作生活平衡，通过灵活的工作时间和假期政策，帮助员工更好地平衡工作和生活。这种关心有助于提高员工的工作满意度，增强员工对公司的忠诚度。</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7.沟通透明</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保持沟通的透明度对于员工的投入和理解至关重要。我们建立开放的沟通渠道，及时与员工分享公司的发展战略、目标和变化，以确保员工始终了解公司的方向和决策过程。</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8.多元团队</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我们鼓励多元团队的建设，通过招聘具有不同背景、经验和观点的人才，创造一个充满创造力和创新力的工作环境。多元团队有助于更好地适应市场变化，提高公司的灵活性和竞争力。</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9.员工参与与反馈</w:t>
      </w:r>
    </w:p>
    <w:p>
      <w:pPr>
        <w:spacing w:line="480" w:lineRule="auto"/>
        <w:ind w:firstLine="420" w:firstLineChars="0"/>
        <w:rPr>
          <w:rFonts w:ascii="宋体" w:eastAsia="宋体" w:hAnsi="宋体" w:cs="宋体" w:hint="eastAsia"/>
          <w:sz w:val="24"/>
        </w:rPr>
      </w:pPr>
      <w:r>
        <w:rPr>
          <w:rFonts w:ascii="宋体" w:eastAsia="宋体" w:hAnsi="宋体" w:cs="宋体" w:hint="eastAsia"/>
          <w:sz w:val="24"/>
        </w:rPr>
        <w:br/>
      </w:r>
      <w:r>
        <w:rPr>
          <w:rFonts w:ascii="宋体" w:eastAsia="宋体" w:hAnsi="宋体" w:cs="宋体" w:hint="eastAsia"/>
          <w:sz w:val="24"/>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https://d.book118.com/937052141013006034</w:t>
        </w:r>
      </w:hyperlink>
    </w:p>
    <w:p>
      <w:pPr>
        <w:spacing w:line="480" w:lineRule="auto"/>
        <w:ind w:firstLine="420" w:firstLineChars="0"/>
        <w:rPr>
          <w:rFonts w:ascii="宋体" w:eastAsia="宋体" w:hAnsi="宋体" w:cs="宋体" w:hint="eastAsia"/>
          <w:sz w:val="24"/>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82775B3"/>
    <w:rsid w:val="02623C3C"/>
    <w:rsid w:val="03734037"/>
    <w:rsid w:val="13614867"/>
    <w:rsid w:val="3DAC44EE"/>
    <w:rsid w:val="453746B4"/>
    <w:rsid w:val="482775B3"/>
    <w:rsid w:val="49C53810"/>
    <w:rsid w:val="4E155AC7"/>
    <w:rsid w:val="50930768"/>
    <w:rsid w:val="56DA215E"/>
    <w:rsid w:val="62A91464"/>
    <w:rsid w:val="692E1C42"/>
  </w:rsids>
  <w:docVars>
    <w:docVar w:name="commondata" w:val="eyJoZGlkIjoiYjEzZTI3MzIxYzUxM2E3Y2YyMDVhZDRkMWU5YjExZDg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qFormat="1"/>
    <w:lsdException w:name="toc 2" w:semiHidden="0" w:uiPriority="0" w:unhideWhenUsed="0" w:qFormat="1"/>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qFormat="1"/>
    <w:lsdException w:name="footer" w:semiHidden="0" w:uiPriority="0" w:unhideWhenUsed="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qFormat="1"/>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autoRedefine/>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autoRedefine/>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autoRedefine/>
    <w:qFormat/>
    <w:pPr>
      <w:tabs>
        <w:tab w:val="center" w:pos="4153"/>
        <w:tab w:val="right" w:pos="8306"/>
      </w:tabs>
      <w:snapToGrid w:val="0"/>
      <w:jc w:val="left"/>
    </w:pPr>
    <w:rPr>
      <w:sz w:val="18"/>
    </w:rPr>
  </w:style>
  <w:style w:type="paragraph" w:styleId="Header">
    <w:name w:val="header"/>
    <w:basedOn w:val="Normal"/>
    <w:autoRedefine/>
    <w:qFormat/>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autoRedefine/>
    <w:qFormat/>
  </w:style>
  <w:style w:type="paragraph" w:styleId="TOC2">
    <w:name w:val="toc 2"/>
    <w:basedOn w:val="Normal"/>
    <w:next w:val="Normal"/>
    <w:autoRedefine/>
    <w:qFormat/>
    <w:pPr>
      <w:ind w:left="420" w:leftChars="200"/>
    </w:pPr>
  </w:style>
  <w:style w:type="character" w:styleId="PageNumber">
    <w:name w:val="page number"/>
    <w:basedOn w:val="DefaultParagraphFont"/>
    <w:autoRedefine/>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937052141013006034"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小海豹</cp:lastModifiedBy>
  <cp:revision>1</cp:revision>
  <dcterms:created xsi:type="dcterms:W3CDTF">2023-12-10T12:06:00Z</dcterms:created>
  <dcterms:modified xsi:type="dcterms:W3CDTF">2024-01-17T07:28:12Z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1E39AA5D4B7F4B19B7D16FD992F8235D_13</vt:lpwstr>
  </property>
  <property fmtid="{D5CDD505-2E9C-101B-9397-08002B2CF9AE}" pid="3" name="KSOProductBuildVer">
    <vt:lpwstr>2052-12.1.0.16120</vt:lpwstr>
  </property>
</Properties>
</file>