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氢氧化铬项目计划设计方案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7" w:history="1">
        <w:r>
          <w:rPr>
            <w:rFonts w:ascii="仿宋" w:eastAsia="仿宋" w:hAnsi="仿宋" w:cs="仿宋" w:hint="eastAsia"/>
            <w:lang w:eastAsia="zh-CN"/>
          </w:rPr>
          <w:t>前言</w:t>
        </w:r>
        <w:r>
          <w:tab/>
        </w:r>
        <w:r>
          <w:fldChar w:fldCharType="begin"/>
        </w:r>
        <w:r>
          <w:instrText xml:space="preserve"> PAGEREF _Toc11327 \h </w:instrText>
        </w:r>
        <w:r>
          <w:fldChar w:fldCharType="separate"/>
        </w:r>
        <w:r>
          <w:t>3</w:t>
        </w:r>
        <w:r>
          <w:fldChar w:fldCharType="end"/>
        </w:r>
      </w:hyperlink>
    </w:p>
    <w:p>
      <w:pPr>
        <w:pStyle w:val="TOC1"/>
        <w:tabs>
          <w:tab w:val="right" w:leader="dot" w:pos="8306"/>
        </w:tabs>
      </w:pPr>
      <w:hyperlink w:anchor="_Toc15848" w:history="1">
        <w:r>
          <w:rPr>
            <w:rFonts w:ascii="仿宋" w:eastAsia="仿宋" w:hAnsi="仿宋" w:cs="仿宋" w:hint="eastAsia"/>
            <w:lang w:eastAsia="zh-CN"/>
          </w:rPr>
          <w:t>一、氢氧化铬项目土建工程</w:t>
        </w:r>
        <w:r>
          <w:tab/>
        </w:r>
        <w:r>
          <w:fldChar w:fldCharType="begin"/>
        </w:r>
        <w:r>
          <w:instrText xml:space="preserve"> PAGEREF _Toc15848 \h </w:instrText>
        </w:r>
        <w:r>
          <w:fldChar w:fldCharType="separate"/>
        </w:r>
        <w:r>
          <w:t>3</w:t>
        </w:r>
        <w:r>
          <w:fldChar w:fldCharType="end"/>
        </w:r>
      </w:hyperlink>
    </w:p>
    <w:p>
      <w:pPr>
        <w:pStyle w:val="TOC2"/>
        <w:tabs>
          <w:tab w:val="right" w:leader="dot" w:pos="8306"/>
        </w:tabs>
      </w:pPr>
      <w:hyperlink w:anchor="_Toc22254" w:history="1">
        <w:r>
          <w:rPr>
            <w:rFonts w:ascii="仿宋" w:eastAsia="仿宋" w:hAnsi="仿宋" w:cs="仿宋" w:hint="eastAsia"/>
            <w:lang w:eastAsia="zh-CN"/>
          </w:rPr>
          <w:t>(一)、建筑工程设计原则</w:t>
        </w:r>
        <w:r>
          <w:tab/>
        </w:r>
        <w:r>
          <w:fldChar w:fldCharType="begin"/>
        </w:r>
        <w:r>
          <w:instrText xml:space="preserve"> PAGEREF _Toc22254 \h </w:instrText>
        </w:r>
        <w:r>
          <w:fldChar w:fldCharType="separate"/>
        </w:r>
        <w:r>
          <w:t>3</w:t>
        </w:r>
        <w:r>
          <w:fldChar w:fldCharType="end"/>
        </w:r>
      </w:hyperlink>
    </w:p>
    <w:p>
      <w:pPr>
        <w:pStyle w:val="TOC2"/>
        <w:tabs>
          <w:tab w:val="right" w:leader="dot" w:pos="8306"/>
        </w:tabs>
      </w:pPr>
      <w:hyperlink w:anchor="_Toc26059" w:history="1">
        <w:r>
          <w:rPr>
            <w:rFonts w:ascii="仿宋" w:eastAsia="仿宋" w:hAnsi="仿宋" w:cs="仿宋" w:hint="eastAsia"/>
            <w:lang w:eastAsia="zh-CN"/>
          </w:rPr>
          <w:t>(二)、土建工程设计年限及安全等级</w:t>
        </w:r>
        <w:r>
          <w:tab/>
        </w:r>
        <w:r>
          <w:fldChar w:fldCharType="begin"/>
        </w:r>
        <w:r>
          <w:instrText xml:space="preserve"> PAGEREF _Toc26059 \h </w:instrText>
        </w:r>
        <w:r>
          <w:fldChar w:fldCharType="separate"/>
        </w:r>
        <w:r>
          <w:t>4</w:t>
        </w:r>
        <w:r>
          <w:fldChar w:fldCharType="end"/>
        </w:r>
      </w:hyperlink>
    </w:p>
    <w:p>
      <w:pPr>
        <w:pStyle w:val="TOC2"/>
        <w:tabs>
          <w:tab w:val="right" w:leader="dot" w:pos="8306"/>
        </w:tabs>
      </w:pPr>
      <w:hyperlink w:anchor="_Toc8087" w:history="1">
        <w:r>
          <w:rPr>
            <w:rFonts w:ascii="仿宋" w:eastAsia="仿宋" w:hAnsi="仿宋" w:cs="仿宋" w:hint="eastAsia"/>
            <w:lang w:eastAsia="zh-CN"/>
          </w:rPr>
          <w:t>(三)、建筑工程设计总体要求</w:t>
        </w:r>
        <w:r>
          <w:tab/>
        </w:r>
        <w:r>
          <w:fldChar w:fldCharType="begin"/>
        </w:r>
        <w:r>
          <w:instrText xml:space="preserve"> PAGEREF _Toc8087 \h </w:instrText>
        </w:r>
        <w:r>
          <w:fldChar w:fldCharType="separate"/>
        </w:r>
        <w:r>
          <w:t>5</w:t>
        </w:r>
        <w:r>
          <w:fldChar w:fldCharType="end"/>
        </w:r>
      </w:hyperlink>
    </w:p>
    <w:p>
      <w:pPr>
        <w:pStyle w:val="TOC2"/>
        <w:tabs>
          <w:tab w:val="right" w:leader="dot" w:pos="8306"/>
        </w:tabs>
      </w:pPr>
      <w:hyperlink w:anchor="_Toc8828" w:history="1">
        <w:r>
          <w:rPr>
            <w:rFonts w:ascii="仿宋" w:eastAsia="仿宋" w:hAnsi="仿宋" w:cs="仿宋" w:hint="eastAsia"/>
            <w:lang w:eastAsia="zh-CN"/>
          </w:rPr>
          <w:t>(四)、土建工程建设指标</w:t>
        </w:r>
        <w:r>
          <w:tab/>
        </w:r>
        <w:r>
          <w:fldChar w:fldCharType="begin"/>
        </w:r>
        <w:r>
          <w:instrText xml:space="preserve"> PAGEREF _Toc8828 \h </w:instrText>
        </w:r>
        <w:r>
          <w:fldChar w:fldCharType="separate"/>
        </w:r>
        <w:r>
          <w:t>6</w:t>
        </w:r>
        <w:r>
          <w:fldChar w:fldCharType="end"/>
        </w:r>
      </w:hyperlink>
    </w:p>
    <w:p>
      <w:pPr>
        <w:pStyle w:val="TOC1"/>
        <w:tabs>
          <w:tab w:val="right" w:leader="dot" w:pos="8306"/>
        </w:tabs>
      </w:pPr>
      <w:hyperlink w:anchor="_Toc7841" w:history="1">
        <w:r>
          <w:rPr>
            <w:rFonts w:ascii="仿宋" w:eastAsia="仿宋" w:hAnsi="仿宋" w:cs="仿宋" w:hint="eastAsia"/>
            <w:lang w:eastAsia="zh-CN"/>
          </w:rPr>
          <w:t>二、产品规划分析</w:t>
        </w:r>
        <w:r>
          <w:tab/>
        </w:r>
        <w:r>
          <w:fldChar w:fldCharType="begin"/>
        </w:r>
        <w:r>
          <w:instrText xml:space="preserve"> PAGEREF _Toc7841 \h </w:instrText>
        </w:r>
        <w:r>
          <w:fldChar w:fldCharType="separate"/>
        </w:r>
        <w:r>
          <w:t>6</w:t>
        </w:r>
        <w:r>
          <w:fldChar w:fldCharType="end"/>
        </w:r>
      </w:hyperlink>
    </w:p>
    <w:p>
      <w:pPr>
        <w:pStyle w:val="TOC2"/>
        <w:tabs>
          <w:tab w:val="right" w:leader="dot" w:pos="8306"/>
        </w:tabs>
      </w:pPr>
      <w:hyperlink w:anchor="_Toc6825" w:history="1">
        <w:r>
          <w:rPr>
            <w:rFonts w:ascii="仿宋" w:eastAsia="仿宋" w:hAnsi="仿宋" w:cs="仿宋" w:hint="eastAsia"/>
            <w:lang w:eastAsia="zh-CN"/>
          </w:rPr>
          <w:t>(一)、产品规划</w:t>
        </w:r>
        <w:r>
          <w:tab/>
        </w:r>
        <w:r>
          <w:fldChar w:fldCharType="begin"/>
        </w:r>
        <w:r>
          <w:instrText xml:space="preserve"> PAGEREF _Toc6825 \h </w:instrText>
        </w:r>
        <w:r>
          <w:fldChar w:fldCharType="separate"/>
        </w:r>
        <w:r>
          <w:t>6</w:t>
        </w:r>
        <w:r>
          <w:fldChar w:fldCharType="end"/>
        </w:r>
      </w:hyperlink>
    </w:p>
    <w:p>
      <w:pPr>
        <w:pStyle w:val="TOC2"/>
        <w:tabs>
          <w:tab w:val="right" w:leader="dot" w:pos="8306"/>
        </w:tabs>
      </w:pPr>
      <w:hyperlink w:anchor="_Toc6234" w:history="1">
        <w:r>
          <w:rPr>
            <w:rFonts w:ascii="仿宋" w:eastAsia="仿宋" w:hAnsi="仿宋" w:cs="仿宋" w:hint="eastAsia"/>
            <w:lang w:eastAsia="zh-CN"/>
          </w:rPr>
          <w:t>(二)、建设规模</w:t>
        </w:r>
        <w:r>
          <w:tab/>
        </w:r>
        <w:r>
          <w:fldChar w:fldCharType="begin"/>
        </w:r>
        <w:r>
          <w:instrText xml:space="preserve"> PAGEREF _Toc6234 \h </w:instrText>
        </w:r>
        <w:r>
          <w:fldChar w:fldCharType="separate"/>
        </w:r>
        <w:r>
          <w:t>7</w:t>
        </w:r>
        <w:r>
          <w:fldChar w:fldCharType="end"/>
        </w:r>
      </w:hyperlink>
    </w:p>
    <w:p>
      <w:pPr>
        <w:pStyle w:val="TOC1"/>
        <w:tabs>
          <w:tab w:val="right" w:leader="dot" w:pos="8306"/>
        </w:tabs>
      </w:pPr>
      <w:hyperlink w:anchor="_Toc16472" w:history="1">
        <w:r>
          <w:rPr>
            <w:rFonts w:ascii="仿宋" w:eastAsia="仿宋" w:hAnsi="仿宋" w:cs="仿宋" w:hint="eastAsia"/>
            <w:lang w:eastAsia="zh-CN"/>
          </w:rPr>
          <w:t>三、氢氧化铬项目危机管理</w:t>
        </w:r>
        <w:r>
          <w:tab/>
        </w:r>
        <w:r>
          <w:fldChar w:fldCharType="begin"/>
        </w:r>
        <w:r>
          <w:instrText xml:space="preserve"> PAGEREF _Toc16472 \h </w:instrText>
        </w:r>
        <w:r>
          <w:fldChar w:fldCharType="separate"/>
        </w:r>
        <w:r>
          <w:t>8</w:t>
        </w:r>
        <w:r>
          <w:fldChar w:fldCharType="end"/>
        </w:r>
      </w:hyperlink>
    </w:p>
    <w:p>
      <w:pPr>
        <w:pStyle w:val="TOC2"/>
        <w:tabs>
          <w:tab w:val="right" w:leader="dot" w:pos="8306"/>
        </w:tabs>
      </w:pPr>
      <w:hyperlink w:anchor="_Toc16862" w:history="1">
        <w:r>
          <w:rPr>
            <w:rFonts w:ascii="仿宋" w:eastAsia="仿宋" w:hAnsi="仿宋" w:cs="仿宋" w:hint="eastAsia"/>
            <w:lang w:eastAsia="zh-CN"/>
          </w:rPr>
          <w:t>(一)、危机预警与识别</w:t>
        </w:r>
        <w:r>
          <w:tab/>
        </w:r>
        <w:r>
          <w:fldChar w:fldCharType="begin"/>
        </w:r>
        <w:r>
          <w:instrText xml:space="preserve"> PAGEREF _Toc16862 \h </w:instrText>
        </w:r>
        <w:r>
          <w:fldChar w:fldCharType="separate"/>
        </w:r>
        <w:r>
          <w:t>8</w:t>
        </w:r>
        <w:r>
          <w:fldChar w:fldCharType="end"/>
        </w:r>
      </w:hyperlink>
    </w:p>
    <w:p>
      <w:pPr>
        <w:pStyle w:val="TOC2"/>
        <w:tabs>
          <w:tab w:val="right" w:leader="dot" w:pos="8306"/>
        </w:tabs>
      </w:pPr>
      <w:hyperlink w:anchor="_Toc31415" w:history="1">
        <w:r>
          <w:rPr>
            <w:rFonts w:ascii="仿宋" w:eastAsia="仿宋" w:hAnsi="仿宋" w:cs="仿宋" w:hint="eastAsia"/>
            <w:lang w:eastAsia="zh-CN"/>
          </w:rPr>
          <w:t>(二)、危机应对与恢复</w:t>
        </w:r>
        <w:r>
          <w:tab/>
        </w:r>
        <w:r>
          <w:fldChar w:fldCharType="begin"/>
        </w:r>
        <w:r>
          <w:instrText xml:space="preserve"> PAGEREF _Toc31415 \h </w:instrText>
        </w:r>
        <w:r>
          <w:fldChar w:fldCharType="separate"/>
        </w:r>
        <w:r>
          <w:t>9</w:t>
        </w:r>
        <w:r>
          <w:fldChar w:fldCharType="end"/>
        </w:r>
      </w:hyperlink>
    </w:p>
    <w:p>
      <w:pPr>
        <w:pStyle w:val="TOC1"/>
        <w:tabs>
          <w:tab w:val="right" w:leader="dot" w:pos="8306"/>
        </w:tabs>
      </w:pPr>
      <w:hyperlink w:anchor="_Toc23068" w:history="1">
        <w:r>
          <w:rPr>
            <w:rFonts w:ascii="仿宋" w:eastAsia="仿宋" w:hAnsi="仿宋" w:cs="仿宋" w:hint="eastAsia"/>
            <w:lang w:eastAsia="zh-CN"/>
          </w:rPr>
          <w:t>四、氢氧化铬项目绩效评估</w:t>
        </w:r>
        <w:r>
          <w:tab/>
        </w:r>
        <w:r>
          <w:fldChar w:fldCharType="begin"/>
        </w:r>
        <w:r>
          <w:instrText xml:space="preserve"> PAGEREF _Toc23068 \h </w:instrText>
        </w:r>
        <w:r>
          <w:fldChar w:fldCharType="separate"/>
        </w:r>
        <w:r>
          <w:t>11</w:t>
        </w:r>
        <w:r>
          <w:fldChar w:fldCharType="end"/>
        </w:r>
      </w:hyperlink>
    </w:p>
    <w:p>
      <w:pPr>
        <w:pStyle w:val="TOC2"/>
        <w:tabs>
          <w:tab w:val="right" w:leader="dot" w:pos="8306"/>
        </w:tabs>
      </w:pPr>
      <w:hyperlink w:anchor="_Toc6032" w:history="1">
        <w:r>
          <w:rPr>
            <w:rFonts w:ascii="仿宋" w:eastAsia="仿宋" w:hAnsi="仿宋" w:cs="仿宋" w:hint="eastAsia"/>
            <w:lang w:eastAsia="zh-CN"/>
          </w:rPr>
          <w:t>(一)、绩效评估指标</w:t>
        </w:r>
        <w:r>
          <w:tab/>
        </w:r>
        <w:r>
          <w:fldChar w:fldCharType="begin"/>
        </w:r>
        <w:r>
          <w:instrText xml:space="preserve"> PAGEREF _Toc6032 \h </w:instrText>
        </w:r>
        <w:r>
          <w:fldChar w:fldCharType="separate"/>
        </w:r>
        <w:r>
          <w:t>11</w:t>
        </w:r>
        <w:r>
          <w:fldChar w:fldCharType="end"/>
        </w:r>
      </w:hyperlink>
    </w:p>
    <w:p>
      <w:pPr>
        <w:pStyle w:val="TOC2"/>
        <w:tabs>
          <w:tab w:val="right" w:leader="dot" w:pos="8306"/>
        </w:tabs>
      </w:pPr>
      <w:hyperlink w:anchor="_Toc8191" w:history="1">
        <w:r>
          <w:rPr>
            <w:rFonts w:ascii="仿宋" w:eastAsia="仿宋" w:hAnsi="仿宋" w:cs="仿宋" w:hint="eastAsia"/>
            <w:lang w:eastAsia="zh-CN"/>
          </w:rPr>
          <w:t>(二)、绩效评估方法</w:t>
        </w:r>
        <w:r>
          <w:tab/>
        </w:r>
        <w:r>
          <w:fldChar w:fldCharType="begin"/>
        </w:r>
        <w:r>
          <w:instrText xml:space="preserve"> PAGEREF _Toc8191 \h </w:instrText>
        </w:r>
        <w:r>
          <w:fldChar w:fldCharType="separate"/>
        </w:r>
        <w:r>
          <w:t>12</w:t>
        </w:r>
        <w:r>
          <w:fldChar w:fldCharType="end"/>
        </w:r>
      </w:hyperlink>
    </w:p>
    <w:p>
      <w:pPr>
        <w:pStyle w:val="TOC2"/>
        <w:tabs>
          <w:tab w:val="right" w:leader="dot" w:pos="8306"/>
        </w:tabs>
      </w:pPr>
      <w:hyperlink w:anchor="_Toc2364" w:history="1">
        <w:r>
          <w:rPr>
            <w:rFonts w:ascii="仿宋" w:eastAsia="仿宋" w:hAnsi="仿宋" w:cs="仿宋" w:hint="eastAsia"/>
            <w:lang w:eastAsia="zh-CN"/>
          </w:rPr>
          <w:t>(三)、绩效评估周期</w:t>
        </w:r>
        <w:r>
          <w:tab/>
        </w:r>
        <w:r>
          <w:fldChar w:fldCharType="begin"/>
        </w:r>
        <w:r>
          <w:instrText xml:space="preserve"> PAGEREF _Toc2364 \h </w:instrText>
        </w:r>
        <w:r>
          <w:fldChar w:fldCharType="separate"/>
        </w:r>
        <w:r>
          <w:t>13</w:t>
        </w:r>
        <w:r>
          <w:fldChar w:fldCharType="end"/>
        </w:r>
      </w:hyperlink>
    </w:p>
    <w:p>
      <w:pPr>
        <w:pStyle w:val="TOC1"/>
        <w:tabs>
          <w:tab w:val="right" w:leader="dot" w:pos="8306"/>
        </w:tabs>
      </w:pPr>
      <w:hyperlink w:anchor="_Toc14101" w:history="1">
        <w:r>
          <w:rPr>
            <w:rFonts w:ascii="仿宋" w:eastAsia="仿宋" w:hAnsi="仿宋" w:cs="仿宋" w:hint="eastAsia"/>
            <w:lang w:eastAsia="zh-CN"/>
          </w:rPr>
          <w:t>五、氢氧化铬项目概论</w:t>
        </w:r>
        <w:r>
          <w:tab/>
        </w:r>
        <w:r>
          <w:fldChar w:fldCharType="begin"/>
        </w:r>
        <w:r>
          <w:instrText xml:space="preserve"> PAGEREF _Toc14101 \h </w:instrText>
        </w:r>
        <w:r>
          <w:fldChar w:fldCharType="separate"/>
        </w:r>
        <w:r>
          <w:t>14</w:t>
        </w:r>
        <w:r>
          <w:fldChar w:fldCharType="end"/>
        </w:r>
      </w:hyperlink>
    </w:p>
    <w:p>
      <w:pPr>
        <w:pStyle w:val="TOC2"/>
        <w:tabs>
          <w:tab w:val="right" w:leader="dot" w:pos="8306"/>
        </w:tabs>
      </w:pPr>
      <w:hyperlink w:anchor="_Toc23881" w:history="1">
        <w:r>
          <w:rPr>
            <w:rFonts w:ascii="仿宋" w:eastAsia="仿宋" w:hAnsi="仿宋" w:cs="仿宋" w:hint="eastAsia"/>
            <w:lang w:eastAsia="zh-CN"/>
          </w:rPr>
          <w:t>(一)、氢氧化铬项目概况</w:t>
        </w:r>
        <w:r>
          <w:tab/>
        </w:r>
        <w:r>
          <w:fldChar w:fldCharType="begin"/>
        </w:r>
        <w:r>
          <w:instrText xml:space="preserve"> PAGEREF _Toc23881 \h </w:instrText>
        </w:r>
        <w:r>
          <w:fldChar w:fldCharType="separate"/>
        </w:r>
        <w:r>
          <w:t>14</w:t>
        </w:r>
        <w:r>
          <w:fldChar w:fldCharType="end"/>
        </w:r>
      </w:hyperlink>
    </w:p>
    <w:p>
      <w:pPr>
        <w:pStyle w:val="TOC2"/>
        <w:tabs>
          <w:tab w:val="right" w:leader="dot" w:pos="8306"/>
        </w:tabs>
      </w:pPr>
      <w:hyperlink w:anchor="_Toc22050" w:history="1">
        <w:r>
          <w:rPr>
            <w:rFonts w:ascii="仿宋" w:eastAsia="仿宋" w:hAnsi="仿宋" w:cs="仿宋" w:hint="eastAsia"/>
            <w:lang w:eastAsia="zh-CN"/>
          </w:rPr>
          <w:t>(二)、氢氧化铬项目目标</w:t>
        </w:r>
        <w:r>
          <w:tab/>
        </w:r>
        <w:r>
          <w:fldChar w:fldCharType="begin"/>
        </w:r>
        <w:r>
          <w:instrText xml:space="preserve"> PAGEREF _Toc22050 \h </w:instrText>
        </w:r>
        <w:r>
          <w:fldChar w:fldCharType="separate"/>
        </w:r>
        <w:r>
          <w:t>16</w:t>
        </w:r>
        <w:r>
          <w:fldChar w:fldCharType="end"/>
        </w:r>
      </w:hyperlink>
    </w:p>
    <w:p>
      <w:pPr>
        <w:pStyle w:val="TOC2"/>
        <w:tabs>
          <w:tab w:val="right" w:leader="dot" w:pos="8306"/>
        </w:tabs>
      </w:pPr>
      <w:hyperlink w:anchor="_Toc31021" w:history="1">
        <w:r>
          <w:rPr>
            <w:rFonts w:ascii="仿宋" w:eastAsia="仿宋" w:hAnsi="仿宋" w:cs="仿宋" w:hint="eastAsia"/>
            <w:lang w:eastAsia="zh-CN"/>
          </w:rPr>
          <w:t>(三)、氢氧化铬项目提出的理由</w:t>
        </w:r>
        <w:r>
          <w:tab/>
        </w:r>
        <w:r>
          <w:fldChar w:fldCharType="begin"/>
        </w:r>
        <w:r>
          <w:instrText xml:space="preserve"> PAGEREF _Toc31021 \h </w:instrText>
        </w:r>
        <w:r>
          <w:fldChar w:fldCharType="separate"/>
        </w:r>
        <w:r>
          <w:t>17</w:t>
        </w:r>
        <w:r>
          <w:fldChar w:fldCharType="end"/>
        </w:r>
      </w:hyperlink>
    </w:p>
    <w:p>
      <w:pPr>
        <w:pStyle w:val="TOC2"/>
        <w:tabs>
          <w:tab w:val="right" w:leader="dot" w:pos="8306"/>
        </w:tabs>
      </w:pPr>
      <w:hyperlink w:anchor="_Toc14200" w:history="1">
        <w:r>
          <w:rPr>
            <w:rFonts w:ascii="仿宋" w:eastAsia="仿宋" w:hAnsi="仿宋" w:cs="仿宋" w:hint="eastAsia"/>
            <w:lang w:eastAsia="zh-CN"/>
          </w:rPr>
          <w:t>(四)、氢氧化铬项目意义</w:t>
        </w:r>
        <w:r>
          <w:tab/>
        </w:r>
        <w:r>
          <w:fldChar w:fldCharType="begin"/>
        </w:r>
        <w:r>
          <w:instrText xml:space="preserve"> PAGEREF _Toc14200 \h </w:instrText>
        </w:r>
        <w:r>
          <w:fldChar w:fldCharType="separate"/>
        </w:r>
        <w:r>
          <w:t>18</w:t>
        </w:r>
        <w:r>
          <w:fldChar w:fldCharType="end"/>
        </w:r>
      </w:hyperlink>
    </w:p>
    <w:p>
      <w:pPr>
        <w:pStyle w:val="TOC2"/>
        <w:tabs>
          <w:tab w:val="right" w:leader="dot" w:pos="8306"/>
        </w:tabs>
      </w:pPr>
      <w:hyperlink w:anchor="_Toc21952" w:history="1">
        <w:r>
          <w:rPr>
            <w:rFonts w:ascii="仿宋" w:eastAsia="仿宋" w:hAnsi="仿宋" w:cs="仿宋" w:hint="eastAsia"/>
            <w:lang w:eastAsia="zh-CN"/>
          </w:rPr>
          <w:t>(五)、氢氧化铬项目背景</w:t>
        </w:r>
        <w:r>
          <w:tab/>
        </w:r>
        <w:r>
          <w:fldChar w:fldCharType="begin"/>
        </w:r>
        <w:r>
          <w:instrText xml:space="preserve"> PAGEREF _Toc21952 \h </w:instrText>
        </w:r>
        <w:r>
          <w:fldChar w:fldCharType="separate"/>
        </w:r>
        <w:r>
          <w:t>19</w:t>
        </w:r>
        <w:r>
          <w:fldChar w:fldCharType="end"/>
        </w:r>
      </w:hyperlink>
    </w:p>
    <w:p>
      <w:pPr>
        <w:pStyle w:val="TOC1"/>
        <w:tabs>
          <w:tab w:val="right" w:leader="dot" w:pos="8306"/>
        </w:tabs>
      </w:pPr>
      <w:hyperlink w:anchor="_Toc16671" w:history="1">
        <w:r>
          <w:rPr>
            <w:rFonts w:ascii="仿宋" w:eastAsia="仿宋" w:hAnsi="仿宋" w:cs="仿宋" w:hint="eastAsia"/>
            <w:lang w:eastAsia="zh-CN"/>
          </w:rPr>
          <w:t>六、市场分析、调研</w:t>
        </w:r>
        <w:r>
          <w:tab/>
        </w:r>
        <w:r>
          <w:fldChar w:fldCharType="begin"/>
        </w:r>
        <w:r>
          <w:instrText xml:space="preserve"> PAGEREF _Toc16671 \h </w:instrText>
        </w:r>
        <w:r>
          <w:fldChar w:fldCharType="separate"/>
        </w:r>
        <w:r>
          <w:t>20</w:t>
        </w:r>
        <w:r>
          <w:fldChar w:fldCharType="end"/>
        </w:r>
      </w:hyperlink>
    </w:p>
    <w:p>
      <w:pPr>
        <w:pStyle w:val="TOC2"/>
        <w:tabs>
          <w:tab w:val="right" w:leader="dot" w:pos="8306"/>
        </w:tabs>
      </w:pPr>
      <w:hyperlink w:anchor="_Toc30544" w:history="1">
        <w:r>
          <w:rPr>
            <w:rFonts w:ascii="仿宋" w:eastAsia="仿宋" w:hAnsi="仿宋" w:cs="仿宋" w:hint="eastAsia"/>
            <w:lang w:eastAsia="zh-CN"/>
          </w:rPr>
          <w:t>(一)、氢氧化铬行业分析</w:t>
        </w:r>
        <w:r>
          <w:tab/>
        </w:r>
        <w:r>
          <w:fldChar w:fldCharType="begin"/>
        </w:r>
        <w:r>
          <w:instrText xml:space="preserve"> PAGEREF _Toc30544 \h </w:instrText>
        </w:r>
        <w:r>
          <w:fldChar w:fldCharType="separate"/>
        </w:r>
        <w:r>
          <w:t>20</w:t>
        </w:r>
        <w:r>
          <w:fldChar w:fldCharType="end"/>
        </w:r>
      </w:hyperlink>
    </w:p>
    <w:p>
      <w:pPr>
        <w:pStyle w:val="TOC2"/>
        <w:tabs>
          <w:tab w:val="right" w:leader="dot" w:pos="8306"/>
        </w:tabs>
      </w:pPr>
      <w:hyperlink w:anchor="_Toc19201" w:history="1">
        <w:r>
          <w:rPr>
            <w:rFonts w:ascii="仿宋" w:eastAsia="仿宋" w:hAnsi="仿宋" w:cs="仿宋" w:hint="eastAsia"/>
            <w:lang w:eastAsia="zh-CN"/>
          </w:rPr>
          <w:t>(二)、氢氧化铬市场分析预测</w:t>
        </w:r>
        <w:r>
          <w:tab/>
        </w:r>
        <w:r>
          <w:fldChar w:fldCharType="begin"/>
        </w:r>
        <w:r>
          <w:instrText xml:space="preserve"> PAGEREF _Toc19201 \h </w:instrText>
        </w:r>
        <w:r>
          <w:fldChar w:fldCharType="separate"/>
        </w:r>
        <w:r>
          <w:t>21</w:t>
        </w:r>
        <w:r>
          <w:fldChar w:fldCharType="end"/>
        </w:r>
      </w:hyperlink>
    </w:p>
    <w:p>
      <w:pPr>
        <w:pStyle w:val="TOC1"/>
        <w:tabs>
          <w:tab w:val="right" w:leader="dot" w:pos="8306"/>
        </w:tabs>
      </w:pPr>
      <w:hyperlink w:anchor="_Toc3982" w:history="1">
        <w:r>
          <w:rPr>
            <w:rFonts w:ascii="仿宋" w:eastAsia="仿宋" w:hAnsi="仿宋" w:cs="仿宋" w:hint="eastAsia"/>
            <w:lang w:eastAsia="zh-CN"/>
          </w:rPr>
          <w:t>七、氢氧化铬项目计划安排</w:t>
        </w:r>
        <w:r>
          <w:tab/>
        </w:r>
        <w:r>
          <w:fldChar w:fldCharType="begin"/>
        </w:r>
        <w:r>
          <w:instrText xml:space="preserve"> PAGEREF _Toc3982 \h </w:instrText>
        </w:r>
        <w:r>
          <w:fldChar w:fldCharType="separate"/>
        </w:r>
        <w:r>
          <w:t>22</w:t>
        </w:r>
        <w:r>
          <w:fldChar w:fldCharType="end"/>
        </w:r>
      </w:hyperlink>
    </w:p>
    <w:p>
      <w:pPr>
        <w:pStyle w:val="TOC2"/>
        <w:tabs>
          <w:tab w:val="right" w:leader="dot" w:pos="8306"/>
        </w:tabs>
      </w:pPr>
      <w:hyperlink w:anchor="_Toc23485" w:history="1">
        <w:r>
          <w:rPr>
            <w:rFonts w:ascii="仿宋" w:eastAsia="仿宋" w:hAnsi="仿宋" w:cs="仿宋" w:hint="eastAsia"/>
            <w:lang w:eastAsia="zh-CN"/>
          </w:rPr>
          <w:t>(一)、建设周期</w:t>
        </w:r>
        <w:r>
          <w:tab/>
        </w:r>
        <w:r>
          <w:fldChar w:fldCharType="begin"/>
        </w:r>
        <w:r>
          <w:instrText xml:space="preserve"> PAGEREF _Toc23485 \h </w:instrText>
        </w:r>
        <w:r>
          <w:fldChar w:fldCharType="separate"/>
        </w:r>
        <w:r>
          <w:t>22</w:t>
        </w:r>
        <w:r>
          <w:fldChar w:fldCharType="end"/>
        </w:r>
      </w:hyperlink>
    </w:p>
    <w:p>
      <w:pPr>
        <w:pStyle w:val="TOC2"/>
        <w:tabs>
          <w:tab w:val="right" w:leader="dot" w:pos="8306"/>
        </w:tabs>
      </w:pPr>
      <w:hyperlink w:anchor="_Toc24481" w:history="1">
        <w:r>
          <w:rPr>
            <w:rFonts w:ascii="仿宋" w:eastAsia="仿宋" w:hAnsi="仿宋" w:cs="仿宋" w:hint="eastAsia"/>
            <w:lang w:eastAsia="zh-CN"/>
          </w:rPr>
          <w:t>(二)、建设进度</w:t>
        </w:r>
        <w:r>
          <w:tab/>
        </w:r>
        <w:r>
          <w:fldChar w:fldCharType="begin"/>
        </w:r>
        <w:r>
          <w:instrText xml:space="preserve"> PAGEREF _Toc24481 \h </w:instrText>
        </w:r>
        <w:r>
          <w:fldChar w:fldCharType="separate"/>
        </w:r>
        <w:r>
          <w:t>23</w:t>
        </w:r>
        <w:r>
          <w:fldChar w:fldCharType="end"/>
        </w:r>
      </w:hyperlink>
    </w:p>
    <w:p>
      <w:pPr>
        <w:pStyle w:val="TOC2"/>
        <w:tabs>
          <w:tab w:val="right" w:leader="dot" w:pos="8306"/>
        </w:tabs>
      </w:pPr>
      <w:hyperlink w:anchor="_Toc14541" w:history="1">
        <w:r>
          <w:rPr>
            <w:rFonts w:ascii="仿宋" w:eastAsia="仿宋" w:hAnsi="仿宋" w:cs="仿宋" w:hint="eastAsia"/>
            <w:lang w:eastAsia="zh-CN"/>
          </w:rPr>
          <w:t>(三)、进度安排注意事项</w:t>
        </w:r>
        <w:r>
          <w:tab/>
        </w:r>
        <w:r>
          <w:fldChar w:fldCharType="begin"/>
        </w:r>
        <w:r>
          <w:instrText xml:space="preserve"> PAGEREF _Toc14541 \h </w:instrText>
        </w:r>
        <w:r>
          <w:fldChar w:fldCharType="separate"/>
        </w:r>
        <w:r>
          <w:t>23</w:t>
        </w:r>
        <w:r>
          <w:fldChar w:fldCharType="end"/>
        </w:r>
      </w:hyperlink>
    </w:p>
    <w:p>
      <w:pPr>
        <w:pStyle w:val="TOC2"/>
        <w:tabs>
          <w:tab w:val="right" w:leader="dot" w:pos="8306"/>
        </w:tabs>
      </w:pPr>
      <w:hyperlink w:anchor="_Toc25642" w:history="1">
        <w:r>
          <w:rPr>
            <w:rFonts w:ascii="仿宋" w:eastAsia="仿宋" w:hAnsi="仿宋" w:cs="仿宋" w:hint="eastAsia"/>
            <w:lang w:eastAsia="zh-CN"/>
          </w:rPr>
          <w:t>(四)、人力资源配置</w:t>
        </w:r>
        <w:r>
          <w:tab/>
        </w:r>
        <w:r>
          <w:fldChar w:fldCharType="begin"/>
        </w:r>
        <w:r>
          <w:instrText xml:space="preserve"> PAGEREF _Toc25642 \h </w:instrText>
        </w:r>
        <w:r>
          <w:fldChar w:fldCharType="separate"/>
        </w:r>
        <w:r>
          <w:t>25</w:t>
        </w:r>
        <w:r>
          <w:fldChar w:fldCharType="end"/>
        </w:r>
      </w:hyperlink>
    </w:p>
    <w:p>
      <w:pPr>
        <w:pStyle w:val="TOC1"/>
        <w:tabs>
          <w:tab w:val="right" w:leader="dot" w:pos="8306"/>
        </w:tabs>
      </w:pPr>
      <w:hyperlink w:anchor="_Toc19749" w:history="1">
        <w:r>
          <w:rPr>
            <w:rFonts w:ascii="仿宋" w:eastAsia="仿宋" w:hAnsi="仿宋" w:cs="仿宋" w:hint="eastAsia"/>
            <w:lang w:eastAsia="zh-CN"/>
          </w:rPr>
          <w:t>八、氢氧化铬项目技术管理</w:t>
        </w:r>
        <w:r>
          <w:tab/>
        </w:r>
        <w:r>
          <w:fldChar w:fldCharType="begin"/>
        </w:r>
        <w:r>
          <w:instrText xml:space="preserve"> PAGEREF _Toc19749 \h </w:instrText>
        </w:r>
        <w:r>
          <w:fldChar w:fldCharType="separate"/>
        </w:r>
        <w:r>
          <w:t>26</w:t>
        </w:r>
        <w:r>
          <w:fldChar w:fldCharType="end"/>
        </w:r>
      </w:hyperlink>
    </w:p>
    <w:p>
      <w:pPr>
        <w:pStyle w:val="TOC2"/>
        <w:tabs>
          <w:tab w:val="right" w:leader="dot" w:pos="8306"/>
        </w:tabs>
      </w:pPr>
      <w:hyperlink w:anchor="_Toc25077" w:history="1">
        <w:r>
          <w:rPr>
            <w:rFonts w:ascii="仿宋" w:eastAsia="仿宋" w:hAnsi="仿宋" w:cs="仿宋" w:hint="eastAsia"/>
            <w:lang w:eastAsia="zh-CN"/>
          </w:rPr>
          <w:t>(一)、技术方案选用方向</w:t>
        </w:r>
        <w:r>
          <w:tab/>
        </w:r>
        <w:r>
          <w:fldChar w:fldCharType="begin"/>
        </w:r>
        <w:r>
          <w:instrText xml:space="preserve"> PAGEREF _Toc25077 \h </w:instrText>
        </w:r>
        <w:r>
          <w:fldChar w:fldCharType="separate"/>
        </w:r>
        <w:r>
          <w:t>26</w:t>
        </w:r>
        <w:r>
          <w:fldChar w:fldCharType="end"/>
        </w:r>
      </w:hyperlink>
    </w:p>
    <w:p>
      <w:pPr>
        <w:pStyle w:val="TOC2"/>
        <w:tabs>
          <w:tab w:val="right" w:leader="dot" w:pos="8306"/>
        </w:tabs>
      </w:pPr>
      <w:hyperlink w:anchor="_Toc16751" w:history="1">
        <w:r>
          <w:rPr>
            <w:rFonts w:ascii="仿宋" w:eastAsia="仿宋" w:hAnsi="仿宋" w:cs="仿宋" w:hint="eastAsia"/>
            <w:lang w:eastAsia="zh-CN"/>
          </w:rPr>
          <w:t>(二)、工艺技术方案选用原则</w:t>
        </w:r>
        <w:r>
          <w:tab/>
        </w:r>
        <w:r>
          <w:fldChar w:fldCharType="begin"/>
        </w:r>
        <w:r>
          <w:instrText xml:space="preserve"> PAGEREF _Toc16751 \h </w:instrText>
        </w:r>
        <w:r>
          <w:fldChar w:fldCharType="separate"/>
        </w:r>
        <w:r>
          <w:t>28</w:t>
        </w:r>
        <w:r>
          <w:fldChar w:fldCharType="end"/>
        </w:r>
      </w:hyperlink>
    </w:p>
    <w:p>
      <w:pPr>
        <w:pStyle w:val="TOC2"/>
        <w:tabs>
          <w:tab w:val="right" w:leader="dot" w:pos="8306"/>
        </w:tabs>
      </w:pPr>
      <w:hyperlink w:anchor="_Toc25007" w:history="1">
        <w:r>
          <w:rPr>
            <w:rFonts w:ascii="仿宋" w:eastAsia="仿宋" w:hAnsi="仿宋" w:cs="仿宋" w:hint="eastAsia"/>
            <w:lang w:eastAsia="zh-CN"/>
          </w:rPr>
          <w:t>(三)、工艺技术方案要求</w:t>
        </w:r>
        <w:r>
          <w:tab/>
        </w:r>
        <w:r>
          <w:fldChar w:fldCharType="begin"/>
        </w:r>
        <w:r>
          <w:instrText xml:space="preserve"> PAGEREF _Toc25007 \h </w:instrText>
        </w:r>
        <w:r>
          <w:fldChar w:fldCharType="separate"/>
        </w:r>
        <w:r>
          <w:t>30</w:t>
        </w:r>
        <w:r>
          <w:fldChar w:fldCharType="end"/>
        </w:r>
      </w:hyperlink>
    </w:p>
    <w:p>
      <w:pPr>
        <w:pStyle w:val="TOC1"/>
        <w:tabs>
          <w:tab w:val="right" w:leader="dot" w:pos="8306"/>
        </w:tabs>
      </w:pPr>
      <w:hyperlink w:anchor="_Toc15254" w:history="1">
        <w:r>
          <w:rPr>
            <w:rFonts w:ascii="仿宋" w:eastAsia="仿宋" w:hAnsi="仿宋" w:cs="仿宋" w:hint="eastAsia"/>
            <w:lang w:eastAsia="zh-CN"/>
          </w:rPr>
          <w:t>九、氢氧化铬项目人力资源管理</w:t>
        </w:r>
        <w:r>
          <w:tab/>
        </w:r>
        <w:r>
          <w:fldChar w:fldCharType="begin"/>
        </w:r>
        <w:r>
          <w:instrText xml:space="preserve"> PAGEREF _Toc15254 \h </w:instrText>
        </w:r>
        <w:r>
          <w:fldChar w:fldCharType="separate"/>
        </w:r>
        <w:r>
          <w:t>32</w:t>
        </w:r>
        <w:r>
          <w:fldChar w:fldCharType="end"/>
        </w:r>
      </w:hyperlink>
    </w:p>
    <w:p>
      <w:pPr>
        <w:pStyle w:val="TOC2"/>
        <w:tabs>
          <w:tab w:val="right" w:leader="dot" w:pos="8306"/>
        </w:tabs>
      </w:pPr>
      <w:hyperlink w:anchor="_Toc23005" w:history="1">
        <w:r>
          <w:rPr>
            <w:rFonts w:ascii="仿宋" w:eastAsia="仿宋" w:hAnsi="仿宋" w:cs="仿宋" w:hint="eastAsia"/>
            <w:lang w:eastAsia="zh-CN"/>
          </w:rPr>
          <w:t>(一)、建立健全的预算管理制度</w:t>
        </w:r>
        <w:r>
          <w:tab/>
        </w:r>
        <w:r>
          <w:fldChar w:fldCharType="begin"/>
        </w:r>
        <w:r>
          <w:instrText xml:space="preserve"> PAGEREF _Toc23005 \h </w:instrText>
        </w:r>
        <w:r>
          <w:fldChar w:fldCharType="separate"/>
        </w:r>
        <w:r>
          <w:t>32</w:t>
        </w:r>
        <w:r>
          <w:fldChar w:fldCharType="end"/>
        </w:r>
      </w:hyperlink>
    </w:p>
    <w:p>
      <w:pPr>
        <w:pStyle w:val="TOC2"/>
        <w:tabs>
          <w:tab w:val="right" w:leader="dot" w:pos="8306"/>
        </w:tabs>
      </w:pPr>
      <w:hyperlink w:anchor="_Toc10048" w:history="1">
        <w:r>
          <w:rPr>
            <w:rFonts w:ascii="仿宋" w:eastAsia="仿宋" w:hAnsi="仿宋" w:cs="仿宋" w:hint="eastAsia"/>
            <w:lang w:eastAsia="zh-CN"/>
          </w:rPr>
          <w:t>(二)、加强资金流动监控</w:t>
        </w:r>
        <w:r>
          <w:tab/>
        </w:r>
        <w:r>
          <w:fldChar w:fldCharType="begin"/>
        </w:r>
        <w:r>
          <w:instrText xml:space="preserve"> PAGEREF _Toc10048 \h </w:instrText>
        </w:r>
        <w:r>
          <w:fldChar w:fldCharType="separate"/>
        </w:r>
        <w:r>
          <w:t>34</w:t>
        </w:r>
        <w:r>
          <w:fldChar w:fldCharType="end"/>
        </w:r>
      </w:hyperlink>
    </w:p>
    <w:p>
      <w:pPr>
        <w:pStyle w:val="TOC2"/>
        <w:tabs>
          <w:tab w:val="right" w:leader="dot" w:pos="8306"/>
        </w:tabs>
      </w:pPr>
      <w:hyperlink w:anchor="_Toc479" w:history="1">
        <w:r>
          <w:rPr>
            <w:rFonts w:ascii="仿宋" w:eastAsia="仿宋" w:hAnsi="仿宋" w:cs="仿宋" w:hint="eastAsia"/>
            <w:lang w:eastAsia="zh-CN"/>
          </w:rPr>
          <w:t>(三)、制定完善的风险控制机制</w:t>
        </w:r>
        <w:r>
          <w:tab/>
        </w:r>
        <w:r>
          <w:fldChar w:fldCharType="begin"/>
        </w:r>
        <w:r>
          <w:instrText xml:space="preserve"> PAGEREF _Toc479 \h </w:instrText>
        </w:r>
        <w:r>
          <w:fldChar w:fldCharType="separate"/>
        </w:r>
        <w:r>
          <w:t>35</w:t>
        </w:r>
        <w:r>
          <w:fldChar w:fldCharType="end"/>
        </w:r>
      </w:hyperlink>
    </w:p>
    <w:p>
      <w:pPr>
        <w:pStyle w:val="TOC2"/>
        <w:tabs>
          <w:tab w:val="right" w:leader="dot" w:pos="8306"/>
        </w:tabs>
      </w:pPr>
      <w:hyperlink w:anchor="_Toc14171" w:history="1">
        <w:r>
          <w:rPr>
            <w:rFonts w:ascii="仿宋" w:eastAsia="仿宋" w:hAnsi="仿宋" w:cs="仿宋" w:hint="eastAsia"/>
            <w:lang w:eastAsia="zh-CN"/>
          </w:rPr>
          <w:t>(四)、优化成本管理</w:t>
        </w:r>
        <w:r>
          <w:tab/>
        </w:r>
        <w:r>
          <w:fldChar w:fldCharType="begin"/>
        </w:r>
        <w:r>
          <w:instrText xml:space="preserve"> PAGEREF _Toc14171 \h </w:instrText>
        </w:r>
        <w:r>
          <w:fldChar w:fldCharType="separate"/>
        </w:r>
        <w:r>
          <w:t>36</w:t>
        </w:r>
        <w:r>
          <w:fldChar w:fldCharType="end"/>
        </w:r>
      </w:hyperlink>
    </w:p>
    <w:p>
      <w:pPr>
        <w:pStyle w:val="TOC1"/>
        <w:tabs>
          <w:tab w:val="right" w:leader="dot" w:pos="8306"/>
        </w:tabs>
      </w:pPr>
      <w:hyperlink w:anchor="_Toc24013" w:history="1">
        <w:r>
          <w:rPr>
            <w:rFonts w:ascii="仿宋" w:eastAsia="仿宋" w:hAnsi="仿宋" w:cs="仿宋" w:hint="eastAsia"/>
            <w:lang w:eastAsia="zh-CN"/>
          </w:rPr>
          <w:t>十、氢氧化铬项目社会影响</w:t>
        </w:r>
        <w:r>
          <w:tab/>
        </w:r>
        <w:r>
          <w:fldChar w:fldCharType="begin"/>
        </w:r>
        <w:r>
          <w:instrText xml:space="preserve"> PAGEREF _Toc24013 \h </w:instrText>
        </w:r>
        <w:r>
          <w:fldChar w:fldCharType="separate"/>
        </w:r>
        <w:r>
          <w:t>37</w:t>
        </w:r>
        <w:r>
          <w:fldChar w:fldCharType="end"/>
        </w:r>
      </w:hyperlink>
    </w:p>
    <w:p>
      <w:pPr>
        <w:pStyle w:val="TOC2"/>
        <w:tabs>
          <w:tab w:val="right" w:leader="dot" w:pos="8306"/>
        </w:tabs>
      </w:pPr>
      <w:hyperlink w:anchor="_Toc4342" w:history="1">
        <w:r>
          <w:rPr>
            <w:rFonts w:ascii="仿宋" w:eastAsia="仿宋" w:hAnsi="仿宋" w:cs="仿宋" w:hint="eastAsia"/>
            <w:lang w:eastAsia="zh-CN"/>
          </w:rPr>
          <w:t>(一)、社会责任与义务</w:t>
        </w:r>
        <w:r>
          <w:tab/>
        </w:r>
        <w:r>
          <w:fldChar w:fldCharType="begin"/>
        </w:r>
        <w:r>
          <w:instrText xml:space="preserve"> PAGEREF _Toc4342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6" w:history="1">
        <w:r>
          <w:rPr>
            <w:rFonts w:ascii="仿宋" w:eastAsia="仿宋" w:hAnsi="仿宋" w:cs="仿宋" w:hint="eastAsia"/>
            <w:lang w:eastAsia="zh-CN"/>
          </w:rPr>
          <w:t>(二)、社会参与与沟通</w:t>
        </w:r>
        <w:r>
          <w:tab/>
        </w:r>
        <w:r>
          <w:fldChar w:fldCharType="begin"/>
        </w:r>
        <w:r>
          <w:instrText xml:space="preserve"> PAGEREF _Toc21096 \h </w:instrText>
        </w:r>
        <w:r>
          <w:fldChar w:fldCharType="separate"/>
        </w:r>
        <w:r>
          <w:t>38</w:t>
        </w:r>
        <w:r>
          <w:fldChar w:fldCharType="end"/>
        </w:r>
      </w:hyperlink>
    </w:p>
    <w:p>
      <w:pPr>
        <w:pStyle w:val="TOC1"/>
        <w:tabs>
          <w:tab w:val="right" w:leader="dot" w:pos="8306"/>
        </w:tabs>
      </w:pPr>
      <w:hyperlink w:anchor="_Toc20986" w:history="1">
        <w:r>
          <w:rPr>
            <w:rFonts w:ascii="仿宋" w:eastAsia="仿宋" w:hAnsi="仿宋" w:cs="仿宋" w:hint="eastAsia"/>
            <w:lang w:eastAsia="zh-CN"/>
          </w:rPr>
          <w:t>十一、氢氧化铬项目经营效益</w:t>
        </w:r>
        <w:r>
          <w:tab/>
        </w:r>
        <w:r>
          <w:fldChar w:fldCharType="begin"/>
        </w:r>
        <w:r>
          <w:instrText xml:space="preserve"> PAGEREF _Toc20986 \h </w:instrText>
        </w:r>
        <w:r>
          <w:fldChar w:fldCharType="separate"/>
        </w:r>
        <w:r>
          <w:t>39</w:t>
        </w:r>
        <w:r>
          <w:fldChar w:fldCharType="end"/>
        </w:r>
      </w:hyperlink>
    </w:p>
    <w:p>
      <w:pPr>
        <w:pStyle w:val="TOC2"/>
        <w:tabs>
          <w:tab w:val="right" w:leader="dot" w:pos="8306"/>
        </w:tabs>
      </w:pPr>
      <w:hyperlink w:anchor="_Toc18814" w:history="1">
        <w:r>
          <w:rPr>
            <w:rFonts w:ascii="仿宋" w:eastAsia="仿宋" w:hAnsi="仿宋" w:cs="仿宋" w:hint="eastAsia"/>
            <w:lang w:eastAsia="zh-CN"/>
          </w:rPr>
          <w:t>(一)、经济评价财务测算</w:t>
        </w:r>
        <w:r>
          <w:tab/>
        </w:r>
        <w:r>
          <w:fldChar w:fldCharType="begin"/>
        </w:r>
        <w:r>
          <w:instrText xml:space="preserve"> PAGEREF _Toc18814 \h </w:instrText>
        </w:r>
        <w:r>
          <w:fldChar w:fldCharType="separate"/>
        </w:r>
        <w:r>
          <w:t>39</w:t>
        </w:r>
        <w:r>
          <w:fldChar w:fldCharType="end"/>
        </w:r>
      </w:hyperlink>
    </w:p>
    <w:p>
      <w:pPr>
        <w:pStyle w:val="TOC2"/>
        <w:tabs>
          <w:tab w:val="right" w:leader="dot" w:pos="8306"/>
        </w:tabs>
      </w:pPr>
      <w:hyperlink w:anchor="_Toc31353" w:history="1">
        <w:r>
          <w:rPr>
            <w:rFonts w:ascii="仿宋" w:eastAsia="仿宋" w:hAnsi="仿宋" w:cs="仿宋" w:hint="eastAsia"/>
            <w:lang w:eastAsia="zh-CN"/>
          </w:rPr>
          <w:t>(二)、氢氧化铬项目盈利能力分析</w:t>
        </w:r>
        <w:r>
          <w:tab/>
        </w:r>
        <w:r>
          <w:fldChar w:fldCharType="begin"/>
        </w:r>
        <w:r>
          <w:instrText xml:space="preserve"> PAGEREF _Toc31353 \h </w:instrText>
        </w:r>
        <w:r>
          <w:fldChar w:fldCharType="separate"/>
        </w:r>
        <w:r>
          <w:t>40</w:t>
        </w:r>
        <w:r>
          <w:fldChar w:fldCharType="end"/>
        </w:r>
      </w:hyperlink>
    </w:p>
    <w:p>
      <w:pPr>
        <w:pStyle w:val="TOC1"/>
        <w:tabs>
          <w:tab w:val="right" w:leader="dot" w:pos="8306"/>
        </w:tabs>
      </w:pPr>
      <w:hyperlink w:anchor="_Toc29287" w:history="1">
        <w:r>
          <w:rPr>
            <w:rFonts w:ascii="仿宋" w:eastAsia="仿宋" w:hAnsi="仿宋" w:cs="仿宋" w:hint="eastAsia"/>
            <w:lang w:eastAsia="zh-CN"/>
          </w:rPr>
          <w:t>十二、氢氧化铬项目风险管理</w:t>
        </w:r>
        <w:r>
          <w:tab/>
        </w:r>
        <w:r>
          <w:fldChar w:fldCharType="begin"/>
        </w:r>
        <w:r>
          <w:instrText xml:space="preserve"> PAGEREF _Toc29287 \h </w:instrText>
        </w:r>
        <w:r>
          <w:fldChar w:fldCharType="separate"/>
        </w:r>
        <w:r>
          <w:t>41</w:t>
        </w:r>
        <w:r>
          <w:fldChar w:fldCharType="end"/>
        </w:r>
      </w:hyperlink>
    </w:p>
    <w:p>
      <w:pPr>
        <w:pStyle w:val="TOC2"/>
        <w:tabs>
          <w:tab w:val="right" w:leader="dot" w:pos="8306"/>
        </w:tabs>
      </w:pPr>
      <w:hyperlink w:anchor="_Toc13743" w:history="1">
        <w:r>
          <w:rPr>
            <w:rFonts w:ascii="仿宋" w:eastAsia="仿宋" w:hAnsi="仿宋" w:cs="仿宋" w:hint="eastAsia"/>
            <w:lang w:eastAsia="zh-CN"/>
          </w:rPr>
          <w:t>(一)、风险识别与评估</w:t>
        </w:r>
        <w:r>
          <w:tab/>
        </w:r>
        <w:r>
          <w:fldChar w:fldCharType="begin"/>
        </w:r>
        <w:r>
          <w:instrText xml:space="preserve"> PAGEREF _Toc13743 \h </w:instrText>
        </w:r>
        <w:r>
          <w:fldChar w:fldCharType="separate"/>
        </w:r>
        <w:r>
          <w:t>41</w:t>
        </w:r>
        <w:r>
          <w:fldChar w:fldCharType="end"/>
        </w:r>
      </w:hyperlink>
    </w:p>
    <w:p>
      <w:pPr>
        <w:pStyle w:val="TOC2"/>
        <w:tabs>
          <w:tab w:val="right" w:leader="dot" w:pos="8306"/>
        </w:tabs>
      </w:pPr>
      <w:hyperlink w:anchor="_Toc18320" w:history="1">
        <w:r>
          <w:rPr>
            <w:rFonts w:ascii="仿宋" w:eastAsia="仿宋" w:hAnsi="仿宋" w:cs="仿宋" w:hint="eastAsia"/>
            <w:lang w:eastAsia="zh-CN"/>
          </w:rPr>
          <w:t>(二)、风险应对策略</w:t>
        </w:r>
        <w:r>
          <w:tab/>
        </w:r>
        <w:r>
          <w:fldChar w:fldCharType="begin"/>
        </w:r>
        <w:r>
          <w:instrText xml:space="preserve"> PAGEREF _Toc18320 \h </w:instrText>
        </w:r>
        <w:r>
          <w:fldChar w:fldCharType="separate"/>
        </w:r>
        <w:r>
          <w:t>42</w:t>
        </w:r>
        <w:r>
          <w:fldChar w:fldCharType="end"/>
        </w:r>
      </w:hyperlink>
    </w:p>
    <w:p>
      <w:pPr>
        <w:pStyle w:val="TOC2"/>
        <w:tabs>
          <w:tab w:val="right" w:leader="dot" w:pos="8306"/>
        </w:tabs>
      </w:pPr>
      <w:hyperlink w:anchor="_Toc10226" w:history="1">
        <w:r>
          <w:rPr>
            <w:rFonts w:ascii="仿宋" w:eastAsia="仿宋" w:hAnsi="仿宋" w:cs="仿宋" w:hint="eastAsia"/>
            <w:lang w:eastAsia="zh-CN"/>
          </w:rPr>
          <w:t>(三)、风险监控与控制</w:t>
        </w:r>
        <w:r>
          <w:tab/>
        </w:r>
        <w:r>
          <w:fldChar w:fldCharType="begin"/>
        </w:r>
        <w:r>
          <w:instrText xml:space="preserve"> PAGEREF _Toc10226 \h </w:instrText>
        </w:r>
        <w:r>
          <w:fldChar w:fldCharType="separate"/>
        </w:r>
        <w:r>
          <w:t>44</w:t>
        </w:r>
        <w:r>
          <w:fldChar w:fldCharType="end"/>
        </w:r>
      </w:hyperlink>
    </w:p>
    <w:p>
      <w:pPr>
        <w:pStyle w:val="TOC1"/>
        <w:tabs>
          <w:tab w:val="right" w:leader="dot" w:pos="8306"/>
        </w:tabs>
      </w:pPr>
      <w:hyperlink w:anchor="_Toc2347" w:history="1">
        <w:r>
          <w:rPr>
            <w:rFonts w:ascii="仿宋" w:eastAsia="仿宋" w:hAnsi="仿宋" w:cs="仿宋" w:hint="eastAsia"/>
            <w:lang w:eastAsia="zh-CN"/>
          </w:rPr>
          <w:t>十三、氢氧化铬项目治理与监督</w:t>
        </w:r>
        <w:r>
          <w:tab/>
        </w:r>
        <w:r>
          <w:fldChar w:fldCharType="begin"/>
        </w:r>
        <w:r>
          <w:instrText xml:space="preserve"> PAGEREF _Toc2347 \h </w:instrText>
        </w:r>
        <w:r>
          <w:fldChar w:fldCharType="separate"/>
        </w:r>
        <w:r>
          <w:t>45</w:t>
        </w:r>
        <w:r>
          <w:fldChar w:fldCharType="end"/>
        </w:r>
      </w:hyperlink>
    </w:p>
    <w:p>
      <w:pPr>
        <w:pStyle w:val="TOC2"/>
        <w:tabs>
          <w:tab w:val="right" w:leader="dot" w:pos="8306"/>
        </w:tabs>
      </w:pPr>
      <w:hyperlink w:anchor="_Toc20760" w:history="1">
        <w:r>
          <w:rPr>
            <w:rFonts w:ascii="仿宋" w:eastAsia="仿宋" w:hAnsi="仿宋" w:cs="仿宋" w:hint="eastAsia"/>
            <w:lang w:eastAsia="zh-CN"/>
          </w:rPr>
          <w:t>(一)、氢氧化铬项目治理结构</w:t>
        </w:r>
        <w:r>
          <w:tab/>
        </w:r>
        <w:r>
          <w:fldChar w:fldCharType="begin"/>
        </w:r>
        <w:r>
          <w:instrText xml:space="preserve"> PAGEREF _Toc20760 \h </w:instrText>
        </w:r>
        <w:r>
          <w:fldChar w:fldCharType="separate"/>
        </w:r>
        <w:r>
          <w:t>45</w:t>
        </w:r>
        <w:r>
          <w:fldChar w:fldCharType="end"/>
        </w:r>
      </w:hyperlink>
    </w:p>
    <w:p>
      <w:pPr>
        <w:pStyle w:val="TOC2"/>
        <w:tabs>
          <w:tab w:val="right" w:leader="dot" w:pos="8306"/>
        </w:tabs>
      </w:pPr>
      <w:hyperlink w:anchor="_Toc7796" w:history="1">
        <w:r>
          <w:rPr>
            <w:rFonts w:ascii="仿宋" w:eastAsia="仿宋" w:hAnsi="仿宋" w:cs="仿宋" w:hint="eastAsia"/>
            <w:lang w:eastAsia="zh-CN"/>
          </w:rPr>
          <w:t>(二)、监督与审计</w:t>
        </w:r>
        <w:r>
          <w:tab/>
        </w:r>
        <w:r>
          <w:fldChar w:fldCharType="begin"/>
        </w:r>
        <w:r>
          <w:instrText xml:space="preserve"> PAGEREF _Toc7796 \h </w:instrText>
        </w:r>
        <w:r>
          <w:fldChar w:fldCharType="separate"/>
        </w:r>
        <w:r>
          <w:t>46</w:t>
        </w:r>
        <w:r>
          <w:fldChar w:fldCharType="end"/>
        </w:r>
      </w:hyperlink>
    </w:p>
    <w:p>
      <w:pPr>
        <w:pStyle w:val="TOC1"/>
        <w:tabs>
          <w:tab w:val="right" w:leader="dot" w:pos="8306"/>
        </w:tabs>
      </w:pPr>
      <w:hyperlink w:anchor="_Toc20260" w:history="1">
        <w:r>
          <w:rPr>
            <w:rFonts w:ascii="仿宋" w:eastAsia="仿宋" w:hAnsi="仿宋" w:cs="仿宋" w:hint="eastAsia"/>
            <w:lang w:eastAsia="zh-CN"/>
          </w:rPr>
          <w:t>十四、营销与推广策略</w:t>
        </w:r>
        <w:r>
          <w:tab/>
        </w:r>
        <w:r>
          <w:fldChar w:fldCharType="begin"/>
        </w:r>
        <w:r>
          <w:instrText xml:space="preserve"> PAGEREF _Toc20260 \h </w:instrText>
        </w:r>
        <w:r>
          <w:fldChar w:fldCharType="separate"/>
        </w:r>
        <w:r>
          <w:t>48</w:t>
        </w:r>
        <w:r>
          <w:fldChar w:fldCharType="end"/>
        </w:r>
      </w:hyperlink>
    </w:p>
    <w:p>
      <w:pPr>
        <w:pStyle w:val="TOC2"/>
        <w:tabs>
          <w:tab w:val="right" w:leader="dot" w:pos="8306"/>
        </w:tabs>
      </w:pPr>
      <w:hyperlink w:anchor="_Toc6715" w:history="1">
        <w:r>
          <w:rPr>
            <w:rFonts w:ascii="仿宋" w:eastAsia="仿宋" w:hAnsi="仿宋" w:cs="仿宋" w:hint="eastAsia"/>
            <w:lang w:eastAsia="zh-CN"/>
          </w:rPr>
          <w:t>(一)、产品/服务定位与特点</w:t>
        </w:r>
        <w:r>
          <w:tab/>
        </w:r>
        <w:r>
          <w:fldChar w:fldCharType="begin"/>
        </w:r>
        <w:r>
          <w:instrText xml:space="preserve"> PAGEREF _Toc6715 \h </w:instrText>
        </w:r>
        <w:r>
          <w:fldChar w:fldCharType="separate"/>
        </w:r>
        <w:r>
          <w:t>48</w:t>
        </w:r>
        <w:r>
          <w:fldChar w:fldCharType="end"/>
        </w:r>
      </w:hyperlink>
    </w:p>
    <w:p>
      <w:pPr>
        <w:pStyle w:val="TOC2"/>
        <w:tabs>
          <w:tab w:val="right" w:leader="dot" w:pos="8306"/>
        </w:tabs>
      </w:pPr>
      <w:hyperlink w:anchor="_Toc27442" w:history="1">
        <w:r>
          <w:rPr>
            <w:rFonts w:ascii="仿宋" w:eastAsia="仿宋" w:hAnsi="仿宋" w:cs="仿宋" w:hint="eastAsia"/>
            <w:lang w:eastAsia="zh-CN"/>
          </w:rPr>
          <w:t>(二)、市场定位与竞争分析</w:t>
        </w:r>
        <w:r>
          <w:tab/>
        </w:r>
        <w:r>
          <w:fldChar w:fldCharType="begin"/>
        </w:r>
        <w:r>
          <w:instrText xml:space="preserve"> PAGEREF _Toc27442 \h </w:instrText>
        </w:r>
        <w:r>
          <w:fldChar w:fldCharType="separate"/>
        </w:r>
        <w:r>
          <w:t>49</w:t>
        </w:r>
        <w:r>
          <w:fldChar w:fldCharType="end"/>
        </w:r>
      </w:hyperlink>
    </w:p>
    <w:p>
      <w:pPr>
        <w:pStyle w:val="TOC2"/>
        <w:tabs>
          <w:tab w:val="right" w:leader="dot" w:pos="8306"/>
        </w:tabs>
      </w:pPr>
      <w:hyperlink w:anchor="_Toc17545" w:history="1">
        <w:r>
          <w:rPr>
            <w:rFonts w:ascii="仿宋" w:eastAsia="仿宋" w:hAnsi="仿宋" w:cs="仿宋" w:hint="eastAsia"/>
            <w:lang w:eastAsia="zh-CN"/>
          </w:rPr>
          <w:t>(三)、营销渠道与策略</w:t>
        </w:r>
        <w:r>
          <w:tab/>
        </w:r>
        <w:r>
          <w:fldChar w:fldCharType="begin"/>
        </w:r>
        <w:r>
          <w:instrText xml:space="preserve"> PAGEREF _Toc17545 \h </w:instrText>
        </w:r>
        <w:r>
          <w:fldChar w:fldCharType="separate"/>
        </w:r>
        <w:r>
          <w:t>50</w:t>
        </w:r>
        <w:r>
          <w:fldChar w:fldCharType="end"/>
        </w:r>
      </w:hyperlink>
    </w:p>
    <w:p>
      <w:pPr>
        <w:pStyle w:val="TOC2"/>
        <w:tabs>
          <w:tab w:val="right" w:leader="dot" w:pos="8306"/>
        </w:tabs>
      </w:pPr>
      <w:hyperlink w:anchor="_Toc27391" w:history="1">
        <w:r>
          <w:rPr>
            <w:rFonts w:ascii="仿宋" w:eastAsia="仿宋" w:hAnsi="仿宋" w:cs="仿宋" w:hint="eastAsia"/>
            <w:lang w:eastAsia="zh-CN"/>
          </w:rPr>
          <w:t>(四)、推广与宣传活动</w:t>
        </w:r>
        <w:r>
          <w:tab/>
        </w:r>
        <w:r>
          <w:fldChar w:fldCharType="begin"/>
        </w:r>
        <w:r>
          <w:instrText xml:space="preserve"> PAGEREF _Toc27391 \h </w:instrText>
        </w:r>
        <w:r>
          <w:fldChar w:fldCharType="separate"/>
        </w:r>
        <w:r>
          <w:t>52</w:t>
        </w:r>
        <w:r>
          <w:fldChar w:fldCharType="end"/>
        </w:r>
      </w:hyperlink>
    </w:p>
    <w:p>
      <w:pPr>
        <w:pStyle w:val="TOC1"/>
        <w:tabs>
          <w:tab w:val="right" w:leader="dot" w:pos="8306"/>
        </w:tabs>
      </w:pPr>
      <w:hyperlink w:anchor="_Toc23194" w:history="1">
        <w:r>
          <w:rPr>
            <w:rFonts w:ascii="仿宋" w:eastAsia="仿宋" w:hAnsi="仿宋" w:cs="仿宋" w:hint="eastAsia"/>
            <w:lang w:eastAsia="zh-CN"/>
          </w:rPr>
          <w:t>十五、利益相关者分析与沟通计划</w:t>
        </w:r>
        <w:r>
          <w:tab/>
        </w:r>
        <w:r>
          <w:fldChar w:fldCharType="begin"/>
        </w:r>
        <w:r>
          <w:instrText xml:space="preserve"> PAGEREF _Toc23194 \h </w:instrText>
        </w:r>
        <w:r>
          <w:fldChar w:fldCharType="separate"/>
        </w:r>
        <w:r>
          <w:t>57</w:t>
        </w:r>
        <w:r>
          <w:fldChar w:fldCharType="end"/>
        </w:r>
      </w:hyperlink>
    </w:p>
    <w:p>
      <w:pPr>
        <w:pStyle w:val="TOC2"/>
        <w:tabs>
          <w:tab w:val="right" w:leader="dot" w:pos="8306"/>
        </w:tabs>
      </w:pPr>
      <w:hyperlink w:anchor="_Toc13188" w:history="1">
        <w:r>
          <w:rPr>
            <w:rFonts w:ascii="仿宋" w:eastAsia="仿宋" w:hAnsi="仿宋" w:cs="仿宋" w:hint="eastAsia"/>
            <w:lang w:eastAsia="zh-CN"/>
          </w:rPr>
          <w:t>(一)、利益相关者分析</w:t>
        </w:r>
        <w:r>
          <w:tab/>
        </w:r>
        <w:r>
          <w:fldChar w:fldCharType="begin"/>
        </w:r>
        <w:r>
          <w:instrText xml:space="preserve"> PAGEREF _Toc13188 \h </w:instrText>
        </w:r>
        <w:r>
          <w:fldChar w:fldCharType="separate"/>
        </w:r>
        <w:r>
          <w:t>57</w:t>
        </w:r>
        <w:r>
          <w:fldChar w:fldCharType="end"/>
        </w:r>
      </w:hyperlink>
    </w:p>
    <w:p>
      <w:pPr>
        <w:pStyle w:val="TOC2"/>
        <w:tabs>
          <w:tab w:val="right" w:leader="dot" w:pos="8306"/>
        </w:tabs>
      </w:pPr>
      <w:hyperlink w:anchor="_Toc32645" w:history="1">
        <w:r>
          <w:rPr>
            <w:rFonts w:ascii="仿宋" w:eastAsia="仿宋" w:hAnsi="仿宋" w:cs="仿宋" w:hint="eastAsia"/>
            <w:lang w:eastAsia="zh-CN"/>
          </w:rPr>
          <w:t>(二)、沟通计划</w:t>
        </w:r>
        <w:r>
          <w:tab/>
        </w:r>
        <w:r>
          <w:fldChar w:fldCharType="begin"/>
        </w:r>
        <w:r>
          <w:instrText xml:space="preserve"> PAGEREF _Toc32645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48"/>
      <w:r>
        <w:rPr>
          <w:rFonts w:ascii="仿宋" w:eastAsia="仿宋" w:hAnsi="仿宋" w:cs="仿宋" w:hint="eastAsia"/>
          <w:sz w:val="28"/>
          <w:lang w:eastAsia="zh-CN"/>
        </w:rPr>
        <w:t>一、氢氧化铬项目土建工程</w:t>
      </w:r>
      <w:bookmarkEnd w:id="2"/>
    </w:p>
    <w:p>
      <w:pPr>
        <w:pStyle w:val="Heading2"/>
        <w:rPr>
          <w:rFonts w:ascii="仿宋" w:eastAsia="仿宋" w:hAnsi="仿宋" w:cs="仿宋" w:hint="eastAsia"/>
          <w:lang w:eastAsia="zh-CN"/>
        </w:rPr>
      </w:pPr>
      <w:bookmarkStart w:id="3" w:name="_Toc2225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在氢氧化铬项目的建筑工程设计中，我们将秉承一系列重要的设计原则，以确保氢氧化铬项目建筑在功能、美观、可持续性等方面达到最佳效果。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首要原则是确保建筑的功能性得到最大化的发挥。我们将充分理解氢氧化铬项目的实际需求，合理布局各个功能区域，保证建筑在满足业务需求的同时，提供高效的工作环境。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在建筑设计中，我们将综合考虑建设和运营成本。通过精细的经济效益分析，确保设计方案在高效利用资源的同时，对氢氧化铬项目的长期盈利能力有积极的贡献。</w:t>
      </w:r>
    </w:p>
    <w:p>
      <w:pPr>
        <w:pStyle w:val="Heading2"/>
        <w:ind w:firstLine="560" w:firstLineChars="200"/>
        <w:rPr>
          <w:rFonts w:ascii="仿宋" w:eastAsia="仿宋" w:hAnsi="仿宋" w:cs="仿宋" w:hint="eastAsia"/>
          <w:sz w:val="28"/>
          <w:lang w:eastAsia="zh-CN"/>
        </w:rPr>
      </w:pPr>
      <w:bookmarkStart w:id="4" w:name="_Toc2605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的土建工程设计中，我们将精准设定设计年限，结合氢氧化铬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氢氧化铬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08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氢氧化铬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氢氧化铬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氢氧化铬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2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本期工程氢氧化铬项目预计总建筑面积XXX平方米，其中：计容建筑面积XXX平方米，计划建筑工程投资XX万元，占氢氧化铬项目总投资的XX%。</w:t>
      </w:r>
    </w:p>
    <w:p>
      <w:pPr>
        <w:pStyle w:val="Heading1"/>
        <w:ind w:firstLine="560" w:firstLineChars="200"/>
        <w:rPr>
          <w:rFonts w:ascii="仿宋" w:eastAsia="仿宋" w:hAnsi="仿宋" w:cs="仿宋" w:hint="eastAsia"/>
          <w:sz w:val="28"/>
          <w:lang w:eastAsia="zh-CN"/>
        </w:rPr>
      </w:pPr>
      <w:bookmarkStart w:id="7" w:name="_Toc7841"/>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682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氢氧化铬项目的主要产品是XXXX，预计年产值为XXX万元。这一产品在市场中占据着重要的地位，其广泛的应用范围使得该氢氧化铬项目的市场前景非常广阔。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氢氧化铬项目的xxx产品作为重要的原材料之一，将在多个领域发挥关键作用。其在建筑、交通、能源等方面的广泛应用将为整个产业链提供强大的支持，形成产业协同效应。氢氧化铬项目的年产值XXX万XXX万XXX万万元不仅反映了其在市场上的巨大潜力，更预示着它对国民经济的积极贡献。这种关联度高、涉及面广的产业关系，使得该氢氧化铬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6234"/>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总征地面积为XXXX平方米，相当于约XX.XX亩，其中净用地面积为XXXX平方米，红线范围内相当于约XX.XX亩。这一用地规模充分考虑了氢氧化铬项目的建设需求，保障了氢氧化铬项目在合适的空间内得以充分发展。氢氧化铬项目规划的总建筑面积为XXXX平方米，其中主体工程建设占XXXX平方米，计容建筑面积达XXXX平方米。预计建筑工程的投资将达到XXXX万元，为氢氧化铬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计划购置的设备共计XXXX台（套），设备购置费用为XXXX万元。这一设备购置计划充分考虑到氢氧化铬项目的生产需求和技术要求，确保了氢氧化铬项目在生产运营中具备先进的技术装备和高效的生产能力。设备的合理配置将为氢氧化铬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计划总投资为XXXX万元，预计年实现营业收入为XXXX万元。这一产能规模的设定旨在确保氢氧化铬项目能够在投资与回报之间取得平衡，实现长期可持续的发展。氢氧化铬项目的总投资充分考虑到各个方面的需求，包括用地建设、设备购置等多个环节，以确保氢氧化铬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6472"/>
      <w:r>
        <w:rPr>
          <w:rFonts w:ascii="仿宋" w:eastAsia="仿宋" w:hAnsi="仿宋" w:cs="仿宋" w:hint="eastAsia"/>
          <w:sz w:val="28"/>
          <w:lang w:eastAsia="zh-CN"/>
        </w:rPr>
        <w:t>三、氢氧化铬项目危机管理</w:t>
      </w:r>
      <w:bookmarkEnd w:id="10"/>
    </w:p>
    <w:p>
      <w:pPr>
        <w:pStyle w:val="Heading2"/>
        <w:rPr>
          <w:rFonts w:ascii="仿宋" w:eastAsia="仿宋" w:hAnsi="仿宋" w:cs="仿宋" w:hint="eastAsia"/>
          <w:lang w:eastAsia="zh-CN"/>
        </w:rPr>
      </w:pPr>
      <w:bookmarkStart w:id="11" w:name="_Toc16862"/>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危机管理中，危机预警与识别是确保氢氧化铬项目稳健运行的核心步骤。通过建立全面的监测机制，氢氧化铬项目团队旨在及时发现和理解潜在的风险和危机因素，以便采取及时的预防和应对措施，确保氢氧化铬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首先，通过深入的风险评估，氢氧化铬项目团队全面分析了整个氢氧化铬项目和各个阶段可能存在的威胁。这包括准确评估每个潜在风险的发生概率和可能影响的程度，为后续危机预警提供了有力支持。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氢氧化铬项目团队着重于明确定义氢氧化铬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氢氧化铬项目进展的持续监控，团队能够及时发现潜在问题并作出迅速反应。氢氧化铬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在这一阶段，团队的专业素养和反应速度将发挥至关重要的作用，以确保潜在危机能够在初期得到有效的处理，最大程度地减轻负面影响。通过危机预警与识别，氢氧化铬项目得以更有序、可控地推进。</w:t>
      </w:r>
    </w:p>
    <w:p>
      <w:pPr>
        <w:pStyle w:val="Heading2"/>
        <w:ind w:firstLine="560" w:firstLineChars="200"/>
        <w:rPr>
          <w:rFonts w:ascii="仿宋" w:eastAsia="仿宋" w:hAnsi="仿宋" w:cs="仿宋" w:hint="eastAsia"/>
          <w:sz w:val="28"/>
          <w:lang w:eastAsia="zh-CN"/>
        </w:rPr>
      </w:pPr>
      <w:bookmarkStart w:id="12" w:name="_Toc3141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在危机发生时，氢氧化铬项目团队立即行动，成立了应急小组。该小组的任务是迅速制定并实施紧急应对措施，以最小化潜在损失。以下是采取的主要措施：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暂停氢氧化铬项目进度：为遏制危机蔓延，氢氧化铬项目暂时停止进行，以便全面评估当前状况。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资源重新分配：重新评估氢氧化铬项目资源的分配，确保最大限度地减小损失。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实时沟通：与关键利益相关者建立实时沟通机制，向他们传递氢氧化铬项目危机的实际状况，保障氢氧化铬项目核心利益。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在紧急应对的同时，氢氧化铬项目团队强调了团队协作和有效沟通的重要性。以下是团队协作的关键举措：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信息共享机制：建立了信息共享平台，确保团队成员能够及时获取氢氧化铬项目危机的实时信息。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领导者沟通：氢氧化铬项目领导者通过定期会议和即时沟通工具，指导团队应对危机，保持团队稳定运行。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随着危机得到初步控制，氢氧化铬项目团队转向制定恢复计划，以确保氢氧化铬项目能够从中迅速恢复。主要恢复计划包括：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修复受损的进度计划：重新评估氢氧化铬项目进度，制定修复计划，确保氢氧化铬项目尽快回归正常进程。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重新调整资源分配：优化资源分配，确保氢氧化铬项目在有限资源下高效运转。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风险管理机制加强：对氢氧化铬项目风险进行全面评估，制定更强化的风险管理策略，以预防未来可能的危机。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23068"/>
      <w:r>
        <w:rPr>
          <w:rFonts w:ascii="仿宋" w:eastAsia="仿宋" w:hAnsi="仿宋" w:cs="仿宋" w:hint="eastAsia"/>
          <w:sz w:val="28"/>
          <w:lang w:eastAsia="zh-CN"/>
        </w:rPr>
        <w:t>四、氢氧化铬项目绩效评估</w:t>
      </w:r>
      <w:bookmarkEnd w:id="13"/>
    </w:p>
    <w:p>
      <w:pPr>
        <w:pStyle w:val="Heading2"/>
        <w:rPr>
          <w:rFonts w:ascii="仿宋" w:eastAsia="仿宋" w:hAnsi="仿宋" w:cs="仿宋" w:hint="eastAsia"/>
          <w:lang w:eastAsia="zh-CN"/>
        </w:rPr>
      </w:pPr>
      <w:bookmarkStart w:id="14" w:name="_Toc603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氢氧化铬项目中，我们设计了一套全面的绩效评估指标，以确保氢氧化铬项目的可控和成功交付。这些指标跨足氢氧化铬项目目标、成本、进度和质量等多个维度，为我们提供了全面洞察氢氧化铬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目标达成率是我们关注的首要指标。我们设定了明确的目标，并通过定期监测和评估，迅速发现并应对潜在的目标偏差。这为氢氧化铬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成本绩效是另一个核心关注点。通过实际成本与预算成本的对比分析，我们深入了解成本差异的原因，及时调整资源分配，保持氢氧化铬项目在经济效益方面的合理水平。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进度作为关键的绩效指标之一，得到了精心的关注。我们制定了详细的氢氧化铬项目进度计划，并设立了进度符合度指标，确保实际进度与计划进度保持一致。这使我们能够快速发现和解决潜在的进度问题，保持氢氧化铬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氢氧化铬项目绩效的不可或缺的一环。我们引入了一系列的质量标准和客户满意度指标，以确保氢氧化铬项目交付的成果在质量上达到或超越预期水平。通过持续监测这些指标，我们努力提升氢氧化铬项目整体质量水平，为氢氧化铬项目的成功交付提供有力保障。通过这些科学且全面的绩效评估，我们能够更好地引导氢氧化铬项目的持续改进，确保氢氧化铬项目目标的顺利达成。</w:t>
      </w:r>
    </w:p>
    <w:p>
      <w:pPr>
        <w:pStyle w:val="Heading2"/>
        <w:ind w:firstLine="560" w:firstLineChars="200"/>
        <w:rPr>
          <w:rFonts w:ascii="仿宋" w:eastAsia="仿宋" w:hAnsi="仿宋" w:cs="仿宋" w:hint="eastAsia"/>
          <w:sz w:val="28"/>
          <w:lang w:eastAsia="zh-CN"/>
        </w:rPr>
      </w:pPr>
      <w:bookmarkStart w:id="15" w:name="_Toc819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绩效评估是氢氧化铬项目中的关键环节，为确保氢氧化铬项目达到预期目标，我们采用了多层次、多维度的绩效评估方法。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氢氧化铬项目的战略目标对齐，确保每个决策和行动都与氢氧化铬项目整体目标保持一致。团队会定期召开战略对齐会议，审视当前工作与氢氧化铬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氢氧化铬项目进度、质量、成本和风险等方面。这些指标通过数据收集和分析，为氢氧化铬项目管理团队提供了客观的评估依据。例如，我们通过氢氧化铬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绩效评估不仅仅停留在氢氧化铬项目内部，还考虑了氢氧化铬项目对外部环境的影响。我们定期进行干系人满意度调查，以了解各利益相关方对氢氧化铬项目的期望和满意度，并及时做出调整。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这种多层次、多角度的绩效评估方法，使得我们能够全面了解氢氧化铬项目的运行状态，及时做出调整，确保氢氧化铬项目在不断变化的环境中保持稳健前行。</w:t>
      </w:r>
    </w:p>
    <w:p>
      <w:pPr>
        <w:pStyle w:val="Heading2"/>
        <w:ind w:firstLine="560" w:firstLineChars="200"/>
        <w:rPr>
          <w:rFonts w:ascii="仿宋" w:eastAsia="仿宋" w:hAnsi="仿宋" w:cs="仿宋" w:hint="eastAsia"/>
          <w:sz w:val="28"/>
          <w:lang w:eastAsia="zh-CN"/>
        </w:rPr>
      </w:pPr>
      <w:bookmarkStart w:id="16" w:name="_Toc2364"/>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为了确保氢氧化铬项目的有效管理和不断优化，我们采用了精心设计的绩效评估周期。这个周期旨在实现灵活、实时和全面的评估，以适应氢氧化铬项目执行中的各种挑战。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氢氧化铬项目的不同需求，分为短期、中期和长期。短期评估关注每个迭代或工作周期，以及时发现和解决当前任务中的问题。中期评估涵盖几个迭代，深入了解整体氢氧化铬项目的趋势和性能。长期评估则着眼于整个氢氧化铬项目阶段，确保氢氧化铬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氢氧化铬项目管理工具和协作平台，团队成员能够随时更新和分享氢氧化铬项目数据。这种实时性的反馈机制使我们能够及时察觉潜在问题，快速调整，保持氢氧化铬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氢氧化铬项目的决策制定密不可分。每个周期的氢氧化铬项目回顾会议成为集体总结经验、识别问题深层次原因并找到创新解决方案的平台。这种定期的反思与调整机制使氢氧化铬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101"/>
      <w:r>
        <w:rPr>
          <w:rFonts w:ascii="仿宋" w:eastAsia="仿宋" w:hAnsi="仿宋" w:cs="仿宋" w:hint="eastAsia"/>
          <w:sz w:val="28"/>
          <w:lang w:eastAsia="zh-CN"/>
        </w:rPr>
        <w:t>五、氢氧化铬项目概论</w:t>
      </w:r>
      <w:bookmarkEnd w:id="17"/>
    </w:p>
    <w:p>
      <w:pPr>
        <w:pStyle w:val="Heading2"/>
        <w:rPr>
          <w:rFonts w:ascii="仿宋" w:eastAsia="仿宋" w:hAnsi="仿宋" w:cs="仿宋" w:hint="eastAsia"/>
          <w:lang w:eastAsia="zh-CN"/>
        </w:rPr>
      </w:pPr>
      <w:bookmarkStart w:id="18" w:name="_Toc23881"/>
      <w:r>
        <w:rPr>
          <w:rFonts w:ascii="仿宋" w:eastAsia="仿宋" w:hAnsi="仿宋" w:cs="仿宋" w:hint="eastAsia"/>
          <w:lang w:eastAsia="zh-CN"/>
        </w:rPr>
        <w:t>(一)、氢氧化铬项目概况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的起源追溯至对市场的深入洞察。市场的不断演变与变革为氢氧化铬项目提供了难得的机遇。当前市场存在的需求缺口和变革的大环境共同构成了氢氧化铬项目的背景。这个氢氧化铬项目旨在充分利用市场机遇，填补行业中尚未满足的需求，为客户提供全新的解决方案。市场的变革和需求的增长使得这个氢氧化铬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氢氧化铬项目名称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正式命名为氢氧化铬。这个名称不仅仅是一个标识，更代表了氢氧化铬项目的核心理念和愿景。它蕴含着氢氧化铬项目所要解决问题的关键字，具有强烈的表达和辨识度，为氢氧化铬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氢氧化铬项目目标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氢氧化铬项目的核心目标是提供一种全新、高效的解决方案，满足客户日益增长的需求。氢氧化铬项目追求的不仅仅是满足市场需求，更是在市场中获得卓越的竞争优势。通过不断提升产品或服务的质量和创新水平，氢氧化铬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氢氧化铬项目范围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全面涵盖了产品研发、制造、市场推广和售后服务，确保从产品设计到最终用户体验的全方位关注。这一全面的氢氧化铬项目范围是为了确保氢氧化铬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氢氧化铬项目时间表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氢氧化铬项目计划在未来18个月内完成，包括研发、测试、市场试点和正式推出等不同阶段。这个时间表的合理设计是为了确保氢氧化铬项目各个阶段的顺利推进，以便按时交付高质量的成果。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氢氧化铬项目预算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氢氧化铬项目总预算估算为XX百万美元，主要分配在研发、市场推广、人员培训和运营等方面。这一充足的预算为氢氧化铬项目提供了充足的资源，确保氢氧化铬项目在各个方面都能取得优异的表现。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氢氧化铬项目风险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氢氧化铬项目可能面临的风险包括市场接受度低、技术难题、竞争激烈等。氢氧化铬项目团队已经制定了相应的风险应对计划，通过前瞻性的风险管理，确保氢氧化铬项目在面对不确定性时能够迅速做出应对。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氢氧化铬项目团队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氢氧化铬项目汇聚了一支经验丰富、多领域专业素养的核心团队，确保氢氧化铬项目在各个方面都能拥有高水平的执行力。团队的协同作战是氢氧化铬项目成功的关键因素之一。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氢氧化铬项目背景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氢氧化铬项目的背景根植于市场对更高效、创新产品的渴望，同时也受到科技发展对行业格局的深刻改变的影响。这为氢氧化铬项目提供了广阔的发展空间和市场需求。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氢氧化铬项目现状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截至目前，氢氧化铬项目已完成市场调研和技术验证，取得了初步的成功。这为氢氧化铬项目在未来的发展奠定了坚实的基础，为更远大的目标打下了坚实的基石。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2050"/>
      <w:r>
        <w:rPr>
          <w:rFonts w:ascii="仿宋" w:eastAsia="仿宋" w:hAnsi="仿宋" w:cs="仿宋" w:hint="eastAsia"/>
          <w:sz w:val="28"/>
          <w:lang w:eastAsia="zh-CN"/>
        </w:rPr>
        <w:t>(二)、氢氧化铬项目目标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keyword》氢氧化铬项目首要业务目标是在市场中占据有利地位，实现产品/服务的成功推广和销售。通过不断提升产品质量、创新性，氢氧化铬项目追求成为行业中的领导者，赢得更多客户的青睐。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在科技迅速发展的时代，氢氧化铬项目着眼于技术创新。通过持续的研发和技术升级，氢氧化铬项目旨在推出更具创新性的产品或服务，以满足市场对新鲜、先进解决方案的需求。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为了建立可持续的客户关系，氢氧化铬项目设定了客户满意度目标。通过提供卓越的产品质量和优质的客户服务，氢氧化铬项目追求赢得客户的信任和忠诚度，确保他们的满意度达到行业领先水平。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氢氧化铬项目注重社会责任和可持续发展。通过实施环保、社会责任氢氧化铬项目，氢氧化铬项目致力于在经济发展的同时保护环境，促进社会公平，实现可持续经营。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https://d.book118.com/937065145055006030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氢氧化铬项目计划设计方案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E49BE"/>
    <w:rsid w:val="569E4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65145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2024-01-09T14:40:00Z</dcterms:created>
  <dcterms:modified xsi:type="dcterms:W3CDTF">2024-01-09T14:40:59Z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FA070329A4CE4D08B15A7B28C718D369_11</vt:lpwstr>
  </property>
  <property fmtid="{D5CDD505-2E9C-101B-9397-08002B2CF9AE}" pid="3" name="KSOProductBuildVer">
    <vt:lpwstr>2052-12.1.0.16120</vt:lpwstr>
  </property>
</Properties>
</file>