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分子诊断试剂项目招商引资方案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二、分子诊断试剂项目选址研究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9" w:history="1">
        <w:r>
          <w:rPr>
            <w:rFonts w:ascii="仿宋" w:eastAsia="仿宋" w:hAnsi="仿宋" w:cs="仿宋" w:hint="eastAsia"/>
            <w:lang w:eastAsia="zh-CN"/>
          </w:rPr>
          <w:t>(一)、分子诊断试剂项目选址的指导原则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(二)、分子诊断试剂项目选址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三、分子诊断试剂项目工程设计研究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(二)、分子诊断试剂项目工程建设标准规范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(三)、分子诊断试剂项目总平面设计要求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_Toc22919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(七)、分子诊断试剂项目建设风险及控制手段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5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六、分子诊断试剂项目投资方案分析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(一)、分子诊断试剂项目估算说明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(二)、分子诊断试剂项目总投资估算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(三)、分子诊断试剂项目地能源消耗与供应状况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八、分子诊断试剂项目实施进度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" w:history="1">
        <w:r>
          <w:rPr>
            <w:rFonts w:ascii="仿宋" w:eastAsia="仿宋" w:hAnsi="仿宋" w:cs="仿宋" w:hint="eastAsia"/>
            <w:lang w:eastAsia="zh-CN"/>
          </w:rPr>
          <w:t>(六)、分子诊断试剂项目实施保障</w:t>
        </w:r>
        <w:r>
          <w:tab/>
        </w:r>
        <w:r>
          <w:fldChar w:fldCharType="begin"/>
        </w:r>
        <w:r>
          <w:instrText xml:space="preserve"> PAGEREF _Toc1043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_Toc29677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分子诊断试剂项目的招商引资。项目分子诊断试剂是一项具有巨大市场潜力的创业项目，专注于某一特定行业的技术创新和发展。本文档将详细展示项目分子诊断试剂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0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3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分子诊断试剂项目的核心产品为高品质精胺。鉴于当前的市场环境，预计年产值将达到惊人的XXXX万元。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分子诊断试剂项目产品将主要以国内销售为主，同时积极拓展国际市场。随着我们加大产品宣传力度，降低产品价格，提高产品质量，以及增加产品多样性，我们相信分子诊断试剂项目产品将会更受市场欢迎。市场需求的分析表明，国内外市场对分子诊断试剂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https://d.book118.com/937111132156006042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0A5A25"/>
    <w:rsid w:val="450A5A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7111132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2024-01-25T05:10:00Z</dcterms:created>
  <dcterms:modified xsi:type="dcterms:W3CDTF">2024-01-25T05:11:02Z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790279ABBEA448FF99070CC171C281B5_11</vt:lpwstr>
  </property>
  <property fmtid="{D5CDD505-2E9C-101B-9397-08002B2CF9AE}" pid="3" name="KSOProductBuildVer">
    <vt:lpwstr>2052-12.1.0.16250</vt:lpwstr>
  </property>
</Properties>
</file>