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金属门窗及类似制品项目规划设计方案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7" w:history="1">
        <w:r>
          <w:rPr>
            <w:rFonts w:ascii="仿宋" w:eastAsia="仿宋" w:hAnsi="仿宋" w:cs="仿宋" w:hint="eastAsia"/>
            <w:lang w:eastAsia="zh-CN"/>
          </w:rPr>
          <w:t>概论</w:t>
        </w:r>
        <w:r>
          <w:tab/>
        </w:r>
        <w:r>
          <w:fldChar w:fldCharType="begin"/>
        </w:r>
        <w:r>
          <w:instrText xml:space="preserve"> PAGEREF _Toc11827 \h </w:instrText>
        </w:r>
        <w:r>
          <w:fldChar w:fldCharType="separate"/>
        </w:r>
        <w:r>
          <w:t>3</w:t>
        </w:r>
        <w:r>
          <w:fldChar w:fldCharType="end"/>
        </w:r>
      </w:hyperlink>
    </w:p>
    <w:p>
      <w:pPr>
        <w:pStyle w:val="TOC1"/>
        <w:tabs>
          <w:tab w:val="right" w:leader="dot" w:pos="8306"/>
        </w:tabs>
      </w:pPr>
      <w:hyperlink w:anchor="_Toc10402" w:history="1">
        <w:r>
          <w:rPr>
            <w:rFonts w:ascii="仿宋" w:eastAsia="仿宋" w:hAnsi="仿宋" w:cs="仿宋" w:hint="eastAsia"/>
            <w:lang w:eastAsia="zh-CN"/>
          </w:rPr>
          <w:t>一、金属门窗及类似制品项目可持续发展</w:t>
        </w:r>
        <w:r>
          <w:tab/>
        </w:r>
        <w:r>
          <w:fldChar w:fldCharType="begin"/>
        </w:r>
        <w:r>
          <w:instrText xml:space="preserve"> PAGEREF _Toc10402 \h </w:instrText>
        </w:r>
        <w:r>
          <w:fldChar w:fldCharType="separate"/>
        </w:r>
        <w:r>
          <w:t>3</w:t>
        </w:r>
        <w:r>
          <w:fldChar w:fldCharType="end"/>
        </w:r>
      </w:hyperlink>
    </w:p>
    <w:p>
      <w:pPr>
        <w:pStyle w:val="TOC2"/>
        <w:tabs>
          <w:tab w:val="right" w:leader="dot" w:pos="8306"/>
        </w:tabs>
      </w:pPr>
      <w:hyperlink w:anchor="_Toc8725" w:history="1">
        <w:r>
          <w:rPr>
            <w:rFonts w:ascii="仿宋" w:eastAsia="仿宋" w:hAnsi="仿宋" w:cs="仿宋" w:hint="eastAsia"/>
            <w:lang w:eastAsia="zh-CN"/>
          </w:rPr>
          <w:t>(一)、可持续战略与实践</w:t>
        </w:r>
        <w:r>
          <w:tab/>
        </w:r>
        <w:r>
          <w:fldChar w:fldCharType="begin"/>
        </w:r>
        <w:r>
          <w:instrText xml:space="preserve"> PAGEREF _Toc8725 \h </w:instrText>
        </w:r>
        <w:r>
          <w:fldChar w:fldCharType="separate"/>
        </w:r>
        <w:r>
          <w:t>3</w:t>
        </w:r>
        <w:r>
          <w:fldChar w:fldCharType="end"/>
        </w:r>
      </w:hyperlink>
    </w:p>
    <w:p>
      <w:pPr>
        <w:pStyle w:val="TOC2"/>
        <w:tabs>
          <w:tab w:val="right" w:leader="dot" w:pos="8306"/>
        </w:tabs>
      </w:pPr>
      <w:hyperlink w:anchor="_Toc2859" w:history="1">
        <w:r>
          <w:rPr>
            <w:rFonts w:ascii="仿宋" w:eastAsia="仿宋" w:hAnsi="仿宋" w:cs="仿宋" w:hint="eastAsia"/>
            <w:lang w:eastAsia="zh-CN"/>
          </w:rPr>
          <w:t>(二)、环保与社会责任</w:t>
        </w:r>
        <w:r>
          <w:tab/>
        </w:r>
        <w:r>
          <w:fldChar w:fldCharType="begin"/>
        </w:r>
        <w:r>
          <w:instrText xml:space="preserve"> PAGEREF _Toc2859 \h </w:instrText>
        </w:r>
        <w:r>
          <w:fldChar w:fldCharType="separate"/>
        </w:r>
        <w:r>
          <w:t>4</w:t>
        </w:r>
        <w:r>
          <w:fldChar w:fldCharType="end"/>
        </w:r>
      </w:hyperlink>
    </w:p>
    <w:p>
      <w:pPr>
        <w:pStyle w:val="TOC1"/>
        <w:tabs>
          <w:tab w:val="right" w:leader="dot" w:pos="8306"/>
        </w:tabs>
      </w:pPr>
      <w:hyperlink w:anchor="_Toc24715" w:history="1">
        <w:r>
          <w:rPr>
            <w:rFonts w:ascii="仿宋" w:eastAsia="仿宋" w:hAnsi="仿宋" w:cs="仿宋" w:hint="eastAsia"/>
            <w:lang w:eastAsia="zh-CN"/>
          </w:rPr>
          <w:t>二、金属门窗及类似制品项目危机管理</w:t>
        </w:r>
        <w:r>
          <w:tab/>
        </w:r>
        <w:r>
          <w:fldChar w:fldCharType="begin"/>
        </w:r>
        <w:r>
          <w:instrText xml:space="preserve"> PAGEREF _Toc24715 \h </w:instrText>
        </w:r>
        <w:r>
          <w:fldChar w:fldCharType="separate"/>
        </w:r>
        <w:r>
          <w:t>5</w:t>
        </w:r>
        <w:r>
          <w:fldChar w:fldCharType="end"/>
        </w:r>
      </w:hyperlink>
    </w:p>
    <w:p>
      <w:pPr>
        <w:pStyle w:val="TOC2"/>
        <w:tabs>
          <w:tab w:val="right" w:leader="dot" w:pos="8306"/>
        </w:tabs>
      </w:pPr>
      <w:hyperlink w:anchor="_Toc15286" w:history="1">
        <w:r>
          <w:rPr>
            <w:rFonts w:ascii="仿宋" w:eastAsia="仿宋" w:hAnsi="仿宋" w:cs="仿宋" w:hint="eastAsia"/>
            <w:lang w:eastAsia="zh-CN"/>
          </w:rPr>
          <w:t>(一)、危机预警与识别</w:t>
        </w:r>
        <w:r>
          <w:tab/>
        </w:r>
        <w:r>
          <w:fldChar w:fldCharType="begin"/>
        </w:r>
        <w:r>
          <w:instrText xml:space="preserve"> PAGEREF _Toc15286 \h </w:instrText>
        </w:r>
        <w:r>
          <w:fldChar w:fldCharType="separate"/>
        </w:r>
        <w:r>
          <w:t>5</w:t>
        </w:r>
        <w:r>
          <w:fldChar w:fldCharType="end"/>
        </w:r>
      </w:hyperlink>
    </w:p>
    <w:p>
      <w:pPr>
        <w:pStyle w:val="TOC2"/>
        <w:tabs>
          <w:tab w:val="right" w:leader="dot" w:pos="8306"/>
        </w:tabs>
      </w:pPr>
      <w:hyperlink w:anchor="_Toc12484" w:history="1">
        <w:r>
          <w:rPr>
            <w:rFonts w:ascii="仿宋" w:eastAsia="仿宋" w:hAnsi="仿宋" w:cs="仿宋" w:hint="eastAsia"/>
            <w:lang w:eastAsia="zh-CN"/>
          </w:rPr>
          <w:t>(二)、危机应对与恢复</w:t>
        </w:r>
        <w:r>
          <w:tab/>
        </w:r>
        <w:r>
          <w:fldChar w:fldCharType="begin"/>
        </w:r>
        <w:r>
          <w:instrText xml:space="preserve"> PAGEREF _Toc12484 \h </w:instrText>
        </w:r>
        <w:r>
          <w:fldChar w:fldCharType="separate"/>
        </w:r>
        <w:r>
          <w:t>6</w:t>
        </w:r>
        <w:r>
          <w:fldChar w:fldCharType="end"/>
        </w:r>
      </w:hyperlink>
    </w:p>
    <w:p>
      <w:pPr>
        <w:pStyle w:val="TOC1"/>
        <w:tabs>
          <w:tab w:val="right" w:leader="dot" w:pos="8306"/>
        </w:tabs>
      </w:pPr>
      <w:hyperlink w:anchor="_Toc13471" w:history="1">
        <w:r>
          <w:rPr>
            <w:rFonts w:ascii="仿宋" w:eastAsia="仿宋" w:hAnsi="仿宋" w:cs="仿宋" w:hint="eastAsia"/>
            <w:lang w:eastAsia="zh-CN"/>
          </w:rPr>
          <w:t>三、金属门窗及类似制品项目绩效评估</w:t>
        </w:r>
        <w:r>
          <w:tab/>
        </w:r>
        <w:r>
          <w:fldChar w:fldCharType="begin"/>
        </w:r>
        <w:r>
          <w:instrText xml:space="preserve"> PAGEREF _Toc13471 \h </w:instrText>
        </w:r>
        <w:r>
          <w:fldChar w:fldCharType="separate"/>
        </w:r>
        <w:r>
          <w:t>7</w:t>
        </w:r>
        <w:r>
          <w:fldChar w:fldCharType="end"/>
        </w:r>
      </w:hyperlink>
    </w:p>
    <w:p>
      <w:pPr>
        <w:pStyle w:val="TOC2"/>
        <w:tabs>
          <w:tab w:val="right" w:leader="dot" w:pos="8306"/>
        </w:tabs>
      </w:pPr>
      <w:hyperlink w:anchor="_Toc23530" w:history="1">
        <w:r>
          <w:rPr>
            <w:rFonts w:ascii="仿宋" w:eastAsia="仿宋" w:hAnsi="仿宋" w:cs="仿宋" w:hint="eastAsia"/>
            <w:lang w:eastAsia="zh-CN"/>
          </w:rPr>
          <w:t>(一)、绩效评估指标</w:t>
        </w:r>
        <w:r>
          <w:tab/>
        </w:r>
        <w:r>
          <w:fldChar w:fldCharType="begin"/>
        </w:r>
        <w:r>
          <w:instrText xml:space="preserve"> PAGEREF _Toc23530 \h </w:instrText>
        </w:r>
        <w:r>
          <w:fldChar w:fldCharType="separate"/>
        </w:r>
        <w:r>
          <w:t>7</w:t>
        </w:r>
        <w:r>
          <w:fldChar w:fldCharType="end"/>
        </w:r>
      </w:hyperlink>
    </w:p>
    <w:p>
      <w:pPr>
        <w:pStyle w:val="TOC2"/>
        <w:tabs>
          <w:tab w:val="right" w:leader="dot" w:pos="8306"/>
        </w:tabs>
      </w:pPr>
      <w:hyperlink w:anchor="_Toc31139" w:history="1">
        <w:r>
          <w:rPr>
            <w:rFonts w:ascii="仿宋" w:eastAsia="仿宋" w:hAnsi="仿宋" w:cs="仿宋" w:hint="eastAsia"/>
            <w:lang w:eastAsia="zh-CN"/>
          </w:rPr>
          <w:t>(二)、绩效评估方法</w:t>
        </w:r>
        <w:r>
          <w:tab/>
        </w:r>
        <w:r>
          <w:fldChar w:fldCharType="begin"/>
        </w:r>
        <w:r>
          <w:instrText xml:space="preserve"> PAGEREF _Toc31139 \h </w:instrText>
        </w:r>
        <w:r>
          <w:fldChar w:fldCharType="separate"/>
        </w:r>
        <w:r>
          <w:t>8</w:t>
        </w:r>
        <w:r>
          <w:fldChar w:fldCharType="end"/>
        </w:r>
      </w:hyperlink>
    </w:p>
    <w:p>
      <w:pPr>
        <w:pStyle w:val="TOC2"/>
        <w:tabs>
          <w:tab w:val="right" w:leader="dot" w:pos="8306"/>
        </w:tabs>
      </w:pPr>
      <w:hyperlink w:anchor="_Toc8480" w:history="1">
        <w:r>
          <w:rPr>
            <w:rFonts w:ascii="仿宋" w:eastAsia="仿宋" w:hAnsi="仿宋" w:cs="仿宋" w:hint="eastAsia"/>
            <w:lang w:eastAsia="zh-CN"/>
          </w:rPr>
          <w:t>(三)、绩效评估周期</w:t>
        </w:r>
        <w:r>
          <w:tab/>
        </w:r>
        <w:r>
          <w:fldChar w:fldCharType="begin"/>
        </w:r>
        <w:r>
          <w:instrText xml:space="preserve"> PAGEREF _Toc8480 \h </w:instrText>
        </w:r>
        <w:r>
          <w:fldChar w:fldCharType="separate"/>
        </w:r>
        <w:r>
          <w:t>10</w:t>
        </w:r>
        <w:r>
          <w:fldChar w:fldCharType="end"/>
        </w:r>
      </w:hyperlink>
    </w:p>
    <w:p>
      <w:pPr>
        <w:pStyle w:val="TOC1"/>
        <w:tabs>
          <w:tab w:val="right" w:leader="dot" w:pos="8306"/>
        </w:tabs>
      </w:pPr>
      <w:hyperlink w:anchor="_Toc13921" w:history="1">
        <w:r>
          <w:rPr>
            <w:rFonts w:ascii="仿宋" w:eastAsia="仿宋" w:hAnsi="仿宋" w:cs="仿宋" w:hint="eastAsia"/>
            <w:lang w:eastAsia="zh-CN"/>
          </w:rPr>
          <w:t>四、金属门窗及类似制品项目土建工程</w:t>
        </w:r>
        <w:r>
          <w:tab/>
        </w:r>
        <w:r>
          <w:fldChar w:fldCharType="begin"/>
        </w:r>
        <w:r>
          <w:instrText xml:space="preserve"> PAGEREF _Toc13921 \h </w:instrText>
        </w:r>
        <w:r>
          <w:fldChar w:fldCharType="separate"/>
        </w:r>
        <w:r>
          <w:t>11</w:t>
        </w:r>
        <w:r>
          <w:fldChar w:fldCharType="end"/>
        </w:r>
      </w:hyperlink>
    </w:p>
    <w:p>
      <w:pPr>
        <w:pStyle w:val="TOC2"/>
        <w:tabs>
          <w:tab w:val="right" w:leader="dot" w:pos="8306"/>
        </w:tabs>
      </w:pPr>
      <w:hyperlink w:anchor="_Toc27234" w:history="1">
        <w:r>
          <w:rPr>
            <w:rFonts w:ascii="仿宋" w:eastAsia="仿宋" w:hAnsi="仿宋" w:cs="仿宋" w:hint="eastAsia"/>
            <w:lang w:eastAsia="zh-CN"/>
          </w:rPr>
          <w:t>(一)、建筑工程设计原则</w:t>
        </w:r>
        <w:r>
          <w:tab/>
        </w:r>
        <w:r>
          <w:fldChar w:fldCharType="begin"/>
        </w:r>
        <w:r>
          <w:instrText xml:space="preserve"> PAGEREF _Toc27234 \h </w:instrText>
        </w:r>
        <w:r>
          <w:fldChar w:fldCharType="separate"/>
        </w:r>
        <w:r>
          <w:t>11</w:t>
        </w:r>
        <w:r>
          <w:fldChar w:fldCharType="end"/>
        </w:r>
      </w:hyperlink>
    </w:p>
    <w:p>
      <w:pPr>
        <w:pStyle w:val="TOC2"/>
        <w:tabs>
          <w:tab w:val="right" w:leader="dot" w:pos="8306"/>
        </w:tabs>
      </w:pPr>
      <w:hyperlink w:anchor="_Toc28223" w:history="1">
        <w:r>
          <w:rPr>
            <w:rFonts w:ascii="仿宋" w:eastAsia="仿宋" w:hAnsi="仿宋" w:cs="仿宋" w:hint="eastAsia"/>
            <w:lang w:eastAsia="zh-CN"/>
          </w:rPr>
          <w:t>(二)、土建工程设计年限及安全等级</w:t>
        </w:r>
        <w:r>
          <w:tab/>
        </w:r>
        <w:r>
          <w:fldChar w:fldCharType="begin"/>
        </w:r>
        <w:r>
          <w:instrText xml:space="preserve"> PAGEREF _Toc28223 \h </w:instrText>
        </w:r>
        <w:r>
          <w:fldChar w:fldCharType="separate"/>
        </w:r>
        <w:r>
          <w:t>12</w:t>
        </w:r>
        <w:r>
          <w:fldChar w:fldCharType="end"/>
        </w:r>
      </w:hyperlink>
    </w:p>
    <w:p>
      <w:pPr>
        <w:pStyle w:val="TOC2"/>
        <w:tabs>
          <w:tab w:val="right" w:leader="dot" w:pos="8306"/>
        </w:tabs>
      </w:pPr>
      <w:hyperlink w:anchor="_Toc20855" w:history="1">
        <w:r>
          <w:rPr>
            <w:rFonts w:ascii="仿宋" w:eastAsia="仿宋" w:hAnsi="仿宋" w:cs="仿宋" w:hint="eastAsia"/>
            <w:lang w:eastAsia="zh-CN"/>
          </w:rPr>
          <w:t>(三)、建筑工程设计总体要求</w:t>
        </w:r>
        <w:r>
          <w:tab/>
        </w:r>
        <w:r>
          <w:fldChar w:fldCharType="begin"/>
        </w:r>
        <w:r>
          <w:instrText xml:space="preserve"> PAGEREF _Toc20855 \h </w:instrText>
        </w:r>
        <w:r>
          <w:fldChar w:fldCharType="separate"/>
        </w:r>
        <w:r>
          <w:t>13</w:t>
        </w:r>
        <w:r>
          <w:fldChar w:fldCharType="end"/>
        </w:r>
      </w:hyperlink>
    </w:p>
    <w:p>
      <w:pPr>
        <w:pStyle w:val="TOC2"/>
        <w:tabs>
          <w:tab w:val="right" w:leader="dot" w:pos="8306"/>
        </w:tabs>
      </w:pPr>
      <w:hyperlink w:anchor="_Toc12312" w:history="1">
        <w:r>
          <w:rPr>
            <w:rFonts w:ascii="仿宋" w:eastAsia="仿宋" w:hAnsi="仿宋" w:cs="仿宋" w:hint="eastAsia"/>
            <w:lang w:eastAsia="zh-CN"/>
          </w:rPr>
          <w:t>(四)、土建工程建设指标</w:t>
        </w:r>
        <w:r>
          <w:tab/>
        </w:r>
        <w:r>
          <w:fldChar w:fldCharType="begin"/>
        </w:r>
        <w:r>
          <w:instrText xml:space="preserve"> PAGEREF _Toc12312 \h </w:instrText>
        </w:r>
        <w:r>
          <w:fldChar w:fldCharType="separate"/>
        </w:r>
        <w:r>
          <w:t>14</w:t>
        </w:r>
        <w:r>
          <w:fldChar w:fldCharType="end"/>
        </w:r>
      </w:hyperlink>
    </w:p>
    <w:p>
      <w:pPr>
        <w:pStyle w:val="TOC1"/>
        <w:tabs>
          <w:tab w:val="right" w:leader="dot" w:pos="8306"/>
        </w:tabs>
      </w:pPr>
      <w:hyperlink w:anchor="_Toc15694" w:history="1">
        <w:r>
          <w:rPr>
            <w:rFonts w:ascii="仿宋" w:eastAsia="仿宋" w:hAnsi="仿宋" w:cs="仿宋" w:hint="eastAsia"/>
            <w:lang w:eastAsia="zh-CN"/>
          </w:rPr>
          <w:t>五、金属门窗及类似制品项目概论</w:t>
        </w:r>
        <w:r>
          <w:tab/>
        </w:r>
        <w:r>
          <w:fldChar w:fldCharType="begin"/>
        </w:r>
        <w:r>
          <w:instrText xml:space="preserve"> PAGEREF _Toc15694 \h </w:instrText>
        </w:r>
        <w:r>
          <w:fldChar w:fldCharType="separate"/>
        </w:r>
        <w:r>
          <w:t>14</w:t>
        </w:r>
        <w:r>
          <w:fldChar w:fldCharType="end"/>
        </w:r>
      </w:hyperlink>
    </w:p>
    <w:p>
      <w:pPr>
        <w:pStyle w:val="TOC2"/>
        <w:tabs>
          <w:tab w:val="right" w:leader="dot" w:pos="8306"/>
        </w:tabs>
      </w:pPr>
      <w:hyperlink w:anchor="_Toc5265" w:history="1">
        <w:r>
          <w:rPr>
            <w:rFonts w:ascii="仿宋" w:eastAsia="仿宋" w:hAnsi="仿宋" w:cs="仿宋" w:hint="eastAsia"/>
            <w:lang w:eastAsia="zh-CN"/>
          </w:rPr>
          <w:t>(一)、金属门窗及类似制品项目概况</w:t>
        </w:r>
        <w:r>
          <w:tab/>
        </w:r>
        <w:r>
          <w:fldChar w:fldCharType="begin"/>
        </w:r>
        <w:r>
          <w:instrText xml:space="preserve"> PAGEREF _Toc5265 \h </w:instrText>
        </w:r>
        <w:r>
          <w:fldChar w:fldCharType="separate"/>
        </w:r>
        <w:r>
          <w:t>14</w:t>
        </w:r>
        <w:r>
          <w:fldChar w:fldCharType="end"/>
        </w:r>
      </w:hyperlink>
    </w:p>
    <w:p>
      <w:pPr>
        <w:pStyle w:val="TOC2"/>
        <w:tabs>
          <w:tab w:val="right" w:leader="dot" w:pos="8306"/>
        </w:tabs>
      </w:pPr>
      <w:hyperlink w:anchor="_Toc25477" w:history="1">
        <w:r>
          <w:rPr>
            <w:rFonts w:ascii="仿宋" w:eastAsia="仿宋" w:hAnsi="仿宋" w:cs="仿宋" w:hint="eastAsia"/>
            <w:lang w:eastAsia="zh-CN"/>
          </w:rPr>
          <w:t>(二)、金属门窗及类似制品项目目标</w:t>
        </w:r>
        <w:r>
          <w:tab/>
        </w:r>
        <w:r>
          <w:fldChar w:fldCharType="begin"/>
        </w:r>
        <w:r>
          <w:instrText xml:space="preserve"> PAGEREF _Toc25477 \h </w:instrText>
        </w:r>
        <w:r>
          <w:fldChar w:fldCharType="separate"/>
        </w:r>
        <w:r>
          <w:t>17</w:t>
        </w:r>
        <w:r>
          <w:fldChar w:fldCharType="end"/>
        </w:r>
      </w:hyperlink>
    </w:p>
    <w:p>
      <w:pPr>
        <w:pStyle w:val="TOC2"/>
        <w:tabs>
          <w:tab w:val="right" w:leader="dot" w:pos="8306"/>
        </w:tabs>
      </w:pPr>
      <w:hyperlink w:anchor="_Toc17437" w:history="1">
        <w:r>
          <w:rPr>
            <w:rFonts w:ascii="仿宋" w:eastAsia="仿宋" w:hAnsi="仿宋" w:cs="仿宋" w:hint="eastAsia"/>
            <w:lang w:eastAsia="zh-CN"/>
          </w:rPr>
          <w:t>(三)、金属门窗及类似制品项目提出的理由</w:t>
        </w:r>
        <w:r>
          <w:tab/>
        </w:r>
        <w:r>
          <w:fldChar w:fldCharType="begin"/>
        </w:r>
        <w:r>
          <w:instrText xml:space="preserve"> PAGEREF _Toc17437 \h </w:instrText>
        </w:r>
        <w:r>
          <w:fldChar w:fldCharType="separate"/>
        </w:r>
        <w:r>
          <w:t>17</w:t>
        </w:r>
        <w:r>
          <w:fldChar w:fldCharType="end"/>
        </w:r>
      </w:hyperlink>
    </w:p>
    <w:p>
      <w:pPr>
        <w:pStyle w:val="TOC2"/>
        <w:tabs>
          <w:tab w:val="right" w:leader="dot" w:pos="8306"/>
        </w:tabs>
      </w:pPr>
      <w:hyperlink w:anchor="_Toc5869" w:history="1">
        <w:r>
          <w:rPr>
            <w:rFonts w:ascii="仿宋" w:eastAsia="仿宋" w:hAnsi="仿宋" w:cs="仿宋" w:hint="eastAsia"/>
            <w:lang w:eastAsia="zh-CN"/>
          </w:rPr>
          <w:t>(四)、金属门窗及类似制品项目意义</w:t>
        </w:r>
        <w:r>
          <w:tab/>
        </w:r>
        <w:r>
          <w:fldChar w:fldCharType="begin"/>
        </w:r>
        <w:r>
          <w:instrText xml:space="preserve"> PAGEREF _Toc5869 \h </w:instrText>
        </w:r>
        <w:r>
          <w:fldChar w:fldCharType="separate"/>
        </w:r>
        <w:r>
          <w:t>19</w:t>
        </w:r>
        <w:r>
          <w:fldChar w:fldCharType="end"/>
        </w:r>
      </w:hyperlink>
    </w:p>
    <w:p>
      <w:pPr>
        <w:pStyle w:val="TOC2"/>
        <w:tabs>
          <w:tab w:val="right" w:leader="dot" w:pos="8306"/>
        </w:tabs>
      </w:pPr>
      <w:hyperlink w:anchor="_Toc27108" w:history="1">
        <w:r>
          <w:rPr>
            <w:rFonts w:ascii="仿宋" w:eastAsia="仿宋" w:hAnsi="仿宋" w:cs="仿宋" w:hint="eastAsia"/>
            <w:lang w:eastAsia="zh-CN"/>
          </w:rPr>
          <w:t>(五)、金属门窗及类似制品项目背景</w:t>
        </w:r>
        <w:r>
          <w:tab/>
        </w:r>
        <w:r>
          <w:fldChar w:fldCharType="begin"/>
        </w:r>
        <w:r>
          <w:instrText xml:space="preserve"> PAGEREF _Toc27108 \h </w:instrText>
        </w:r>
        <w:r>
          <w:fldChar w:fldCharType="separate"/>
        </w:r>
        <w:r>
          <w:t>20</w:t>
        </w:r>
        <w:r>
          <w:fldChar w:fldCharType="end"/>
        </w:r>
      </w:hyperlink>
    </w:p>
    <w:p>
      <w:pPr>
        <w:pStyle w:val="TOC1"/>
        <w:tabs>
          <w:tab w:val="right" w:leader="dot" w:pos="8306"/>
        </w:tabs>
      </w:pPr>
      <w:hyperlink w:anchor="_Toc21306" w:history="1">
        <w:r>
          <w:rPr>
            <w:rFonts w:ascii="仿宋" w:eastAsia="仿宋" w:hAnsi="仿宋" w:cs="仿宋" w:hint="eastAsia"/>
            <w:lang w:eastAsia="zh-CN"/>
          </w:rPr>
          <w:t>六、工艺说明</w:t>
        </w:r>
        <w:r>
          <w:tab/>
        </w:r>
        <w:r>
          <w:fldChar w:fldCharType="begin"/>
        </w:r>
        <w:r>
          <w:instrText xml:space="preserve"> PAGEREF _Toc21306 \h </w:instrText>
        </w:r>
        <w:r>
          <w:fldChar w:fldCharType="separate"/>
        </w:r>
        <w:r>
          <w:t>21</w:t>
        </w:r>
        <w:r>
          <w:fldChar w:fldCharType="end"/>
        </w:r>
      </w:hyperlink>
    </w:p>
    <w:p>
      <w:pPr>
        <w:pStyle w:val="TOC2"/>
        <w:tabs>
          <w:tab w:val="right" w:leader="dot" w:pos="8306"/>
        </w:tabs>
      </w:pPr>
      <w:hyperlink w:anchor="_Toc25394" w:history="1">
        <w:r>
          <w:rPr>
            <w:rFonts w:ascii="仿宋" w:eastAsia="仿宋" w:hAnsi="仿宋" w:cs="仿宋" w:hint="eastAsia"/>
            <w:lang w:eastAsia="zh-CN"/>
          </w:rPr>
          <w:t>(一)、技术管理特点</w:t>
        </w:r>
        <w:r>
          <w:tab/>
        </w:r>
        <w:r>
          <w:fldChar w:fldCharType="begin"/>
        </w:r>
        <w:r>
          <w:instrText xml:space="preserve"> PAGEREF _Toc25394 \h </w:instrText>
        </w:r>
        <w:r>
          <w:fldChar w:fldCharType="separate"/>
        </w:r>
        <w:r>
          <w:t>21</w:t>
        </w:r>
        <w:r>
          <w:fldChar w:fldCharType="end"/>
        </w:r>
      </w:hyperlink>
    </w:p>
    <w:p>
      <w:pPr>
        <w:pStyle w:val="TOC2"/>
        <w:tabs>
          <w:tab w:val="right" w:leader="dot" w:pos="8306"/>
        </w:tabs>
      </w:pPr>
      <w:hyperlink w:anchor="_Toc14159" w:history="1">
        <w:r>
          <w:rPr>
            <w:rFonts w:ascii="仿宋" w:eastAsia="仿宋" w:hAnsi="仿宋" w:cs="仿宋" w:hint="eastAsia"/>
            <w:lang w:eastAsia="zh-CN"/>
          </w:rPr>
          <w:t>(二)、金属门窗及类似制品项目工艺技术设计方案</w:t>
        </w:r>
        <w:r>
          <w:tab/>
        </w:r>
        <w:r>
          <w:fldChar w:fldCharType="begin"/>
        </w:r>
        <w:r>
          <w:instrText xml:space="preserve"> PAGEREF _Toc14159 \h </w:instrText>
        </w:r>
        <w:r>
          <w:fldChar w:fldCharType="separate"/>
        </w:r>
        <w:r>
          <w:t>22</w:t>
        </w:r>
        <w:r>
          <w:fldChar w:fldCharType="end"/>
        </w:r>
      </w:hyperlink>
    </w:p>
    <w:p>
      <w:pPr>
        <w:pStyle w:val="TOC2"/>
        <w:tabs>
          <w:tab w:val="right" w:leader="dot" w:pos="8306"/>
        </w:tabs>
      </w:pPr>
      <w:hyperlink w:anchor="_Toc14107" w:history="1">
        <w:r>
          <w:rPr>
            <w:rFonts w:ascii="仿宋" w:eastAsia="仿宋" w:hAnsi="仿宋" w:cs="仿宋" w:hint="eastAsia"/>
            <w:lang w:eastAsia="zh-CN"/>
          </w:rPr>
          <w:t>(三)、设备选型方案</w:t>
        </w:r>
        <w:r>
          <w:tab/>
        </w:r>
        <w:r>
          <w:fldChar w:fldCharType="begin"/>
        </w:r>
        <w:r>
          <w:instrText xml:space="preserve"> PAGEREF _Toc14107 \h </w:instrText>
        </w:r>
        <w:r>
          <w:fldChar w:fldCharType="separate"/>
        </w:r>
        <w:r>
          <w:t>24</w:t>
        </w:r>
        <w:r>
          <w:fldChar w:fldCharType="end"/>
        </w:r>
      </w:hyperlink>
    </w:p>
    <w:p>
      <w:pPr>
        <w:pStyle w:val="TOC1"/>
        <w:tabs>
          <w:tab w:val="right" w:leader="dot" w:pos="8306"/>
        </w:tabs>
      </w:pPr>
      <w:hyperlink w:anchor="_Toc27326" w:history="1">
        <w:r>
          <w:rPr>
            <w:rFonts w:ascii="仿宋" w:eastAsia="仿宋" w:hAnsi="仿宋" w:cs="仿宋" w:hint="eastAsia"/>
            <w:lang w:eastAsia="zh-CN"/>
          </w:rPr>
          <w:t>七、金属门窗及类似制品项目风险管理</w:t>
        </w:r>
        <w:r>
          <w:tab/>
        </w:r>
        <w:r>
          <w:fldChar w:fldCharType="begin"/>
        </w:r>
        <w:r>
          <w:instrText xml:space="preserve"> PAGEREF _Toc27326 \h </w:instrText>
        </w:r>
        <w:r>
          <w:fldChar w:fldCharType="separate"/>
        </w:r>
        <w:r>
          <w:t>25</w:t>
        </w:r>
        <w:r>
          <w:fldChar w:fldCharType="end"/>
        </w:r>
      </w:hyperlink>
    </w:p>
    <w:p>
      <w:pPr>
        <w:pStyle w:val="TOC2"/>
        <w:tabs>
          <w:tab w:val="right" w:leader="dot" w:pos="8306"/>
        </w:tabs>
      </w:pPr>
      <w:hyperlink w:anchor="_Toc113" w:history="1">
        <w:r>
          <w:rPr>
            <w:rFonts w:ascii="仿宋" w:eastAsia="仿宋" w:hAnsi="仿宋" w:cs="仿宋" w:hint="eastAsia"/>
            <w:lang w:eastAsia="zh-CN"/>
          </w:rPr>
          <w:t>(一)、风险识别与评估</w:t>
        </w:r>
        <w:r>
          <w:tab/>
        </w:r>
        <w:r>
          <w:fldChar w:fldCharType="begin"/>
        </w:r>
        <w:r>
          <w:instrText xml:space="preserve"> PAGEREF _Toc113 \h </w:instrText>
        </w:r>
        <w:r>
          <w:fldChar w:fldCharType="separate"/>
        </w:r>
        <w:r>
          <w:t>25</w:t>
        </w:r>
        <w:r>
          <w:fldChar w:fldCharType="end"/>
        </w:r>
      </w:hyperlink>
    </w:p>
    <w:p>
      <w:pPr>
        <w:pStyle w:val="TOC2"/>
        <w:tabs>
          <w:tab w:val="right" w:leader="dot" w:pos="8306"/>
        </w:tabs>
      </w:pPr>
      <w:hyperlink w:anchor="_Toc4213" w:history="1">
        <w:r>
          <w:rPr>
            <w:rFonts w:ascii="仿宋" w:eastAsia="仿宋" w:hAnsi="仿宋" w:cs="仿宋" w:hint="eastAsia"/>
            <w:lang w:eastAsia="zh-CN"/>
          </w:rPr>
          <w:t>(二)、风险应对策略</w:t>
        </w:r>
        <w:r>
          <w:tab/>
        </w:r>
        <w:r>
          <w:fldChar w:fldCharType="begin"/>
        </w:r>
        <w:r>
          <w:instrText xml:space="preserve"> PAGEREF _Toc4213 \h </w:instrText>
        </w:r>
        <w:r>
          <w:fldChar w:fldCharType="separate"/>
        </w:r>
        <w:r>
          <w:t>26</w:t>
        </w:r>
        <w:r>
          <w:fldChar w:fldCharType="end"/>
        </w:r>
      </w:hyperlink>
    </w:p>
    <w:p>
      <w:pPr>
        <w:pStyle w:val="TOC2"/>
        <w:tabs>
          <w:tab w:val="right" w:leader="dot" w:pos="8306"/>
        </w:tabs>
      </w:pPr>
      <w:hyperlink w:anchor="_Toc1092" w:history="1">
        <w:r>
          <w:rPr>
            <w:rFonts w:ascii="仿宋" w:eastAsia="仿宋" w:hAnsi="仿宋" w:cs="仿宋" w:hint="eastAsia"/>
            <w:lang w:eastAsia="zh-CN"/>
          </w:rPr>
          <w:t>(三)、风险监控与控制</w:t>
        </w:r>
        <w:r>
          <w:tab/>
        </w:r>
        <w:r>
          <w:fldChar w:fldCharType="begin"/>
        </w:r>
        <w:r>
          <w:instrText xml:space="preserve"> PAGEREF _Toc1092 \h </w:instrText>
        </w:r>
        <w:r>
          <w:fldChar w:fldCharType="separate"/>
        </w:r>
        <w:r>
          <w:t>28</w:t>
        </w:r>
        <w:r>
          <w:fldChar w:fldCharType="end"/>
        </w:r>
      </w:hyperlink>
    </w:p>
    <w:p>
      <w:pPr>
        <w:pStyle w:val="TOC1"/>
        <w:tabs>
          <w:tab w:val="right" w:leader="dot" w:pos="8306"/>
        </w:tabs>
      </w:pPr>
      <w:hyperlink w:anchor="_Toc14259" w:history="1">
        <w:r>
          <w:rPr>
            <w:rFonts w:ascii="仿宋" w:eastAsia="仿宋" w:hAnsi="仿宋" w:cs="仿宋" w:hint="eastAsia"/>
            <w:lang w:eastAsia="zh-CN"/>
          </w:rPr>
          <w:t>八、金属门窗及类似制品项目社会影响</w:t>
        </w:r>
        <w:r>
          <w:tab/>
        </w:r>
        <w:r>
          <w:fldChar w:fldCharType="begin"/>
        </w:r>
        <w:r>
          <w:instrText xml:space="preserve"> PAGEREF _Toc14259 \h </w:instrText>
        </w:r>
        <w:r>
          <w:fldChar w:fldCharType="separate"/>
        </w:r>
        <w:r>
          <w:t>29</w:t>
        </w:r>
        <w:r>
          <w:fldChar w:fldCharType="end"/>
        </w:r>
      </w:hyperlink>
    </w:p>
    <w:p>
      <w:pPr>
        <w:pStyle w:val="TOC2"/>
        <w:tabs>
          <w:tab w:val="right" w:leader="dot" w:pos="8306"/>
        </w:tabs>
      </w:pPr>
      <w:hyperlink w:anchor="_Toc16770" w:history="1">
        <w:r>
          <w:rPr>
            <w:rFonts w:ascii="仿宋" w:eastAsia="仿宋" w:hAnsi="仿宋" w:cs="仿宋" w:hint="eastAsia"/>
            <w:lang w:eastAsia="zh-CN"/>
          </w:rPr>
          <w:t>(一)、社会责任与义务</w:t>
        </w:r>
        <w:r>
          <w:tab/>
        </w:r>
        <w:r>
          <w:fldChar w:fldCharType="begin"/>
        </w:r>
        <w:r>
          <w:instrText xml:space="preserve"> PAGEREF _Toc16770 \h </w:instrText>
        </w:r>
        <w:r>
          <w:fldChar w:fldCharType="separate"/>
        </w:r>
        <w:r>
          <w:t>29</w:t>
        </w:r>
        <w:r>
          <w:fldChar w:fldCharType="end"/>
        </w:r>
      </w:hyperlink>
    </w:p>
    <w:p>
      <w:pPr>
        <w:pStyle w:val="TOC2"/>
        <w:tabs>
          <w:tab w:val="right" w:leader="dot" w:pos="8306"/>
        </w:tabs>
      </w:pPr>
      <w:hyperlink w:anchor="_Toc1460" w:history="1">
        <w:r>
          <w:rPr>
            <w:rFonts w:ascii="仿宋" w:eastAsia="仿宋" w:hAnsi="仿宋" w:cs="仿宋" w:hint="eastAsia"/>
            <w:lang w:eastAsia="zh-CN"/>
          </w:rPr>
          <w:t>(二)、社会参与与沟通</w:t>
        </w:r>
        <w:r>
          <w:tab/>
        </w:r>
        <w:r>
          <w:fldChar w:fldCharType="begin"/>
        </w:r>
        <w:r>
          <w:instrText xml:space="preserve"> PAGEREF _Toc1460 \h </w:instrText>
        </w:r>
        <w:r>
          <w:fldChar w:fldCharType="separate"/>
        </w:r>
        <w:r>
          <w:t>30</w:t>
        </w:r>
        <w:r>
          <w:fldChar w:fldCharType="end"/>
        </w:r>
      </w:hyperlink>
    </w:p>
    <w:p>
      <w:pPr>
        <w:pStyle w:val="TOC1"/>
        <w:tabs>
          <w:tab w:val="right" w:leader="dot" w:pos="8306"/>
        </w:tabs>
      </w:pPr>
      <w:hyperlink w:anchor="_Toc27248" w:history="1">
        <w:r>
          <w:rPr>
            <w:rFonts w:ascii="仿宋" w:eastAsia="仿宋" w:hAnsi="仿宋" w:cs="仿宋" w:hint="eastAsia"/>
            <w:lang w:eastAsia="zh-CN"/>
          </w:rPr>
          <w:t>九、金属门窗及类似制品项目投资规划</w:t>
        </w:r>
        <w:r>
          <w:tab/>
        </w:r>
        <w:r>
          <w:fldChar w:fldCharType="begin"/>
        </w:r>
        <w:r>
          <w:instrText xml:space="preserve"> PAGEREF _Toc27248 \h </w:instrText>
        </w:r>
        <w:r>
          <w:fldChar w:fldCharType="separate"/>
        </w:r>
        <w:r>
          <w:t>31</w:t>
        </w:r>
        <w:r>
          <w:fldChar w:fldCharType="end"/>
        </w:r>
      </w:hyperlink>
    </w:p>
    <w:p>
      <w:pPr>
        <w:pStyle w:val="TOC2"/>
        <w:tabs>
          <w:tab w:val="right" w:leader="dot" w:pos="8306"/>
        </w:tabs>
      </w:pPr>
      <w:hyperlink w:anchor="_Toc26042" w:history="1">
        <w:r>
          <w:rPr>
            <w:rFonts w:ascii="仿宋" w:eastAsia="仿宋" w:hAnsi="仿宋" w:cs="仿宋" w:hint="eastAsia"/>
            <w:lang w:eastAsia="zh-CN"/>
          </w:rPr>
          <w:t>(一)、金属门窗及类似制品项目总投资估算</w:t>
        </w:r>
        <w:r>
          <w:tab/>
        </w:r>
        <w:r>
          <w:fldChar w:fldCharType="begin"/>
        </w:r>
        <w:r>
          <w:instrText xml:space="preserve"> PAGEREF _Toc26042 \h </w:instrText>
        </w:r>
        <w:r>
          <w:fldChar w:fldCharType="separate"/>
        </w:r>
        <w:r>
          <w:t>31</w:t>
        </w:r>
        <w:r>
          <w:fldChar w:fldCharType="end"/>
        </w:r>
      </w:hyperlink>
    </w:p>
    <w:p>
      <w:pPr>
        <w:pStyle w:val="TOC2"/>
        <w:tabs>
          <w:tab w:val="right" w:leader="dot" w:pos="8306"/>
        </w:tabs>
      </w:pPr>
      <w:hyperlink w:anchor="_Toc32529" w:history="1">
        <w:r>
          <w:rPr>
            <w:rFonts w:ascii="仿宋" w:eastAsia="仿宋" w:hAnsi="仿宋" w:cs="仿宋" w:hint="eastAsia"/>
            <w:lang w:eastAsia="zh-CN"/>
          </w:rPr>
          <w:t>(二)、资金筹措</w:t>
        </w:r>
        <w:r>
          <w:tab/>
        </w:r>
        <w:r>
          <w:fldChar w:fldCharType="begin"/>
        </w:r>
        <w:r>
          <w:instrText xml:space="preserve"> PAGEREF _Toc32529 \h </w:instrText>
        </w:r>
        <w:r>
          <w:fldChar w:fldCharType="separate"/>
        </w:r>
        <w:r>
          <w:t>32</w:t>
        </w:r>
        <w:r>
          <w:fldChar w:fldCharType="end"/>
        </w:r>
      </w:hyperlink>
    </w:p>
    <w:p>
      <w:pPr>
        <w:pStyle w:val="TOC1"/>
        <w:tabs>
          <w:tab w:val="right" w:leader="dot" w:pos="8306"/>
        </w:tabs>
      </w:pPr>
      <w:hyperlink w:anchor="_Toc14938" w:history="1">
        <w:r>
          <w:rPr>
            <w:rFonts w:ascii="仿宋" w:eastAsia="仿宋" w:hAnsi="仿宋" w:cs="仿宋" w:hint="eastAsia"/>
            <w:lang w:eastAsia="zh-CN"/>
          </w:rPr>
          <w:t>十、金属门窗及类似制品项目技术管理</w:t>
        </w:r>
        <w:r>
          <w:tab/>
        </w:r>
        <w:r>
          <w:fldChar w:fldCharType="begin"/>
        </w:r>
        <w:r>
          <w:instrText xml:space="preserve"> PAGEREF _Toc14938 \h </w:instrText>
        </w:r>
        <w:r>
          <w:fldChar w:fldCharType="separate"/>
        </w:r>
        <w:r>
          <w:t>33</w:t>
        </w:r>
        <w:r>
          <w:fldChar w:fldCharType="end"/>
        </w:r>
      </w:hyperlink>
    </w:p>
    <w:p>
      <w:pPr>
        <w:pStyle w:val="TOC2"/>
        <w:tabs>
          <w:tab w:val="right" w:leader="dot" w:pos="8306"/>
        </w:tabs>
      </w:pPr>
      <w:hyperlink w:anchor="_Toc14273" w:history="1">
        <w:r>
          <w:rPr>
            <w:rFonts w:ascii="仿宋" w:eastAsia="仿宋" w:hAnsi="仿宋" w:cs="仿宋" w:hint="eastAsia"/>
            <w:lang w:eastAsia="zh-CN"/>
          </w:rPr>
          <w:t>(一)、技术方案选用方向</w:t>
        </w:r>
        <w:r>
          <w:tab/>
        </w:r>
        <w:r>
          <w:fldChar w:fldCharType="begin"/>
        </w:r>
        <w:r>
          <w:instrText xml:space="preserve"> PAGEREF _Toc14273 \h </w:instrText>
        </w:r>
        <w:r>
          <w:fldChar w:fldCharType="separate"/>
        </w:r>
        <w:r>
          <w:t>33</w:t>
        </w:r>
        <w:r>
          <w:fldChar w:fldCharType="end"/>
        </w:r>
      </w:hyperlink>
    </w:p>
    <w:p>
      <w:pPr>
        <w:pStyle w:val="TOC2"/>
        <w:tabs>
          <w:tab w:val="right" w:leader="dot" w:pos="8306"/>
        </w:tabs>
      </w:pPr>
      <w:hyperlink w:anchor="_Toc8760" w:history="1">
        <w:r>
          <w:rPr>
            <w:rFonts w:ascii="仿宋" w:eastAsia="仿宋" w:hAnsi="仿宋" w:cs="仿宋" w:hint="eastAsia"/>
            <w:lang w:eastAsia="zh-CN"/>
          </w:rPr>
          <w:t>(二)、工艺技术方案选用原则</w:t>
        </w:r>
        <w:r>
          <w:tab/>
        </w:r>
        <w:r>
          <w:fldChar w:fldCharType="begin"/>
        </w:r>
        <w:r>
          <w:instrText xml:space="preserve"> PAGEREF _Toc8760 \h </w:instrText>
        </w:r>
        <w:r>
          <w:fldChar w:fldCharType="separate"/>
        </w:r>
        <w:r>
          <w:t>35</w:t>
        </w:r>
        <w:r>
          <w:fldChar w:fldCharType="end"/>
        </w:r>
      </w:hyperlink>
    </w:p>
    <w:p>
      <w:pPr>
        <w:pStyle w:val="TOC2"/>
        <w:tabs>
          <w:tab w:val="right" w:leader="dot" w:pos="8306"/>
        </w:tabs>
      </w:pPr>
      <w:hyperlink w:anchor="_Toc10623" w:history="1">
        <w:r>
          <w:rPr>
            <w:rFonts w:ascii="仿宋" w:eastAsia="仿宋" w:hAnsi="仿宋" w:cs="仿宋" w:hint="eastAsia"/>
            <w:lang w:eastAsia="zh-CN"/>
          </w:rPr>
          <w:t>(三)、工艺技术方案要求</w:t>
        </w:r>
        <w:r>
          <w:tab/>
        </w:r>
        <w:r>
          <w:fldChar w:fldCharType="begin"/>
        </w:r>
        <w:r>
          <w:instrText xml:space="preserve"> PAGEREF _Toc10623 \h </w:instrText>
        </w:r>
        <w:r>
          <w:fldChar w:fldCharType="separate"/>
        </w:r>
        <w:r>
          <w:t>37</w:t>
        </w:r>
        <w:r>
          <w:fldChar w:fldCharType="end"/>
        </w:r>
      </w:hyperlink>
    </w:p>
    <w:p>
      <w:pPr>
        <w:pStyle w:val="TOC1"/>
        <w:tabs>
          <w:tab w:val="right" w:leader="dot" w:pos="8306"/>
        </w:tabs>
      </w:pPr>
      <w:hyperlink w:anchor="_Toc13204" w:history="1">
        <w:r>
          <w:rPr>
            <w:rFonts w:ascii="仿宋" w:eastAsia="仿宋" w:hAnsi="仿宋" w:cs="仿宋" w:hint="eastAsia"/>
            <w:lang w:eastAsia="zh-CN"/>
          </w:rPr>
          <w:t>十一、金属门窗及类似制品项目计划安排</w:t>
        </w:r>
        <w:r>
          <w:tab/>
        </w:r>
        <w:r>
          <w:fldChar w:fldCharType="begin"/>
        </w:r>
        <w:r>
          <w:instrText xml:space="preserve"> PAGEREF _Toc13204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96" w:history="1">
        <w:r>
          <w:rPr>
            <w:rFonts w:ascii="仿宋" w:eastAsia="仿宋" w:hAnsi="仿宋" w:cs="仿宋" w:hint="eastAsia"/>
            <w:lang w:eastAsia="zh-CN"/>
          </w:rPr>
          <w:t>(一)、建设周期</w:t>
        </w:r>
        <w:r>
          <w:tab/>
        </w:r>
        <w:r>
          <w:fldChar w:fldCharType="begin"/>
        </w:r>
        <w:r>
          <w:instrText xml:space="preserve"> PAGEREF _Toc6596 \h </w:instrText>
        </w:r>
        <w:r>
          <w:fldChar w:fldCharType="separate"/>
        </w:r>
        <w:r>
          <w:t>39</w:t>
        </w:r>
        <w:r>
          <w:fldChar w:fldCharType="end"/>
        </w:r>
      </w:hyperlink>
    </w:p>
    <w:p>
      <w:pPr>
        <w:pStyle w:val="TOC2"/>
        <w:tabs>
          <w:tab w:val="right" w:leader="dot" w:pos="8306"/>
        </w:tabs>
      </w:pPr>
      <w:hyperlink w:anchor="_Toc27994" w:history="1">
        <w:r>
          <w:rPr>
            <w:rFonts w:ascii="仿宋" w:eastAsia="仿宋" w:hAnsi="仿宋" w:cs="仿宋" w:hint="eastAsia"/>
            <w:lang w:eastAsia="zh-CN"/>
          </w:rPr>
          <w:t>(二)、建设进度</w:t>
        </w:r>
        <w:r>
          <w:tab/>
        </w:r>
        <w:r>
          <w:fldChar w:fldCharType="begin"/>
        </w:r>
        <w:r>
          <w:instrText xml:space="preserve"> PAGEREF _Toc27994 \h </w:instrText>
        </w:r>
        <w:r>
          <w:fldChar w:fldCharType="separate"/>
        </w:r>
        <w:r>
          <w:t>40</w:t>
        </w:r>
        <w:r>
          <w:fldChar w:fldCharType="end"/>
        </w:r>
      </w:hyperlink>
    </w:p>
    <w:p>
      <w:pPr>
        <w:pStyle w:val="TOC2"/>
        <w:tabs>
          <w:tab w:val="right" w:leader="dot" w:pos="8306"/>
        </w:tabs>
      </w:pPr>
      <w:hyperlink w:anchor="_Toc26072" w:history="1">
        <w:r>
          <w:rPr>
            <w:rFonts w:ascii="仿宋" w:eastAsia="仿宋" w:hAnsi="仿宋" w:cs="仿宋" w:hint="eastAsia"/>
            <w:lang w:eastAsia="zh-CN"/>
          </w:rPr>
          <w:t>(三)、进度安排注意事项</w:t>
        </w:r>
        <w:r>
          <w:tab/>
        </w:r>
        <w:r>
          <w:fldChar w:fldCharType="begin"/>
        </w:r>
        <w:r>
          <w:instrText xml:space="preserve"> PAGEREF _Toc26072 \h </w:instrText>
        </w:r>
        <w:r>
          <w:fldChar w:fldCharType="separate"/>
        </w:r>
        <w:r>
          <w:t>41</w:t>
        </w:r>
        <w:r>
          <w:fldChar w:fldCharType="end"/>
        </w:r>
      </w:hyperlink>
    </w:p>
    <w:p>
      <w:pPr>
        <w:pStyle w:val="TOC2"/>
        <w:tabs>
          <w:tab w:val="right" w:leader="dot" w:pos="8306"/>
        </w:tabs>
      </w:pPr>
      <w:hyperlink w:anchor="_Toc20879" w:history="1">
        <w:r>
          <w:rPr>
            <w:rFonts w:ascii="仿宋" w:eastAsia="仿宋" w:hAnsi="仿宋" w:cs="仿宋" w:hint="eastAsia"/>
            <w:lang w:eastAsia="zh-CN"/>
          </w:rPr>
          <w:t>(四)、人力资源配置</w:t>
        </w:r>
        <w:r>
          <w:tab/>
        </w:r>
        <w:r>
          <w:fldChar w:fldCharType="begin"/>
        </w:r>
        <w:r>
          <w:instrText xml:space="preserve"> PAGEREF _Toc20879 \h </w:instrText>
        </w:r>
        <w:r>
          <w:fldChar w:fldCharType="separate"/>
        </w:r>
        <w:r>
          <w:t>43</w:t>
        </w:r>
        <w:r>
          <w:fldChar w:fldCharType="end"/>
        </w:r>
      </w:hyperlink>
    </w:p>
    <w:p>
      <w:pPr>
        <w:pStyle w:val="TOC1"/>
        <w:tabs>
          <w:tab w:val="right" w:leader="dot" w:pos="8306"/>
        </w:tabs>
      </w:pPr>
      <w:hyperlink w:anchor="_Toc16897" w:history="1">
        <w:r>
          <w:rPr>
            <w:rFonts w:ascii="仿宋" w:eastAsia="仿宋" w:hAnsi="仿宋" w:cs="仿宋" w:hint="eastAsia"/>
            <w:lang w:eastAsia="zh-CN"/>
          </w:rPr>
          <w:t>十二、金属门窗及类似制品项目财务管理</w:t>
        </w:r>
        <w:r>
          <w:tab/>
        </w:r>
        <w:r>
          <w:fldChar w:fldCharType="begin"/>
        </w:r>
        <w:r>
          <w:instrText xml:space="preserve"> PAGEREF _Toc16897 \h </w:instrText>
        </w:r>
        <w:r>
          <w:fldChar w:fldCharType="separate"/>
        </w:r>
        <w:r>
          <w:t>44</w:t>
        </w:r>
        <w:r>
          <w:fldChar w:fldCharType="end"/>
        </w:r>
      </w:hyperlink>
    </w:p>
    <w:p>
      <w:pPr>
        <w:pStyle w:val="TOC2"/>
        <w:tabs>
          <w:tab w:val="right" w:leader="dot" w:pos="8306"/>
        </w:tabs>
      </w:pPr>
      <w:hyperlink w:anchor="_Toc31830" w:history="1">
        <w:r>
          <w:rPr>
            <w:rFonts w:ascii="仿宋" w:eastAsia="仿宋" w:hAnsi="仿宋" w:cs="仿宋" w:hint="eastAsia"/>
            <w:lang w:eastAsia="zh-CN"/>
          </w:rPr>
          <w:t>(一)、资金需求大</w:t>
        </w:r>
        <w:r>
          <w:tab/>
        </w:r>
        <w:r>
          <w:fldChar w:fldCharType="begin"/>
        </w:r>
        <w:r>
          <w:instrText xml:space="preserve"> PAGEREF _Toc31830 \h </w:instrText>
        </w:r>
        <w:r>
          <w:fldChar w:fldCharType="separate"/>
        </w:r>
        <w:r>
          <w:t>44</w:t>
        </w:r>
        <w:r>
          <w:fldChar w:fldCharType="end"/>
        </w:r>
      </w:hyperlink>
    </w:p>
    <w:p>
      <w:pPr>
        <w:pStyle w:val="TOC2"/>
        <w:tabs>
          <w:tab w:val="right" w:leader="dot" w:pos="8306"/>
        </w:tabs>
      </w:pPr>
      <w:hyperlink w:anchor="_Toc30470" w:history="1">
        <w:r>
          <w:rPr>
            <w:rFonts w:ascii="仿宋" w:eastAsia="仿宋" w:hAnsi="仿宋" w:cs="仿宋" w:hint="eastAsia"/>
            <w:lang w:eastAsia="zh-CN"/>
          </w:rPr>
          <w:t>(二)、研发周期长</w:t>
        </w:r>
        <w:r>
          <w:tab/>
        </w:r>
        <w:r>
          <w:fldChar w:fldCharType="begin"/>
        </w:r>
        <w:r>
          <w:instrText xml:space="preserve"> PAGEREF _Toc30470 \h </w:instrText>
        </w:r>
        <w:r>
          <w:fldChar w:fldCharType="separate"/>
        </w:r>
        <w:r>
          <w:t>45</w:t>
        </w:r>
        <w:r>
          <w:fldChar w:fldCharType="end"/>
        </w:r>
      </w:hyperlink>
    </w:p>
    <w:p>
      <w:pPr>
        <w:pStyle w:val="TOC2"/>
        <w:tabs>
          <w:tab w:val="right" w:leader="dot" w:pos="8306"/>
        </w:tabs>
      </w:pPr>
      <w:hyperlink w:anchor="_Toc25566" w:history="1">
        <w:r>
          <w:rPr>
            <w:rFonts w:ascii="仿宋" w:eastAsia="仿宋" w:hAnsi="仿宋" w:cs="仿宋" w:hint="eastAsia"/>
            <w:lang w:eastAsia="zh-CN"/>
          </w:rPr>
          <w:t>(三)、市场风险大</w:t>
        </w:r>
        <w:r>
          <w:tab/>
        </w:r>
        <w:r>
          <w:fldChar w:fldCharType="begin"/>
        </w:r>
        <w:r>
          <w:instrText xml:space="preserve"> PAGEREF _Toc25566 \h </w:instrText>
        </w:r>
        <w:r>
          <w:fldChar w:fldCharType="separate"/>
        </w:r>
        <w:r>
          <w:t>46</w:t>
        </w:r>
        <w:r>
          <w:fldChar w:fldCharType="end"/>
        </w:r>
      </w:hyperlink>
    </w:p>
    <w:p>
      <w:pPr>
        <w:pStyle w:val="TOC2"/>
        <w:tabs>
          <w:tab w:val="right" w:leader="dot" w:pos="8306"/>
        </w:tabs>
      </w:pPr>
      <w:hyperlink w:anchor="_Toc14545" w:history="1">
        <w:r>
          <w:rPr>
            <w:rFonts w:ascii="仿宋" w:eastAsia="仿宋" w:hAnsi="仿宋" w:cs="仿宋" w:hint="eastAsia"/>
            <w:lang w:eastAsia="zh-CN"/>
          </w:rPr>
          <w:t>(四)、利润率高</w:t>
        </w:r>
        <w:r>
          <w:tab/>
        </w:r>
        <w:r>
          <w:fldChar w:fldCharType="begin"/>
        </w:r>
        <w:r>
          <w:instrText xml:space="preserve"> PAGEREF _Toc14545 \h </w:instrText>
        </w:r>
        <w:r>
          <w:fldChar w:fldCharType="separate"/>
        </w:r>
        <w:r>
          <w:t>49</w:t>
        </w:r>
        <w:r>
          <w:fldChar w:fldCharType="end"/>
        </w:r>
      </w:hyperlink>
    </w:p>
    <w:p>
      <w:pPr>
        <w:pStyle w:val="TOC1"/>
        <w:tabs>
          <w:tab w:val="right" w:leader="dot" w:pos="8306"/>
        </w:tabs>
      </w:pPr>
      <w:hyperlink w:anchor="_Toc4340" w:history="1">
        <w:r>
          <w:rPr>
            <w:rFonts w:ascii="仿宋" w:eastAsia="仿宋" w:hAnsi="仿宋" w:cs="仿宋" w:hint="eastAsia"/>
            <w:lang w:eastAsia="zh-CN"/>
          </w:rPr>
          <w:t>十三、金属门窗及类似制品项目工程方案分析</w:t>
        </w:r>
        <w:r>
          <w:tab/>
        </w:r>
        <w:r>
          <w:fldChar w:fldCharType="begin"/>
        </w:r>
        <w:r>
          <w:instrText xml:space="preserve"> PAGEREF _Toc4340 \h </w:instrText>
        </w:r>
        <w:r>
          <w:fldChar w:fldCharType="separate"/>
        </w:r>
        <w:r>
          <w:t>51</w:t>
        </w:r>
        <w:r>
          <w:fldChar w:fldCharType="end"/>
        </w:r>
      </w:hyperlink>
    </w:p>
    <w:p>
      <w:pPr>
        <w:pStyle w:val="TOC2"/>
        <w:tabs>
          <w:tab w:val="right" w:leader="dot" w:pos="8306"/>
        </w:tabs>
      </w:pPr>
      <w:hyperlink w:anchor="_Toc18244" w:history="1">
        <w:r>
          <w:rPr>
            <w:rFonts w:ascii="仿宋" w:eastAsia="仿宋" w:hAnsi="仿宋" w:cs="仿宋" w:hint="eastAsia"/>
            <w:lang w:eastAsia="zh-CN"/>
          </w:rPr>
          <w:t>(一)、建筑工程设计原则</w:t>
        </w:r>
        <w:r>
          <w:tab/>
        </w:r>
        <w:r>
          <w:fldChar w:fldCharType="begin"/>
        </w:r>
        <w:r>
          <w:instrText xml:space="preserve"> PAGEREF _Toc18244 \h </w:instrText>
        </w:r>
        <w:r>
          <w:fldChar w:fldCharType="separate"/>
        </w:r>
        <w:r>
          <w:t>51</w:t>
        </w:r>
        <w:r>
          <w:fldChar w:fldCharType="end"/>
        </w:r>
      </w:hyperlink>
    </w:p>
    <w:p>
      <w:pPr>
        <w:pStyle w:val="TOC2"/>
        <w:tabs>
          <w:tab w:val="right" w:leader="dot" w:pos="8306"/>
        </w:tabs>
      </w:pPr>
      <w:hyperlink w:anchor="_Toc23836" w:history="1">
        <w:r>
          <w:rPr>
            <w:rFonts w:ascii="仿宋" w:eastAsia="仿宋" w:hAnsi="仿宋" w:cs="仿宋" w:hint="eastAsia"/>
            <w:lang w:eastAsia="zh-CN"/>
          </w:rPr>
          <w:t>(二)、土建工程建设指标</w:t>
        </w:r>
        <w:r>
          <w:tab/>
        </w:r>
        <w:r>
          <w:fldChar w:fldCharType="begin"/>
        </w:r>
        <w:r>
          <w:instrText xml:space="preserve"> PAGEREF _Toc23836 \h </w:instrText>
        </w:r>
        <w:r>
          <w:fldChar w:fldCharType="separate"/>
        </w:r>
        <w:r>
          <w:t>54</w:t>
        </w:r>
        <w:r>
          <w:fldChar w:fldCharType="end"/>
        </w:r>
      </w:hyperlink>
    </w:p>
    <w:p>
      <w:pPr>
        <w:pStyle w:val="TOC1"/>
        <w:tabs>
          <w:tab w:val="right" w:leader="dot" w:pos="8306"/>
        </w:tabs>
      </w:pPr>
      <w:hyperlink w:anchor="_Toc21104" w:history="1">
        <w:r>
          <w:rPr>
            <w:rFonts w:ascii="仿宋" w:eastAsia="仿宋" w:hAnsi="仿宋" w:cs="仿宋" w:hint="eastAsia"/>
            <w:lang w:eastAsia="zh-CN"/>
          </w:rPr>
          <w:t>十四、金属门窗及类似制品项目变更管理</w:t>
        </w:r>
        <w:r>
          <w:tab/>
        </w:r>
        <w:r>
          <w:fldChar w:fldCharType="begin"/>
        </w:r>
        <w:r>
          <w:instrText xml:space="preserve"> PAGEREF _Toc21104 \h </w:instrText>
        </w:r>
        <w:r>
          <w:fldChar w:fldCharType="separate"/>
        </w:r>
        <w:r>
          <w:t>56</w:t>
        </w:r>
        <w:r>
          <w:fldChar w:fldCharType="end"/>
        </w:r>
      </w:hyperlink>
    </w:p>
    <w:p>
      <w:pPr>
        <w:pStyle w:val="TOC2"/>
        <w:tabs>
          <w:tab w:val="right" w:leader="dot" w:pos="8306"/>
        </w:tabs>
      </w:pPr>
      <w:hyperlink w:anchor="_Toc27214" w:history="1">
        <w:r>
          <w:rPr>
            <w:rFonts w:ascii="仿宋" w:eastAsia="仿宋" w:hAnsi="仿宋" w:cs="仿宋" w:hint="eastAsia"/>
            <w:lang w:eastAsia="zh-CN"/>
          </w:rPr>
          <w:t>(一)、变更申请与评估</w:t>
        </w:r>
        <w:r>
          <w:tab/>
        </w:r>
        <w:r>
          <w:fldChar w:fldCharType="begin"/>
        </w:r>
        <w:r>
          <w:instrText xml:space="preserve"> PAGEREF _Toc27214 \h </w:instrText>
        </w:r>
        <w:r>
          <w:fldChar w:fldCharType="separate"/>
        </w:r>
        <w:r>
          <w:t>56</w:t>
        </w:r>
        <w:r>
          <w:fldChar w:fldCharType="end"/>
        </w:r>
      </w:hyperlink>
    </w:p>
    <w:p>
      <w:pPr>
        <w:pStyle w:val="TOC2"/>
        <w:tabs>
          <w:tab w:val="right" w:leader="dot" w:pos="8306"/>
        </w:tabs>
      </w:pPr>
      <w:hyperlink w:anchor="_Toc9685" w:history="1">
        <w:r>
          <w:rPr>
            <w:rFonts w:ascii="仿宋" w:eastAsia="仿宋" w:hAnsi="仿宋" w:cs="仿宋" w:hint="eastAsia"/>
            <w:lang w:eastAsia="zh-CN"/>
          </w:rPr>
          <w:t>(二)、变更实施与控制</w:t>
        </w:r>
        <w:r>
          <w:tab/>
        </w:r>
        <w:r>
          <w:fldChar w:fldCharType="begin"/>
        </w:r>
        <w:r>
          <w:instrText xml:space="preserve"> PAGEREF _Toc9685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02"/>
      <w:r>
        <w:rPr>
          <w:rFonts w:ascii="仿宋" w:eastAsia="仿宋" w:hAnsi="仿宋" w:cs="仿宋" w:hint="eastAsia"/>
          <w:sz w:val="28"/>
          <w:lang w:eastAsia="zh-CN"/>
        </w:rPr>
        <w:t>一、金属门窗及类似制品项目可持续发展</w:t>
      </w:r>
      <w:bookmarkEnd w:id="2"/>
    </w:p>
    <w:p>
      <w:pPr>
        <w:pStyle w:val="Heading2"/>
        <w:rPr>
          <w:rFonts w:ascii="仿宋" w:eastAsia="仿宋" w:hAnsi="仿宋" w:cs="仿宋" w:hint="eastAsia"/>
          <w:lang w:eastAsia="zh-CN"/>
        </w:rPr>
      </w:pPr>
      <w:bookmarkStart w:id="3" w:name="_Toc87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中，金属门窗及类似制品项目团队着眼于未来，明确了可持续发展的战略方向。制定的具体可持续发展目标包括降低资源使用、采用环保技术、最大化社会效益等。这一步骤不仅有助于金属门窗及类似制品项目在环保和社会责任方面达到最高标准，也为未来提供了明确的指引，确保金属门窗及类似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可持续实践的融入金属门窗及类似制品项目管理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门窗及类似制品项目管理周期。从金属门窗及类似制品项目规划开始，金属门窗及类似制品项目团队就考虑了环境和社会的因素。在执行阶段，金属门窗及类似制品项目团队积极推动绿色技术的应用，优化资源利用。此外，关注员工的社会责任，通过培训和沟通活动提高员工对可持续发展的认知，使他们能够在日常工作中践行可持续实践。这些举措不仅为金属门窗及类似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门窗及类似制品项目的可持续发展理念，我们深信环保与社会责任是金属门窗及类似制品项目成功的关键支柱。在金属门窗及类似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团队通过引入先进的环保技术、建立高效的废物处理系统以及推动能源节约措施，积极履行环保责任。定期的环保监测和评估确保金属门窗及类似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门窗及类似制品项目不仅致力于自身可持续发展，还注重对社会的回馈。通过支持社区金属门窗及类似制品项目、参与慈善事业、提供培训机会等方式，金属门窗及类似制品项目积极履行社会责任。与当地社区建立积极互动，关注员工的工作与生活平衡，以及员工的身心健康，是金属门窗及类似制品项目在社会责任层面的关键举措。这样的实践不仅增强了金属门窗及类似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715"/>
      <w:r>
        <w:rPr>
          <w:rFonts w:ascii="仿宋" w:eastAsia="仿宋" w:hAnsi="仿宋" w:cs="仿宋" w:hint="eastAsia"/>
          <w:sz w:val="28"/>
          <w:lang w:eastAsia="zh-CN"/>
        </w:rPr>
        <w:t>二、金属门窗及类似制品项目危机管理</w:t>
      </w:r>
      <w:bookmarkEnd w:id="5"/>
    </w:p>
    <w:p>
      <w:pPr>
        <w:pStyle w:val="Heading2"/>
        <w:rPr>
          <w:rFonts w:ascii="仿宋" w:eastAsia="仿宋" w:hAnsi="仿宋" w:cs="仿宋" w:hint="eastAsia"/>
          <w:lang w:eastAsia="zh-CN"/>
        </w:rPr>
      </w:pPr>
      <w:bookmarkStart w:id="6" w:name="_Toc152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危机管理中，危机预警与识别是确保金属门窗及类似制品项目稳健运行的核心步骤。通过建立全面的监测机制，金属门窗及类似制品项目团队旨在及时发现和理解潜在的风险和危机因素，以便采取及时的预防和应对措施，确保金属门窗及类似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门窗及类似制品项目团队全面分析了整个金属门窗及类似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门窗及类似制品项目团队着重于明确定义金属门窗及类似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金属门窗及类似制品项目进展的持续监控，团队能够及时发现潜在问题并作出迅速反应。金属门窗及类似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门窗及类似制品项目得以更有序、可控地推进。</w:t>
      </w:r>
    </w:p>
    <w:p>
      <w:pPr>
        <w:pStyle w:val="Heading2"/>
        <w:ind w:firstLine="560" w:firstLineChars="200"/>
        <w:rPr>
          <w:rFonts w:ascii="仿宋" w:eastAsia="仿宋" w:hAnsi="仿宋" w:cs="仿宋" w:hint="eastAsia"/>
          <w:sz w:val="28"/>
          <w:lang w:eastAsia="zh-CN"/>
        </w:rPr>
      </w:pPr>
      <w:bookmarkStart w:id="7" w:name="_Toc124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在危机发生时，金属门窗及类似制品项目团队立即行动，成立了应急小组。该小组的任务是迅速制定并实施紧急应对措施，以最小化潜在损失。以下是采取的主要措施：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暂停金属门窗及类似制品项目进度：为遏制危机蔓延，金属门窗及类似制品项目暂时停止进行，以便全面评估当前状况。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资源重新分配：重新评估金属门窗及类似制品项目资源的分配，确保最大限度地减小损失。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实时沟通：与关键利益相关者建立实时沟通机制，向他们传递金属门窗及类似制品项目危机的实际状况，保障金属门窗及类似制品项目核心利益。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在紧急应对的同时，金属门窗及类似制品项目团队强调了团队协作和有效沟通的重要性。以下是团队协作的关键举措：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信息共享机制：建立了信息共享平台，确保团队成员能够及时获取金属门窗及类似制品项目危机的实时信息。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领导者沟通：金属门窗及类似制品项目领导者通过定期会议和即时沟通工具，指导团队应对危机，保持团队稳定运行。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随着危机得到初步控制，金属门窗及类似制品项目团队转向制定恢复计划，以确保金属门窗及类似制品项目能够从中迅速恢复。主要恢复计划包括：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修复受损的进度计划：重新评估金属门窗及类似制品项目进度，制定修复计划，确保金属门窗及类似制品项目尽快回归正常进程。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重新调整资源分配：优化资源分配，确保金属门窗及类似制品项目在有限资源下高效运转。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风险管理机制加强：对金属门窗及类似制品项目风险进行全面评估，制定更强化的风险管理策略，以预防未来可能的危机。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471"/>
      <w:r>
        <w:rPr>
          <w:rFonts w:ascii="仿宋" w:eastAsia="仿宋" w:hAnsi="仿宋" w:cs="仿宋" w:hint="eastAsia"/>
          <w:sz w:val="28"/>
          <w:lang w:eastAsia="zh-CN"/>
        </w:rPr>
        <w:t>三、金属门窗及类似制品项目绩效评估</w:t>
      </w:r>
      <w:bookmarkEnd w:id="8"/>
    </w:p>
    <w:p>
      <w:pPr>
        <w:pStyle w:val="Heading2"/>
        <w:rPr>
          <w:rFonts w:ascii="仿宋" w:eastAsia="仿宋" w:hAnsi="仿宋" w:cs="仿宋" w:hint="eastAsia"/>
          <w:lang w:eastAsia="zh-CN"/>
        </w:rPr>
      </w:pPr>
      <w:bookmarkStart w:id="9" w:name="_Toc235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金属门窗及类似制品项目中，我们设计了一套全面的绩效评估指标，以确保金属门窗及类似制品项目的可控和成功交付。这些指标跨足金属门窗及类似制品项目目标、成本、进度和质量等多个维度，为我们提供了全面洞察金属门窗及类似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目标达成率是我们关注的首要指标。我们设定了明确的目标，并通过定期监测和评估，迅速发现并应对潜在的目标偏差。这为金属门窗及类似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成本绩效是另一个核心关注点。通过实际成本与预算成本的对比分析，我们深入了解成本差异的原因，及时调整资源分配，保持金属门窗及类似制品项目在经济效益方面的合理水平。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进度作为关键的绩效指标之一，得到了精心的关注。我们制定了详细的金属门窗及类似制品项目进度计划，并设立了进度符合度指标，确保实际进度与计划进度保持一致。这使我们能够快速发现和解决潜在的进度问题，保持金属门窗及类似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门窗及类似制品项目绩效的不可或缺的一环。我们引入了一系列的质量标准和客户满意度指标，以确保金属门窗及类似制品项目交付的成果在质量上达到或超越预期水平。通过持续监测这些指标，我们努力提升金属门窗及类似制品项目整体质量水平，为金属门窗及类似制品项目的成功交付提供有力保障。通过这些科学且全面的绩效评估，我们能够更好地引导金属门窗及类似制品项目的持续改进，确保金属门窗及类似制品项目目标的顺利达成。</w:t>
      </w:r>
    </w:p>
    <w:p>
      <w:pPr>
        <w:pStyle w:val="Heading2"/>
        <w:ind w:firstLine="560" w:firstLineChars="200"/>
        <w:rPr>
          <w:rFonts w:ascii="仿宋" w:eastAsia="仿宋" w:hAnsi="仿宋" w:cs="仿宋" w:hint="eastAsia"/>
          <w:sz w:val="28"/>
          <w:lang w:eastAsia="zh-CN"/>
        </w:rPr>
      </w:pPr>
      <w:bookmarkStart w:id="10" w:name="_Toc3113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绩效评估是金属门窗及类似制品项目中的关键环节，为确保金属门窗及类似制品项目达到预期目标，我们采用了多层次、多维度的绩效评估方法。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门窗及类似制品项目的战略目标对齐，确保每个决策和行动都与金属门窗及类似制品项目整体目标保持一致。团队会定期召开战略对齐会议，审视当前工作与金属门窗及类似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门窗及类似制品项目进度、质量、成本和风险等方面。这些指标通过数据收集和分析，为金属门窗及类似制品项目管理团队提供了客观的评估依据。例如，我们通过金属门窗及类似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门窗及类似制品项目内部，还考虑了金属门窗及类似制品项目对外部环境的影响。我们定期进行干系人满意度调查，以了解各利益相关方对金属门窗及类似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这种多层次、多角度的绩效评估方法，使得我们能够全面了解金属门窗及类似制品项目的运行状态，及时做出调整，确保金属门窗及类似制品项目在不断变化的环境中保持稳健前行。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84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为了确保金属门窗及类似制品项目的有效管理和不断优化，我们采用了精心设计的绩效评估周期。这个周期旨在实现灵活、实时和全面的评估，以适应金属门窗及类似制品项目执行中的各种挑战。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门窗及类似制品项目的不同需求，分为短期、中期和长期。短期评估关注每个迭代或工作周期，以及时发现和解决当前任务中的问题。中期评估涵盖几个迭代，深入了解整体金属门窗及类似制品项目的趋势和性能。长期评估则着眼于整个金属门窗及类似制品项目阶段，确保金属门窗及类似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门窗及类似制品项目管理工具和协作平台，团队成员能够随时更新和分享金属门窗及类似制品项目数据。这种实时性的反馈机制使我们能够及时察觉潜在问题，快速调整，保持金属门窗及类似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金属门窗及类似制品项目的决策制定密不可分。每个周期的金属门窗及类似制品项目回顾会议成为集体总结经验、识别问题深层次原因并找到创新解决方案的平台。这种定期的反思与调整机制使金属门窗及类似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921"/>
      <w:r>
        <w:rPr>
          <w:rFonts w:ascii="仿宋" w:eastAsia="仿宋" w:hAnsi="仿宋" w:cs="仿宋" w:hint="eastAsia"/>
          <w:sz w:val="28"/>
          <w:lang w:eastAsia="zh-CN"/>
        </w:rPr>
        <w:t>四、金属门窗及类似制品项目土建工程</w:t>
      </w:r>
      <w:bookmarkEnd w:id="12"/>
    </w:p>
    <w:p>
      <w:pPr>
        <w:pStyle w:val="Heading2"/>
        <w:rPr>
          <w:rFonts w:ascii="仿宋" w:eastAsia="仿宋" w:hAnsi="仿宋" w:cs="仿宋" w:hint="eastAsia"/>
          <w:lang w:eastAsia="zh-CN"/>
        </w:rPr>
      </w:pPr>
      <w:bookmarkStart w:id="13" w:name="_Toc2723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在金属门窗及类似制品项目的建筑工程设计中，我们将秉承一系列重要的设计原则，以确保金属门窗及类似制品项目建筑在功能、美观、可持续性等方面达到最佳效果。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首要原则是确保建筑的功能性得到最大化的发挥。我们将充分理解金属门窗及类似制品项目的实际需求，合理布局各个功能区域，保证建筑在满足业务需求的同时，提供高效的工作环境。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在建筑设计中，我们将综合考虑建设和运营成本。通过精细的经济效益分析，确保设计方案在高效利用资源的同时，对金属门窗及类似制品项目的长期盈利能力有积极的贡献。</w:t>
      </w:r>
    </w:p>
    <w:p>
      <w:pPr>
        <w:pStyle w:val="Heading2"/>
        <w:ind w:firstLine="560" w:firstLineChars="200"/>
        <w:rPr>
          <w:rFonts w:ascii="仿宋" w:eastAsia="仿宋" w:hAnsi="仿宋" w:cs="仿宋" w:hint="eastAsia"/>
          <w:sz w:val="28"/>
          <w:lang w:eastAsia="zh-CN"/>
        </w:rPr>
      </w:pPr>
      <w:bookmarkStart w:id="14" w:name="_Toc2822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的土建工程设计中，我们将精准设定设计年限，结合金属门窗及类似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门窗及类似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8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门窗及类似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门窗及类似制品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门窗及类似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3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本期工程金属门窗及类似制品项目预计总建筑面积XXX平方米，其中：计容建筑面积XXX平方米，计划建筑工程投资XX万元，占金属门窗及类似制品项目总投资的XX%。</w:t>
      </w:r>
    </w:p>
    <w:p>
      <w:pPr>
        <w:pStyle w:val="Heading1"/>
        <w:ind w:firstLine="560" w:firstLineChars="200"/>
        <w:rPr>
          <w:rFonts w:ascii="仿宋" w:eastAsia="仿宋" w:hAnsi="仿宋" w:cs="仿宋" w:hint="eastAsia"/>
          <w:sz w:val="28"/>
          <w:lang w:eastAsia="zh-CN"/>
        </w:rPr>
      </w:pPr>
      <w:bookmarkStart w:id="17" w:name="_Toc15694"/>
      <w:r>
        <w:rPr>
          <w:rFonts w:ascii="仿宋" w:eastAsia="仿宋" w:hAnsi="仿宋" w:cs="仿宋" w:hint="eastAsia"/>
          <w:sz w:val="28"/>
          <w:lang w:eastAsia="zh-CN"/>
        </w:rPr>
        <w:t>五、金属门窗及类似制品项目概论</w:t>
      </w:r>
      <w:bookmarkEnd w:id="17"/>
    </w:p>
    <w:p>
      <w:pPr>
        <w:pStyle w:val="Heading2"/>
        <w:rPr>
          <w:rFonts w:ascii="仿宋" w:eastAsia="仿宋" w:hAnsi="仿宋" w:cs="仿宋" w:hint="eastAsia"/>
          <w:lang w:eastAsia="zh-CN"/>
        </w:rPr>
      </w:pPr>
      <w:bookmarkStart w:id="18" w:name="_Toc5265"/>
      <w:r>
        <w:rPr>
          <w:rFonts w:ascii="仿宋" w:eastAsia="仿宋" w:hAnsi="仿宋" w:cs="仿宋" w:hint="eastAsia"/>
          <w:lang w:eastAsia="zh-CN"/>
        </w:rPr>
        <w:t>(一)、金属门窗及类似制品项目概况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起源追溯至对市场的深入洞察。市场的不断演变与变革为金属门窗及类似制品项目提供了难得的机遇。当前市场存在的需求缺口和变革的大环境共同构成了金属门窗及类似制品项目的背景。这个金属门窗及类似制品项目旨在充分利用市场机遇，填补行业中尚未满足的需求，为客户提供全新的解决方案。市场的变革和需求的增长使得这个金属门窗及类似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金属门窗及类似制品项目名称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正式命名为金属门窗及类似制品。这个名称不仅仅是一个标识，更代表了金属门窗及类似制品项目的核心理念和愿景。它蕴含着金属门窗及类似制品项目所要解决问题的关键字，具有强烈的表达和辨识度，为金属门窗及类似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金属门窗及类似制品项目目标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核心目标是提供一种全新、高效的解决方案，满足客户日益增长的需求。金属门窗及类似制品项目追求的不仅仅是满足市场需求，更是在市场中获得卓越的竞争优势。通过不断提升产品或服务的质量和创新水平，金属门窗及类似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金属门窗及类似制品项目范围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全面涵盖了产品研发、制造、市场推广和售后服务，确保从产品设计到最终用户体验的全方位关注。这一全面的金属门窗及类似制品项目范围是为了确保金属门窗及类似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金属门窗及类似制品项目时间表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计划在未来18个月内完成，包括研发、测试、市场试点和正式推出等不同阶段。这个时间表的合理设计是为了确保金属门窗及类似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金属门窗及类似制品项目预算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总预算估算为XX百万美元，主要分配在研发、市场推广、人员培训和运营等方面。这一充足的预算为金属门窗及类似制品项目提供了充足的资源，确保金属门窗及类似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金属门窗及类似制品项目风险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可能面临的风险包括市场接受度低、技术难题、竞争激烈等。金属门窗及类似制品项目团队已经制定了相应的风险应对计划，通过前瞻性的风险管理，确保金属门窗及类似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金属门窗及类似制品项目团队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金属门窗及类似制品项目汇聚了一支经验丰富、多领域专业素养的核心团队，确保金属门窗及类似制品项目在各个方面都能拥有高水平的执行力。团队的协同作战是金属门窗及类似制品项目成功的关键因素之一。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金属门窗及类似制品项目背景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金属门窗及类似制品项目的背景根植于市场对更高效、创新产品的渴望，同时也受到科技发展对行业格局的深刻改变的影响。这为金属门窗及类似制品项目提供了广阔的发展空间和市场需求。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金属门窗及类似制品项目现状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截至目前，金属门窗及类似制品项目已完成市场调研和技术验证，取得了初步的成功。这为金属门窗及类似制品项目在未来的发展奠定了坚实的基础，为更远大的目标打下了坚实的基石。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https://d.book118.com/937112035145006026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62D76"/>
    <w:rsid w:val="52B62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120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2024-01-07T01:24:00Z</dcterms:created>
  <dcterms:modified xsi:type="dcterms:W3CDTF">2024-01-07T01:24:18Z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D0A866A4C6AB4786A75CBCA4473123D0_11</vt:lpwstr>
  </property>
  <property fmtid="{D5CDD505-2E9C-101B-9397-08002B2CF9AE}" pid="3" name="KSOProductBuildVer">
    <vt:lpwstr>2052-12.1.0.16120</vt:lpwstr>
  </property>
</Properties>
</file>