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4"/>
        <w:spacing w:before="53" w:line="277" w:lineRule="exact"/>
        <w:ind w:left="0" w:right="267"/>
        <w:jc w:val="center"/>
      </w:pPr>
      <w:r>
        <w:rPr>
          <w:rFonts w:ascii="Times New Roman" w:eastAsia="Times New Roman"/>
        </w:rPr>
        <w:t xml:space="preserve">2015 </w:t>
      </w:r>
      <w:r>
        <w:rPr>
          <w:spacing w:val="-1"/>
        </w:rPr>
        <w:t>年衢州市柯城区万名农民素质提升工程培训机构入围项目采购</w:t>
      </w:r>
    </w:p>
    <w:p>
      <w:pPr>
        <w:tabs>
          <w:tab w:val="left" w:pos="1373"/>
          <w:tab w:val="left" w:pos="2748"/>
          <w:tab w:val="left" w:pos="4121"/>
          <w:tab w:val="left" w:pos="5496"/>
          <w:tab w:val="left" w:pos="6870"/>
        </w:tabs>
        <w:spacing w:before="0" w:line="874" w:lineRule="exact"/>
        <w:ind w:left="0" w:right="276" w:firstLine="0"/>
        <w:jc w:val="center"/>
        <w:rPr>
          <w:rFonts w:ascii="Microsoft JhengHei" w:eastAsia="Microsoft JhengHei"/>
          <w:b/>
          <w:sz w:val="52"/>
        </w:rPr>
      </w:pPr>
      <w:r>
        <w:rPr>
          <w:rFonts w:ascii="Microsoft JhengHei" w:eastAsia="Microsoft JhengHei"/>
          <w:b/>
          <w:spacing w:val="-10"/>
          <w:sz w:val="52"/>
        </w:rPr>
        <w:t>采</w:t>
      </w:r>
      <w:r>
        <w:rPr>
          <w:rFonts w:ascii="Microsoft JhengHei" w:eastAsia="Microsoft JhengHei"/>
          <w:b/>
          <w:sz w:val="52"/>
        </w:rPr>
        <w:tab/>
      </w:r>
      <w:r>
        <w:rPr>
          <w:rFonts w:ascii="Microsoft JhengHei" w:eastAsia="Microsoft JhengHei"/>
          <w:b/>
          <w:spacing w:val="-10"/>
          <w:sz w:val="52"/>
        </w:rPr>
        <w:t>购</w:t>
      </w:r>
      <w:r>
        <w:rPr>
          <w:rFonts w:ascii="Microsoft JhengHei" w:eastAsia="Microsoft JhengHei"/>
          <w:b/>
          <w:sz w:val="52"/>
        </w:rPr>
        <w:tab/>
      </w:r>
      <w:r>
        <w:rPr>
          <w:rFonts w:ascii="Microsoft JhengHei" w:eastAsia="Microsoft JhengHei"/>
          <w:b/>
          <w:spacing w:val="-10"/>
          <w:sz w:val="52"/>
        </w:rPr>
        <w:t>招</w:t>
      </w:r>
      <w:r>
        <w:rPr>
          <w:rFonts w:ascii="Microsoft JhengHei" w:eastAsia="Microsoft JhengHei"/>
          <w:b/>
          <w:sz w:val="52"/>
        </w:rPr>
        <w:tab/>
      </w:r>
      <w:r>
        <w:rPr>
          <w:rFonts w:ascii="Microsoft JhengHei" w:eastAsia="Microsoft JhengHei"/>
          <w:b/>
          <w:spacing w:val="-10"/>
          <w:sz w:val="52"/>
        </w:rPr>
        <w:t>标</w:t>
      </w:r>
      <w:r>
        <w:rPr>
          <w:rFonts w:ascii="Microsoft JhengHei" w:eastAsia="Microsoft JhengHei"/>
          <w:b/>
          <w:sz w:val="52"/>
        </w:rPr>
        <w:tab/>
      </w:r>
      <w:r>
        <w:rPr>
          <w:rFonts w:ascii="Microsoft JhengHei" w:eastAsia="Microsoft JhengHei"/>
          <w:b/>
          <w:spacing w:val="-10"/>
          <w:sz w:val="52"/>
        </w:rPr>
        <w:t>文</w:t>
      </w:r>
      <w:r>
        <w:rPr>
          <w:rFonts w:ascii="Microsoft JhengHei" w:eastAsia="Microsoft JhengHei"/>
          <w:b/>
          <w:sz w:val="52"/>
        </w:rPr>
        <w:tab/>
      </w:r>
      <w:r>
        <w:rPr>
          <w:rFonts w:ascii="Microsoft JhengHei" w:eastAsia="Microsoft JhengHei"/>
          <w:b/>
          <w:spacing w:val="-10"/>
          <w:sz w:val="52"/>
        </w:rPr>
        <w:t>件</w:t>
      </w:r>
    </w:p>
    <w:p>
      <w:pPr>
        <w:pStyle w:val="Heading3"/>
        <w:spacing w:before="427"/>
        <w:ind w:right="265"/>
        <w:rPr>
          <w:rFonts w:ascii="Times New Roman" w:eastAsia="Times New Roman"/>
        </w:rPr>
      </w:pPr>
      <w:r>
        <w:t>项目编号：</w:t>
      </w:r>
      <w:r>
        <w:rPr>
          <w:rFonts w:ascii="Times New Roman" w:eastAsia="Times New Roman"/>
        </w:rPr>
        <w:t>H</w:t>
      </w:r>
      <w:r>
        <w:rPr>
          <w:rFonts w:ascii="Times New Roman" w:eastAsia="Times New Roman"/>
          <w:spacing w:val="-9"/>
        </w:rPr>
        <w:t xml:space="preserve"> </w:t>
      </w:r>
      <w:r>
        <w:rPr>
          <w:rFonts w:ascii="Times New Roman" w:eastAsia="Times New Roman"/>
          <w:spacing w:val="-2"/>
        </w:rPr>
        <w:t>QLWS20151603032</w:t>
      </w:r>
    </w:p>
    <w:p>
      <w:pPr>
        <w:pStyle w:val="BodyText"/>
        <w:rPr>
          <w:rFonts w:ascii="Times New Roman"/>
          <w:b/>
          <w:sz w:val="30"/>
        </w:rPr>
      </w:pPr>
    </w:p>
    <w:p>
      <w:pPr>
        <w:pStyle w:val="BodyText"/>
        <w:spacing w:before="4"/>
        <w:rPr>
          <w:rFonts w:ascii="Times New Roman"/>
          <w:b/>
          <w:sz w:val="31"/>
        </w:rPr>
      </w:pPr>
    </w:p>
    <w:p>
      <w:pPr>
        <w:pStyle w:val="Heading4"/>
        <w:spacing w:line="242" w:lineRule="auto"/>
        <w:ind w:left="1938" w:right="660" w:hanging="1540"/>
      </w:pPr>
      <w:r>
        <w:t>项目名称</w:t>
      </w:r>
      <w:r>
        <w:rPr>
          <w:spacing w:val="80"/>
          <w:w w:val="150"/>
        </w:rPr>
        <w:t xml:space="preserve"> </w:t>
      </w:r>
      <w:r>
        <w:rPr>
          <w:rFonts w:ascii="Times New Roman" w:eastAsia="Times New Roman"/>
        </w:rPr>
        <w:t>:</w:t>
      </w:r>
      <w:r>
        <w:rPr>
          <w:rFonts w:ascii="Times New Roman" w:eastAsia="Times New Roman"/>
          <w:u w:val="single"/>
        </w:rPr>
        <w:t xml:space="preserve"> 2015 </w:t>
      </w:r>
      <w:r>
        <w:rPr>
          <w:u w:val="single"/>
        </w:rPr>
        <w:t>年衢州市柯城区万名农民素质提升工程培训机构入围项</w:t>
      </w:r>
      <w:r>
        <w:rPr>
          <w:spacing w:val="-4"/>
          <w:u w:val="single"/>
        </w:rPr>
        <w:t>目采购</w:t>
      </w:r>
    </w:p>
    <w:p>
      <w:pPr>
        <w:pStyle w:val="BodyText"/>
        <w:rPr>
          <w:sz w:val="20"/>
        </w:rPr>
      </w:pPr>
    </w:p>
    <w:p>
      <w:pPr>
        <w:pStyle w:val="BodyText"/>
        <w:tabs>
          <w:tab w:val="left" w:pos="877"/>
          <w:tab w:val="left" w:pos="6397"/>
          <w:tab w:val="left" w:pos="7517"/>
        </w:tabs>
        <w:spacing w:before="221"/>
        <w:ind w:left="398"/>
        <w:rPr>
          <w:rFonts w:ascii="Times New Roman" w:eastAsia="Times New Roman"/>
        </w:rPr>
      </w:pPr>
      <w:r>
        <w:rPr>
          <w:spacing w:val="-10"/>
        </w:rPr>
        <w:t>招</w:t>
      </w:r>
      <w:r>
        <w:tab/>
        <w:t>标 人：</w:t>
      </w:r>
      <w:r>
        <w:rPr>
          <w:rFonts w:ascii="Times New Roman" w:eastAsia="Times New Roman"/>
          <w:spacing w:val="60"/>
          <w:u w:val="single"/>
        </w:rPr>
        <w:t xml:space="preserve">  </w:t>
      </w:r>
      <w:r>
        <w:rPr>
          <w:u w:val="single"/>
        </w:rPr>
        <w:t>衢州市柯城区农业和农村工作办公</w:t>
      </w:r>
      <w:r>
        <w:rPr>
          <w:spacing w:val="-10"/>
          <w:u w:val="single"/>
        </w:rPr>
        <w:t>室</w:t>
      </w:r>
      <w:r>
        <w:rPr>
          <w:u w:val="single"/>
        </w:rPr>
        <w:tab/>
      </w:r>
      <w:r>
        <w:rPr>
          <w:rFonts w:ascii="Times New Roman" w:eastAsia="Times New Roman"/>
          <w:u w:val="single"/>
        </w:rPr>
        <w:t>(</w:t>
      </w:r>
      <w:r>
        <w:rPr>
          <w:u w:val="single"/>
        </w:rPr>
        <w:t>盖章</w:t>
      </w:r>
      <w:r>
        <w:rPr>
          <w:rFonts w:ascii="Times New Roman" w:eastAsia="Times New Roman"/>
          <w:spacing w:val="-10"/>
          <w:u w:val="single"/>
        </w:rPr>
        <w:t>)</w:t>
      </w:r>
      <w:r>
        <w:rPr>
          <w:rFonts w:ascii="Times New Roman" w:eastAsia="Times New Roman"/>
          <w:u w:val="single"/>
        </w:rPr>
        <w:tab/>
      </w:r>
    </w:p>
    <w:p>
      <w:pPr>
        <w:pStyle w:val="BodyText"/>
        <w:rPr>
          <w:rFonts w:ascii="Times New Roman"/>
          <w:sz w:val="20"/>
        </w:rPr>
      </w:pPr>
    </w:p>
    <w:p>
      <w:pPr>
        <w:pStyle w:val="Heading4"/>
        <w:tabs>
          <w:tab w:val="left" w:pos="6337"/>
          <w:tab w:val="left" w:pos="9044"/>
        </w:tabs>
        <w:spacing w:before="239"/>
        <w:rPr>
          <w:rFonts w:ascii="Times New Roman" w:eastAsia="Times New Roman"/>
        </w:rPr>
      </w:pPr>
      <w:r>
        <w:rPr>
          <w:spacing w:val="15"/>
        </w:rPr>
        <w:t>法定代</w:t>
      </w:r>
      <w:r>
        <w:rPr>
          <w:spacing w:val="16"/>
        </w:rPr>
        <w:t>表</w:t>
      </w:r>
      <w:r>
        <w:rPr>
          <w:spacing w:val="15"/>
        </w:rPr>
        <w:t>人或其委托代</w:t>
      </w:r>
      <w:r>
        <w:rPr>
          <w:spacing w:val="16"/>
        </w:rPr>
        <w:t>理</w:t>
      </w:r>
      <w:r>
        <w:rPr>
          <w:spacing w:val="15"/>
        </w:rPr>
        <w:t>人</w:t>
      </w:r>
      <w:r>
        <w:rPr>
          <w:spacing w:val="-10"/>
        </w:rPr>
        <w:t>：</w:t>
      </w:r>
      <w:r>
        <w:rPr>
          <w:rFonts w:ascii="Times New Roman" w:eastAsia="Times New Roman"/>
          <w:u w:val="single"/>
        </w:rPr>
        <w:tab/>
        <w:t>(</w:t>
      </w:r>
      <w:r>
        <w:rPr>
          <w:u w:val="single"/>
        </w:rPr>
        <w:t>签字或盖章</w:t>
      </w:r>
      <w:r>
        <w:rPr>
          <w:rFonts w:ascii="Times New Roman" w:eastAsia="Times New Roman"/>
          <w:spacing w:val="-10"/>
          <w:u w:val="single"/>
        </w:rPr>
        <w:t>)</w:t>
      </w:r>
      <w:r>
        <w:rPr>
          <w:rFonts w:ascii="Times New Roman" w:eastAsia="Times New Roman"/>
          <w:u w:val="single"/>
        </w:rPr>
        <w:tab/>
      </w:r>
    </w:p>
    <w:p>
      <w:pPr>
        <w:pStyle w:val="BodyText"/>
        <w:rPr>
          <w:rFonts w:ascii="Times New Roman"/>
          <w:sz w:val="20"/>
        </w:rPr>
      </w:pPr>
    </w:p>
    <w:p>
      <w:pPr>
        <w:pStyle w:val="BodyText"/>
        <w:spacing w:before="8"/>
        <w:rPr>
          <w:rFonts w:ascii="Times New Roman"/>
          <w:sz w:val="22"/>
        </w:rPr>
      </w:pPr>
    </w:p>
    <w:p>
      <w:pPr>
        <w:pStyle w:val="Heading4"/>
        <w:tabs>
          <w:tab w:val="left" w:pos="3617"/>
          <w:tab w:val="left" w:pos="4737"/>
          <w:tab w:val="left" w:pos="8891"/>
        </w:tabs>
        <w:spacing w:before="70"/>
        <w:rPr>
          <w:rFonts w:ascii="Times New Roman" w:eastAsia="Times New Roman"/>
        </w:rPr>
      </w:pPr>
      <w:r>
        <w:rPr>
          <w:u w:val="single"/>
        </w:rPr>
        <w:t>联系人：小</w:t>
      </w:r>
      <w:r>
        <w:rPr>
          <w:spacing w:val="-10"/>
          <w:u w:val="single"/>
        </w:rPr>
        <w:t>周</w:t>
      </w:r>
      <w:r>
        <w:rPr>
          <w:u w:val="single"/>
        </w:rPr>
        <w:tab/>
      </w:r>
      <w:r>
        <w:tab/>
      </w:r>
      <w:r>
        <w:rPr>
          <w:u w:val="single"/>
        </w:rPr>
        <w:t>联系电话：</w:t>
      </w:r>
      <w:r>
        <w:rPr>
          <w:rFonts w:ascii="Times New Roman" w:eastAsia="Times New Roman"/>
          <w:u w:val="single"/>
        </w:rPr>
        <w:t>0570-</w:t>
      </w:r>
      <w:r>
        <w:rPr>
          <w:rFonts w:ascii="Times New Roman" w:eastAsia="Times New Roman"/>
          <w:spacing w:val="-2"/>
          <w:u w:val="single"/>
        </w:rPr>
        <w:t>3860167</w:t>
      </w:r>
      <w:r>
        <w:rPr>
          <w:rFonts w:ascii="Times New Roman" w:eastAsia="Times New Roman"/>
          <w:u w:val="single"/>
        </w:rPr>
        <w:tab/>
      </w:r>
    </w:p>
    <w:p>
      <w:pPr>
        <w:pStyle w:val="BodyText"/>
        <w:rPr>
          <w:rFonts w:ascii="Times New Roman"/>
          <w:sz w:val="20"/>
        </w:rPr>
      </w:pPr>
    </w:p>
    <w:p>
      <w:pPr>
        <w:pStyle w:val="BodyText"/>
        <w:spacing w:before="6"/>
        <w:rPr>
          <w:rFonts w:ascii="Times New Roman"/>
          <w:sz w:val="23"/>
        </w:rPr>
      </w:pPr>
    </w:p>
    <w:p>
      <w:pPr>
        <w:pStyle w:val="Heading4"/>
        <w:tabs>
          <w:tab w:val="left" w:pos="7089"/>
        </w:tabs>
        <w:spacing w:line="484" w:lineRule="exact"/>
        <w:rPr>
          <w:rFonts w:ascii="Microsoft JhengHei" w:eastAsia="Microsoft JhengHei"/>
          <w:b/>
        </w:rPr>
      </w:pPr>
      <w:r>
        <w:pict>
          <v:line id="_x0000_s1025" style="mso-position-horizontal-relative:page;position:absolute;z-index:-251658240" from="189.9pt,19.15pt" to="499.9pt,19.15pt" stroked="t" strokecolor="black" strokeweight="1.01pt">
            <v:stroke dashstyle="solid"/>
          </v:line>
        </w:pict>
      </w:r>
      <w:r>
        <w:rPr>
          <w:spacing w:val="-2"/>
        </w:rPr>
        <w:t>招标</w:t>
      </w:r>
      <w:r>
        <w:rPr>
          <w:spacing w:val="-2"/>
        </w:rPr>
        <w:t>代</w:t>
      </w:r>
      <w:r>
        <w:rPr>
          <w:spacing w:val="-2"/>
        </w:rPr>
        <w:t>理</w:t>
      </w:r>
      <w:r>
        <w:rPr>
          <w:spacing w:val="-2"/>
        </w:rPr>
        <w:t>机</w:t>
      </w:r>
      <w:r>
        <w:rPr>
          <w:spacing w:val="-83"/>
        </w:rPr>
        <w:t xml:space="preserve"> </w:t>
      </w:r>
      <w:r>
        <w:rPr>
          <w:spacing w:val="-2"/>
        </w:rPr>
        <w:t>构：</w:t>
      </w:r>
      <w:r>
        <w:rPr>
          <w:spacing w:val="-24"/>
        </w:rPr>
        <w:t xml:space="preserve"> </w:t>
      </w:r>
      <w:r>
        <w:rPr>
          <w:spacing w:val="-2"/>
        </w:rPr>
        <w:t>浙</w:t>
      </w:r>
      <w:r>
        <w:rPr>
          <w:spacing w:val="-2"/>
        </w:rPr>
        <w:t>江</w:t>
      </w:r>
      <w:r>
        <w:rPr>
          <w:spacing w:val="-2"/>
        </w:rPr>
        <w:t>华</w:t>
      </w:r>
      <w:r>
        <w:rPr>
          <w:spacing w:val="-2"/>
        </w:rPr>
        <w:t>耀建</w:t>
      </w:r>
      <w:r>
        <w:rPr>
          <w:spacing w:val="-2"/>
        </w:rPr>
        <w:t>设</w:t>
      </w:r>
      <w:r>
        <w:rPr>
          <w:spacing w:val="-2"/>
        </w:rPr>
        <w:t>咨</w:t>
      </w:r>
      <w:r>
        <w:rPr>
          <w:spacing w:val="-2"/>
        </w:rPr>
        <w:t>询</w:t>
      </w:r>
      <w:r>
        <w:rPr>
          <w:spacing w:val="-2"/>
        </w:rPr>
        <w:t>有</w:t>
      </w:r>
      <w:r>
        <w:rPr>
          <w:spacing w:val="-2"/>
        </w:rPr>
        <w:t>限</w:t>
      </w:r>
      <w:r>
        <w:rPr>
          <w:spacing w:val="-2"/>
        </w:rPr>
        <w:t>公</w:t>
      </w:r>
      <w:r>
        <w:rPr>
          <w:spacing w:val="-10"/>
        </w:rPr>
        <w:t>司</w:t>
      </w:r>
      <w:r>
        <w:tab/>
      </w:r>
      <w:r>
        <w:rPr>
          <w:rFonts w:ascii="Microsoft JhengHei" w:eastAsia="Microsoft JhengHei"/>
          <w:b/>
        </w:rPr>
        <w:t>（盖</w:t>
      </w:r>
      <w:r>
        <w:rPr>
          <w:rFonts w:ascii="Microsoft JhengHei" w:eastAsia="Microsoft JhengHei"/>
          <w:b/>
          <w:spacing w:val="57"/>
        </w:rPr>
        <w:t xml:space="preserve"> </w:t>
      </w:r>
      <w:r>
        <w:rPr>
          <w:rFonts w:ascii="Microsoft JhengHei" w:eastAsia="Microsoft JhengHei"/>
          <w:b/>
        </w:rPr>
        <w:t>章</w:t>
      </w:r>
      <w:r>
        <w:rPr>
          <w:rFonts w:ascii="Microsoft JhengHei" w:eastAsia="Microsoft JhengHei"/>
          <w:b/>
          <w:spacing w:val="-10"/>
        </w:rPr>
        <w:t>）</w:t>
      </w:r>
    </w:p>
    <w:p>
      <w:pPr>
        <w:pStyle w:val="BodyText"/>
        <w:spacing w:before="5"/>
        <w:rPr>
          <w:rFonts w:ascii="Microsoft JhengHei"/>
          <w:b/>
          <w:sz w:val="23"/>
        </w:rPr>
      </w:pPr>
    </w:p>
    <w:p>
      <w:pPr>
        <w:pStyle w:val="Heading4"/>
        <w:tabs>
          <w:tab w:val="left" w:pos="6897"/>
          <w:tab w:val="left" w:pos="9419"/>
        </w:tabs>
        <w:spacing w:before="69"/>
        <w:rPr>
          <w:rFonts w:ascii="Times New Roman" w:eastAsia="Times New Roman"/>
        </w:rPr>
      </w:pPr>
      <w:r>
        <w:rPr>
          <w:spacing w:val="15"/>
        </w:rPr>
        <w:t>法定代</w:t>
      </w:r>
      <w:r>
        <w:rPr>
          <w:spacing w:val="16"/>
        </w:rPr>
        <w:t>表</w:t>
      </w:r>
      <w:r>
        <w:rPr>
          <w:spacing w:val="15"/>
        </w:rPr>
        <w:t>人或其委托代</w:t>
      </w:r>
      <w:r>
        <w:rPr>
          <w:spacing w:val="16"/>
        </w:rPr>
        <w:t>理</w:t>
      </w:r>
      <w:r>
        <w:rPr>
          <w:spacing w:val="15"/>
        </w:rPr>
        <w:t>人</w:t>
      </w:r>
      <w:r>
        <w:rPr>
          <w:spacing w:val="-10"/>
        </w:rPr>
        <w:t>：</w:t>
      </w:r>
      <w:r>
        <w:rPr>
          <w:rFonts w:ascii="Times New Roman" w:eastAsia="Times New Roman"/>
          <w:u w:val="single"/>
        </w:rPr>
        <w:tab/>
        <w:t>(</w:t>
      </w:r>
      <w:r>
        <w:rPr>
          <w:u w:val="single"/>
        </w:rPr>
        <w:t>签字或盖章</w:t>
      </w:r>
      <w:r>
        <w:rPr>
          <w:rFonts w:ascii="Times New Roman" w:eastAsia="Times New Roman"/>
          <w:spacing w:val="-10"/>
          <w:u w:val="single"/>
        </w:rPr>
        <w:t>)</w:t>
      </w:r>
      <w:r>
        <w:rPr>
          <w:rFonts w:ascii="Times New Roman" w:eastAsia="Times New Roman"/>
          <w:u w:val="single"/>
        </w:rPr>
        <w:tab/>
      </w:r>
    </w:p>
    <w:p>
      <w:pPr>
        <w:pStyle w:val="BodyText"/>
        <w:rPr>
          <w:rFonts w:ascii="Times New Roman"/>
          <w:sz w:val="20"/>
        </w:rPr>
      </w:pPr>
    </w:p>
    <w:p>
      <w:pPr>
        <w:pStyle w:val="BodyText"/>
        <w:spacing w:before="9"/>
        <w:rPr>
          <w:rFonts w:ascii="Times New Roman"/>
          <w:sz w:val="22"/>
        </w:rPr>
      </w:pPr>
    </w:p>
    <w:p>
      <w:pPr>
        <w:pStyle w:val="Heading4"/>
        <w:tabs>
          <w:tab w:val="left" w:pos="4177"/>
          <w:tab w:val="left" w:pos="5157"/>
          <w:tab w:val="left" w:pos="9419"/>
        </w:tabs>
        <w:spacing w:before="70"/>
        <w:rPr>
          <w:rFonts w:ascii="Times New Roman" w:eastAsia="Times New Roman"/>
        </w:rPr>
      </w:pPr>
      <w:r>
        <w:rPr>
          <w:u w:val="single"/>
        </w:rPr>
        <w:t>编制人（签名</w:t>
      </w:r>
      <w:r>
        <w:rPr>
          <w:spacing w:val="-5"/>
          <w:u w:val="single"/>
        </w:rPr>
        <w:t>）：</w:t>
      </w:r>
      <w:r>
        <w:rPr>
          <w:u w:val="single"/>
        </w:rPr>
        <w:tab/>
      </w:r>
      <w:r>
        <w:tab/>
      </w:r>
      <w:r>
        <w:rPr>
          <w:u w:val="single"/>
        </w:rPr>
        <w:t>联系电话：</w:t>
      </w:r>
      <w:r>
        <w:rPr>
          <w:rFonts w:ascii="Times New Roman" w:eastAsia="Times New Roman"/>
          <w:u w:val="single"/>
        </w:rPr>
        <w:t>0570-</w:t>
      </w:r>
      <w:r>
        <w:rPr>
          <w:rFonts w:ascii="Times New Roman" w:eastAsia="Times New Roman"/>
          <w:spacing w:val="-2"/>
          <w:u w:val="single"/>
        </w:rPr>
        <w:t>8775166</w:t>
      </w:r>
      <w:r>
        <w:rPr>
          <w:rFonts w:ascii="Times New Roman" w:eastAsia="Times New Roman"/>
          <w:u w:val="single"/>
        </w:rPr>
        <w:tab/>
      </w:r>
    </w:p>
    <w:p>
      <w:pPr>
        <w:pStyle w:val="BodyText"/>
        <w:rPr>
          <w:rFonts w:ascii="Times New Roman"/>
          <w:sz w:val="20"/>
        </w:rPr>
      </w:pPr>
    </w:p>
    <w:p>
      <w:pPr>
        <w:pStyle w:val="Heading4"/>
        <w:tabs>
          <w:tab w:val="left" w:pos="1819"/>
          <w:tab w:val="left" w:pos="2519"/>
        </w:tabs>
        <w:spacing w:before="201"/>
        <w:ind w:left="0" w:right="267"/>
        <w:jc w:val="center"/>
      </w:pPr>
      <w:r>
        <w:t>二〇一五</w:t>
      </w:r>
      <w:r>
        <w:rPr>
          <w:spacing w:val="-10"/>
        </w:rPr>
        <w:t>年</w:t>
      </w:r>
      <w:r>
        <w:tab/>
      </w:r>
      <w:r>
        <w:rPr>
          <w:spacing w:val="-10"/>
        </w:rPr>
        <w:t>月</w:t>
      </w:r>
      <w:r>
        <w:tab/>
      </w:r>
      <w:r>
        <w:rPr>
          <w:spacing w:val="-10"/>
        </w:rPr>
        <w:t>日</w:t>
      </w:r>
    </w:p>
    <w:p>
      <w:pPr>
        <w:pStyle w:val="BodyText"/>
        <w:rPr>
          <w:sz w:val="28"/>
        </w:rPr>
      </w:pPr>
    </w:p>
    <w:p>
      <w:pPr>
        <w:pStyle w:val="BodyText"/>
        <w:spacing w:before="6"/>
        <w:rPr>
          <w:sz w:val="22"/>
        </w:rPr>
      </w:pPr>
    </w:p>
    <w:p>
      <w:pPr>
        <w:tabs>
          <w:tab w:val="left" w:pos="6067"/>
        </w:tabs>
        <w:spacing w:before="0"/>
        <w:ind w:left="938" w:right="0" w:firstLine="0"/>
        <w:jc w:val="left"/>
        <w:rPr>
          <w:sz w:val="18"/>
        </w:rPr>
      </w:pPr>
      <w:r>
        <w:rPr>
          <w:sz w:val="18"/>
        </w:rPr>
        <w:t>区行业主管部门备案</w:t>
      </w:r>
      <w:r>
        <w:rPr>
          <w:spacing w:val="-10"/>
          <w:sz w:val="18"/>
        </w:rPr>
        <w:t>：</w:t>
      </w:r>
      <w:r>
        <w:rPr>
          <w:sz w:val="18"/>
        </w:rPr>
        <w:tab/>
        <w:t>区监管办备案</w:t>
      </w:r>
      <w:r>
        <w:rPr>
          <w:spacing w:val="-10"/>
          <w:sz w:val="18"/>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6"/>
        </w:rPr>
      </w:pPr>
    </w:p>
    <w:p>
      <w:pPr>
        <w:spacing w:before="92"/>
        <w:ind w:left="0" w:right="267" w:firstLine="0"/>
        <w:jc w:val="center"/>
        <w:rPr>
          <w:rFonts w:ascii="Times New Roman"/>
          <w:sz w:val="18"/>
        </w:rPr>
      </w:pPr>
      <w:r>
        <w:pict>
          <v:rect id="_x0000_s1026" style="width:454pt;height:31.12pt;margin-top:-21.37pt;margin-left:69.45pt;mso-position-horizontal-relative:page;position:absolute;z-index:-251657216" filled="t" fillcolor="white" stroked="f">
            <v:fill type="solid"/>
          </v:rect>
        </w:pict>
      </w:r>
      <w:r>
        <w:rPr>
          <w:rFonts w:ascii="Times New Roman"/>
          <w:sz w:val="18"/>
        </w:rPr>
        <w:t>1</w:t>
      </w:r>
    </w:p>
    <w:p>
      <w:pPr>
        <w:spacing w:after="0"/>
        <w:jc w:val="center"/>
        <w:rPr>
          <w:rFonts w:ascii="Times New Roman"/>
          <w:sz w:val="18"/>
        </w:rPr>
        <w:sectPr>
          <w:type w:val="continuous"/>
          <w:pgSz w:w="11910" w:h="16840"/>
          <w:pgMar w:top="1180" w:right="800" w:bottom="280" w:left="1020" w:header="708" w:footer="708"/>
          <w:cols w:space="708"/>
        </w:sectPr>
      </w:pPr>
    </w:p>
    <w:p>
      <w:pPr>
        <w:tabs>
          <w:tab w:val="left" w:pos="641"/>
        </w:tabs>
        <w:spacing w:before="0" w:line="519" w:lineRule="exact"/>
        <w:ind w:left="0" w:right="267" w:firstLine="0"/>
        <w:jc w:val="center"/>
        <w:rPr>
          <w:rFonts w:ascii="Microsoft JhengHei" w:eastAsia="Microsoft JhengHei"/>
          <w:b/>
          <w:sz w:val="32"/>
        </w:rPr>
      </w:pPr>
      <w:r>
        <w:rPr>
          <w:rFonts w:ascii="Microsoft JhengHei" w:eastAsia="Microsoft JhengHei"/>
          <w:b/>
          <w:spacing w:val="-10"/>
          <w:sz w:val="32"/>
        </w:rPr>
        <w:t>目</w:t>
      </w:r>
      <w:r>
        <w:rPr>
          <w:rFonts w:ascii="Microsoft JhengHei" w:eastAsia="Microsoft JhengHei"/>
          <w:b/>
          <w:sz w:val="32"/>
        </w:rPr>
        <w:tab/>
      </w:r>
      <w:r>
        <w:rPr>
          <w:rFonts w:ascii="Microsoft JhengHei" w:eastAsia="Microsoft JhengHei"/>
          <w:b/>
          <w:spacing w:val="-10"/>
          <w:sz w:val="32"/>
        </w:rPr>
        <w:t>录</w:t>
      </w:r>
    </w:p>
    <w:sdt>
      <w:sdtPr>
        <w:id w:val="65578934"/>
        <w:docPartObj>
          <w:docPartGallery w:val="Table of Contents"/>
          <w:docPartUnique/>
        </w:docPartObj>
      </w:sdtPr>
      <w:sdtContent>
        <w:p>
          <w:pPr>
            <w:pStyle w:val="TOC2"/>
            <w:tabs>
              <w:tab w:val="left" w:pos="1597"/>
              <w:tab w:val="right" w:leader="dot" w:pos="8761"/>
            </w:tabs>
            <w:spacing w:before="725"/>
          </w:pPr>
          <w:r>
            <w:fldChar w:fldCharType="begin"/>
          </w:r>
          <w:r>
            <w:instrText xml:space="preserve">TOC \o "1-2" \h \z \u </w:instrText>
          </w:r>
          <w:r>
            <w:fldChar w:fldCharType="separate"/>
          </w:r>
          <w:hyperlink w:anchor="_bookmark0" w:history="1">
            <w:r>
              <w:t>第一部</w:t>
            </w:r>
            <w:r>
              <w:rPr>
                <w:spacing w:val="-10"/>
              </w:rPr>
              <w:t>分</w:t>
            </w:r>
            <w:r>
              <w:tab/>
              <w:t>招标公</w:t>
            </w:r>
            <w:r>
              <w:rPr>
                <w:spacing w:val="-10"/>
              </w:rPr>
              <w:t>告</w:t>
            </w:r>
            <w:r>
              <w:rPr>
                <w:rFonts w:ascii="Times New Roman" w:eastAsia="Times New Roman"/>
              </w:rPr>
              <w:tab/>
            </w:r>
            <w:r>
              <w:rPr>
                <w:spacing w:val="-10"/>
              </w:rPr>
              <w:t>3</w:t>
            </w:r>
          </w:hyperlink>
        </w:p>
        <w:p>
          <w:pPr>
            <w:pStyle w:val="TOC2"/>
            <w:tabs>
              <w:tab w:val="left" w:pos="1597"/>
              <w:tab w:val="right" w:leader="dot" w:pos="8761"/>
            </w:tabs>
          </w:pPr>
          <w:hyperlink w:anchor="_TOC_250003" w:history="1">
            <w:r>
              <w:t>第二部</w:t>
            </w:r>
            <w:r>
              <w:rPr>
                <w:spacing w:val="-10"/>
              </w:rPr>
              <w:t>分</w:t>
            </w:r>
            <w:r>
              <w:tab/>
              <w:t>编制和提交投标文件须</w:t>
            </w:r>
            <w:r>
              <w:rPr>
                <w:spacing w:val="-10"/>
              </w:rPr>
              <w:t>知</w:t>
            </w:r>
            <w:r>
              <w:rPr>
                <w:rFonts w:ascii="Times New Roman" w:eastAsia="Times New Roman"/>
              </w:rPr>
              <w:tab/>
            </w:r>
            <w:r>
              <w:rPr>
                <w:spacing w:val="-10"/>
              </w:rPr>
              <w:t>6</w:t>
            </w:r>
          </w:hyperlink>
        </w:p>
        <w:p>
          <w:pPr>
            <w:pStyle w:val="TOC1"/>
            <w:tabs>
              <w:tab w:val="left" w:pos="1597"/>
              <w:tab w:val="right" w:leader="dot" w:pos="8761"/>
            </w:tabs>
            <w:spacing w:before="280"/>
          </w:pPr>
          <w:hyperlink w:anchor="_TOC_250002" w:history="1">
            <w:r>
              <w:t>第三部</w:t>
            </w:r>
            <w:r>
              <w:rPr>
                <w:spacing w:val="-10"/>
              </w:rPr>
              <w:t>分</w:t>
            </w:r>
            <w:r>
              <w:tab/>
              <w:t>采购内容及要</w:t>
            </w:r>
            <w:r>
              <w:rPr>
                <w:spacing w:val="-10"/>
              </w:rPr>
              <w:t>求</w:t>
            </w:r>
            <w:r>
              <w:rPr>
                <w:rFonts w:ascii="Times New Roman" w:eastAsia="Times New Roman"/>
              </w:rPr>
              <w:tab/>
            </w:r>
            <w:r>
              <w:rPr>
                <w:spacing w:val="-5"/>
              </w:rPr>
              <w:t>16</w:t>
            </w:r>
          </w:hyperlink>
        </w:p>
        <w:p>
          <w:pPr>
            <w:pStyle w:val="TOC2"/>
            <w:tabs>
              <w:tab w:val="left" w:pos="1597"/>
              <w:tab w:val="right" w:leader="dot" w:pos="8761"/>
            </w:tabs>
          </w:pPr>
          <w:hyperlink w:anchor="_TOC_250001" w:history="1">
            <w:r>
              <w:t>第四部</w:t>
            </w:r>
            <w:r>
              <w:rPr>
                <w:spacing w:val="-10"/>
              </w:rPr>
              <w:t>分</w:t>
            </w:r>
            <w:r>
              <w:tab/>
              <w:t>合同主要条</w:t>
            </w:r>
            <w:r>
              <w:rPr>
                <w:spacing w:val="-10"/>
              </w:rPr>
              <w:t>款</w:t>
            </w:r>
            <w:r>
              <w:rPr>
                <w:rFonts w:ascii="Times New Roman" w:eastAsia="Times New Roman"/>
              </w:rPr>
              <w:tab/>
            </w:r>
            <w:r>
              <w:rPr>
                <w:spacing w:val="-5"/>
              </w:rPr>
              <w:t>17</w:t>
            </w:r>
          </w:hyperlink>
        </w:p>
        <w:p>
          <w:pPr>
            <w:pStyle w:val="TOC2"/>
            <w:tabs>
              <w:tab w:val="left" w:pos="1597"/>
              <w:tab w:val="right" w:leader="dot" w:pos="8761"/>
            </w:tabs>
          </w:pPr>
          <w:hyperlink w:anchor="_TOC_250000" w:history="1">
            <w:r>
              <w:t>第五部</w:t>
            </w:r>
            <w:r>
              <w:rPr>
                <w:spacing w:val="-10"/>
              </w:rPr>
              <w:t>分</w:t>
            </w:r>
            <w:r>
              <w:tab/>
              <w:t>应提交的有关格式范</w:t>
            </w:r>
            <w:r>
              <w:rPr>
                <w:spacing w:val="-10"/>
              </w:rPr>
              <w:t>例</w:t>
            </w:r>
            <w:r>
              <w:rPr>
                <w:rFonts w:ascii="Times New Roman" w:eastAsia="Times New Roman"/>
              </w:rPr>
              <w:tab/>
            </w:r>
            <w:r>
              <w:rPr>
                <w:spacing w:val="-5"/>
              </w:rPr>
              <w:t>20</w:t>
            </w:r>
          </w:hyperlink>
        </w:p>
        <w:p>
          <w:r>
            <w:fldChar w:fldCharType="end"/>
          </w:r>
        </w:p>
      </w:sdtContent>
    </w:sdt>
    <w:p>
      <w:pPr>
        <w:spacing w:after="0"/>
        <w:sectPr>
          <w:footerReference w:type="default" r:id="rId4"/>
          <w:pgSz w:w="11910" w:h="16840"/>
          <w:pgMar w:top="1820" w:right="800" w:bottom="1180" w:left="1020" w:header="0" w:footer="990"/>
          <w:pgNumType w:start="2"/>
          <w:cols w:space="708"/>
        </w:sectPr>
      </w:pPr>
    </w:p>
    <w:p>
      <w:pPr>
        <w:pStyle w:val="Heading2"/>
        <w:tabs>
          <w:tab w:val="left" w:pos="1605"/>
        </w:tabs>
      </w:pPr>
      <w:bookmarkStart w:id="0" w:name="_bookmark0"/>
      <w:bookmarkEnd w:id="0"/>
      <w:r>
        <w:t>第</w:t>
      </w:r>
      <w:r>
        <w:t>一</w:t>
      </w:r>
      <w:r>
        <w:t>部</w:t>
      </w:r>
      <w:r>
        <w:rPr>
          <w:spacing w:val="-10"/>
        </w:rPr>
        <w:t>分</w:t>
      </w:r>
      <w:r>
        <w:tab/>
        <w:t>招</w:t>
      </w:r>
      <w:r>
        <w:t>标</w:t>
      </w:r>
      <w:r>
        <w:t>公</w:t>
      </w:r>
      <w:r>
        <w:rPr>
          <w:spacing w:val="-10"/>
        </w:rPr>
        <w:t>告</w:t>
      </w:r>
    </w:p>
    <w:p>
      <w:pPr>
        <w:pStyle w:val="BodyText"/>
        <w:spacing w:before="214" w:line="312" w:lineRule="auto"/>
        <w:ind w:left="398" w:right="663" w:firstLine="480"/>
        <w:jc w:val="both"/>
      </w:pPr>
      <w:r>
        <w:rPr>
          <w:spacing w:val="-19"/>
        </w:rPr>
        <w:t>根据《中华人民共和国政府采购法》、《政府采购货物和服务招标投标管理办法》等</w:t>
      </w:r>
      <w:r>
        <w:rPr>
          <w:spacing w:val="-4"/>
        </w:rPr>
        <w:t>有关规定，经衢州市柯城区财政局政府采购监管处批准，浙江华耀建设咨询有限公司作</w:t>
      </w:r>
      <w:r>
        <w:rPr>
          <w:spacing w:val="-3"/>
        </w:rPr>
        <w:t xml:space="preserve">为招标代理机构，受衢州市柯城区农业和农村工作办公室的委托，就其 </w:t>
      </w:r>
      <w:r>
        <w:rPr>
          <w:spacing w:val="-2"/>
        </w:rPr>
        <w:t>2015</w:t>
      </w:r>
      <w:r>
        <w:rPr>
          <w:spacing w:val="-8"/>
        </w:rPr>
        <w:t xml:space="preserve"> 年衢州市</w:t>
      </w:r>
      <w:r>
        <w:rPr>
          <w:spacing w:val="-2"/>
        </w:rPr>
        <w:t>柯城区万名农民素质提升工程培训机构入围项目采购进行公开招标。具体如下：</w:t>
      </w:r>
    </w:p>
    <w:p>
      <w:pPr>
        <w:pStyle w:val="BodyText"/>
        <w:spacing w:before="1"/>
        <w:ind w:left="875"/>
      </w:pPr>
      <w:r>
        <w:t>1、招标编号</w:t>
      </w:r>
      <w:r>
        <w:rPr>
          <w:spacing w:val="-2"/>
        </w:rPr>
        <w:t>：HQLWS20151603032</w:t>
      </w:r>
    </w:p>
    <w:p>
      <w:pPr>
        <w:pStyle w:val="BodyText"/>
        <w:spacing w:before="93"/>
        <w:ind w:left="878"/>
      </w:pPr>
      <w:r>
        <w:rPr>
          <w:spacing w:val="-2"/>
        </w:rPr>
        <w:t>2、项目名称：2015</w:t>
      </w:r>
      <w:r>
        <w:rPr>
          <w:spacing w:val="-8"/>
        </w:rPr>
        <w:t xml:space="preserve"> 年衢州市柯城区万名农民素质提升工程培训机构入围项目采购</w:t>
      </w:r>
    </w:p>
    <w:p>
      <w:pPr>
        <w:pStyle w:val="BodyText"/>
        <w:spacing w:before="92" w:line="312" w:lineRule="auto"/>
        <w:ind w:left="398" w:right="543" w:firstLine="480"/>
      </w:pPr>
      <w:r>
        <w:rPr>
          <w:spacing w:val="-4"/>
        </w:rPr>
        <w:t>3、采购内容：本次招标根据评标委员会评分，按综合得分从高到低选择入围单位。</w:t>
      </w:r>
      <w:r>
        <w:rPr>
          <w:spacing w:val="-2"/>
        </w:rPr>
        <w:t>具体培训专业（工种</w:t>
      </w:r>
      <w:r>
        <w:rPr>
          <w:spacing w:val="-120"/>
        </w:rPr>
        <w:t>）</w:t>
      </w:r>
      <w:r>
        <w:rPr>
          <w:spacing w:val="-7"/>
        </w:rPr>
        <w:t>、技术要求详见第三部分“项目技术规范和服务要求”。</w:t>
      </w:r>
    </w:p>
    <w:p>
      <w:pPr>
        <w:pStyle w:val="BodyText"/>
        <w:spacing w:before="33"/>
        <w:ind w:left="878"/>
      </w:pPr>
      <w:r>
        <w:rPr>
          <w:rFonts w:ascii="Times New Roman" w:eastAsia="Times New Roman"/>
        </w:rPr>
        <w:t>4</w:t>
      </w:r>
      <w:r>
        <w:rPr>
          <w:spacing w:val="-1"/>
        </w:rPr>
        <w:t>、合格的投标人应同时具备的资格要求：</w:t>
      </w:r>
    </w:p>
    <w:p>
      <w:pPr>
        <w:pStyle w:val="ListParagraph"/>
        <w:numPr>
          <w:ilvl w:val="1"/>
          <w:numId w:val="34"/>
        </w:numPr>
        <w:tabs>
          <w:tab w:val="left" w:pos="1234"/>
        </w:tabs>
        <w:spacing w:before="132" w:after="0" w:line="240" w:lineRule="auto"/>
        <w:ind w:left="1234" w:right="0" w:hanging="360"/>
        <w:jc w:val="left"/>
        <w:rPr>
          <w:sz w:val="24"/>
        </w:rPr>
      </w:pPr>
      <w:r>
        <w:rPr>
          <w:spacing w:val="-1"/>
          <w:sz w:val="24"/>
        </w:rPr>
        <w:t>符合《政府采购法》第二十二条规定条件；</w:t>
      </w:r>
    </w:p>
    <w:p>
      <w:pPr>
        <w:pStyle w:val="ListParagraph"/>
        <w:numPr>
          <w:ilvl w:val="1"/>
          <w:numId w:val="34"/>
        </w:numPr>
        <w:tabs>
          <w:tab w:val="left" w:pos="1220"/>
        </w:tabs>
        <w:spacing w:before="133" w:after="0" w:line="343" w:lineRule="auto"/>
        <w:ind w:left="334" w:right="631" w:firstLine="525"/>
        <w:jc w:val="both"/>
        <w:rPr>
          <w:sz w:val="24"/>
        </w:rPr>
      </w:pPr>
      <w:r>
        <w:rPr>
          <w:spacing w:val="-2"/>
          <w:sz w:val="24"/>
        </w:rPr>
        <w:t>具备县级（含）以上人社部门认定的职业技能培训资质的培训机构或具有独立</w:t>
      </w:r>
      <w:r>
        <w:rPr>
          <w:spacing w:val="-2"/>
          <w:sz w:val="24"/>
        </w:rPr>
        <w:t>法人资格、职业教育和技能培训资质且注册地在衢州市区（柯城区、衢江区、市本级</w:t>
      </w:r>
      <w:r>
        <w:rPr>
          <w:spacing w:val="-2"/>
          <w:sz w:val="24"/>
        </w:rPr>
        <w:t>）</w:t>
      </w:r>
      <w:r>
        <w:rPr>
          <w:spacing w:val="-2"/>
          <w:sz w:val="24"/>
        </w:rPr>
        <w:t>范围内的机构；</w:t>
      </w:r>
    </w:p>
    <w:p>
      <w:pPr>
        <w:pStyle w:val="ListParagraph"/>
        <w:numPr>
          <w:ilvl w:val="1"/>
          <w:numId w:val="34"/>
        </w:numPr>
        <w:tabs>
          <w:tab w:val="left" w:pos="1182"/>
        </w:tabs>
        <w:spacing w:before="1" w:after="0" w:line="240" w:lineRule="auto"/>
        <w:ind w:left="1181" w:right="0" w:hanging="361"/>
        <w:jc w:val="left"/>
        <w:rPr>
          <w:sz w:val="24"/>
        </w:rPr>
      </w:pPr>
      <w:r>
        <w:rPr>
          <w:spacing w:val="-1"/>
          <w:sz w:val="24"/>
        </w:rPr>
        <w:t>项目不接受联合体投标，不允许转包分包。</w:t>
      </w:r>
    </w:p>
    <w:p>
      <w:pPr>
        <w:pStyle w:val="BodyText"/>
        <w:spacing w:before="100"/>
        <w:ind w:left="878"/>
      </w:pPr>
      <w:r>
        <w:t>5</w:t>
      </w:r>
      <w:r>
        <w:rPr>
          <w:spacing w:val="-1"/>
        </w:rPr>
        <w:t>、采购方式：公开招标。</w:t>
      </w:r>
    </w:p>
    <w:p>
      <w:pPr>
        <w:pStyle w:val="BodyText"/>
        <w:spacing w:before="125"/>
        <w:ind w:left="878"/>
      </w:pPr>
      <w:r>
        <w:rPr>
          <w:rFonts w:ascii="Times New Roman" w:eastAsia="Times New Roman"/>
        </w:rPr>
        <w:t>6</w:t>
      </w:r>
      <w:r>
        <w:rPr>
          <w:spacing w:val="-2"/>
        </w:rPr>
        <w:t>、招标文件的获取：</w:t>
      </w:r>
    </w:p>
    <w:p>
      <w:pPr>
        <w:pStyle w:val="BodyText"/>
        <w:spacing w:before="132"/>
        <w:ind w:left="878"/>
      </w:pPr>
      <w:r>
        <w:t>在衢州市柯城区公共资源交易网（</w:t>
      </w:r>
      <w:hyperlink r:id="rId5">
        <w:r>
          <w:t>http://www.kcggzy.com/</w:t>
        </w:r>
      </w:hyperlink>
      <w:r>
        <w:t>）</w:t>
      </w:r>
      <w:r>
        <w:rPr>
          <w:spacing w:val="-10"/>
        </w:rPr>
        <w:t xml:space="preserve">下载，费用 </w:t>
      </w:r>
      <w:r>
        <w:t>300</w:t>
      </w:r>
      <w:r>
        <w:rPr>
          <w:spacing w:val="-23"/>
        </w:rPr>
        <w:t xml:space="preserve"> 元/</w:t>
      </w:r>
    </w:p>
    <w:p>
      <w:pPr>
        <w:pStyle w:val="BodyText"/>
        <w:spacing w:before="133"/>
        <w:ind w:left="398"/>
      </w:pPr>
      <w:r>
        <w:rPr>
          <w:spacing w:val="-1"/>
        </w:rPr>
        <w:t>份，在开标现场缴纳，售后不退。</w:t>
      </w:r>
    </w:p>
    <w:p>
      <w:pPr>
        <w:pStyle w:val="BodyText"/>
        <w:spacing w:before="24"/>
        <w:ind w:left="868"/>
      </w:pPr>
      <w:r>
        <w:t>7</w:t>
      </w:r>
      <w:r>
        <w:rPr>
          <w:spacing w:val="-2"/>
        </w:rPr>
        <w:t>、投标文件的递交：</w:t>
      </w:r>
    </w:p>
    <w:p>
      <w:pPr>
        <w:pStyle w:val="BodyText"/>
        <w:tabs>
          <w:tab w:val="left" w:pos="5146"/>
          <w:tab w:val="left" w:pos="7256"/>
        </w:tabs>
        <w:spacing w:before="80" w:line="297" w:lineRule="auto"/>
        <w:ind w:left="398" w:right="664" w:firstLine="480"/>
      </w:pPr>
      <w:r>
        <w:t>投标文件递交的截止时间为</w:t>
      </w:r>
      <w:r>
        <w:rPr>
          <w:spacing w:val="-38"/>
        </w:rPr>
        <w:t xml:space="preserve"> </w:t>
      </w:r>
      <w:r>
        <w:rPr>
          <w:rFonts w:ascii="Microsoft JhengHei" w:eastAsia="Microsoft JhengHei"/>
          <w:b/>
          <w:u w:val="thick"/>
        </w:rPr>
        <w:t>2015</w:t>
      </w:r>
      <w:r>
        <w:rPr>
          <w:rFonts w:ascii="Microsoft JhengHei" w:eastAsia="Microsoft JhengHei"/>
          <w:b/>
          <w:spacing w:val="40"/>
          <w:u w:val="thick"/>
        </w:rPr>
        <w:t xml:space="preserve"> </w:t>
      </w:r>
      <w:r>
        <w:t>年</w:t>
      </w:r>
      <w:r>
        <w:rPr>
          <w:rFonts w:ascii="Times New Roman" w:eastAsia="Times New Roman"/>
          <w:spacing w:val="40"/>
          <w:u w:val="single"/>
        </w:rPr>
        <w:t xml:space="preserve"> </w:t>
      </w:r>
      <w:r>
        <w:rPr>
          <w:rFonts w:ascii="Times New Roman" w:eastAsia="Times New Roman"/>
          <w:u w:val="single"/>
        </w:rPr>
        <w:t>5</w:t>
        <w:tab/>
      </w:r>
      <w:r>
        <w:t>月</w:t>
      </w:r>
      <w:r>
        <w:rPr>
          <w:rFonts w:ascii="Times New Roman" w:eastAsia="Times New Roman"/>
          <w:spacing w:val="80"/>
          <w:w w:val="150"/>
          <w:u w:val="single"/>
        </w:rPr>
        <w:t xml:space="preserve"> </w:t>
      </w:r>
      <w:r>
        <w:rPr>
          <w:rFonts w:ascii="Times New Roman" w:eastAsia="Times New Roman"/>
          <w:u w:val="single"/>
        </w:rPr>
        <w:t>6</w:t>
      </w:r>
      <w:r>
        <w:rPr>
          <w:rFonts w:ascii="Times New Roman" w:eastAsia="Times New Roman"/>
          <w:spacing w:val="40"/>
          <w:u w:val="single"/>
        </w:rPr>
        <w:t xml:space="preserve"> </w:t>
      </w:r>
      <w:r>
        <w:t>日</w:t>
      </w:r>
      <w:r>
        <w:rPr>
          <w:rFonts w:ascii="Times New Roman" w:eastAsia="Times New Roman"/>
          <w:spacing w:val="80"/>
          <w:w w:val="150"/>
          <w:u w:val="single"/>
        </w:rPr>
        <w:t xml:space="preserve"> </w:t>
      </w:r>
      <w:r>
        <w:rPr>
          <w:rFonts w:ascii="Times New Roman" w:eastAsia="Times New Roman"/>
          <w:u w:val="single"/>
        </w:rPr>
        <w:t>9:30</w:t>
        <w:tab/>
      </w:r>
      <w:r>
        <w:rPr>
          <w:spacing w:val="-2"/>
        </w:rPr>
        <w:t>时</w:t>
      </w:r>
      <w:r>
        <w:rPr>
          <w:spacing w:val="-2"/>
        </w:rPr>
        <w:t>，</w:t>
      </w:r>
      <w:r>
        <w:rPr>
          <w:spacing w:val="-2"/>
        </w:rPr>
        <w:t>地</w:t>
      </w:r>
      <w:r>
        <w:rPr>
          <w:spacing w:val="-2"/>
        </w:rPr>
        <w:t>点</w:t>
      </w:r>
      <w:r>
        <w:rPr>
          <w:spacing w:val="-2"/>
        </w:rPr>
        <w:t>为</w:t>
      </w:r>
      <w:r>
        <w:rPr>
          <w:spacing w:val="-2"/>
        </w:rPr>
        <w:t>衢</w:t>
      </w:r>
      <w:r>
        <w:rPr>
          <w:spacing w:val="-2"/>
        </w:rPr>
        <w:t>州</w:t>
      </w:r>
      <w:r>
        <w:rPr>
          <w:spacing w:val="-2"/>
        </w:rPr>
        <w:t>市</w:t>
      </w:r>
      <w:r>
        <w:rPr>
          <w:spacing w:val="-2"/>
        </w:rPr>
        <w:t>柯</w:t>
      </w:r>
      <w:r>
        <w:rPr>
          <w:spacing w:val="-2"/>
        </w:rPr>
        <w:t>城</w:t>
      </w:r>
      <w:r>
        <w:rPr>
          <w:spacing w:val="-2"/>
        </w:rPr>
        <w:t>区</w:t>
      </w:r>
      <w:r>
        <w:rPr>
          <w:spacing w:val="-2"/>
        </w:rPr>
        <w:t>公</w:t>
      </w:r>
      <w:r>
        <w:rPr>
          <w:spacing w:val="-2"/>
        </w:rPr>
        <w:t>共</w:t>
      </w:r>
      <w:r>
        <w:rPr>
          <w:spacing w:val="-2"/>
        </w:rPr>
        <w:t>资</w:t>
      </w:r>
      <w:r>
        <w:rPr>
          <w:spacing w:val="-2"/>
        </w:rPr>
        <w:t>源</w:t>
      </w:r>
      <w:r>
        <w:rPr>
          <w:spacing w:val="-2"/>
        </w:rPr>
        <w:t>交</w:t>
      </w:r>
      <w:r>
        <w:rPr>
          <w:spacing w:val="-2"/>
        </w:rPr>
        <w:t>易</w:t>
      </w:r>
      <w:r>
        <w:rPr>
          <w:spacing w:val="-2"/>
        </w:rPr>
        <w:t>中</w:t>
      </w:r>
      <w:r>
        <w:rPr>
          <w:spacing w:val="-2"/>
        </w:rPr>
        <w:t>心</w:t>
      </w:r>
      <w:r>
        <w:rPr>
          <w:spacing w:val="-2"/>
        </w:rPr>
        <w:t>公</w:t>
      </w:r>
      <w:r>
        <w:rPr>
          <w:spacing w:val="-2"/>
        </w:rPr>
        <w:t>告</w:t>
      </w:r>
      <w:r>
        <w:rPr>
          <w:spacing w:val="-2"/>
        </w:rPr>
        <w:t>的</w:t>
      </w:r>
      <w:r>
        <w:rPr>
          <w:spacing w:val="-2"/>
        </w:rPr>
        <w:t>开</w:t>
      </w:r>
      <w:r>
        <w:rPr>
          <w:spacing w:val="-2"/>
        </w:rPr>
        <w:t>标</w:t>
      </w:r>
      <w:r>
        <w:rPr>
          <w:spacing w:val="-2"/>
        </w:rPr>
        <w:t>厅</w:t>
      </w:r>
      <w:r>
        <w:rPr>
          <w:spacing w:val="-2"/>
        </w:rPr>
        <w:t>。</w:t>
      </w:r>
    </w:p>
    <w:p>
      <w:pPr>
        <w:pStyle w:val="BodyText"/>
        <w:spacing w:before="161"/>
        <w:ind w:left="832"/>
      </w:pPr>
      <w:r>
        <w:t>8</w:t>
      </w:r>
      <w:r>
        <w:rPr>
          <w:spacing w:val="-1"/>
        </w:rPr>
        <w:t>、开标时间与地点同投标截止时间与地点。</w:t>
      </w:r>
    </w:p>
    <w:p>
      <w:pPr>
        <w:pStyle w:val="BodyText"/>
        <w:spacing w:before="60" w:line="294" w:lineRule="exact"/>
        <w:ind w:left="878"/>
      </w:pPr>
      <w:r>
        <w:t>9</w:t>
      </w:r>
      <w:r>
        <w:rPr>
          <w:spacing w:val="-2"/>
        </w:rPr>
        <w:t>、投标保证金</w:t>
      </w:r>
    </w:p>
    <w:p>
      <w:pPr>
        <w:pStyle w:val="BodyText"/>
        <w:spacing w:before="18" w:line="360" w:lineRule="exact"/>
        <w:ind w:left="398" w:right="543" w:firstLine="480"/>
      </w:pPr>
      <w:r>
        <w:t>本项目投标保证金</w:t>
      </w:r>
      <w:r>
        <w:rPr>
          <w:rFonts w:ascii="Microsoft JhengHei" w:eastAsia="Microsoft JhengHei"/>
          <w:b/>
          <w:spacing w:val="-60"/>
          <w:w w:val="200"/>
          <w:u w:val="thick"/>
        </w:rPr>
        <w:t xml:space="preserve"> </w:t>
      </w:r>
      <w:r>
        <w:rPr>
          <w:rFonts w:ascii="Microsoft JhengHei" w:eastAsia="Microsoft JhengHei"/>
          <w:b/>
          <w:w w:val="83"/>
          <w:u w:val="thick"/>
        </w:rPr>
        <w:t>1</w:t>
      </w:r>
      <w:r>
        <w:rPr>
          <w:rFonts w:ascii="Microsoft JhengHei" w:eastAsia="Microsoft JhengHei"/>
          <w:b/>
          <w:u w:val="thick"/>
        </w:rPr>
        <w:t xml:space="preserve"> 万</w:t>
      </w:r>
      <w:r>
        <w:rPr>
          <w:rFonts w:ascii="Microsoft JhengHei" w:eastAsia="Microsoft JhengHei"/>
          <w:b/>
        </w:rPr>
        <w:t>元</w:t>
      </w:r>
      <w:r>
        <w:rPr>
          <w:spacing w:val="-21"/>
        </w:rPr>
        <w:t xml:space="preserve">整，于 </w:t>
      </w:r>
      <w:r>
        <w:t>2015</w:t>
      </w:r>
      <w:r>
        <w:rPr>
          <w:spacing w:val="-31"/>
        </w:rPr>
        <w:t xml:space="preserve"> 年</w:t>
      </w:r>
      <w:r>
        <w:rPr>
          <w:u w:val="single"/>
        </w:rPr>
        <w:t xml:space="preserve">  5</w:t>
      </w:r>
      <w:r>
        <w:rPr>
          <w:spacing w:val="-31"/>
        </w:rPr>
        <w:t xml:space="preserve"> 月</w:t>
      </w:r>
      <w:r>
        <w:rPr>
          <w:u w:val="single"/>
        </w:rPr>
        <w:t xml:space="preserve">  4</w:t>
      </w:r>
      <w:r>
        <w:rPr>
          <w:spacing w:val="-1"/>
          <w:u w:val="single"/>
        </w:rPr>
        <w:t xml:space="preserve">  </w:t>
      </w:r>
      <w:r>
        <w:rPr>
          <w:spacing w:val="-4"/>
        </w:rPr>
        <w:t>日前足额交纳【于投标截止时</w:t>
      </w:r>
      <w:r>
        <w:rPr>
          <w:spacing w:val="-7"/>
        </w:rPr>
        <w:t>间前将保证金交纳的票据凭证</w:t>
      </w:r>
      <w:r>
        <w:t>（</w:t>
      </w:r>
      <w:r>
        <w:rPr>
          <w:spacing w:val="-6"/>
        </w:rPr>
        <w:t>进帐回单等，可以为复印件</w:t>
      </w:r>
      <w:r>
        <w:rPr>
          <w:spacing w:val="-33"/>
        </w:rPr>
        <w:t>）</w:t>
      </w:r>
      <w:r>
        <w:t>递交浙江华耀建设咨询有</w:t>
      </w:r>
      <w:r>
        <w:rPr>
          <w:spacing w:val="-7"/>
        </w:rPr>
        <w:t>限公司衢州分公司，以便核查保证金到账情况】，保证金</w:t>
      </w:r>
      <w:r>
        <w:rPr>
          <w:rFonts w:ascii="Microsoft JhengHei" w:eastAsia="Microsoft JhengHei"/>
          <w:b/>
        </w:rPr>
        <w:t>以专用账户实际收到款项的时间为准</w:t>
      </w:r>
      <w:r>
        <w:rPr>
          <w:spacing w:val="-18"/>
        </w:rPr>
        <w:t>。交纳地点：浙江华耀建设咨询有限公司衢州分公司(咨询电话：</w:t>
      </w:r>
      <w:r>
        <w:rPr>
          <w:spacing w:val="-1"/>
        </w:rPr>
        <w:t>0570-8775166</w:t>
      </w:r>
      <w:r>
        <w:rPr>
          <w:spacing w:val="-61"/>
        </w:rPr>
        <w:t>）</w:t>
      </w:r>
      <w:r>
        <w:rPr>
          <w:spacing w:val="-1"/>
        </w:rPr>
        <w:t>；</w:t>
      </w:r>
      <w:r>
        <w:rPr>
          <w:spacing w:val="-11"/>
        </w:rPr>
        <w:t>交纳方法：投标人可采用网银</w:t>
      </w:r>
      <w:r>
        <w:t>（电汇）方式交纳，也可采用银行汇票、转帐支票（限衢州市内</w:t>
      </w:r>
      <w:r>
        <w:rPr>
          <w:spacing w:val="-33"/>
        </w:rPr>
        <w:t>）</w:t>
      </w:r>
      <w:r>
        <w:rPr>
          <w:spacing w:val="-4"/>
        </w:rPr>
        <w:t>方式到单位开户行交纳，投标保证金必须从该投标企业自用账户中汇出。开户行：农行衢州市南区支行；帐号：720101040008448；开户单位：浙江华耀建设咨询有限公司衢州分公司。</w:t>
      </w:r>
    </w:p>
    <w:p>
      <w:pPr>
        <w:pStyle w:val="BodyText"/>
        <w:spacing w:before="80"/>
        <w:ind w:left="878"/>
      </w:pPr>
      <w:r>
        <w:rPr>
          <w:rFonts w:ascii="Times New Roman" w:eastAsia="Times New Roman"/>
        </w:rPr>
        <w:t>10</w:t>
      </w:r>
      <w:r>
        <w:rPr>
          <w:spacing w:val="-2"/>
        </w:rPr>
        <w:t>、招标文件的澄清：</w:t>
      </w:r>
    </w:p>
    <w:p>
      <w:pPr>
        <w:pStyle w:val="ListParagraph"/>
        <w:numPr>
          <w:ilvl w:val="1"/>
          <w:numId w:val="33"/>
        </w:numPr>
        <w:tabs>
          <w:tab w:val="left" w:pos="1418"/>
        </w:tabs>
        <w:spacing w:before="93" w:after="0" w:line="240" w:lineRule="auto"/>
        <w:ind w:left="1418" w:right="0" w:hanging="540"/>
        <w:jc w:val="left"/>
        <w:rPr>
          <w:sz w:val="24"/>
        </w:rPr>
      </w:pPr>
      <w:r>
        <w:rPr>
          <w:spacing w:val="-1"/>
          <w:sz w:val="24"/>
        </w:rPr>
        <w:t>投标人应仔细阅读和检查招标文件的全部内容。如发现缺页或附件不全，应</w:t>
      </w:r>
    </w:p>
    <w:p>
      <w:pPr>
        <w:spacing w:after="0" w:line="240" w:lineRule="auto"/>
        <w:jc w:val="left"/>
        <w:rPr>
          <w:sz w:val="24"/>
        </w:rPr>
        <w:sectPr>
          <w:footerReference w:type="default" r:id="rId6"/>
          <w:pgSz w:w="11910" w:h="16840"/>
          <w:pgMar w:top="1200" w:right="800" w:bottom="1180" w:left="1020" w:header="0" w:footer="990"/>
          <w:pgNumType w:start="3"/>
          <w:cols w:space="708"/>
        </w:sectPr>
      </w:pPr>
    </w:p>
    <w:p>
      <w:pPr>
        <w:pStyle w:val="BodyText"/>
        <w:spacing w:before="49" w:line="312" w:lineRule="auto"/>
        <w:ind w:left="398" w:right="663"/>
        <w:jc w:val="both"/>
      </w:pPr>
      <w:r>
        <w:rPr>
          <w:spacing w:val="-4"/>
        </w:rPr>
        <w:t>及时向招标人提出，以便补齐。投标人在收到招标文件后，对招标文件任何部分若有任</w:t>
      </w:r>
      <w:r>
        <w:rPr>
          <w:spacing w:val="-3"/>
        </w:rPr>
        <w:t xml:space="preserve">何疑问，要求答复或澄清招标文件的，均应在投标截止时间 </w:t>
      </w:r>
      <w:r>
        <w:rPr>
          <w:spacing w:val="-2"/>
        </w:rPr>
        <w:t>16</w:t>
      </w:r>
      <w:r>
        <w:rPr>
          <w:spacing w:val="-7"/>
        </w:rPr>
        <w:t xml:space="preserve"> 天前以书面形式向招标</w:t>
      </w:r>
      <w:r>
        <w:rPr>
          <w:spacing w:val="-4"/>
        </w:rPr>
        <w:t>人提交。</w:t>
      </w:r>
    </w:p>
    <w:p>
      <w:pPr>
        <w:pStyle w:val="ListParagraph"/>
        <w:numPr>
          <w:ilvl w:val="1"/>
          <w:numId w:val="35"/>
        </w:numPr>
        <w:tabs>
          <w:tab w:val="left" w:pos="1418"/>
        </w:tabs>
        <w:spacing w:before="0" w:after="0" w:line="252" w:lineRule="auto"/>
        <w:ind w:left="398" w:right="664" w:firstLine="480"/>
        <w:jc w:val="both"/>
        <w:rPr>
          <w:rFonts w:ascii="微软雅黑" w:eastAsia="微软雅黑"/>
          <w:b/>
          <w:sz w:val="24"/>
        </w:rPr>
      </w:pPr>
      <w:r>
        <w:rPr>
          <w:spacing w:val="-2"/>
          <w:sz w:val="24"/>
        </w:rPr>
        <w:t>不论是招标人根据需要主动对招标文件进行必要的澄清或是根据投标人的要</w:t>
      </w:r>
      <w:r>
        <w:rPr>
          <w:spacing w:val="-29"/>
          <w:sz w:val="24"/>
        </w:rPr>
        <w:t xml:space="preserve">求 对 招 标 文 件 做 出 澄 清 ， </w:t>
      </w:r>
      <w:r>
        <w:rPr>
          <w:rFonts w:ascii="微软雅黑" w:eastAsia="微软雅黑"/>
          <w:b/>
          <w:spacing w:val="-2"/>
          <w:sz w:val="24"/>
        </w:rPr>
        <w:t>招 标 文 件 的 澄 清 在 柯 城 区 公 共 资 源 交 易 网</w:t>
      </w:r>
    </w:p>
    <w:p>
      <w:pPr>
        <w:pStyle w:val="Heading5"/>
        <w:spacing w:line="357" w:lineRule="exact"/>
      </w:pPr>
      <w:r>
        <w:t>（</w:t>
      </w:r>
      <w:hyperlink r:id="rId5">
        <w:r>
          <w:rPr>
            <w:rFonts w:ascii="Times New Roman" w:eastAsia="Times New Roman"/>
          </w:rPr>
          <w:t>http://www.kcggzy.com/</w:t>
        </w:r>
      </w:hyperlink>
      <w:r>
        <w:t>）</w:t>
      </w:r>
      <w:r>
        <w:rPr>
          <w:spacing w:val="-1"/>
        </w:rPr>
        <w:t>上公布，在投标截止时间前，投标人须自行到网上查看，</w:t>
      </w:r>
    </w:p>
    <w:p>
      <w:pPr>
        <w:spacing w:before="0" w:line="421" w:lineRule="exact"/>
        <w:ind w:left="398" w:right="0" w:firstLine="0"/>
        <w:jc w:val="left"/>
        <w:rPr>
          <w:sz w:val="24"/>
        </w:rPr>
      </w:pPr>
      <w:r>
        <w:rPr>
          <w:rFonts w:ascii="微软雅黑" w:eastAsia="微软雅黑"/>
          <w:b/>
          <w:spacing w:val="-4"/>
          <w:sz w:val="24"/>
        </w:rPr>
        <w:t>视为已获取。澄清作为招标文件的组成部分，具有约束作用。</w:t>
      </w:r>
      <w:r>
        <w:rPr>
          <w:spacing w:val="-5"/>
          <w:sz w:val="24"/>
        </w:rPr>
        <w:t>如果澄清发出的时间距投</w:t>
      </w:r>
    </w:p>
    <w:p>
      <w:pPr>
        <w:pStyle w:val="BodyText"/>
        <w:spacing w:before="35"/>
        <w:ind w:left="398"/>
        <w:jc w:val="both"/>
      </w:pPr>
      <w:r>
        <w:rPr>
          <w:spacing w:val="-4"/>
        </w:rPr>
        <w:t xml:space="preserve">标人须知前附表规定的投标截止时间不足 </w:t>
      </w:r>
      <w:r>
        <w:t>15</w:t>
      </w:r>
      <w:r>
        <w:rPr>
          <w:spacing w:val="-9"/>
        </w:rPr>
        <w:t xml:space="preserve"> 天，相应延长投标截止时间。</w:t>
      </w:r>
    </w:p>
    <w:p>
      <w:pPr>
        <w:pStyle w:val="ListParagraph"/>
        <w:numPr>
          <w:ilvl w:val="1"/>
          <w:numId w:val="35"/>
        </w:numPr>
        <w:tabs>
          <w:tab w:val="left" w:pos="1418"/>
        </w:tabs>
        <w:spacing w:before="92" w:after="0" w:line="312" w:lineRule="auto"/>
        <w:ind w:left="398" w:right="663" w:firstLine="480"/>
        <w:jc w:val="both"/>
        <w:rPr>
          <w:sz w:val="24"/>
        </w:rPr>
      </w:pPr>
      <w:r>
        <w:rPr>
          <w:spacing w:val="-2"/>
          <w:sz w:val="24"/>
        </w:rPr>
        <w:t>投标人应及时上网查阅和下载招标人在衢州市柯城区公共资源交易网站“答</w:t>
      </w:r>
      <w:r>
        <w:rPr>
          <w:spacing w:val="-4"/>
          <w:sz w:val="24"/>
        </w:rPr>
        <w:t>疑澄清”栏上公布的本项目招标文件的澄清，投标人可以不作收到澄清确认。投标人在</w:t>
      </w:r>
      <w:r>
        <w:rPr>
          <w:spacing w:val="-4"/>
          <w:sz w:val="24"/>
        </w:rPr>
        <w:t>规定时间未提交疑问的，视作默认对本次招标过程中招标文件无疑问，招标人对其提出</w:t>
      </w:r>
      <w:r>
        <w:rPr>
          <w:spacing w:val="-2"/>
          <w:sz w:val="24"/>
        </w:rPr>
        <w:t>的问题可以不作澄清。</w:t>
      </w:r>
    </w:p>
    <w:p>
      <w:pPr>
        <w:pStyle w:val="BodyText"/>
        <w:spacing w:before="1"/>
        <w:ind w:left="878"/>
      </w:pPr>
      <w:r>
        <w:t>11</w:t>
      </w:r>
      <w:r>
        <w:rPr>
          <w:spacing w:val="-2"/>
        </w:rPr>
        <w:t>、招标文件的修改：</w:t>
      </w:r>
    </w:p>
    <w:p>
      <w:pPr>
        <w:pStyle w:val="ListParagraph"/>
        <w:numPr>
          <w:ilvl w:val="1"/>
          <w:numId w:val="32"/>
        </w:numPr>
        <w:tabs>
          <w:tab w:val="left" w:pos="1418"/>
        </w:tabs>
        <w:spacing w:before="93" w:after="0" w:line="312" w:lineRule="auto"/>
        <w:ind w:left="398" w:right="627" w:firstLine="480"/>
        <w:jc w:val="left"/>
        <w:rPr>
          <w:sz w:val="24"/>
        </w:rPr>
      </w:pPr>
      <w:r>
        <w:rPr>
          <w:spacing w:val="-5"/>
          <w:sz w:val="24"/>
        </w:rPr>
        <w:t xml:space="preserve">招标文件发出后，在投标截止时间 </w:t>
      </w:r>
      <w:r>
        <w:rPr>
          <w:spacing w:val="-2"/>
          <w:sz w:val="24"/>
        </w:rPr>
        <w:t>15</w:t>
      </w:r>
      <w:r>
        <w:rPr>
          <w:spacing w:val="-9"/>
          <w:sz w:val="24"/>
        </w:rPr>
        <w:t xml:space="preserve"> 天前的任何时候，无论出于何种原因，</w:t>
      </w:r>
      <w:r>
        <w:rPr>
          <w:spacing w:val="-2"/>
          <w:sz w:val="24"/>
        </w:rPr>
        <w:t>招标人可主动地或在解答投标人提出的澄清问题时对招标文件进行修改；</w:t>
      </w:r>
    </w:p>
    <w:p>
      <w:pPr>
        <w:pStyle w:val="ListParagraph"/>
        <w:numPr>
          <w:ilvl w:val="1"/>
          <w:numId w:val="32"/>
        </w:numPr>
        <w:tabs>
          <w:tab w:val="left" w:pos="1418"/>
        </w:tabs>
        <w:spacing w:before="0" w:after="0" w:line="232" w:lineRule="exact"/>
        <w:ind w:left="1418" w:right="0" w:hanging="540"/>
        <w:jc w:val="left"/>
        <w:rPr>
          <w:sz w:val="24"/>
        </w:rPr>
      </w:pPr>
      <w:r>
        <w:rPr>
          <w:spacing w:val="-1"/>
          <w:sz w:val="24"/>
        </w:rPr>
        <w:t>招标文件的修改将以网上公布形式发送给所有投标人，招标文件的修改作为</w:t>
      </w:r>
    </w:p>
    <w:p>
      <w:pPr>
        <w:pStyle w:val="BodyText"/>
        <w:spacing w:before="159" w:line="364" w:lineRule="auto"/>
        <w:ind w:left="398" w:right="543"/>
      </w:pPr>
      <w:r>
        <w:rPr>
          <w:spacing w:val="-11"/>
        </w:rPr>
        <w:t>招标文件的组成部分，并具有约束作用；在投标截止时间前，投标人须自行到网上查看，</w:t>
      </w:r>
      <w:r>
        <w:rPr>
          <w:spacing w:val="-2"/>
        </w:rPr>
        <w:t>视为已获取。修改作为招标文件的组成部分，具有约束作用。</w:t>
      </w:r>
    </w:p>
    <w:p>
      <w:pPr>
        <w:pStyle w:val="ListParagraph"/>
        <w:numPr>
          <w:ilvl w:val="1"/>
          <w:numId w:val="32"/>
        </w:numPr>
        <w:tabs>
          <w:tab w:val="left" w:pos="1479"/>
        </w:tabs>
        <w:spacing w:before="0" w:after="0" w:line="364" w:lineRule="auto"/>
        <w:ind w:left="398" w:right="663" w:firstLine="480"/>
        <w:jc w:val="both"/>
        <w:rPr>
          <w:sz w:val="24"/>
        </w:rPr>
      </w:pPr>
      <w:r>
        <w:rPr>
          <w:spacing w:val="-2"/>
          <w:sz w:val="24"/>
        </w:rPr>
        <w:t>招标文件、招标文件澄清（答疑）、招标文件修改补充通知内容均以网上公</w:t>
      </w:r>
      <w:r>
        <w:rPr>
          <w:spacing w:val="-4"/>
          <w:sz w:val="24"/>
        </w:rPr>
        <w:t>布的内容为准。当招标文件、修改补充通知、澄清(答疑)内容相互矛盾时，以最后发出</w:t>
      </w:r>
      <w:r>
        <w:rPr>
          <w:spacing w:val="-2"/>
          <w:sz w:val="24"/>
        </w:rPr>
        <w:t>的通知或修改文件为准；</w:t>
      </w:r>
    </w:p>
    <w:p>
      <w:pPr>
        <w:pStyle w:val="ListParagraph"/>
        <w:numPr>
          <w:ilvl w:val="1"/>
          <w:numId w:val="32"/>
        </w:numPr>
        <w:tabs>
          <w:tab w:val="left" w:pos="1479"/>
        </w:tabs>
        <w:spacing w:before="0" w:after="0" w:line="306" w:lineRule="exact"/>
        <w:ind w:left="1478" w:right="0" w:hanging="601"/>
        <w:jc w:val="both"/>
        <w:rPr>
          <w:sz w:val="24"/>
        </w:rPr>
      </w:pPr>
      <w:r>
        <w:rPr>
          <w:sz w:val="24"/>
        </w:rPr>
        <w:t>招标人保证招标文件澄清（答疑）</w:t>
      </w:r>
      <w:r>
        <w:rPr>
          <w:spacing w:val="-1"/>
          <w:sz w:val="24"/>
        </w:rPr>
        <w:t>和招标文件修改补充通知在投标截止时间</w:t>
      </w:r>
    </w:p>
    <w:p>
      <w:pPr>
        <w:pStyle w:val="BodyText"/>
        <w:spacing w:before="158"/>
        <w:ind w:left="398"/>
        <w:jc w:val="both"/>
      </w:pPr>
      <w:r>
        <w:rPr>
          <w:spacing w:val="-18"/>
        </w:rPr>
        <w:t xml:space="preserve">至少 </w:t>
      </w:r>
      <w:r>
        <w:rPr>
          <w:spacing w:val="-2"/>
        </w:rPr>
        <w:t>15</w:t>
      </w:r>
      <w:r>
        <w:rPr>
          <w:spacing w:val="-11"/>
        </w:rPr>
        <w:t xml:space="preserve"> 日前以网上公布形式发给所有投标人。如果发出的时间距投标截止时间不足 </w:t>
      </w:r>
      <w:r>
        <w:rPr>
          <w:spacing w:val="-5"/>
        </w:rPr>
        <w:t>15</w:t>
      </w:r>
    </w:p>
    <w:p>
      <w:pPr>
        <w:pStyle w:val="BodyText"/>
        <w:spacing w:before="160"/>
        <w:ind w:left="398"/>
      </w:pPr>
      <w:r>
        <w:rPr>
          <w:spacing w:val="-1"/>
        </w:rPr>
        <w:t>天，相应延长投标截止时间。</w:t>
      </w:r>
    </w:p>
    <w:p>
      <w:pPr>
        <w:pStyle w:val="BodyText"/>
        <w:spacing w:before="5"/>
        <w:rPr>
          <w:sz w:val="18"/>
        </w:rPr>
      </w:pPr>
    </w:p>
    <w:p>
      <w:pPr>
        <w:pStyle w:val="BodyText"/>
        <w:ind w:left="878"/>
      </w:pPr>
      <w:r>
        <w:t>13</w:t>
      </w:r>
      <w:r>
        <w:rPr>
          <w:spacing w:val="-2"/>
        </w:rPr>
        <w:t>、项目监管部门：</w:t>
      </w:r>
    </w:p>
    <w:p>
      <w:pPr>
        <w:pStyle w:val="BodyText"/>
        <w:spacing w:before="92"/>
        <w:ind w:left="878"/>
      </w:pPr>
      <w:r>
        <w:rPr>
          <w:spacing w:val="-14"/>
        </w:rPr>
        <w:t>同级政府采购监管管理部门：衢州市柯城区财政局政府采购监管处，监督投诉电话：</w:t>
      </w:r>
    </w:p>
    <w:p>
      <w:pPr>
        <w:pStyle w:val="BodyText"/>
        <w:spacing w:before="93"/>
        <w:ind w:left="398"/>
      </w:pPr>
      <w:r>
        <w:t>0570-3021601</w:t>
      </w:r>
      <w:r>
        <w:rPr>
          <w:spacing w:val="-10"/>
        </w:rPr>
        <w:t>。</w:t>
      </w:r>
    </w:p>
    <w:p>
      <w:pPr>
        <w:pStyle w:val="BodyText"/>
        <w:spacing w:before="6"/>
        <w:rPr>
          <w:sz w:val="32"/>
        </w:rPr>
      </w:pPr>
    </w:p>
    <w:p>
      <w:pPr>
        <w:pStyle w:val="BodyText"/>
        <w:ind w:left="878"/>
      </w:pPr>
      <w:r>
        <w:t>12</w:t>
      </w:r>
      <w:r>
        <w:rPr>
          <w:spacing w:val="-2"/>
        </w:rPr>
        <w:t>、联系方式：</w:t>
      </w:r>
    </w:p>
    <w:p>
      <w:pPr>
        <w:pStyle w:val="BodyText"/>
        <w:spacing w:before="159"/>
        <w:ind w:left="878"/>
      </w:pPr>
      <w:r>
        <w:rPr>
          <w:spacing w:val="-1"/>
        </w:rPr>
        <w:t>浙江华耀建设咨询有限公司</w:t>
      </w:r>
    </w:p>
    <w:p>
      <w:pPr>
        <w:pStyle w:val="BodyText"/>
        <w:tabs>
          <w:tab w:val="left" w:pos="3037"/>
        </w:tabs>
        <w:spacing w:before="160" w:line="364" w:lineRule="auto"/>
        <w:ind w:left="878" w:right="4887"/>
      </w:pPr>
      <w:r>
        <w:rPr>
          <w:spacing w:val="-2"/>
        </w:rPr>
        <w:t>联</w:t>
      </w:r>
      <w:r>
        <w:rPr>
          <w:spacing w:val="-2"/>
        </w:rPr>
        <w:t>系</w:t>
      </w:r>
      <w:r>
        <w:rPr>
          <w:spacing w:val="-2"/>
        </w:rPr>
        <w:t>人</w:t>
      </w:r>
      <w:r>
        <w:rPr>
          <w:spacing w:val="-2"/>
        </w:rPr>
        <w:t>：</w:t>
      </w:r>
      <w:r>
        <w:rPr>
          <w:spacing w:val="-2"/>
        </w:rPr>
        <w:t>小</w:t>
      </w:r>
      <w:r>
        <w:rPr>
          <w:spacing w:val="-2"/>
        </w:rPr>
        <w:t>林</w:t>
      </w:r>
      <w:r>
        <w:tab/>
      </w:r>
      <w:r>
        <w:rPr>
          <w:spacing w:val="-2"/>
        </w:rPr>
        <w:t>电</w:t>
      </w:r>
      <w:r>
        <w:rPr>
          <w:spacing w:val="-2"/>
        </w:rPr>
        <w:t>话</w:t>
      </w:r>
      <w:r>
        <w:rPr>
          <w:spacing w:val="-2"/>
        </w:rPr>
        <w:t>：0570-8775166衢</w:t>
      </w:r>
      <w:r>
        <w:rPr>
          <w:spacing w:val="-2"/>
        </w:rPr>
        <w:t>州</w:t>
      </w:r>
      <w:r>
        <w:rPr>
          <w:spacing w:val="-2"/>
        </w:rPr>
        <w:t>市</w:t>
      </w:r>
      <w:r>
        <w:rPr>
          <w:spacing w:val="-2"/>
        </w:rPr>
        <w:t>柯</w:t>
      </w:r>
      <w:r>
        <w:rPr>
          <w:spacing w:val="-2"/>
        </w:rPr>
        <w:t>城</w:t>
      </w:r>
      <w:r>
        <w:rPr>
          <w:spacing w:val="-2"/>
        </w:rPr>
        <w:t>区</w:t>
      </w:r>
      <w:r>
        <w:rPr>
          <w:spacing w:val="-2"/>
        </w:rPr>
        <w:t>农</w:t>
      </w:r>
      <w:r>
        <w:rPr>
          <w:spacing w:val="-2"/>
        </w:rPr>
        <w:t>业</w:t>
      </w:r>
      <w:r>
        <w:rPr>
          <w:spacing w:val="-2"/>
        </w:rPr>
        <w:t>和</w:t>
      </w:r>
      <w:r>
        <w:rPr>
          <w:spacing w:val="-2"/>
        </w:rPr>
        <w:t>农</w:t>
      </w:r>
      <w:r>
        <w:rPr>
          <w:spacing w:val="-2"/>
        </w:rPr>
        <w:t>村</w:t>
      </w:r>
      <w:r>
        <w:rPr>
          <w:spacing w:val="-2"/>
        </w:rPr>
        <w:t>工</w:t>
      </w:r>
      <w:r>
        <w:rPr>
          <w:spacing w:val="-2"/>
        </w:rPr>
        <w:t>作</w:t>
      </w:r>
      <w:r>
        <w:rPr>
          <w:spacing w:val="-2"/>
        </w:rPr>
        <w:t>办</w:t>
      </w:r>
      <w:r>
        <w:rPr>
          <w:spacing w:val="-2"/>
        </w:rPr>
        <w:t>公</w:t>
      </w:r>
      <w:r>
        <w:rPr>
          <w:spacing w:val="-2"/>
        </w:rPr>
        <w:t>室</w:t>
      </w:r>
    </w:p>
    <w:p>
      <w:pPr>
        <w:pStyle w:val="BodyText"/>
        <w:tabs>
          <w:tab w:val="left" w:pos="3037"/>
        </w:tabs>
        <w:spacing w:line="306" w:lineRule="exact"/>
        <w:ind w:left="878"/>
      </w:pPr>
      <w:r>
        <w:t>联系人：小</w:t>
      </w:r>
      <w:r>
        <w:rPr>
          <w:spacing w:val="-10"/>
        </w:rPr>
        <w:t>周</w:t>
      </w:r>
      <w:r>
        <w:tab/>
        <w:t>电话：0570-</w:t>
      </w:r>
      <w:r>
        <w:rPr>
          <w:spacing w:val="-2"/>
        </w:rPr>
        <w:t>3860167</w:t>
      </w:r>
    </w:p>
    <w:p>
      <w:pPr>
        <w:spacing w:after="0" w:line="306" w:lineRule="exact"/>
        <w:sectPr>
          <w:footerReference w:type="default" r:id="rId7"/>
          <w:pgSz w:w="11910" w:h="16840"/>
          <w:pgMar w:top="1260" w:right="800" w:bottom="1180" w:left="1020" w:header="0" w:footer="990"/>
          <w:pgNumType w:start="4"/>
          <w:cols w:space="708"/>
        </w:sectPr>
      </w:pPr>
    </w:p>
    <w:p>
      <w:pPr>
        <w:pStyle w:val="BodyText"/>
        <w:rPr>
          <w:sz w:val="20"/>
        </w:rPr>
      </w:pPr>
    </w:p>
    <w:p>
      <w:pPr>
        <w:pStyle w:val="BodyText"/>
        <w:rPr>
          <w:sz w:val="20"/>
        </w:rPr>
      </w:pPr>
    </w:p>
    <w:p>
      <w:pPr>
        <w:pStyle w:val="BodyText"/>
        <w:spacing w:before="201" w:line="364" w:lineRule="auto"/>
        <w:ind w:left="6531" w:right="665" w:hanging="952"/>
        <w:jc w:val="right"/>
      </w:pPr>
      <w:r>
        <w:rPr>
          <w:spacing w:val="-2"/>
        </w:rPr>
        <w:t>衢州市柯城区农业和农村工作办公室</w:t>
      </w:r>
      <w:r>
        <w:rPr>
          <w:spacing w:val="-1"/>
        </w:rPr>
        <w:t>浙江华耀建设咨询有限公司</w:t>
      </w:r>
    </w:p>
    <w:p>
      <w:pPr>
        <w:pStyle w:val="BodyText"/>
        <w:spacing w:line="306" w:lineRule="exact"/>
        <w:ind w:right="673"/>
        <w:jc w:val="right"/>
      </w:pPr>
      <w:r>
        <w:rPr>
          <w:spacing w:val="-1"/>
        </w:rPr>
        <w:t>衢州市柯城区公共资源交易中心</w:t>
      </w:r>
    </w:p>
    <w:p>
      <w:pPr>
        <w:pStyle w:val="BodyText"/>
        <w:spacing w:before="159"/>
        <w:ind w:right="913"/>
        <w:jc w:val="right"/>
      </w:pPr>
      <w:r>
        <w:t>2015</w:t>
      </w:r>
      <w:r>
        <w:rPr>
          <w:spacing w:val="-20"/>
        </w:rPr>
        <w:t xml:space="preserve"> 年 </w:t>
      </w:r>
      <w:r>
        <w:t>4</w:t>
      </w:r>
      <w:r>
        <w:rPr>
          <w:spacing w:val="-20"/>
        </w:rPr>
        <w:t xml:space="preserve"> 月 </w:t>
      </w:r>
      <w:r>
        <w:t>15</w:t>
      </w:r>
      <w:r>
        <w:rPr>
          <w:spacing w:val="-5"/>
        </w:rPr>
        <w:t xml:space="preserve"> 日</w:t>
      </w:r>
    </w:p>
    <w:p>
      <w:pPr>
        <w:spacing w:after="0"/>
        <w:jc w:val="right"/>
        <w:sectPr>
          <w:footerReference w:type="default" r:id="rId8"/>
          <w:pgSz w:w="11910" w:h="16840"/>
          <w:pgMar w:top="1920" w:right="800" w:bottom="1180" w:left="1020" w:header="0" w:footer="990"/>
          <w:pgNumType w:start="5"/>
          <w:cols w:space="708"/>
        </w:sectPr>
      </w:pPr>
    </w:p>
    <w:p>
      <w:pPr>
        <w:pStyle w:val="Heading2"/>
        <w:tabs>
          <w:tab w:val="left" w:pos="1605"/>
        </w:tabs>
        <w:spacing w:line="521" w:lineRule="exact"/>
        <w:rPr>
          <w:rFonts w:ascii="微软雅黑" w:eastAsia="微软雅黑"/>
        </w:rPr>
      </w:pPr>
      <w:bookmarkStart w:id="1" w:name="_TOC_250003"/>
      <w:r>
        <w:rPr>
          <w:rFonts w:ascii="微软雅黑" w:eastAsia="微软雅黑"/>
        </w:rPr>
        <w:t>第</w:t>
      </w:r>
      <w:r>
        <w:rPr>
          <w:rFonts w:ascii="微软雅黑" w:eastAsia="微软雅黑"/>
        </w:rPr>
        <w:t>二</w:t>
      </w:r>
      <w:r>
        <w:rPr>
          <w:rFonts w:ascii="微软雅黑" w:eastAsia="微软雅黑"/>
        </w:rPr>
        <w:t>部</w:t>
      </w:r>
      <w:r>
        <w:rPr>
          <w:rFonts w:ascii="微软雅黑" w:eastAsia="微软雅黑"/>
          <w:spacing w:val="-10"/>
        </w:rPr>
        <w:t>分</w:t>
      </w:r>
      <w:r>
        <w:rPr>
          <w:rFonts w:ascii="微软雅黑" w:eastAsia="微软雅黑"/>
        </w:rPr>
        <w:tab/>
        <w:t>编</w:t>
      </w:r>
      <w:r>
        <w:rPr>
          <w:rFonts w:ascii="微软雅黑" w:eastAsia="微软雅黑"/>
        </w:rPr>
        <w:t>制</w:t>
      </w:r>
      <w:r>
        <w:rPr>
          <w:rFonts w:ascii="微软雅黑" w:eastAsia="微软雅黑"/>
        </w:rPr>
        <w:t>和</w:t>
      </w:r>
      <w:r>
        <w:rPr>
          <w:rFonts w:ascii="微软雅黑" w:eastAsia="微软雅黑"/>
        </w:rPr>
        <w:t>提</w:t>
      </w:r>
      <w:r>
        <w:rPr>
          <w:rFonts w:ascii="微软雅黑" w:eastAsia="微软雅黑"/>
        </w:rPr>
        <w:t>交</w:t>
      </w:r>
      <w:r>
        <w:rPr>
          <w:rFonts w:ascii="微软雅黑" w:eastAsia="微软雅黑"/>
        </w:rPr>
        <w:t>投</w:t>
      </w:r>
      <w:r>
        <w:rPr>
          <w:rFonts w:ascii="微软雅黑" w:eastAsia="微软雅黑"/>
        </w:rPr>
        <w:t>标</w:t>
      </w:r>
      <w:r>
        <w:rPr>
          <w:rFonts w:ascii="微软雅黑" w:eastAsia="微软雅黑"/>
        </w:rPr>
        <w:t>文</w:t>
      </w:r>
      <w:r>
        <w:rPr>
          <w:rFonts w:ascii="微软雅黑" w:eastAsia="微软雅黑"/>
        </w:rPr>
        <w:t>件</w:t>
      </w:r>
      <w:r>
        <w:rPr>
          <w:rFonts w:ascii="微软雅黑" w:eastAsia="微软雅黑"/>
        </w:rPr>
        <w:t>须</w:t>
      </w:r>
      <w:bookmarkEnd w:id="1"/>
      <w:r>
        <w:rPr>
          <w:rFonts w:ascii="微软雅黑" w:eastAsia="微软雅黑"/>
          <w:spacing w:val="-10"/>
        </w:rPr>
        <w:t>知</w:t>
      </w:r>
    </w:p>
    <w:p>
      <w:pPr>
        <w:pStyle w:val="Heading5"/>
        <w:spacing w:before="57"/>
        <w:ind w:left="567" w:right="276"/>
        <w:jc w:val="center"/>
      </w:pPr>
      <w:r>
        <w:rPr>
          <w:spacing w:val="17"/>
        </w:rPr>
        <w:t>前 附 表</w:t>
      </w:r>
    </w:p>
    <w:p>
      <w:pPr>
        <w:pStyle w:val="BodyText"/>
        <w:spacing w:before="5"/>
        <w:rPr>
          <w:rFonts w:ascii="微软雅黑"/>
          <w:b/>
          <w:sz w:val="5"/>
        </w:rPr>
      </w:pPr>
    </w:p>
    <w:tbl>
      <w:tblPr>
        <w:tblStyle w:val="TableNormal0"/>
        <w:tblW w:w="0" w:type="auto"/>
        <w:jc w:val="left"/>
        <w:tblInd w:w="3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55"/>
        <w:gridCol w:w="3095"/>
        <w:gridCol w:w="1080"/>
        <w:gridCol w:w="900"/>
        <w:gridCol w:w="1080"/>
        <w:gridCol w:w="2359"/>
      </w:tblGrid>
      <w:tr>
        <w:tblPrEx>
          <w:tblW w:w="0" w:type="auto"/>
          <w:jc w:val="left"/>
          <w:tblInd w:w="3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66"/>
          <w:jc w:val="left"/>
        </w:trPr>
        <w:tc>
          <w:tcPr>
            <w:tcW w:w="655" w:type="dxa"/>
            <w:tcBorders>
              <w:bottom w:val="single" w:sz="2" w:space="0" w:color="000000"/>
              <w:right w:val="single" w:sz="2" w:space="0" w:color="000000"/>
            </w:tcBorders>
          </w:tcPr>
          <w:p>
            <w:pPr>
              <w:pStyle w:val="TableParagraph"/>
              <w:spacing w:before="3"/>
              <w:ind w:left="76" w:right="56"/>
              <w:jc w:val="center"/>
              <w:rPr>
                <w:sz w:val="24"/>
              </w:rPr>
            </w:pPr>
            <w:r>
              <w:rPr>
                <w:spacing w:val="-5"/>
                <w:sz w:val="24"/>
              </w:rPr>
              <w:t>条款</w:t>
            </w:r>
          </w:p>
        </w:tc>
        <w:tc>
          <w:tcPr>
            <w:tcW w:w="8514" w:type="dxa"/>
            <w:gridSpan w:val="5"/>
            <w:tcBorders>
              <w:left w:val="single" w:sz="2" w:space="0" w:color="000000"/>
              <w:bottom w:val="single" w:sz="2" w:space="0" w:color="000000"/>
            </w:tcBorders>
          </w:tcPr>
          <w:p>
            <w:pPr>
              <w:pStyle w:val="TableParagraph"/>
              <w:spacing w:line="369" w:lineRule="exact"/>
              <w:ind w:left="3766" w:right="3747"/>
              <w:jc w:val="center"/>
              <w:rPr>
                <w:rFonts w:ascii="微软雅黑" w:eastAsia="微软雅黑"/>
                <w:b/>
                <w:sz w:val="24"/>
              </w:rPr>
            </w:pPr>
            <w:r>
              <w:rPr>
                <w:rFonts w:ascii="微软雅黑" w:eastAsia="微软雅黑"/>
                <w:b/>
                <w:spacing w:val="-3"/>
                <w:sz w:val="24"/>
              </w:rPr>
              <w:t>项目说明</w:t>
            </w:r>
          </w:p>
        </w:tc>
      </w:tr>
      <w:tr>
        <w:tblPrEx>
          <w:tblW w:w="0" w:type="auto"/>
          <w:jc w:val="left"/>
          <w:tblInd w:w="334" w:type="dxa"/>
          <w:tblLayout w:type="fixed"/>
          <w:tblCellMar>
            <w:top w:w="0" w:type="dxa"/>
            <w:left w:w="0" w:type="dxa"/>
            <w:bottom w:w="0" w:type="dxa"/>
            <w:right w:w="0" w:type="dxa"/>
          </w:tblCellMar>
          <w:tblLook w:val="01E0"/>
        </w:tblPrEx>
        <w:trPr>
          <w:trHeight w:val="3268"/>
          <w:jc w:val="left"/>
        </w:trPr>
        <w:tc>
          <w:tcPr>
            <w:tcW w:w="655" w:type="dxa"/>
            <w:tcBorders>
              <w:top w:val="single" w:sz="2" w:space="0" w:color="000000"/>
              <w:bottom w:val="single" w:sz="2" w:space="0" w:color="000000"/>
              <w:right w:val="single" w:sz="2" w:space="0" w:color="000000"/>
            </w:tcBorders>
          </w:tcPr>
          <w:p>
            <w:pPr>
              <w:pStyle w:val="TableParagraph"/>
              <w:rPr>
                <w:rFonts w:ascii="微软雅黑"/>
                <w:b/>
                <w:sz w:val="24"/>
              </w:rPr>
            </w:pPr>
          </w:p>
          <w:p>
            <w:pPr>
              <w:pStyle w:val="TableParagraph"/>
              <w:rPr>
                <w:rFonts w:ascii="微软雅黑"/>
                <w:b/>
                <w:sz w:val="24"/>
              </w:rPr>
            </w:pPr>
          </w:p>
          <w:p>
            <w:pPr>
              <w:pStyle w:val="TableParagraph"/>
              <w:spacing w:before="3"/>
              <w:rPr>
                <w:rFonts w:ascii="微软雅黑"/>
                <w:b/>
                <w:sz w:val="28"/>
              </w:rPr>
            </w:pPr>
          </w:p>
          <w:p>
            <w:pPr>
              <w:pStyle w:val="TableParagraph"/>
              <w:ind w:left="20"/>
              <w:jc w:val="center"/>
              <w:rPr>
                <w:sz w:val="24"/>
              </w:rPr>
            </w:pPr>
            <w:r>
              <w:rPr>
                <w:sz w:val="24"/>
              </w:rPr>
              <w:t>1</w:t>
            </w:r>
          </w:p>
        </w:tc>
        <w:tc>
          <w:tcPr>
            <w:tcW w:w="8514" w:type="dxa"/>
            <w:gridSpan w:val="5"/>
            <w:tcBorders>
              <w:top w:val="single" w:sz="2" w:space="0" w:color="000000"/>
              <w:left w:val="single" w:sz="2" w:space="0" w:color="000000"/>
              <w:bottom w:val="single" w:sz="2" w:space="0" w:color="000000"/>
            </w:tcBorders>
          </w:tcPr>
          <w:p>
            <w:pPr>
              <w:pStyle w:val="TableParagraph"/>
              <w:spacing w:line="369" w:lineRule="exact"/>
              <w:ind w:left="27"/>
              <w:rPr>
                <w:sz w:val="24"/>
              </w:rPr>
            </w:pPr>
            <w:r>
              <w:rPr>
                <w:rFonts w:ascii="微软雅黑" w:eastAsia="微软雅黑"/>
                <w:b/>
                <w:spacing w:val="-2"/>
                <w:sz w:val="24"/>
              </w:rPr>
              <w:t>一、项目名称：</w:t>
            </w:r>
            <w:r>
              <w:rPr>
                <w:spacing w:val="-2"/>
                <w:sz w:val="24"/>
              </w:rPr>
              <w:t>2015</w:t>
            </w:r>
            <w:r>
              <w:rPr>
                <w:spacing w:val="-3"/>
                <w:sz w:val="24"/>
              </w:rPr>
              <w:t xml:space="preserve"> 年衢州市柯城区万名农民素质提升工程培训机构入围项目采</w:t>
            </w:r>
          </w:p>
          <w:p>
            <w:pPr>
              <w:pStyle w:val="TableParagraph"/>
              <w:spacing w:before="101"/>
              <w:ind w:left="27"/>
              <w:rPr>
                <w:sz w:val="24"/>
              </w:rPr>
            </w:pPr>
            <w:r>
              <w:rPr>
                <w:sz w:val="24"/>
              </w:rPr>
              <w:t>购</w:t>
            </w:r>
          </w:p>
          <w:p>
            <w:pPr>
              <w:pStyle w:val="TableParagraph"/>
              <w:spacing w:before="83" w:line="254" w:lineRule="auto"/>
              <w:ind w:left="27" w:right="1255"/>
              <w:rPr>
                <w:sz w:val="24"/>
              </w:rPr>
            </w:pPr>
            <w:r>
              <w:rPr>
                <w:rFonts w:ascii="微软雅黑" w:eastAsia="微软雅黑" w:hAnsi="微软雅黑"/>
                <w:b/>
                <w:spacing w:val="-2"/>
                <w:sz w:val="24"/>
              </w:rPr>
              <w:t>二、项目实施地点：</w:t>
            </w:r>
            <w:r>
              <w:rPr>
                <w:spacing w:val="-2"/>
                <w:sz w:val="24"/>
              </w:rPr>
              <w:t>衢州市柯城区农业和农村工作办公室指定地点。</w:t>
            </w:r>
            <w:r>
              <w:rPr>
                <w:rFonts w:ascii="微软雅黑" w:eastAsia="微软雅黑" w:hAnsi="微软雅黑"/>
                <w:b/>
                <w:spacing w:val="-2"/>
                <w:sz w:val="24"/>
              </w:rPr>
              <w:t>三、服务要求：</w:t>
            </w:r>
            <w:r>
              <w:rPr>
                <w:spacing w:val="-2"/>
                <w:sz w:val="24"/>
              </w:rPr>
              <w:t>详见第三部分——项目技术规范和服务要求。</w:t>
            </w:r>
          </w:p>
          <w:p>
            <w:pPr>
              <w:pStyle w:val="TableParagraph"/>
              <w:spacing w:line="438" w:lineRule="exact"/>
              <w:ind w:left="27"/>
              <w:rPr>
                <w:rFonts w:ascii="微软雅黑" w:eastAsia="微软雅黑"/>
                <w:b/>
                <w:sz w:val="24"/>
              </w:rPr>
            </w:pPr>
            <w:r>
              <w:rPr>
                <w:rFonts w:ascii="微软雅黑" w:eastAsia="微软雅黑"/>
                <w:b/>
                <w:spacing w:val="-2"/>
                <w:sz w:val="24"/>
              </w:rPr>
              <w:t>四、投资规模：本项目年总投资约为人民币</w:t>
            </w:r>
            <w:r>
              <w:rPr>
                <w:rFonts w:ascii="微软雅黑" w:eastAsia="微软雅黑"/>
                <w:b/>
                <w:spacing w:val="29"/>
                <w:sz w:val="24"/>
                <w:u w:val="thick"/>
              </w:rPr>
              <w:t xml:space="preserve"> </w:t>
            </w:r>
            <w:r>
              <w:rPr>
                <w:rFonts w:ascii="微软雅黑" w:eastAsia="微软雅黑"/>
                <w:b/>
                <w:spacing w:val="-2"/>
                <w:sz w:val="24"/>
                <w:u w:val="thick"/>
              </w:rPr>
              <w:t>100</w:t>
            </w:r>
            <w:r>
              <w:rPr>
                <w:rFonts w:ascii="微软雅黑" w:eastAsia="微软雅黑"/>
                <w:b/>
                <w:spacing w:val="31"/>
                <w:sz w:val="24"/>
                <w:u w:val="thick"/>
              </w:rPr>
              <w:t xml:space="preserve"> </w:t>
            </w:r>
            <w:r>
              <w:rPr>
                <w:rFonts w:ascii="微软雅黑" w:eastAsia="微软雅黑"/>
                <w:b/>
                <w:spacing w:val="-5"/>
                <w:sz w:val="24"/>
              </w:rPr>
              <w:t>万元。</w:t>
            </w:r>
          </w:p>
          <w:p>
            <w:pPr>
              <w:pStyle w:val="TableParagraph"/>
              <w:spacing w:before="24" w:line="295" w:lineRule="auto"/>
              <w:ind w:left="27" w:right="6"/>
              <w:rPr>
                <w:sz w:val="24"/>
              </w:rPr>
            </w:pPr>
            <w:r>
              <w:rPr>
                <w:rFonts w:ascii="微软雅黑" w:eastAsia="微软雅黑"/>
                <w:b/>
                <w:spacing w:val="-2"/>
                <w:sz w:val="24"/>
              </w:rPr>
              <w:t>五、入围有效时间：</w:t>
            </w:r>
            <w:r>
              <w:rPr>
                <w:spacing w:val="-2"/>
                <w:sz w:val="24"/>
              </w:rPr>
              <w:t>此次入围招标有效期暂定为一年，业主根据各培训机构考核</w:t>
            </w:r>
            <w:r>
              <w:rPr>
                <w:spacing w:val="-2"/>
                <w:sz w:val="24"/>
              </w:rPr>
              <w:t>情况进行延续或重新招标。</w:t>
            </w:r>
          </w:p>
        </w:tc>
      </w:tr>
      <w:tr>
        <w:tblPrEx>
          <w:tblW w:w="0" w:type="auto"/>
          <w:jc w:val="left"/>
          <w:tblInd w:w="334" w:type="dxa"/>
          <w:tblLayout w:type="fixed"/>
          <w:tblCellMar>
            <w:top w:w="0" w:type="dxa"/>
            <w:left w:w="0" w:type="dxa"/>
            <w:bottom w:w="0" w:type="dxa"/>
            <w:right w:w="0" w:type="dxa"/>
          </w:tblCellMar>
          <w:tblLook w:val="01E0"/>
        </w:tblPrEx>
        <w:trPr>
          <w:trHeight w:val="466"/>
          <w:jc w:val="left"/>
        </w:trPr>
        <w:tc>
          <w:tcPr>
            <w:tcW w:w="655" w:type="dxa"/>
            <w:tcBorders>
              <w:top w:val="single" w:sz="2" w:space="0" w:color="000000"/>
              <w:bottom w:val="single" w:sz="2" w:space="0" w:color="000000"/>
              <w:right w:val="single" w:sz="2" w:space="0" w:color="000000"/>
            </w:tcBorders>
          </w:tcPr>
          <w:p>
            <w:pPr>
              <w:pStyle w:val="TableParagraph"/>
              <w:spacing w:before="3"/>
              <w:ind w:left="20"/>
              <w:jc w:val="center"/>
              <w:rPr>
                <w:sz w:val="24"/>
              </w:rPr>
            </w:pPr>
            <w:r>
              <w:rPr>
                <w:sz w:val="24"/>
              </w:rPr>
              <w:t>2</w:t>
            </w:r>
          </w:p>
        </w:tc>
        <w:tc>
          <w:tcPr>
            <w:tcW w:w="8514" w:type="dxa"/>
            <w:gridSpan w:val="5"/>
            <w:tcBorders>
              <w:top w:val="single" w:sz="2" w:space="0" w:color="000000"/>
              <w:left w:val="single" w:sz="2" w:space="0" w:color="000000"/>
              <w:bottom w:val="single" w:sz="2" w:space="0" w:color="000000"/>
            </w:tcBorders>
          </w:tcPr>
          <w:p>
            <w:pPr>
              <w:pStyle w:val="TableParagraph"/>
              <w:spacing w:line="369" w:lineRule="exact"/>
              <w:ind w:left="27" w:right="-101"/>
              <w:rPr>
                <w:sz w:val="24"/>
              </w:rPr>
            </w:pPr>
            <w:r>
              <w:rPr>
                <w:rFonts w:ascii="微软雅黑" w:eastAsia="微软雅黑"/>
                <w:b/>
                <w:spacing w:val="-24"/>
                <w:sz w:val="24"/>
              </w:rPr>
              <w:t>合同名称：</w:t>
            </w:r>
            <w:r>
              <w:rPr>
                <w:sz w:val="24"/>
              </w:rPr>
              <w:t>《</w:t>
            </w:r>
            <w:r>
              <w:rPr>
                <w:rFonts w:ascii="Times New Roman" w:eastAsia="Times New Roman"/>
                <w:sz w:val="24"/>
              </w:rPr>
              <w:t>2015</w:t>
            </w:r>
            <w:r>
              <w:rPr>
                <w:rFonts w:ascii="Times New Roman" w:eastAsia="Times New Roman"/>
                <w:spacing w:val="-30"/>
                <w:sz w:val="24"/>
              </w:rPr>
              <w:t xml:space="preserve"> </w:t>
            </w:r>
            <w:r>
              <w:rPr>
                <w:spacing w:val="-1"/>
                <w:sz w:val="24"/>
              </w:rPr>
              <w:t>年衢州市柯城区万名农民素质提升工程培训机构入围项目采购》</w:t>
            </w:r>
          </w:p>
        </w:tc>
      </w:tr>
      <w:tr>
        <w:tblPrEx>
          <w:tblW w:w="0" w:type="auto"/>
          <w:jc w:val="left"/>
          <w:tblInd w:w="334" w:type="dxa"/>
          <w:tblLayout w:type="fixed"/>
          <w:tblCellMar>
            <w:top w:w="0" w:type="dxa"/>
            <w:left w:w="0" w:type="dxa"/>
            <w:bottom w:w="0" w:type="dxa"/>
            <w:right w:w="0" w:type="dxa"/>
          </w:tblCellMar>
          <w:tblLook w:val="01E0"/>
        </w:tblPrEx>
        <w:trPr>
          <w:trHeight w:val="572"/>
          <w:jc w:val="left"/>
        </w:trPr>
        <w:tc>
          <w:tcPr>
            <w:tcW w:w="655" w:type="dxa"/>
            <w:tcBorders>
              <w:top w:val="single" w:sz="2" w:space="0" w:color="000000"/>
              <w:bottom w:val="single" w:sz="2" w:space="0" w:color="000000"/>
              <w:right w:val="single" w:sz="2" w:space="0" w:color="000000"/>
            </w:tcBorders>
          </w:tcPr>
          <w:p>
            <w:pPr>
              <w:pStyle w:val="TableParagraph"/>
              <w:spacing w:before="56"/>
              <w:ind w:left="20"/>
              <w:jc w:val="center"/>
              <w:rPr>
                <w:sz w:val="24"/>
              </w:rPr>
            </w:pPr>
            <w:r>
              <w:rPr>
                <w:sz w:val="24"/>
              </w:rPr>
              <w:t>3</w:t>
            </w:r>
          </w:p>
        </w:tc>
        <w:tc>
          <w:tcPr>
            <w:tcW w:w="8514" w:type="dxa"/>
            <w:gridSpan w:val="5"/>
            <w:tcBorders>
              <w:top w:val="single" w:sz="2" w:space="0" w:color="000000"/>
              <w:left w:val="single" w:sz="2" w:space="0" w:color="000000"/>
              <w:bottom w:val="single" w:sz="2" w:space="0" w:color="000000"/>
            </w:tcBorders>
          </w:tcPr>
          <w:p>
            <w:pPr>
              <w:pStyle w:val="TableParagraph"/>
              <w:spacing w:line="422" w:lineRule="exact"/>
              <w:ind w:left="27"/>
              <w:rPr>
                <w:sz w:val="24"/>
              </w:rPr>
            </w:pPr>
            <w:r>
              <w:rPr>
                <w:rFonts w:ascii="微软雅黑" w:eastAsia="微软雅黑"/>
                <w:b/>
                <w:sz w:val="24"/>
              </w:rPr>
              <w:t>投标有效期：</w:t>
            </w:r>
            <w:r>
              <w:rPr>
                <w:spacing w:val="-8"/>
                <w:sz w:val="24"/>
              </w:rPr>
              <w:t xml:space="preserve">自投标截止日起 </w:t>
            </w:r>
            <w:r>
              <w:rPr>
                <w:sz w:val="24"/>
              </w:rPr>
              <w:t>30</w:t>
            </w:r>
            <w:r>
              <w:rPr>
                <w:spacing w:val="-24"/>
                <w:sz w:val="24"/>
              </w:rPr>
              <w:t xml:space="preserve"> 天。</w:t>
            </w:r>
          </w:p>
        </w:tc>
      </w:tr>
      <w:tr>
        <w:tblPrEx>
          <w:tblW w:w="0" w:type="auto"/>
          <w:jc w:val="left"/>
          <w:tblInd w:w="334" w:type="dxa"/>
          <w:tblLayout w:type="fixed"/>
          <w:tblCellMar>
            <w:top w:w="0" w:type="dxa"/>
            <w:left w:w="0" w:type="dxa"/>
            <w:bottom w:w="0" w:type="dxa"/>
            <w:right w:w="0" w:type="dxa"/>
          </w:tblCellMar>
          <w:tblLook w:val="01E0"/>
        </w:tblPrEx>
        <w:trPr>
          <w:trHeight w:val="3295"/>
          <w:jc w:val="left"/>
        </w:trPr>
        <w:tc>
          <w:tcPr>
            <w:tcW w:w="655" w:type="dxa"/>
            <w:tcBorders>
              <w:top w:val="single" w:sz="2" w:space="0" w:color="000000"/>
              <w:bottom w:val="single" w:sz="2" w:space="0" w:color="000000"/>
              <w:right w:val="single" w:sz="2" w:space="0" w:color="000000"/>
            </w:tcBorders>
          </w:tcPr>
          <w:p>
            <w:pPr>
              <w:pStyle w:val="TableParagraph"/>
              <w:rPr>
                <w:rFonts w:ascii="微软雅黑"/>
                <w:b/>
                <w:sz w:val="24"/>
              </w:rPr>
            </w:pPr>
          </w:p>
          <w:p>
            <w:pPr>
              <w:pStyle w:val="TableParagraph"/>
              <w:rPr>
                <w:rFonts w:ascii="微软雅黑"/>
                <w:b/>
                <w:sz w:val="24"/>
              </w:rPr>
            </w:pPr>
          </w:p>
          <w:p>
            <w:pPr>
              <w:pStyle w:val="TableParagraph"/>
              <w:spacing w:before="17"/>
              <w:rPr>
                <w:rFonts w:ascii="微软雅黑"/>
                <w:b/>
                <w:sz w:val="28"/>
              </w:rPr>
            </w:pPr>
          </w:p>
          <w:p>
            <w:pPr>
              <w:pStyle w:val="TableParagraph"/>
              <w:ind w:left="20"/>
              <w:jc w:val="center"/>
              <w:rPr>
                <w:sz w:val="24"/>
              </w:rPr>
            </w:pPr>
            <w:r>
              <w:rPr>
                <w:sz w:val="24"/>
              </w:rPr>
              <w:t>4</w:t>
            </w:r>
          </w:p>
        </w:tc>
        <w:tc>
          <w:tcPr>
            <w:tcW w:w="8514" w:type="dxa"/>
            <w:gridSpan w:val="5"/>
            <w:tcBorders>
              <w:top w:val="single" w:sz="2" w:space="0" w:color="000000"/>
              <w:left w:val="single" w:sz="2" w:space="0" w:color="000000"/>
              <w:bottom w:val="single" w:sz="2" w:space="0" w:color="000000"/>
            </w:tcBorders>
          </w:tcPr>
          <w:p>
            <w:pPr>
              <w:pStyle w:val="TableParagraph"/>
              <w:spacing w:before="16"/>
              <w:rPr>
                <w:rFonts w:ascii="微软雅黑"/>
                <w:b/>
                <w:sz w:val="13"/>
              </w:rPr>
            </w:pPr>
          </w:p>
          <w:p>
            <w:pPr>
              <w:pStyle w:val="TableParagraph"/>
              <w:spacing w:line="280" w:lineRule="auto"/>
              <w:ind w:left="27" w:right="5"/>
              <w:jc w:val="both"/>
              <w:rPr>
                <w:sz w:val="24"/>
              </w:rPr>
            </w:pPr>
            <w:r>
              <w:rPr>
                <w:spacing w:val="-4"/>
                <w:sz w:val="24"/>
              </w:rPr>
              <w:t xml:space="preserve">本项目投标保证金 </w:t>
            </w:r>
            <w:r>
              <w:rPr>
                <w:sz w:val="24"/>
              </w:rPr>
              <w:t>1</w:t>
            </w:r>
            <w:r>
              <w:rPr>
                <w:spacing w:val="-10"/>
                <w:sz w:val="24"/>
              </w:rPr>
              <w:t xml:space="preserve"> 万元整，于 </w:t>
            </w:r>
            <w:r>
              <w:rPr>
                <w:sz w:val="24"/>
              </w:rPr>
              <w:t>2015</w:t>
            </w:r>
            <w:r>
              <w:rPr>
                <w:spacing w:val="-20"/>
                <w:sz w:val="24"/>
              </w:rPr>
              <w:t xml:space="preserve"> 年 </w:t>
            </w:r>
            <w:r>
              <w:rPr>
                <w:sz w:val="24"/>
              </w:rPr>
              <w:t>5</w:t>
            </w:r>
            <w:r>
              <w:rPr>
                <w:spacing w:val="53"/>
                <w:sz w:val="24"/>
              </w:rPr>
              <w:t xml:space="preserve"> 月 </w:t>
            </w:r>
            <w:r>
              <w:rPr>
                <w:sz w:val="24"/>
              </w:rPr>
              <w:t>4</w:t>
            </w:r>
            <w:r>
              <w:rPr>
                <w:spacing w:val="3"/>
                <w:sz w:val="24"/>
              </w:rPr>
              <w:t xml:space="preserve"> 日前足额交纳【于投标截止</w:t>
            </w:r>
            <w:r>
              <w:rPr>
                <w:spacing w:val="-2"/>
                <w:sz w:val="24"/>
              </w:rPr>
              <w:t>时间前将保证金交纳的票据凭证（进帐回单等，可以为复印件）递交浙江华耀建</w:t>
            </w:r>
            <w:r>
              <w:rPr>
                <w:spacing w:val="-7"/>
                <w:sz w:val="24"/>
              </w:rPr>
              <w:t>设咨询有限公司衢州分公司，以便核查保证金到账情况】，保证金以专用账户实际</w:t>
            </w:r>
            <w:r>
              <w:rPr>
                <w:spacing w:val="-2"/>
                <w:sz w:val="24"/>
              </w:rPr>
              <w:t>收到款项的时间为准。交纳地点：浙江华耀建设咨询有限公司衢州分公司(咨询电</w:t>
            </w:r>
            <w:r>
              <w:rPr>
                <w:spacing w:val="-6"/>
                <w:sz w:val="24"/>
              </w:rPr>
              <w:t>话：0570-</w:t>
            </w:r>
            <w:r>
              <w:rPr>
                <w:spacing w:val="8"/>
                <w:sz w:val="24"/>
              </w:rPr>
              <w:t>8775166</w:t>
            </w:r>
            <w:r>
              <w:rPr>
                <w:spacing w:val="-112"/>
                <w:sz w:val="24"/>
              </w:rPr>
              <w:t>）</w:t>
            </w:r>
            <w:r>
              <w:rPr>
                <w:spacing w:val="-6"/>
                <w:sz w:val="24"/>
              </w:rPr>
              <w:t>；交纳方法：投标人可采用网银（电汇）方式交纳，也可采用</w:t>
            </w:r>
            <w:r>
              <w:rPr>
                <w:spacing w:val="-2"/>
                <w:sz w:val="24"/>
              </w:rPr>
              <w:t>银行汇票、转帐支票（限衢州市内）方式到单位开户行交纳，投标保证金必须从</w:t>
            </w:r>
            <w:r>
              <w:rPr>
                <w:spacing w:val="20"/>
                <w:sz w:val="24"/>
              </w:rPr>
              <w:t>该投标企业自用账户中汇出。 开户行： 农行衢州市南区支行； 帐号：</w:t>
            </w:r>
            <w:r>
              <w:rPr>
                <w:sz w:val="24"/>
              </w:rPr>
              <w:t xml:space="preserve"> </w:t>
            </w:r>
            <w:r>
              <w:rPr>
                <w:spacing w:val="-2"/>
                <w:sz w:val="24"/>
              </w:rPr>
              <w:t>720101040008448；开户单位：浙江华耀建设咨询有限公司衢州分公司。</w:t>
            </w:r>
          </w:p>
        </w:tc>
      </w:tr>
      <w:tr>
        <w:tblPrEx>
          <w:tblW w:w="0" w:type="auto"/>
          <w:jc w:val="left"/>
          <w:tblInd w:w="334" w:type="dxa"/>
          <w:tblLayout w:type="fixed"/>
          <w:tblCellMar>
            <w:top w:w="0" w:type="dxa"/>
            <w:left w:w="0" w:type="dxa"/>
            <w:bottom w:w="0" w:type="dxa"/>
            <w:right w:w="0" w:type="dxa"/>
          </w:tblCellMar>
          <w:tblLook w:val="01E0"/>
        </w:tblPrEx>
        <w:trPr>
          <w:trHeight w:val="933"/>
          <w:jc w:val="left"/>
        </w:trPr>
        <w:tc>
          <w:tcPr>
            <w:tcW w:w="655" w:type="dxa"/>
            <w:tcBorders>
              <w:top w:val="single" w:sz="2" w:space="0" w:color="000000"/>
              <w:bottom w:val="single" w:sz="2" w:space="0" w:color="000000"/>
              <w:right w:val="single" w:sz="2" w:space="0" w:color="000000"/>
            </w:tcBorders>
          </w:tcPr>
          <w:p>
            <w:pPr>
              <w:pStyle w:val="TableParagraph"/>
              <w:spacing w:before="15"/>
              <w:rPr>
                <w:rFonts w:ascii="微软雅黑"/>
                <w:b/>
                <w:sz w:val="12"/>
              </w:rPr>
            </w:pPr>
          </w:p>
          <w:p>
            <w:pPr>
              <w:pStyle w:val="TableParagraph"/>
              <w:spacing w:before="1"/>
              <w:ind w:left="20"/>
              <w:jc w:val="center"/>
              <w:rPr>
                <w:sz w:val="24"/>
              </w:rPr>
            </w:pPr>
            <w:r>
              <w:rPr>
                <w:sz w:val="24"/>
              </w:rPr>
              <w:t>5</w:t>
            </w:r>
          </w:p>
        </w:tc>
        <w:tc>
          <w:tcPr>
            <w:tcW w:w="8514" w:type="dxa"/>
            <w:gridSpan w:val="5"/>
            <w:tcBorders>
              <w:top w:val="single" w:sz="2" w:space="0" w:color="000000"/>
              <w:left w:val="single" w:sz="2" w:space="0" w:color="000000"/>
              <w:bottom w:val="single" w:sz="2" w:space="0" w:color="000000"/>
            </w:tcBorders>
          </w:tcPr>
          <w:p>
            <w:pPr>
              <w:pStyle w:val="TableParagraph"/>
              <w:spacing w:line="369" w:lineRule="exact"/>
              <w:ind w:left="27"/>
              <w:rPr>
                <w:rFonts w:ascii="微软雅黑" w:eastAsia="微软雅黑"/>
                <w:b/>
                <w:sz w:val="24"/>
              </w:rPr>
            </w:pPr>
            <w:r>
              <w:rPr>
                <w:rFonts w:ascii="微软雅黑" w:eastAsia="微软雅黑"/>
                <w:b/>
                <w:sz w:val="24"/>
              </w:rPr>
              <w:t>投标文件份数</w:t>
            </w:r>
            <w:r>
              <w:rPr>
                <w:sz w:val="24"/>
              </w:rPr>
              <w:t>：</w:t>
            </w:r>
            <w:r>
              <w:rPr>
                <w:rFonts w:ascii="微软雅黑" w:eastAsia="微软雅黑"/>
                <w:b/>
                <w:sz w:val="24"/>
              </w:rPr>
              <w:t>商务标：正本</w:t>
            </w:r>
            <w:r>
              <w:rPr>
                <w:rFonts w:ascii="微软雅黑" w:eastAsia="微软雅黑"/>
                <w:b/>
                <w:sz w:val="24"/>
                <w:u w:val="thick"/>
              </w:rPr>
              <w:t>壹</w:t>
            </w:r>
            <w:r>
              <w:rPr>
                <w:rFonts w:ascii="微软雅黑" w:eastAsia="微软雅黑"/>
                <w:b/>
                <w:sz w:val="24"/>
              </w:rPr>
              <w:t>份、副本肆份；技术标：正本</w:t>
            </w:r>
            <w:r>
              <w:rPr>
                <w:rFonts w:ascii="微软雅黑" w:eastAsia="微软雅黑"/>
                <w:b/>
                <w:sz w:val="24"/>
                <w:u w:val="thick"/>
              </w:rPr>
              <w:t>壹</w:t>
            </w:r>
            <w:r>
              <w:rPr>
                <w:rFonts w:ascii="微软雅黑" w:eastAsia="微软雅黑"/>
                <w:b/>
                <w:spacing w:val="-2"/>
                <w:sz w:val="24"/>
              </w:rPr>
              <w:t>份、副本肆份；</w:t>
            </w:r>
          </w:p>
          <w:p>
            <w:pPr>
              <w:pStyle w:val="TableParagraph"/>
              <w:spacing w:before="24"/>
              <w:ind w:left="27"/>
              <w:rPr>
                <w:rFonts w:ascii="微软雅黑" w:eastAsia="微软雅黑"/>
                <w:b/>
                <w:sz w:val="24"/>
              </w:rPr>
            </w:pPr>
            <w:r>
              <w:rPr>
                <w:rFonts w:ascii="微软雅黑" w:eastAsia="微软雅黑"/>
                <w:b/>
                <w:sz w:val="24"/>
              </w:rPr>
              <w:t>资信标：正本</w:t>
            </w:r>
            <w:r>
              <w:rPr>
                <w:rFonts w:ascii="微软雅黑" w:eastAsia="微软雅黑"/>
                <w:b/>
                <w:sz w:val="24"/>
                <w:u w:val="thick"/>
              </w:rPr>
              <w:t>壹</w:t>
            </w:r>
            <w:r>
              <w:rPr>
                <w:rFonts w:ascii="微软雅黑" w:eastAsia="微软雅黑"/>
                <w:b/>
                <w:spacing w:val="-2"/>
                <w:sz w:val="24"/>
              </w:rPr>
              <w:t>份、副本肆份。</w:t>
            </w:r>
          </w:p>
        </w:tc>
      </w:tr>
      <w:tr>
        <w:tblPrEx>
          <w:tblW w:w="0" w:type="auto"/>
          <w:jc w:val="left"/>
          <w:tblInd w:w="334" w:type="dxa"/>
          <w:tblLayout w:type="fixed"/>
          <w:tblCellMar>
            <w:top w:w="0" w:type="dxa"/>
            <w:left w:w="0" w:type="dxa"/>
            <w:bottom w:w="0" w:type="dxa"/>
            <w:right w:w="0" w:type="dxa"/>
          </w:tblCellMar>
          <w:tblLook w:val="01E0"/>
        </w:tblPrEx>
        <w:trPr>
          <w:trHeight w:val="466"/>
          <w:jc w:val="left"/>
        </w:trPr>
        <w:tc>
          <w:tcPr>
            <w:tcW w:w="655" w:type="dxa"/>
            <w:tcBorders>
              <w:top w:val="single" w:sz="2" w:space="0" w:color="000000"/>
              <w:bottom w:val="single" w:sz="2" w:space="0" w:color="000000"/>
              <w:right w:val="single" w:sz="2" w:space="0" w:color="000000"/>
            </w:tcBorders>
          </w:tcPr>
          <w:p>
            <w:pPr>
              <w:pStyle w:val="TableParagraph"/>
              <w:spacing w:before="3"/>
              <w:ind w:left="20"/>
              <w:jc w:val="center"/>
              <w:rPr>
                <w:sz w:val="24"/>
              </w:rPr>
            </w:pPr>
            <w:r>
              <w:rPr>
                <w:sz w:val="24"/>
              </w:rPr>
              <w:t>6</w:t>
            </w:r>
          </w:p>
        </w:tc>
        <w:tc>
          <w:tcPr>
            <w:tcW w:w="3095" w:type="dxa"/>
            <w:tcBorders>
              <w:top w:val="single" w:sz="2" w:space="0" w:color="000000"/>
              <w:left w:val="single" w:sz="2" w:space="0" w:color="000000"/>
              <w:bottom w:val="single" w:sz="2" w:space="0" w:color="000000"/>
              <w:right w:val="nil"/>
            </w:tcBorders>
          </w:tcPr>
          <w:p>
            <w:pPr>
              <w:pStyle w:val="TableParagraph"/>
              <w:tabs>
                <w:tab w:val="left" w:pos="2862"/>
                <w:tab w:val="left" w:pos="3222"/>
              </w:tabs>
              <w:spacing w:line="369" w:lineRule="exact"/>
              <w:ind w:left="35" w:right="-144"/>
              <w:rPr>
                <w:sz w:val="24"/>
              </w:rPr>
            </w:pPr>
            <w:r>
              <w:rPr>
                <w:rFonts w:ascii="微软雅黑" w:eastAsia="微软雅黑"/>
                <w:b/>
                <w:sz w:val="24"/>
              </w:rPr>
              <w:t>投标截止时间:</w:t>
            </w:r>
            <w:r>
              <w:rPr>
                <w:rFonts w:ascii="微软雅黑" w:eastAsia="微软雅黑"/>
                <w:b/>
                <w:spacing w:val="47"/>
                <w:w w:val="150"/>
                <w:sz w:val="24"/>
              </w:rPr>
              <w:t xml:space="preserve"> </w:t>
            </w:r>
            <w:r>
              <w:rPr>
                <w:sz w:val="24"/>
              </w:rPr>
              <w:t>2015</w:t>
            </w:r>
            <w:r>
              <w:rPr>
                <w:spacing w:val="-43"/>
                <w:sz w:val="24"/>
              </w:rPr>
              <w:t xml:space="preserve"> </w:t>
            </w:r>
            <w:r>
              <w:rPr>
                <w:spacing w:val="-10"/>
                <w:sz w:val="24"/>
              </w:rPr>
              <w:t>年</w:t>
            </w:r>
            <w:r>
              <w:rPr>
                <w:sz w:val="24"/>
                <w:u w:val="single"/>
              </w:rPr>
              <w:tab/>
            </w:r>
            <w:r>
              <w:rPr>
                <w:spacing w:val="-12"/>
                <w:sz w:val="24"/>
                <w:u w:val="single"/>
              </w:rPr>
              <w:t>5</w:t>
            </w:r>
            <w:r>
              <w:rPr>
                <w:sz w:val="24"/>
                <w:u w:val="single"/>
              </w:rPr>
              <w:tab/>
            </w:r>
          </w:p>
        </w:tc>
        <w:tc>
          <w:tcPr>
            <w:tcW w:w="1080" w:type="dxa"/>
            <w:tcBorders>
              <w:top w:val="single" w:sz="2" w:space="0" w:color="000000"/>
              <w:left w:val="nil"/>
              <w:bottom w:val="single" w:sz="2" w:space="0" w:color="000000"/>
              <w:right w:val="nil"/>
            </w:tcBorders>
          </w:tcPr>
          <w:p>
            <w:pPr>
              <w:pStyle w:val="TableParagraph"/>
              <w:tabs>
                <w:tab w:val="left" w:pos="849"/>
                <w:tab w:val="left" w:pos="1209"/>
              </w:tabs>
              <w:spacing w:before="3"/>
              <w:ind w:left="129" w:right="-144"/>
              <w:rPr>
                <w:sz w:val="24"/>
              </w:rPr>
            </w:pPr>
            <w:r>
              <w:rPr>
                <w:spacing w:val="-10"/>
                <w:sz w:val="24"/>
              </w:rPr>
              <w:t>月</w:t>
            </w:r>
            <w:r>
              <w:rPr>
                <w:sz w:val="24"/>
                <w:u w:val="single"/>
              </w:rPr>
              <w:tab/>
            </w:r>
            <w:r>
              <w:rPr>
                <w:spacing w:val="-10"/>
                <w:sz w:val="24"/>
                <w:u w:val="single"/>
              </w:rPr>
              <w:t>6</w:t>
            </w:r>
            <w:r>
              <w:rPr>
                <w:sz w:val="24"/>
                <w:u w:val="single"/>
              </w:rPr>
              <w:tab/>
            </w:r>
          </w:p>
        </w:tc>
        <w:tc>
          <w:tcPr>
            <w:tcW w:w="900" w:type="dxa"/>
            <w:tcBorders>
              <w:top w:val="single" w:sz="2" w:space="0" w:color="000000"/>
              <w:left w:val="nil"/>
              <w:bottom w:val="single" w:sz="2" w:space="0" w:color="000000"/>
              <w:right w:val="nil"/>
            </w:tcBorders>
          </w:tcPr>
          <w:p>
            <w:pPr>
              <w:pStyle w:val="TableParagraph"/>
              <w:tabs>
                <w:tab w:val="left" w:pos="1089"/>
              </w:tabs>
              <w:spacing w:before="3"/>
              <w:ind w:left="129" w:right="-202"/>
              <w:rPr>
                <w:sz w:val="24"/>
              </w:rPr>
            </w:pPr>
            <w:r>
              <w:rPr>
                <w:sz w:val="24"/>
              </w:rPr>
              <w:t>日</w:t>
            </w:r>
            <w:r>
              <w:rPr>
                <w:spacing w:val="60"/>
                <w:w w:val="150"/>
                <w:sz w:val="24"/>
                <w:u w:val="single"/>
              </w:rPr>
              <w:t xml:space="preserve"> </w:t>
            </w:r>
            <w:r>
              <w:rPr>
                <w:spacing w:val="-10"/>
                <w:sz w:val="24"/>
                <w:u w:val="single"/>
              </w:rPr>
              <w:t>9</w:t>
            </w:r>
            <w:r>
              <w:rPr>
                <w:sz w:val="24"/>
                <w:u w:val="single"/>
              </w:rPr>
              <w:tab/>
            </w:r>
          </w:p>
        </w:tc>
        <w:tc>
          <w:tcPr>
            <w:tcW w:w="1080" w:type="dxa"/>
            <w:tcBorders>
              <w:top w:val="single" w:sz="2" w:space="0" w:color="000000"/>
              <w:left w:val="nil"/>
              <w:bottom w:val="single" w:sz="2" w:space="0" w:color="000000"/>
              <w:right w:val="nil"/>
            </w:tcBorders>
          </w:tcPr>
          <w:p>
            <w:pPr>
              <w:pStyle w:val="TableParagraph"/>
              <w:tabs>
                <w:tab w:val="left" w:pos="1269"/>
              </w:tabs>
              <w:spacing w:before="3"/>
              <w:ind w:left="189" w:right="-202"/>
              <w:rPr>
                <w:sz w:val="24"/>
              </w:rPr>
            </w:pPr>
            <w:r>
              <w:rPr>
                <w:sz w:val="24"/>
              </w:rPr>
              <w:t>时</w:t>
            </w:r>
            <w:r>
              <w:rPr>
                <w:spacing w:val="60"/>
                <w:w w:val="150"/>
                <w:sz w:val="24"/>
                <w:u w:val="single"/>
              </w:rPr>
              <w:t xml:space="preserve"> </w:t>
            </w:r>
            <w:r>
              <w:rPr>
                <w:spacing w:val="-5"/>
                <w:sz w:val="24"/>
                <w:u w:val="single"/>
              </w:rPr>
              <w:t>30</w:t>
            </w:r>
            <w:r>
              <w:rPr>
                <w:sz w:val="24"/>
                <w:u w:val="single"/>
              </w:rPr>
              <w:tab/>
            </w:r>
          </w:p>
        </w:tc>
        <w:tc>
          <w:tcPr>
            <w:tcW w:w="2359" w:type="dxa"/>
            <w:tcBorders>
              <w:top w:val="single" w:sz="2" w:space="0" w:color="000000"/>
              <w:left w:val="nil"/>
              <w:bottom w:val="single" w:sz="2" w:space="0" w:color="000000"/>
            </w:tcBorders>
          </w:tcPr>
          <w:p>
            <w:pPr>
              <w:pStyle w:val="TableParagraph"/>
              <w:spacing w:before="3"/>
              <w:ind w:left="179"/>
              <w:rPr>
                <w:sz w:val="24"/>
              </w:rPr>
            </w:pPr>
            <w:r>
              <w:rPr>
                <w:spacing w:val="-5"/>
                <w:sz w:val="24"/>
              </w:rPr>
              <w:t>分。</w:t>
            </w:r>
          </w:p>
        </w:tc>
      </w:tr>
      <w:tr>
        <w:tblPrEx>
          <w:tblW w:w="0" w:type="auto"/>
          <w:jc w:val="left"/>
          <w:tblInd w:w="334" w:type="dxa"/>
          <w:tblLayout w:type="fixed"/>
          <w:tblCellMar>
            <w:top w:w="0" w:type="dxa"/>
            <w:left w:w="0" w:type="dxa"/>
            <w:bottom w:w="0" w:type="dxa"/>
            <w:right w:w="0" w:type="dxa"/>
          </w:tblCellMar>
          <w:tblLook w:val="01E0"/>
        </w:tblPrEx>
        <w:trPr>
          <w:trHeight w:val="933"/>
          <w:jc w:val="left"/>
        </w:trPr>
        <w:tc>
          <w:tcPr>
            <w:tcW w:w="655" w:type="dxa"/>
            <w:tcBorders>
              <w:top w:val="single" w:sz="2" w:space="0" w:color="000000"/>
              <w:bottom w:val="single" w:sz="2" w:space="0" w:color="000000"/>
              <w:right w:val="single" w:sz="2" w:space="0" w:color="000000"/>
            </w:tcBorders>
          </w:tcPr>
          <w:p>
            <w:pPr>
              <w:pStyle w:val="TableParagraph"/>
              <w:spacing w:before="15"/>
              <w:rPr>
                <w:rFonts w:ascii="微软雅黑"/>
                <w:b/>
                <w:sz w:val="12"/>
              </w:rPr>
            </w:pPr>
          </w:p>
          <w:p>
            <w:pPr>
              <w:pStyle w:val="TableParagraph"/>
              <w:spacing w:before="1"/>
              <w:ind w:left="20"/>
              <w:jc w:val="center"/>
              <w:rPr>
                <w:sz w:val="24"/>
              </w:rPr>
            </w:pPr>
            <w:r>
              <w:rPr>
                <w:sz w:val="24"/>
              </w:rPr>
              <w:t>7</w:t>
            </w:r>
          </w:p>
        </w:tc>
        <w:tc>
          <w:tcPr>
            <w:tcW w:w="8514" w:type="dxa"/>
            <w:gridSpan w:val="5"/>
            <w:tcBorders>
              <w:top w:val="single" w:sz="2" w:space="0" w:color="000000"/>
              <w:left w:val="single" w:sz="2" w:space="0" w:color="000000"/>
              <w:bottom w:val="single" w:sz="2" w:space="0" w:color="000000"/>
            </w:tcBorders>
          </w:tcPr>
          <w:p>
            <w:pPr>
              <w:pStyle w:val="TableParagraph"/>
              <w:spacing w:line="369" w:lineRule="exact"/>
              <w:ind w:left="27"/>
              <w:rPr>
                <w:sz w:val="24"/>
              </w:rPr>
            </w:pPr>
            <w:r>
              <w:rPr>
                <w:rFonts w:ascii="微软雅黑" w:eastAsia="微软雅黑"/>
                <w:b/>
                <w:sz w:val="24"/>
              </w:rPr>
              <w:t>投标文件递交至单位：</w:t>
            </w:r>
            <w:r>
              <w:rPr>
                <w:spacing w:val="-1"/>
                <w:sz w:val="24"/>
              </w:rPr>
              <w:t>浙江华耀建设咨询有限公司；</w:t>
            </w:r>
          </w:p>
          <w:p>
            <w:pPr>
              <w:pStyle w:val="TableParagraph"/>
              <w:spacing w:before="24"/>
              <w:ind w:left="27"/>
              <w:rPr>
                <w:sz w:val="24"/>
              </w:rPr>
            </w:pPr>
            <w:r>
              <w:rPr>
                <w:rFonts w:ascii="微软雅黑" w:eastAsia="微软雅黑"/>
                <w:b/>
                <w:sz w:val="24"/>
              </w:rPr>
              <w:t>投标文件递交至地点：</w:t>
            </w:r>
            <w:r>
              <w:rPr>
                <w:sz w:val="24"/>
              </w:rPr>
              <w:t>衢州市柯城区住建局四楼（</w:t>
            </w:r>
            <w:r>
              <w:rPr>
                <w:spacing w:val="-15"/>
                <w:sz w:val="24"/>
              </w:rPr>
              <w:t xml:space="preserve">浮石路 </w:t>
            </w:r>
            <w:r>
              <w:rPr>
                <w:sz w:val="24"/>
              </w:rPr>
              <w:t>188</w:t>
            </w:r>
            <w:r>
              <w:rPr>
                <w:spacing w:val="-30"/>
                <w:sz w:val="24"/>
              </w:rPr>
              <w:t xml:space="preserve"> 号</w:t>
            </w:r>
            <w:r>
              <w:rPr>
                <w:sz w:val="24"/>
              </w:rPr>
              <w:t>）</w:t>
            </w:r>
            <w:r>
              <w:rPr>
                <w:spacing w:val="-10"/>
                <w:sz w:val="24"/>
              </w:rPr>
              <w:t>。</w:t>
            </w:r>
          </w:p>
        </w:tc>
      </w:tr>
      <w:tr>
        <w:tblPrEx>
          <w:tblW w:w="0" w:type="auto"/>
          <w:jc w:val="left"/>
          <w:tblInd w:w="334" w:type="dxa"/>
          <w:tblLayout w:type="fixed"/>
          <w:tblCellMar>
            <w:top w:w="0" w:type="dxa"/>
            <w:left w:w="0" w:type="dxa"/>
            <w:bottom w:w="0" w:type="dxa"/>
            <w:right w:w="0" w:type="dxa"/>
          </w:tblCellMar>
          <w:tblLook w:val="01E0"/>
        </w:tblPrEx>
        <w:trPr>
          <w:trHeight w:val="530"/>
          <w:jc w:val="left"/>
        </w:trPr>
        <w:tc>
          <w:tcPr>
            <w:tcW w:w="655" w:type="dxa"/>
            <w:tcBorders>
              <w:top w:val="single" w:sz="2" w:space="0" w:color="000000"/>
              <w:bottom w:val="single" w:sz="4" w:space="0" w:color="000000"/>
              <w:right w:val="single" w:sz="2" w:space="0" w:color="000000"/>
            </w:tcBorders>
          </w:tcPr>
          <w:p>
            <w:pPr>
              <w:pStyle w:val="TableParagraph"/>
              <w:spacing w:before="35"/>
              <w:ind w:left="20"/>
              <w:jc w:val="center"/>
              <w:rPr>
                <w:sz w:val="24"/>
              </w:rPr>
            </w:pPr>
            <w:r>
              <w:rPr>
                <w:sz w:val="24"/>
              </w:rPr>
              <w:t>8</w:t>
            </w:r>
          </w:p>
        </w:tc>
        <w:tc>
          <w:tcPr>
            <w:tcW w:w="8514" w:type="dxa"/>
            <w:gridSpan w:val="5"/>
            <w:tcBorders>
              <w:top w:val="single" w:sz="2" w:space="0" w:color="000000"/>
              <w:left w:val="single" w:sz="2" w:space="0" w:color="000000"/>
              <w:bottom w:val="single" w:sz="4" w:space="0" w:color="000000"/>
            </w:tcBorders>
          </w:tcPr>
          <w:p>
            <w:pPr>
              <w:pStyle w:val="TableParagraph"/>
              <w:spacing w:line="401" w:lineRule="exact"/>
              <w:ind w:left="27"/>
              <w:rPr>
                <w:rFonts w:ascii="微软雅黑" w:eastAsia="微软雅黑"/>
                <w:b/>
                <w:sz w:val="24"/>
              </w:rPr>
            </w:pPr>
            <w:r>
              <w:rPr>
                <w:rFonts w:ascii="微软雅黑" w:eastAsia="微软雅黑"/>
                <w:b/>
                <w:spacing w:val="-1"/>
                <w:sz w:val="24"/>
              </w:rPr>
              <w:t>开标时间和地点：同投标截止时间与地点。</w:t>
            </w:r>
          </w:p>
        </w:tc>
      </w:tr>
      <w:tr>
        <w:tblPrEx>
          <w:tblW w:w="0" w:type="auto"/>
          <w:jc w:val="left"/>
          <w:tblInd w:w="334" w:type="dxa"/>
          <w:tblLayout w:type="fixed"/>
          <w:tblCellMar>
            <w:top w:w="0" w:type="dxa"/>
            <w:left w:w="0" w:type="dxa"/>
            <w:bottom w:w="0" w:type="dxa"/>
            <w:right w:w="0" w:type="dxa"/>
          </w:tblCellMar>
          <w:tblLook w:val="01E0"/>
        </w:tblPrEx>
        <w:trPr>
          <w:trHeight w:val="585"/>
          <w:jc w:val="left"/>
        </w:trPr>
        <w:tc>
          <w:tcPr>
            <w:tcW w:w="655" w:type="dxa"/>
            <w:tcBorders>
              <w:top w:val="single" w:sz="4" w:space="0" w:color="000000"/>
              <w:bottom w:val="single" w:sz="4" w:space="0" w:color="000000"/>
              <w:right w:val="single" w:sz="2" w:space="0" w:color="000000"/>
            </w:tcBorders>
          </w:tcPr>
          <w:p>
            <w:pPr>
              <w:pStyle w:val="TableParagraph"/>
              <w:spacing w:before="63"/>
              <w:ind w:left="20"/>
              <w:jc w:val="center"/>
              <w:rPr>
                <w:sz w:val="24"/>
              </w:rPr>
            </w:pPr>
            <w:r>
              <w:rPr>
                <w:sz w:val="24"/>
              </w:rPr>
              <w:t>9</w:t>
            </w:r>
          </w:p>
        </w:tc>
        <w:tc>
          <w:tcPr>
            <w:tcW w:w="8514" w:type="dxa"/>
            <w:gridSpan w:val="5"/>
            <w:tcBorders>
              <w:top w:val="single" w:sz="4" w:space="0" w:color="000000"/>
              <w:left w:val="single" w:sz="2" w:space="0" w:color="000000"/>
              <w:bottom w:val="single" w:sz="4" w:space="0" w:color="000000"/>
            </w:tcBorders>
          </w:tcPr>
          <w:p>
            <w:pPr>
              <w:pStyle w:val="TableParagraph"/>
              <w:spacing w:line="428" w:lineRule="exact"/>
              <w:ind w:left="27"/>
              <w:rPr>
                <w:rFonts w:ascii="微软雅黑" w:eastAsia="微软雅黑" w:hAnsi="微软雅黑"/>
                <w:b/>
                <w:sz w:val="24"/>
              </w:rPr>
            </w:pPr>
            <w:r>
              <w:rPr>
                <w:rFonts w:ascii="微软雅黑" w:eastAsia="微软雅黑" w:hAnsi="微软雅黑"/>
                <w:b/>
                <w:spacing w:val="-1"/>
                <w:sz w:val="24"/>
              </w:rPr>
              <w:t>带“▲”条款系指实质性要求条款。</w:t>
            </w:r>
          </w:p>
        </w:tc>
      </w:tr>
      <w:tr>
        <w:tblPrEx>
          <w:tblW w:w="0" w:type="auto"/>
          <w:jc w:val="left"/>
          <w:tblInd w:w="334" w:type="dxa"/>
          <w:tblLayout w:type="fixed"/>
          <w:tblCellMar>
            <w:top w:w="0" w:type="dxa"/>
            <w:left w:w="0" w:type="dxa"/>
            <w:bottom w:w="0" w:type="dxa"/>
            <w:right w:w="0" w:type="dxa"/>
          </w:tblCellMar>
          <w:tblLook w:val="01E0"/>
        </w:tblPrEx>
        <w:trPr>
          <w:trHeight w:val="530"/>
          <w:jc w:val="left"/>
        </w:trPr>
        <w:tc>
          <w:tcPr>
            <w:tcW w:w="655" w:type="dxa"/>
            <w:tcBorders>
              <w:top w:val="single" w:sz="4" w:space="0" w:color="000000"/>
              <w:bottom w:val="single" w:sz="2" w:space="0" w:color="000000"/>
              <w:right w:val="single" w:sz="2" w:space="0" w:color="000000"/>
            </w:tcBorders>
          </w:tcPr>
          <w:p>
            <w:pPr>
              <w:pStyle w:val="TableParagraph"/>
              <w:spacing w:before="35"/>
              <w:ind w:left="76" w:right="56"/>
              <w:jc w:val="center"/>
              <w:rPr>
                <w:sz w:val="24"/>
              </w:rPr>
            </w:pPr>
            <w:r>
              <w:rPr>
                <w:spacing w:val="-5"/>
                <w:sz w:val="24"/>
              </w:rPr>
              <w:t>10</w:t>
            </w:r>
          </w:p>
        </w:tc>
        <w:tc>
          <w:tcPr>
            <w:tcW w:w="8514" w:type="dxa"/>
            <w:gridSpan w:val="5"/>
            <w:tcBorders>
              <w:top w:val="single" w:sz="4" w:space="0" w:color="000000"/>
              <w:left w:val="single" w:sz="2" w:space="0" w:color="000000"/>
              <w:bottom w:val="single" w:sz="2" w:space="0" w:color="000000"/>
            </w:tcBorders>
          </w:tcPr>
          <w:p>
            <w:pPr>
              <w:pStyle w:val="TableParagraph"/>
              <w:spacing w:line="401" w:lineRule="exact"/>
              <w:ind w:left="27"/>
              <w:rPr>
                <w:rFonts w:ascii="微软雅黑" w:eastAsia="微软雅黑"/>
                <w:b/>
                <w:sz w:val="24"/>
              </w:rPr>
            </w:pPr>
            <w:r>
              <w:rPr>
                <w:rFonts w:ascii="微软雅黑" w:eastAsia="微软雅黑"/>
                <w:b/>
                <w:spacing w:val="-1"/>
                <w:sz w:val="24"/>
              </w:rPr>
              <w:t>本项目采用资格后审制。</w:t>
            </w:r>
          </w:p>
        </w:tc>
      </w:tr>
      <w:tr>
        <w:tblPrEx>
          <w:tblW w:w="0" w:type="auto"/>
          <w:jc w:val="left"/>
          <w:tblInd w:w="334" w:type="dxa"/>
          <w:tblLayout w:type="fixed"/>
          <w:tblCellMar>
            <w:top w:w="0" w:type="dxa"/>
            <w:left w:w="0" w:type="dxa"/>
            <w:bottom w:w="0" w:type="dxa"/>
            <w:right w:w="0" w:type="dxa"/>
          </w:tblCellMar>
          <w:tblLook w:val="01E0"/>
        </w:tblPrEx>
        <w:trPr>
          <w:trHeight w:val="933"/>
          <w:jc w:val="left"/>
        </w:trPr>
        <w:tc>
          <w:tcPr>
            <w:tcW w:w="655" w:type="dxa"/>
            <w:tcBorders>
              <w:top w:val="single" w:sz="2" w:space="0" w:color="000000"/>
              <w:bottom w:val="single" w:sz="2" w:space="0" w:color="000000"/>
              <w:right w:val="single" w:sz="2" w:space="0" w:color="000000"/>
            </w:tcBorders>
          </w:tcPr>
          <w:p>
            <w:pPr>
              <w:pStyle w:val="TableParagraph"/>
              <w:spacing w:before="15"/>
              <w:rPr>
                <w:rFonts w:ascii="微软雅黑"/>
                <w:b/>
                <w:sz w:val="12"/>
              </w:rPr>
            </w:pPr>
          </w:p>
          <w:p>
            <w:pPr>
              <w:pStyle w:val="TableParagraph"/>
              <w:spacing w:before="1"/>
              <w:ind w:left="76" w:right="56"/>
              <w:jc w:val="center"/>
              <w:rPr>
                <w:sz w:val="24"/>
              </w:rPr>
            </w:pPr>
            <w:r>
              <w:rPr>
                <w:spacing w:val="-5"/>
                <w:sz w:val="24"/>
              </w:rPr>
              <w:t>11</w:t>
            </w:r>
          </w:p>
        </w:tc>
        <w:tc>
          <w:tcPr>
            <w:tcW w:w="8514" w:type="dxa"/>
            <w:gridSpan w:val="5"/>
            <w:tcBorders>
              <w:top w:val="single" w:sz="2" w:space="0" w:color="000000"/>
              <w:left w:val="single" w:sz="2" w:space="0" w:color="000000"/>
              <w:bottom w:val="single" w:sz="2" w:space="0" w:color="000000"/>
            </w:tcBorders>
          </w:tcPr>
          <w:p>
            <w:pPr>
              <w:pStyle w:val="TableParagraph"/>
              <w:spacing w:line="369" w:lineRule="exact"/>
              <w:ind w:left="27"/>
              <w:rPr>
                <w:rFonts w:ascii="微软雅黑" w:eastAsia="微软雅黑"/>
                <w:b/>
                <w:sz w:val="24"/>
              </w:rPr>
            </w:pPr>
            <w:r>
              <w:rPr>
                <w:rFonts w:ascii="微软雅黑" w:eastAsia="微软雅黑"/>
                <w:b/>
                <w:spacing w:val="-6"/>
                <w:sz w:val="24"/>
              </w:rPr>
              <w:t>本项目中标候选人为 6</w:t>
            </w:r>
            <w:r>
              <w:rPr>
                <w:rFonts w:ascii="微软雅黑" w:eastAsia="微软雅黑"/>
                <w:b/>
                <w:spacing w:val="-5"/>
                <w:sz w:val="24"/>
              </w:rPr>
              <w:t xml:space="preserve"> 家，中标人为 </w:t>
            </w:r>
            <w:r>
              <w:rPr>
                <w:rFonts w:ascii="微软雅黑" w:eastAsia="微软雅黑"/>
                <w:b/>
                <w:spacing w:val="-6"/>
                <w:sz w:val="24"/>
              </w:rPr>
              <w:t>4</w:t>
            </w:r>
            <w:r>
              <w:rPr>
                <w:rFonts w:ascii="微软雅黑" w:eastAsia="微软雅黑"/>
                <w:b/>
                <w:spacing w:val="-42"/>
                <w:sz w:val="24"/>
              </w:rPr>
              <w:t xml:space="preserve"> 家。</w:t>
            </w:r>
            <w:r>
              <w:rPr>
                <w:rFonts w:ascii="微软雅黑" w:eastAsia="微软雅黑"/>
                <w:b/>
                <w:spacing w:val="-6"/>
                <w:sz w:val="24"/>
              </w:rPr>
              <w:t>（</w:t>
            </w:r>
            <w:r>
              <w:rPr>
                <w:rFonts w:ascii="微软雅黑" w:eastAsia="微软雅黑"/>
                <w:b/>
                <w:spacing w:val="-7"/>
                <w:sz w:val="24"/>
              </w:rPr>
              <w:t>注：确定中标人后具体培训项目由招</w:t>
            </w:r>
          </w:p>
          <w:p>
            <w:pPr>
              <w:pStyle w:val="TableParagraph"/>
              <w:spacing w:before="24"/>
              <w:ind w:left="27"/>
              <w:rPr>
                <w:rFonts w:ascii="微软雅黑" w:eastAsia="微软雅黑"/>
                <w:b/>
                <w:sz w:val="24"/>
              </w:rPr>
            </w:pPr>
            <w:r>
              <w:rPr>
                <w:rFonts w:ascii="微软雅黑" w:eastAsia="微软雅黑"/>
                <w:b/>
                <w:sz w:val="24"/>
              </w:rPr>
              <w:t>标人按需分配</w:t>
            </w:r>
            <w:r>
              <w:rPr>
                <w:rFonts w:ascii="微软雅黑" w:eastAsia="微软雅黑"/>
                <w:b/>
                <w:spacing w:val="-120"/>
                <w:sz w:val="24"/>
              </w:rPr>
              <w:t>）</w:t>
            </w:r>
            <w:r>
              <w:rPr>
                <w:rFonts w:ascii="微软雅黑" w:eastAsia="微软雅黑"/>
                <w:b/>
                <w:spacing w:val="-10"/>
                <w:sz w:val="24"/>
              </w:rPr>
              <w:t>。</w:t>
            </w:r>
          </w:p>
        </w:tc>
      </w:tr>
    </w:tbl>
    <w:p>
      <w:pPr>
        <w:spacing w:after="0"/>
        <w:rPr>
          <w:rFonts w:ascii="微软雅黑" w:eastAsia="微软雅黑"/>
          <w:sz w:val="24"/>
        </w:rPr>
        <w:sectPr>
          <w:footerReference w:type="default" r:id="rId9"/>
          <w:pgSz w:w="11910" w:h="16840"/>
          <w:pgMar w:top="1200" w:right="800" w:bottom="1180" w:left="1020" w:header="0" w:footer="990"/>
          <w:pgNumType w:start="6"/>
          <w:cols w:space="708"/>
        </w:sectPr>
      </w:pPr>
    </w:p>
    <w:p>
      <w:pPr>
        <w:pStyle w:val="BodyText"/>
        <w:spacing w:before="8"/>
        <w:rPr>
          <w:rFonts w:ascii="微软雅黑"/>
          <w:b/>
          <w:sz w:val="19"/>
        </w:rPr>
      </w:pPr>
    </w:p>
    <w:p>
      <w:pPr>
        <w:pStyle w:val="Heading5"/>
      </w:pPr>
      <w:r>
        <w:rPr>
          <w:spacing w:val="-6"/>
        </w:rPr>
        <w:t>1</w:t>
      </w:r>
      <w:r>
        <w:rPr>
          <w:spacing w:val="-7"/>
        </w:rPr>
        <w:t>、项目说明</w:t>
      </w:r>
    </w:p>
    <w:p>
      <w:pPr>
        <w:pStyle w:val="Heading3"/>
        <w:spacing w:line="471" w:lineRule="exact"/>
        <w:ind w:left="398"/>
        <w:jc w:val="left"/>
        <w:rPr>
          <w:rFonts w:ascii="微软雅黑" w:eastAsia="微软雅黑"/>
        </w:rPr>
      </w:pPr>
      <w:r>
        <w:rPr>
          <w:b w:val="0"/>
        </w:rPr>
        <w:br w:type="column"/>
      </w:r>
      <w:r>
        <w:rPr>
          <w:rFonts w:ascii="微软雅黑" w:eastAsia="微软雅黑"/>
          <w:spacing w:val="9"/>
        </w:rPr>
        <w:t>一、总 则</w:t>
      </w:r>
    </w:p>
    <w:p>
      <w:pPr>
        <w:spacing w:after="0" w:line="471" w:lineRule="exact"/>
        <w:jc w:val="left"/>
        <w:rPr>
          <w:rFonts w:ascii="微软雅黑" w:eastAsia="微软雅黑"/>
        </w:rPr>
        <w:sectPr>
          <w:footerReference w:type="default" r:id="rId10"/>
          <w:pgSz w:w="11910" w:h="16840"/>
          <w:pgMar w:top="1500" w:right="800" w:bottom="1180" w:left="1020" w:header="0" w:footer="990"/>
          <w:pgNumType w:start="7"/>
          <w:cols w:num="2" w:space="708" w:equalWidth="0">
            <w:col w:w="1763" w:space="2115"/>
            <w:col w:w="6212" w:space="0"/>
          </w:cols>
        </w:sectPr>
      </w:pPr>
    </w:p>
    <w:p>
      <w:pPr>
        <w:pStyle w:val="ListParagraph"/>
        <w:numPr>
          <w:ilvl w:val="1"/>
          <w:numId w:val="31"/>
        </w:numPr>
        <w:tabs>
          <w:tab w:val="left" w:pos="1298"/>
        </w:tabs>
        <w:spacing w:before="0" w:after="0" w:line="282" w:lineRule="exact"/>
        <w:ind w:left="1298" w:right="0" w:hanging="420"/>
        <w:jc w:val="both"/>
        <w:rPr>
          <w:sz w:val="24"/>
        </w:rPr>
      </w:pPr>
      <w:r>
        <w:rPr>
          <w:spacing w:val="-8"/>
          <w:sz w:val="24"/>
        </w:rPr>
        <w:t xml:space="preserve">为贯彻落实中央 </w:t>
      </w:r>
      <w:r>
        <w:rPr>
          <w:spacing w:val="-2"/>
          <w:sz w:val="24"/>
        </w:rPr>
        <w:t>1</w:t>
      </w:r>
      <w:r>
        <w:rPr>
          <w:spacing w:val="-10"/>
          <w:sz w:val="24"/>
        </w:rPr>
        <w:t xml:space="preserve"> 号文件精神，启动实施新型职业农民培育工程，构建“三位</w:t>
      </w:r>
    </w:p>
    <w:p>
      <w:pPr>
        <w:pStyle w:val="BodyText"/>
        <w:spacing w:before="32" w:line="266" w:lineRule="auto"/>
        <w:ind w:left="398" w:right="663"/>
        <w:jc w:val="both"/>
      </w:pPr>
      <w:r>
        <w:rPr>
          <w:spacing w:val="-4"/>
        </w:rPr>
        <w:t>一体、三类协同、三级贯通”的新型职业农民培育制度，培养一支有文化、懂技术、会</w:t>
      </w:r>
      <w:r>
        <w:rPr>
          <w:spacing w:val="-3"/>
        </w:rPr>
        <w:t xml:space="preserve">经营的新型职业农民队伍。根据农业部办公厅、财政部办公厅《关于做好 </w:t>
      </w:r>
      <w:r>
        <w:rPr>
          <w:spacing w:val="-2"/>
        </w:rPr>
        <w:t>2014</w:t>
      </w:r>
      <w:r>
        <w:rPr>
          <w:spacing w:val="-9"/>
        </w:rPr>
        <w:t xml:space="preserve"> 年农民</w:t>
      </w:r>
      <w:r>
        <w:rPr>
          <w:spacing w:val="-17"/>
        </w:rPr>
        <w:t>培训工作的通知》</w:t>
      </w:r>
      <w:r>
        <w:rPr>
          <w:spacing w:val="-2"/>
        </w:rPr>
        <w:t>（农办财〔2014〕66</w:t>
      </w:r>
      <w:r>
        <w:rPr>
          <w:spacing w:val="-15"/>
        </w:rPr>
        <w:t xml:space="preserve"> 号</w:t>
      </w:r>
      <w:r>
        <w:rPr>
          <w:spacing w:val="-2"/>
        </w:rPr>
        <w:t>）要求，切实抓好新型职业农民培育工作，促</w:t>
      </w:r>
      <w:r>
        <w:rPr>
          <w:spacing w:val="-4"/>
        </w:rPr>
        <w:t>进新型职业农民培训标准化、规范化、制度化建设，柯城区农办特委托浙江华耀建设咨</w:t>
      </w:r>
      <w:r>
        <w:rPr>
          <w:spacing w:val="-6"/>
        </w:rPr>
        <w:t xml:space="preserve">询有限公司实施 </w:t>
      </w:r>
      <w:r>
        <w:rPr>
          <w:spacing w:val="-2"/>
        </w:rPr>
        <w:t>2015</w:t>
      </w:r>
      <w:r>
        <w:rPr>
          <w:spacing w:val="-7"/>
        </w:rPr>
        <w:t xml:space="preserve"> 年衢州市柯城区万名农民素质提升工程培训机构入围</w:t>
      </w:r>
      <w:r>
        <w:rPr>
          <w:color w:val="0000FF"/>
          <w:spacing w:val="-2"/>
        </w:rPr>
        <w:t>项目采购</w:t>
      </w:r>
      <w:r>
        <w:rPr>
          <w:spacing w:val="-2"/>
        </w:rPr>
        <w:t>招</w:t>
      </w:r>
      <w:r>
        <w:rPr>
          <w:spacing w:val="-2"/>
        </w:rPr>
        <w:t>标活动，欢迎符合要求的企业单位前来投标。</w:t>
      </w:r>
    </w:p>
    <w:p>
      <w:pPr>
        <w:pStyle w:val="ListParagraph"/>
        <w:numPr>
          <w:ilvl w:val="1"/>
          <w:numId w:val="31"/>
        </w:numPr>
        <w:tabs>
          <w:tab w:val="left" w:pos="1298"/>
        </w:tabs>
        <w:spacing w:before="0" w:after="0" w:line="266" w:lineRule="auto"/>
        <w:ind w:left="398" w:right="663" w:firstLine="480"/>
        <w:jc w:val="both"/>
        <w:rPr>
          <w:sz w:val="24"/>
        </w:rPr>
      </w:pPr>
      <w:r>
        <w:rPr>
          <w:spacing w:val="-3"/>
          <w:sz w:val="24"/>
        </w:rPr>
        <w:t>采购单位衢州市柯城区农业和农村工作办公室为本项目的招标人 (合同中的甲</w:t>
      </w:r>
      <w:r>
        <w:rPr>
          <w:spacing w:val="-2"/>
          <w:sz w:val="24"/>
        </w:rPr>
        <w:t>方)，衢州市柯城区财政局政府采购监管处为监督管理部门；自愿参加本次项目投标的</w:t>
      </w:r>
      <w:r>
        <w:rPr>
          <w:spacing w:val="-4"/>
          <w:sz w:val="24"/>
        </w:rPr>
        <w:t>公司为投标人，经评审产生并经批准的投标人为入围中标候选人，经公示无异议，并签</w:t>
      </w:r>
      <w:r>
        <w:rPr>
          <w:spacing w:val="-2"/>
          <w:sz w:val="24"/>
        </w:rPr>
        <w:t>订合同后的中标人为入围单位（合同中的乙方</w:t>
      </w:r>
      <w:r>
        <w:rPr>
          <w:spacing w:val="-120"/>
          <w:sz w:val="24"/>
        </w:rPr>
        <w:t>）</w:t>
      </w:r>
      <w:r>
        <w:rPr>
          <w:spacing w:val="-2"/>
          <w:sz w:val="24"/>
        </w:rPr>
        <w:t>。</w:t>
      </w:r>
    </w:p>
    <w:p>
      <w:pPr>
        <w:pStyle w:val="ListParagraph"/>
        <w:numPr>
          <w:ilvl w:val="1"/>
          <w:numId w:val="31"/>
        </w:numPr>
        <w:tabs>
          <w:tab w:val="left" w:pos="1358"/>
        </w:tabs>
        <w:spacing w:before="0" w:after="0" w:line="266" w:lineRule="auto"/>
        <w:ind w:left="398" w:right="663" w:firstLine="480"/>
        <w:jc w:val="both"/>
        <w:rPr>
          <w:sz w:val="24"/>
        </w:rPr>
      </w:pPr>
      <w:r>
        <w:rPr>
          <w:spacing w:val="-4"/>
          <w:sz w:val="24"/>
        </w:rPr>
        <w:t>潜在投标人获取招标文件后，必须按照国家《保密法》以及保密工作的相关规</w:t>
      </w:r>
      <w:r>
        <w:rPr>
          <w:spacing w:val="-4"/>
          <w:sz w:val="24"/>
        </w:rPr>
        <w:t>定，对招标文件内容承担保密义务，维护采购人的权益，发生窃、泄密事件由潜在投标</w:t>
      </w:r>
      <w:r>
        <w:rPr>
          <w:spacing w:val="-2"/>
          <w:sz w:val="24"/>
        </w:rPr>
        <w:t>人承担相应的法律责任。</w:t>
      </w:r>
    </w:p>
    <w:p>
      <w:pPr>
        <w:pStyle w:val="ListParagraph"/>
        <w:numPr>
          <w:ilvl w:val="1"/>
          <w:numId w:val="31"/>
        </w:numPr>
        <w:tabs>
          <w:tab w:val="left" w:pos="1358"/>
        </w:tabs>
        <w:spacing w:before="0" w:after="0" w:line="266" w:lineRule="auto"/>
        <w:ind w:left="398" w:right="567" w:firstLine="480"/>
        <w:jc w:val="left"/>
        <w:rPr>
          <w:sz w:val="24"/>
        </w:rPr>
      </w:pPr>
      <w:r>
        <w:rPr>
          <w:spacing w:val="-2"/>
          <w:sz w:val="24"/>
        </w:rPr>
        <w:t>投标人须对所投产品、方案、技术、服务等拥有合法的占有和处置权，并对涉</w:t>
      </w:r>
      <w:r>
        <w:rPr>
          <w:spacing w:val="-2"/>
          <w:sz w:val="24"/>
        </w:rPr>
        <w:t>及项目的所有内容可能侵权行为指控负责，保证不伤害采购人的利益。在法律范围内，</w:t>
      </w:r>
      <w:r>
        <w:rPr>
          <w:spacing w:val="-2"/>
          <w:sz w:val="24"/>
        </w:rPr>
        <w:t>如果出现文字、图片、商标和技术等侵权行为而造成的纠纷和产生的一切费用，采购人</w:t>
      </w:r>
      <w:r>
        <w:rPr>
          <w:spacing w:val="-2"/>
          <w:sz w:val="24"/>
        </w:rPr>
        <w:t>概不负责，由此给采购人造成损失的，供应商应承担相应后果，并负责赔偿。供应商为</w:t>
      </w:r>
      <w:r>
        <w:rPr>
          <w:spacing w:val="-2"/>
          <w:sz w:val="24"/>
        </w:rPr>
        <w:t>执行本项目合同而提供的技术资料等归采购人所有。</w:t>
      </w:r>
    </w:p>
    <w:p>
      <w:pPr>
        <w:pStyle w:val="Heading5"/>
        <w:spacing w:line="346" w:lineRule="exact"/>
      </w:pPr>
      <w:r>
        <w:rPr>
          <w:spacing w:val="-6"/>
        </w:rPr>
        <w:t>2</w:t>
      </w:r>
      <w:r>
        <w:rPr>
          <w:spacing w:val="-7"/>
        </w:rPr>
        <w:t>、采购方式</w:t>
      </w:r>
    </w:p>
    <w:p>
      <w:pPr>
        <w:pStyle w:val="BodyText"/>
        <w:spacing w:line="273" w:lineRule="exact"/>
        <w:ind w:left="758"/>
      </w:pPr>
      <w:r>
        <w:rPr>
          <w:spacing w:val="-2"/>
        </w:rPr>
        <w:t>公开招标。</w:t>
      </w:r>
    </w:p>
    <w:p>
      <w:pPr>
        <w:pStyle w:val="Heading5"/>
        <w:spacing w:line="369" w:lineRule="exact"/>
      </w:pPr>
      <w:r>
        <w:rPr>
          <w:spacing w:val="-10"/>
        </w:rPr>
        <w:t>3</w:t>
      </w:r>
      <w:r>
        <w:rPr>
          <w:spacing w:val="-11"/>
        </w:rPr>
        <w:t>、定义</w:t>
      </w:r>
    </w:p>
    <w:p>
      <w:pPr>
        <w:pStyle w:val="Heading5"/>
        <w:numPr>
          <w:ilvl w:val="1"/>
          <w:numId w:val="30"/>
        </w:numPr>
        <w:tabs>
          <w:tab w:val="left" w:pos="1361"/>
        </w:tabs>
        <w:spacing w:before="0" w:after="0" w:line="340" w:lineRule="exact"/>
        <w:ind w:left="1360" w:right="0" w:hanging="483"/>
        <w:jc w:val="left"/>
      </w:pPr>
      <w:r>
        <w:rPr>
          <w:spacing w:val="-2"/>
        </w:rPr>
        <w:t>合格的投标人应具备的资格要求，见招标文件第一部分“招标公告”第 4</w:t>
      </w:r>
      <w:r>
        <w:rPr>
          <w:spacing w:val="-4"/>
        </w:rPr>
        <w:t xml:space="preserve"> 条。</w:t>
      </w:r>
    </w:p>
    <w:p>
      <w:pPr>
        <w:pStyle w:val="Heading5"/>
        <w:numPr>
          <w:ilvl w:val="1"/>
          <w:numId w:val="30"/>
        </w:numPr>
        <w:tabs>
          <w:tab w:val="left" w:pos="1352"/>
        </w:tabs>
        <w:spacing w:before="0" w:after="0" w:line="378" w:lineRule="exact"/>
        <w:ind w:left="1351" w:right="0" w:hanging="484"/>
        <w:jc w:val="left"/>
      </w:pPr>
      <w:r>
        <w:rPr>
          <w:spacing w:val="-5"/>
        </w:rPr>
        <w:t>服务</w:t>
      </w:r>
    </w:p>
    <w:p>
      <w:pPr>
        <w:pStyle w:val="BodyText"/>
        <w:spacing w:line="266" w:lineRule="auto"/>
        <w:ind w:left="398" w:right="663" w:firstLine="540"/>
        <w:jc w:val="both"/>
      </w:pPr>
      <w:r>
        <w:rPr>
          <w:spacing w:val="-2"/>
        </w:rPr>
        <w:t>指投标人按照招标文件的要求，通过建立服务团队，完善完备服务过程中所需的</w:t>
      </w:r>
      <w:r>
        <w:rPr>
          <w:spacing w:val="-4"/>
        </w:rPr>
        <w:t>软硬件资源，利用电话、网上支持、传真、现场支持、会议和培训等方式向采购单位提</w:t>
      </w:r>
      <w:r>
        <w:rPr>
          <w:spacing w:val="-2"/>
        </w:rPr>
        <w:t>供的技术服务。</w:t>
      </w:r>
    </w:p>
    <w:p>
      <w:pPr>
        <w:pStyle w:val="BodyText"/>
        <w:spacing w:line="281" w:lineRule="exact"/>
        <w:ind w:left="878"/>
      </w:pPr>
      <w:r>
        <w:rPr>
          <w:spacing w:val="-6"/>
        </w:rPr>
        <w:t>采购要求详见招标文件第三部分《项目技术规范和服务要求》。</w:t>
      </w:r>
    </w:p>
    <w:p>
      <w:pPr>
        <w:pStyle w:val="Heading5"/>
        <w:spacing w:line="407" w:lineRule="exact"/>
      </w:pPr>
      <w:r>
        <w:rPr>
          <w:spacing w:val="-6"/>
        </w:rPr>
        <w:t>4</w:t>
      </w:r>
      <w:r>
        <w:rPr>
          <w:spacing w:val="-7"/>
        </w:rPr>
        <w:t>、投标费用</w:t>
      </w:r>
    </w:p>
    <w:p>
      <w:pPr>
        <w:pStyle w:val="BodyText"/>
        <w:spacing w:line="252" w:lineRule="exact"/>
        <w:ind w:left="921"/>
      </w:pPr>
      <w:r>
        <w:rPr>
          <w:spacing w:val="-1"/>
        </w:rPr>
        <w:t>投标人需自行承担涉及投标的一切费用。</w:t>
      </w:r>
    </w:p>
    <w:p>
      <w:pPr>
        <w:pStyle w:val="Heading3"/>
        <w:spacing w:line="474" w:lineRule="exact"/>
        <w:ind w:right="267"/>
        <w:rPr>
          <w:rFonts w:ascii="微软雅黑" w:eastAsia="微软雅黑"/>
        </w:rPr>
      </w:pPr>
      <w:r>
        <w:rPr>
          <w:rFonts w:ascii="微软雅黑" w:eastAsia="微软雅黑"/>
          <w:spacing w:val="-2"/>
        </w:rPr>
        <w:t>二、招标文件</w:t>
      </w:r>
    </w:p>
    <w:p>
      <w:pPr>
        <w:pStyle w:val="Heading5"/>
        <w:spacing w:before="39" w:line="430" w:lineRule="exact"/>
      </w:pPr>
      <w:r>
        <w:rPr>
          <w:spacing w:val="-4"/>
        </w:rPr>
        <w:t>5</w:t>
      </w:r>
      <w:r>
        <w:rPr>
          <w:spacing w:val="-5"/>
        </w:rPr>
        <w:t>、招标文件的构成</w:t>
      </w:r>
    </w:p>
    <w:p>
      <w:pPr>
        <w:pStyle w:val="ListParagraph"/>
        <w:numPr>
          <w:ilvl w:val="1"/>
          <w:numId w:val="29"/>
        </w:numPr>
        <w:tabs>
          <w:tab w:val="left" w:pos="1477"/>
          <w:tab w:val="left" w:pos="1478"/>
        </w:tabs>
        <w:spacing w:before="0" w:after="0" w:line="295" w:lineRule="exact"/>
        <w:ind w:left="1478" w:right="0" w:hanging="600"/>
        <w:jc w:val="left"/>
        <w:rPr>
          <w:sz w:val="24"/>
        </w:rPr>
      </w:pPr>
      <w:r>
        <w:rPr>
          <w:spacing w:val="-1"/>
          <w:sz w:val="24"/>
        </w:rPr>
        <w:t>招标文件包括下列文件及附件</w:t>
      </w:r>
    </w:p>
    <w:p>
      <w:pPr>
        <w:pStyle w:val="ListParagraph"/>
        <w:numPr>
          <w:ilvl w:val="2"/>
          <w:numId w:val="29"/>
        </w:numPr>
        <w:tabs>
          <w:tab w:val="left" w:pos="1297"/>
          <w:tab w:val="left" w:pos="1298"/>
          <w:tab w:val="left" w:pos="2497"/>
        </w:tabs>
        <w:spacing w:before="33" w:after="0" w:line="240" w:lineRule="auto"/>
        <w:ind w:left="1298" w:right="0" w:hanging="420"/>
        <w:jc w:val="left"/>
        <w:rPr>
          <w:sz w:val="24"/>
        </w:rPr>
      </w:pPr>
      <w:r>
        <w:rPr>
          <w:sz w:val="24"/>
        </w:rPr>
        <w:t>第一部</w:t>
      </w:r>
      <w:r>
        <w:rPr>
          <w:spacing w:val="-10"/>
          <w:sz w:val="24"/>
        </w:rPr>
        <w:t>分</w:t>
      </w:r>
      <w:r>
        <w:rPr>
          <w:sz w:val="24"/>
        </w:rPr>
        <w:tab/>
        <w:t>招标公</w:t>
      </w:r>
      <w:r>
        <w:rPr>
          <w:spacing w:val="-10"/>
          <w:sz w:val="24"/>
        </w:rPr>
        <w:t>告</w:t>
      </w:r>
    </w:p>
    <w:p>
      <w:pPr>
        <w:pStyle w:val="ListParagraph"/>
        <w:numPr>
          <w:ilvl w:val="2"/>
          <w:numId w:val="29"/>
        </w:numPr>
        <w:tabs>
          <w:tab w:val="left" w:pos="1297"/>
          <w:tab w:val="left" w:pos="1298"/>
          <w:tab w:val="left" w:pos="2497"/>
        </w:tabs>
        <w:spacing w:before="32" w:after="0" w:line="240" w:lineRule="auto"/>
        <w:ind w:left="1298" w:right="0" w:hanging="420"/>
        <w:jc w:val="left"/>
        <w:rPr>
          <w:sz w:val="24"/>
        </w:rPr>
      </w:pPr>
      <w:r>
        <w:rPr>
          <w:sz w:val="24"/>
        </w:rPr>
        <w:t>第二部</w:t>
      </w:r>
      <w:r>
        <w:rPr>
          <w:spacing w:val="-10"/>
          <w:sz w:val="24"/>
        </w:rPr>
        <w:t>分</w:t>
      </w:r>
      <w:r>
        <w:rPr>
          <w:sz w:val="24"/>
        </w:rPr>
        <w:tab/>
        <w:t>编制和提交投标文件须</w:t>
      </w:r>
      <w:r>
        <w:rPr>
          <w:spacing w:val="-10"/>
          <w:sz w:val="24"/>
        </w:rPr>
        <w:t>知</w:t>
      </w:r>
    </w:p>
    <w:p>
      <w:pPr>
        <w:pStyle w:val="ListParagraph"/>
        <w:numPr>
          <w:ilvl w:val="2"/>
          <w:numId w:val="29"/>
        </w:numPr>
        <w:tabs>
          <w:tab w:val="left" w:pos="1297"/>
          <w:tab w:val="left" w:pos="1298"/>
          <w:tab w:val="left" w:pos="2497"/>
        </w:tabs>
        <w:spacing w:before="33" w:after="0" w:line="240" w:lineRule="auto"/>
        <w:ind w:left="1298" w:right="0" w:hanging="420"/>
        <w:jc w:val="left"/>
        <w:rPr>
          <w:sz w:val="24"/>
        </w:rPr>
      </w:pPr>
      <w:r>
        <w:rPr>
          <w:sz w:val="24"/>
        </w:rPr>
        <w:t>第三部</w:t>
      </w:r>
      <w:r>
        <w:rPr>
          <w:spacing w:val="-10"/>
          <w:sz w:val="24"/>
        </w:rPr>
        <w:t>分</w:t>
      </w:r>
      <w:r>
        <w:rPr>
          <w:sz w:val="24"/>
        </w:rPr>
        <w:tab/>
        <w:t>项目技术规范和服务要</w:t>
      </w:r>
      <w:r>
        <w:rPr>
          <w:spacing w:val="-10"/>
          <w:sz w:val="24"/>
        </w:rPr>
        <w:t>求</w:t>
      </w:r>
    </w:p>
    <w:p>
      <w:pPr>
        <w:pStyle w:val="ListParagraph"/>
        <w:numPr>
          <w:ilvl w:val="2"/>
          <w:numId w:val="29"/>
        </w:numPr>
        <w:tabs>
          <w:tab w:val="left" w:pos="1297"/>
          <w:tab w:val="left" w:pos="1298"/>
          <w:tab w:val="left" w:pos="2497"/>
        </w:tabs>
        <w:spacing w:before="32" w:after="0" w:line="240" w:lineRule="auto"/>
        <w:ind w:left="1298" w:right="0" w:hanging="420"/>
        <w:jc w:val="left"/>
        <w:rPr>
          <w:sz w:val="24"/>
        </w:rPr>
      </w:pPr>
      <w:r>
        <w:rPr>
          <w:sz w:val="24"/>
        </w:rPr>
        <w:t>第四部</w:t>
      </w:r>
      <w:r>
        <w:rPr>
          <w:spacing w:val="-10"/>
          <w:sz w:val="24"/>
        </w:rPr>
        <w:t>分</w:t>
      </w:r>
      <w:r>
        <w:rPr>
          <w:sz w:val="24"/>
        </w:rPr>
        <w:tab/>
        <w:t>合同主要条</w:t>
      </w:r>
      <w:r>
        <w:rPr>
          <w:spacing w:val="-10"/>
          <w:sz w:val="24"/>
        </w:rPr>
        <w:t>款</w:t>
      </w:r>
    </w:p>
    <w:p>
      <w:pPr>
        <w:pStyle w:val="ListParagraph"/>
        <w:numPr>
          <w:ilvl w:val="2"/>
          <w:numId w:val="29"/>
        </w:numPr>
        <w:tabs>
          <w:tab w:val="left" w:pos="1297"/>
          <w:tab w:val="left" w:pos="1298"/>
          <w:tab w:val="left" w:pos="2497"/>
        </w:tabs>
        <w:spacing w:before="33" w:after="0" w:line="240" w:lineRule="auto"/>
        <w:ind w:left="1298" w:right="0" w:hanging="420"/>
        <w:jc w:val="left"/>
        <w:rPr>
          <w:sz w:val="24"/>
        </w:rPr>
      </w:pPr>
      <w:r>
        <w:rPr>
          <w:sz w:val="24"/>
        </w:rPr>
        <w:t>第五部</w:t>
      </w:r>
      <w:r>
        <w:rPr>
          <w:spacing w:val="-10"/>
          <w:sz w:val="24"/>
        </w:rPr>
        <w:t>分</w:t>
      </w:r>
      <w:r>
        <w:rPr>
          <w:sz w:val="24"/>
        </w:rPr>
        <w:tab/>
        <w:t>应提交的有关格式范</w:t>
      </w:r>
      <w:r>
        <w:rPr>
          <w:spacing w:val="-10"/>
          <w:sz w:val="24"/>
        </w:rPr>
        <w:t>例</w:t>
      </w:r>
    </w:p>
    <w:p>
      <w:pPr>
        <w:spacing w:after="0" w:line="240" w:lineRule="auto"/>
        <w:jc w:val="left"/>
        <w:rPr>
          <w:sz w:val="24"/>
        </w:rPr>
        <w:sectPr>
          <w:footerReference w:type="default" r:id="rId11"/>
          <w:type w:val="continuous"/>
          <w:pgSz w:w="11910" w:h="16840"/>
          <w:pgMar w:top="1180" w:right="800" w:bottom="280" w:left="1020" w:header="0" w:footer="990"/>
          <w:pgNumType w:start="8"/>
          <w:cols w:space="708"/>
        </w:sectPr>
      </w:pPr>
    </w:p>
    <w:p>
      <w:pPr>
        <w:pStyle w:val="ListParagraph"/>
        <w:numPr>
          <w:ilvl w:val="1"/>
          <w:numId w:val="29"/>
        </w:numPr>
        <w:tabs>
          <w:tab w:val="left" w:pos="1480"/>
        </w:tabs>
        <w:spacing w:before="41" w:after="0" w:line="266" w:lineRule="auto"/>
        <w:ind w:left="398" w:right="663" w:firstLine="480"/>
        <w:jc w:val="both"/>
        <w:rPr>
          <w:sz w:val="24"/>
        </w:rPr>
      </w:pPr>
      <w:r>
        <w:rPr>
          <w:spacing w:val="-2"/>
          <w:sz w:val="24"/>
        </w:rPr>
        <w:t>投标人应认真审阅招标文件中所有的内容，包括编制和提交投标文件须知、</w:t>
      </w:r>
      <w:r>
        <w:rPr>
          <w:spacing w:val="-4"/>
          <w:sz w:val="24"/>
        </w:rPr>
        <w:t>项目技术规范和服务要求、合同主要条款、应提交的有关格式范例等。如果投标人编制</w:t>
      </w:r>
      <w:r>
        <w:rPr>
          <w:spacing w:val="-2"/>
          <w:sz w:val="24"/>
        </w:rPr>
        <w:t>的投标文件没有从实质上响应招标文件的要求，其投标文件将被拒绝。</w:t>
      </w:r>
    </w:p>
    <w:p>
      <w:pPr>
        <w:pStyle w:val="Heading5"/>
        <w:spacing w:line="349" w:lineRule="exact"/>
      </w:pPr>
      <w:r>
        <w:rPr>
          <w:spacing w:val="-6"/>
        </w:rPr>
        <w:t>6</w:t>
      </w:r>
      <w:r>
        <w:rPr>
          <w:spacing w:val="-7"/>
        </w:rPr>
        <w:t>、投标报价</w:t>
      </w:r>
    </w:p>
    <w:p>
      <w:pPr>
        <w:pStyle w:val="ListParagraph"/>
        <w:numPr>
          <w:ilvl w:val="1"/>
          <w:numId w:val="28"/>
        </w:numPr>
        <w:tabs>
          <w:tab w:val="left" w:pos="1477"/>
          <w:tab w:val="left" w:pos="1478"/>
        </w:tabs>
        <w:spacing w:before="0" w:after="0" w:line="295" w:lineRule="exact"/>
        <w:ind w:left="1478" w:right="0" w:hanging="600"/>
        <w:jc w:val="left"/>
        <w:rPr>
          <w:sz w:val="24"/>
        </w:rPr>
      </w:pPr>
      <w:r>
        <w:rPr>
          <w:spacing w:val="-5"/>
          <w:sz w:val="24"/>
        </w:rPr>
        <w:t>报价</w:t>
      </w:r>
    </w:p>
    <w:p>
      <w:pPr>
        <w:pStyle w:val="BodyText"/>
        <w:spacing w:before="32" w:line="266" w:lineRule="auto"/>
        <w:ind w:left="398" w:right="663" w:firstLine="480"/>
      </w:pPr>
      <w:r>
        <w:rPr>
          <w:spacing w:val="-4"/>
        </w:rPr>
        <w:t>有关本项目所需的一切费用均计入报价。投标人应根据《开标一览表》填写相关内</w:t>
      </w:r>
      <w:r>
        <w:rPr>
          <w:spacing w:val="-14"/>
        </w:rPr>
        <w:t>容。《开标一览表》是报价的唯一载体。</w:t>
      </w:r>
    </w:p>
    <w:p>
      <w:pPr>
        <w:pStyle w:val="ListParagraph"/>
        <w:numPr>
          <w:ilvl w:val="1"/>
          <w:numId w:val="28"/>
        </w:numPr>
        <w:tabs>
          <w:tab w:val="left" w:pos="1477"/>
          <w:tab w:val="left" w:pos="1478"/>
        </w:tabs>
        <w:spacing w:before="0" w:after="0" w:line="305" w:lineRule="exact"/>
        <w:ind w:left="1478" w:right="0" w:hanging="600"/>
        <w:jc w:val="left"/>
        <w:rPr>
          <w:sz w:val="24"/>
        </w:rPr>
      </w:pPr>
      <w:r>
        <w:rPr>
          <w:spacing w:val="-2"/>
          <w:sz w:val="24"/>
        </w:rPr>
        <w:t>其它费用处理</w:t>
      </w:r>
    </w:p>
    <w:p>
      <w:pPr>
        <w:pStyle w:val="BodyText"/>
        <w:spacing w:before="33" w:line="266" w:lineRule="auto"/>
        <w:ind w:left="398" w:right="663" w:firstLine="480"/>
      </w:pPr>
      <w:r>
        <w:rPr>
          <w:spacing w:val="-4"/>
        </w:rPr>
        <w:t>招标文件未列明，而投标人认为必需的费用也需列入报价。投标人在投标报价中应</w:t>
      </w:r>
      <w:r>
        <w:rPr>
          <w:spacing w:val="-2"/>
        </w:rPr>
        <w:t>充分考虑所有可能发生的费用，否则招标人将视投标总价中已包括所有费用。</w:t>
      </w:r>
    </w:p>
    <w:p>
      <w:pPr>
        <w:pStyle w:val="ListParagraph"/>
        <w:numPr>
          <w:ilvl w:val="1"/>
          <w:numId w:val="28"/>
        </w:numPr>
        <w:tabs>
          <w:tab w:val="left" w:pos="1477"/>
          <w:tab w:val="left" w:pos="1478"/>
        </w:tabs>
        <w:spacing w:before="0" w:after="0" w:line="305" w:lineRule="exact"/>
        <w:ind w:left="1478" w:right="0" w:hanging="600"/>
        <w:jc w:val="left"/>
        <w:rPr>
          <w:sz w:val="24"/>
        </w:rPr>
      </w:pPr>
      <w:r>
        <w:rPr>
          <w:spacing w:val="-3"/>
          <w:sz w:val="24"/>
        </w:rPr>
        <w:t>投标货币</w:t>
      </w:r>
    </w:p>
    <w:p>
      <w:pPr>
        <w:pStyle w:val="BodyText"/>
        <w:spacing w:before="32"/>
        <w:ind w:left="878"/>
      </w:pPr>
      <w:r>
        <w:rPr>
          <w:spacing w:val="-1"/>
        </w:rPr>
        <w:t>投标文件中价格全部采用人民币报价。报价应是唯一的，不接受有选择的报价。</w:t>
      </w:r>
    </w:p>
    <w:p>
      <w:pPr>
        <w:pStyle w:val="ListParagraph"/>
        <w:numPr>
          <w:ilvl w:val="1"/>
          <w:numId w:val="28"/>
        </w:numPr>
        <w:tabs>
          <w:tab w:val="left" w:pos="1480"/>
        </w:tabs>
        <w:spacing w:before="33" w:after="0" w:line="266" w:lineRule="auto"/>
        <w:ind w:left="398" w:right="664" w:firstLine="480"/>
        <w:jc w:val="left"/>
        <w:rPr>
          <w:sz w:val="24"/>
        </w:rPr>
      </w:pPr>
      <w:r>
        <w:rPr>
          <w:spacing w:val="-2"/>
          <w:sz w:val="24"/>
        </w:rPr>
        <w:t>投标人对在合同执行中，除上述费用及招标文件规定的由投标人负责的工作</w:t>
      </w:r>
      <w:r>
        <w:rPr>
          <w:spacing w:val="-2"/>
          <w:sz w:val="24"/>
        </w:rPr>
        <w:t>范围以外需要招标人协调或提供便利的工作应当在投标文件中说明。</w:t>
      </w:r>
    </w:p>
    <w:p>
      <w:pPr>
        <w:pStyle w:val="Heading3"/>
        <w:spacing w:line="396" w:lineRule="exact"/>
        <w:ind w:right="267"/>
        <w:rPr>
          <w:rFonts w:ascii="微软雅黑" w:eastAsia="微软雅黑"/>
        </w:rPr>
      </w:pPr>
      <w:r>
        <w:rPr>
          <w:rFonts w:ascii="微软雅黑" w:eastAsia="微软雅黑"/>
          <w:spacing w:val="-2"/>
        </w:rPr>
        <w:t>三、投标文件的编制</w:t>
      </w:r>
    </w:p>
    <w:p>
      <w:pPr>
        <w:pStyle w:val="Heading5"/>
        <w:spacing w:before="69" w:line="430" w:lineRule="exact"/>
      </w:pPr>
      <w:r>
        <w:rPr>
          <w:spacing w:val="-4"/>
        </w:rPr>
        <w:t>7</w:t>
      </w:r>
      <w:r>
        <w:rPr>
          <w:spacing w:val="-5"/>
        </w:rPr>
        <w:t>、投标文件的语言</w:t>
      </w:r>
    </w:p>
    <w:p>
      <w:pPr>
        <w:pStyle w:val="BodyText"/>
        <w:spacing w:line="273" w:lineRule="exact"/>
        <w:ind w:left="878"/>
      </w:pPr>
      <w:r>
        <w:rPr>
          <w:spacing w:val="-1"/>
        </w:rPr>
        <w:t>投标文件及投标人与采购有关的来往通知、函件和文件均应使用中文。</w:t>
      </w:r>
    </w:p>
    <w:p>
      <w:pPr>
        <w:pStyle w:val="Heading5"/>
        <w:spacing w:line="407" w:lineRule="exact"/>
      </w:pPr>
      <w:r>
        <w:rPr>
          <w:spacing w:val="-4"/>
        </w:rPr>
        <w:t>8</w:t>
      </w:r>
      <w:r>
        <w:rPr>
          <w:spacing w:val="-5"/>
        </w:rPr>
        <w:t>、投标文件的组成</w:t>
      </w:r>
    </w:p>
    <w:p>
      <w:pPr>
        <w:pStyle w:val="BodyText"/>
        <w:spacing w:line="273" w:lineRule="exact"/>
        <w:ind w:left="878"/>
      </w:pPr>
      <w:r>
        <w:rPr>
          <w:spacing w:val="-1"/>
        </w:rPr>
        <w:t>投标人的投标文件应包括商务标、技术标、资信标三部分组成。</w:t>
      </w:r>
    </w:p>
    <w:p>
      <w:pPr>
        <w:pStyle w:val="ListParagraph"/>
        <w:numPr>
          <w:ilvl w:val="1"/>
          <w:numId w:val="27"/>
        </w:numPr>
        <w:tabs>
          <w:tab w:val="left" w:pos="1477"/>
          <w:tab w:val="left" w:pos="1478"/>
        </w:tabs>
        <w:spacing w:before="0" w:after="0" w:line="407" w:lineRule="exact"/>
        <w:ind w:left="1478" w:right="0" w:hanging="600"/>
        <w:jc w:val="left"/>
        <w:rPr>
          <w:sz w:val="24"/>
        </w:rPr>
      </w:pPr>
      <w:r>
        <w:rPr>
          <w:sz w:val="24"/>
        </w:rPr>
        <w:t>投标人的</w:t>
      </w:r>
      <w:r>
        <w:rPr>
          <w:rFonts w:ascii="微软雅黑" w:eastAsia="微软雅黑"/>
          <w:b/>
          <w:sz w:val="24"/>
        </w:rPr>
        <w:t>商务标</w:t>
      </w:r>
      <w:r>
        <w:rPr>
          <w:sz w:val="24"/>
        </w:rPr>
        <w:t>至少应包括以下内容（均需加盖公章</w:t>
      </w:r>
      <w:r>
        <w:rPr>
          <w:spacing w:val="-5"/>
          <w:sz w:val="24"/>
        </w:rPr>
        <w:t>）：</w:t>
      </w:r>
    </w:p>
    <w:p>
      <w:pPr>
        <w:pStyle w:val="ListParagraph"/>
        <w:numPr>
          <w:ilvl w:val="0"/>
          <w:numId w:val="26"/>
        </w:numPr>
        <w:tabs>
          <w:tab w:val="left" w:pos="1479"/>
        </w:tabs>
        <w:spacing w:before="0" w:after="0" w:line="295" w:lineRule="exact"/>
        <w:ind w:left="1479" w:right="0" w:hanging="601"/>
        <w:jc w:val="left"/>
        <w:rPr>
          <w:sz w:val="22"/>
        </w:rPr>
      </w:pPr>
      <w:r>
        <w:rPr>
          <w:spacing w:val="-2"/>
          <w:sz w:val="24"/>
        </w:rPr>
        <w:t>投标响应函；</w:t>
      </w:r>
    </w:p>
    <w:p>
      <w:pPr>
        <w:pStyle w:val="ListParagraph"/>
        <w:numPr>
          <w:ilvl w:val="0"/>
          <w:numId w:val="26"/>
        </w:numPr>
        <w:tabs>
          <w:tab w:val="left" w:pos="1479"/>
        </w:tabs>
        <w:spacing w:before="32" w:after="0" w:line="240" w:lineRule="auto"/>
        <w:ind w:left="1479" w:right="0" w:hanging="601"/>
        <w:jc w:val="left"/>
        <w:rPr>
          <w:sz w:val="22"/>
        </w:rPr>
      </w:pPr>
      <w:r>
        <w:rPr>
          <w:spacing w:val="-2"/>
          <w:sz w:val="24"/>
        </w:rPr>
        <w:t>开标一览表；</w:t>
      </w:r>
    </w:p>
    <w:p>
      <w:pPr>
        <w:pStyle w:val="ListParagraph"/>
        <w:numPr>
          <w:ilvl w:val="0"/>
          <w:numId w:val="26"/>
        </w:numPr>
        <w:tabs>
          <w:tab w:val="left" w:pos="1479"/>
        </w:tabs>
        <w:spacing w:before="33" w:after="0" w:line="240" w:lineRule="auto"/>
        <w:ind w:left="1479" w:right="0" w:hanging="601"/>
        <w:jc w:val="left"/>
        <w:rPr>
          <w:color w:val="FF0000"/>
          <w:sz w:val="22"/>
        </w:rPr>
      </w:pPr>
      <w:r>
        <w:rPr>
          <w:color w:val="FF0000"/>
          <w:sz w:val="24"/>
        </w:rPr>
        <w:t>投标保证金缴纳凭证（复印件，加盖公章</w:t>
      </w:r>
      <w:r>
        <w:rPr>
          <w:color w:val="FF0000"/>
          <w:spacing w:val="-5"/>
          <w:sz w:val="24"/>
        </w:rPr>
        <w:t>）</w:t>
      </w:r>
      <w:r>
        <w:rPr>
          <w:spacing w:val="-5"/>
          <w:sz w:val="24"/>
        </w:rPr>
        <w:t>；</w:t>
      </w:r>
    </w:p>
    <w:p>
      <w:pPr>
        <w:pStyle w:val="ListParagraph"/>
        <w:numPr>
          <w:ilvl w:val="1"/>
          <w:numId w:val="26"/>
        </w:numPr>
        <w:tabs>
          <w:tab w:val="left" w:pos="1478"/>
        </w:tabs>
        <w:spacing w:before="32" w:after="0" w:line="240" w:lineRule="auto"/>
        <w:ind w:left="1478" w:right="0" w:hanging="480"/>
        <w:jc w:val="left"/>
        <w:rPr>
          <w:sz w:val="24"/>
        </w:rPr>
      </w:pPr>
      <w:r>
        <w:rPr>
          <w:spacing w:val="-1"/>
          <w:sz w:val="24"/>
        </w:rPr>
        <w:t>法定代表人授权委托书；</w:t>
      </w:r>
    </w:p>
    <w:p>
      <w:pPr>
        <w:pStyle w:val="ListParagraph"/>
        <w:numPr>
          <w:ilvl w:val="1"/>
          <w:numId w:val="26"/>
        </w:numPr>
        <w:tabs>
          <w:tab w:val="left" w:pos="1478"/>
        </w:tabs>
        <w:spacing w:before="33" w:after="0" w:line="240" w:lineRule="auto"/>
        <w:ind w:left="1478" w:right="0" w:hanging="480"/>
        <w:jc w:val="left"/>
        <w:rPr>
          <w:sz w:val="24"/>
        </w:rPr>
      </w:pPr>
      <w:r>
        <w:rPr>
          <w:spacing w:val="-1"/>
          <w:sz w:val="24"/>
        </w:rPr>
        <w:t>法定代表人及授权代表的身份证(复印件加盖公章)；</w:t>
      </w:r>
    </w:p>
    <w:p>
      <w:pPr>
        <w:pStyle w:val="ListParagraph"/>
        <w:numPr>
          <w:ilvl w:val="1"/>
          <w:numId w:val="26"/>
        </w:numPr>
        <w:tabs>
          <w:tab w:val="left" w:pos="1478"/>
        </w:tabs>
        <w:spacing w:before="32" w:after="0" w:line="240" w:lineRule="auto"/>
        <w:ind w:left="1478" w:right="0" w:hanging="480"/>
        <w:jc w:val="left"/>
        <w:rPr>
          <w:sz w:val="24"/>
        </w:rPr>
      </w:pPr>
      <w:r>
        <w:rPr>
          <w:spacing w:val="-3"/>
          <w:sz w:val="24"/>
        </w:rPr>
        <w:t>声明书；</w:t>
      </w:r>
    </w:p>
    <w:p>
      <w:pPr>
        <w:pStyle w:val="ListParagraph"/>
        <w:numPr>
          <w:ilvl w:val="0"/>
          <w:numId w:val="25"/>
        </w:numPr>
        <w:tabs>
          <w:tab w:val="left" w:pos="1479"/>
        </w:tabs>
        <w:spacing w:before="33" w:after="0" w:line="240" w:lineRule="auto"/>
        <w:ind w:left="1479" w:right="0" w:hanging="601"/>
        <w:jc w:val="left"/>
        <w:rPr>
          <w:sz w:val="24"/>
        </w:rPr>
      </w:pPr>
      <w:r>
        <w:rPr>
          <w:sz w:val="24"/>
        </w:rPr>
        <w:t>近两年内不良行为记录和违法、违章行为（如有</w:t>
      </w:r>
      <w:r>
        <w:rPr>
          <w:spacing w:val="-125"/>
          <w:sz w:val="24"/>
        </w:rPr>
        <w:t>）</w:t>
      </w:r>
      <w:r>
        <w:rPr>
          <w:spacing w:val="-5"/>
          <w:sz w:val="24"/>
        </w:rPr>
        <w:t>；</w:t>
      </w:r>
    </w:p>
    <w:p>
      <w:pPr>
        <w:pStyle w:val="ListParagraph"/>
        <w:numPr>
          <w:ilvl w:val="0"/>
          <w:numId w:val="25"/>
        </w:numPr>
        <w:tabs>
          <w:tab w:val="left" w:pos="1479"/>
        </w:tabs>
        <w:spacing w:before="32" w:after="0" w:line="285" w:lineRule="exact"/>
        <w:ind w:left="1479" w:right="0" w:hanging="601"/>
        <w:jc w:val="left"/>
        <w:rPr>
          <w:sz w:val="24"/>
        </w:rPr>
      </w:pPr>
      <w:r>
        <w:rPr>
          <w:spacing w:val="-1"/>
          <w:sz w:val="24"/>
        </w:rPr>
        <w:t>投标人认为需要的其他商务文件或说明。</w:t>
      </w:r>
    </w:p>
    <w:p>
      <w:pPr>
        <w:pStyle w:val="ListParagraph"/>
        <w:numPr>
          <w:ilvl w:val="1"/>
          <w:numId w:val="27"/>
        </w:numPr>
        <w:tabs>
          <w:tab w:val="left" w:pos="1480"/>
        </w:tabs>
        <w:spacing w:before="0" w:after="0" w:line="223" w:lineRule="auto"/>
        <w:ind w:left="398" w:right="664" w:firstLine="480"/>
        <w:jc w:val="left"/>
        <w:rPr>
          <w:sz w:val="24"/>
        </w:rPr>
      </w:pPr>
      <w:r>
        <w:rPr>
          <w:spacing w:val="-2"/>
          <w:sz w:val="24"/>
        </w:rPr>
        <w:t>投标人的</w:t>
      </w:r>
      <w:r>
        <w:rPr>
          <w:rFonts w:ascii="微软雅黑" w:eastAsia="微软雅黑"/>
          <w:b/>
          <w:spacing w:val="-2"/>
          <w:sz w:val="24"/>
        </w:rPr>
        <w:t>技术标</w:t>
      </w:r>
      <w:r>
        <w:rPr>
          <w:spacing w:val="-2"/>
          <w:sz w:val="24"/>
        </w:rPr>
        <w:t>至少应包括以下内容：针对本项目的技术和服务响应方案，</w:t>
      </w:r>
      <w:r>
        <w:rPr>
          <w:spacing w:val="-2"/>
          <w:sz w:val="24"/>
        </w:rPr>
        <w:t>技术偏离说明表，招标文件要求提供的其他资料等（均需加盖公章）。</w:t>
      </w:r>
    </w:p>
    <w:p>
      <w:pPr>
        <w:pStyle w:val="ListParagraph"/>
        <w:numPr>
          <w:ilvl w:val="0"/>
          <w:numId w:val="24"/>
        </w:numPr>
        <w:tabs>
          <w:tab w:val="left" w:pos="1359"/>
        </w:tabs>
        <w:spacing w:before="37" w:after="0" w:line="240" w:lineRule="auto"/>
        <w:ind w:left="1359" w:right="0" w:hanging="601"/>
        <w:jc w:val="left"/>
        <w:rPr>
          <w:sz w:val="24"/>
        </w:rPr>
      </w:pPr>
      <w:r>
        <w:rPr>
          <w:spacing w:val="-2"/>
          <w:sz w:val="24"/>
        </w:rPr>
        <w:t>实施方案；</w:t>
      </w:r>
    </w:p>
    <w:p>
      <w:pPr>
        <w:pStyle w:val="ListParagraph"/>
        <w:numPr>
          <w:ilvl w:val="0"/>
          <w:numId w:val="24"/>
        </w:numPr>
        <w:tabs>
          <w:tab w:val="left" w:pos="1359"/>
        </w:tabs>
        <w:spacing w:before="33" w:after="0" w:line="240" w:lineRule="auto"/>
        <w:ind w:left="1359" w:right="0" w:hanging="601"/>
        <w:jc w:val="left"/>
        <w:rPr>
          <w:sz w:val="24"/>
        </w:rPr>
      </w:pPr>
      <w:r>
        <w:rPr>
          <w:sz w:val="24"/>
        </w:rPr>
        <w:t>农民培训机构情况（附带实拍图片</w:t>
      </w:r>
      <w:r>
        <w:rPr>
          <w:spacing w:val="-125"/>
          <w:sz w:val="24"/>
        </w:rPr>
        <w:t>）</w:t>
      </w:r>
      <w:r>
        <w:rPr>
          <w:spacing w:val="-5"/>
          <w:sz w:val="24"/>
        </w:rPr>
        <w:t>；</w:t>
      </w:r>
    </w:p>
    <w:p>
      <w:pPr>
        <w:pStyle w:val="ListParagraph"/>
        <w:numPr>
          <w:ilvl w:val="0"/>
          <w:numId w:val="24"/>
        </w:numPr>
        <w:tabs>
          <w:tab w:val="left" w:pos="1489"/>
        </w:tabs>
        <w:spacing w:before="32" w:after="0" w:line="240" w:lineRule="auto"/>
        <w:ind w:left="1488" w:right="0" w:hanging="602"/>
        <w:jc w:val="left"/>
        <w:rPr>
          <w:sz w:val="24"/>
        </w:rPr>
      </w:pPr>
      <w:r>
        <w:rPr>
          <w:sz w:val="24"/>
        </w:rPr>
        <w:t>培训设施情况（附带图片</w:t>
      </w:r>
      <w:r>
        <w:rPr>
          <w:spacing w:val="-125"/>
          <w:sz w:val="24"/>
        </w:rPr>
        <w:t>）</w:t>
      </w:r>
      <w:r>
        <w:rPr>
          <w:spacing w:val="-5"/>
          <w:sz w:val="24"/>
        </w:rPr>
        <w:t>；</w:t>
      </w:r>
    </w:p>
    <w:p>
      <w:pPr>
        <w:pStyle w:val="ListParagraph"/>
        <w:numPr>
          <w:ilvl w:val="0"/>
          <w:numId w:val="24"/>
        </w:numPr>
        <w:tabs>
          <w:tab w:val="left" w:pos="1489"/>
        </w:tabs>
        <w:spacing w:before="33" w:after="0" w:line="240" w:lineRule="auto"/>
        <w:ind w:left="1488" w:right="0" w:hanging="602"/>
        <w:jc w:val="left"/>
        <w:rPr>
          <w:sz w:val="24"/>
        </w:rPr>
      </w:pPr>
      <w:r>
        <w:rPr>
          <w:spacing w:val="-2"/>
          <w:sz w:val="24"/>
        </w:rPr>
        <w:t>教师基本情况；</w:t>
      </w:r>
    </w:p>
    <w:p>
      <w:pPr>
        <w:pStyle w:val="ListParagraph"/>
        <w:numPr>
          <w:ilvl w:val="0"/>
          <w:numId w:val="24"/>
        </w:numPr>
        <w:tabs>
          <w:tab w:val="left" w:pos="1489"/>
        </w:tabs>
        <w:spacing w:before="32" w:after="0" w:line="240" w:lineRule="auto"/>
        <w:ind w:left="1488" w:right="0" w:hanging="602"/>
        <w:jc w:val="left"/>
        <w:rPr>
          <w:sz w:val="24"/>
        </w:rPr>
      </w:pPr>
      <w:r>
        <w:rPr>
          <w:sz w:val="24"/>
        </w:rPr>
        <w:t>提供所涉及人员本单位缴纳3</w:t>
      </w:r>
      <w:r>
        <w:rPr>
          <w:spacing w:val="-1"/>
          <w:sz w:val="24"/>
        </w:rPr>
        <w:t>个月及以上社保证明；</w:t>
      </w:r>
    </w:p>
    <w:p>
      <w:pPr>
        <w:pStyle w:val="BodyText"/>
        <w:spacing w:before="33" w:line="285" w:lineRule="exact"/>
        <w:ind w:left="887"/>
      </w:pPr>
      <w:r>
        <w:t>(6)</w:t>
      </w:r>
      <w:r>
        <w:rPr>
          <w:spacing w:val="-1"/>
        </w:rPr>
        <w:t xml:space="preserve"> 投标人认为需要的其他技术文件或说明。</w:t>
      </w:r>
    </w:p>
    <w:p>
      <w:pPr>
        <w:pStyle w:val="ListParagraph"/>
        <w:numPr>
          <w:ilvl w:val="1"/>
          <w:numId w:val="27"/>
        </w:numPr>
        <w:tabs>
          <w:tab w:val="left" w:pos="1417"/>
          <w:tab w:val="left" w:pos="1418"/>
        </w:tabs>
        <w:spacing w:before="0" w:after="0" w:line="407" w:lineRule="exact"/>
        <w:ind w:left="1418" w:right="0" w:hanging="540"/>
        <w:jc w:val="left"/>
        <w:rPr>
          <w:rFonts w:ascii="Times New Roman" w:eastAsia="Times New Roman"/>
          <w:sz w:val="24"/>
        </w:rPr>
      </w:pPr>
      <w:r>
        <w:rPr>
          <w:sz w:val="24"/>
        </w:rPr>
        <w:t>投标人的</w:t>
      </w:r>
      <w:r>
        <w:rPr>
          <w:rFonts w:ascii="微软雅黑" w:eastAsia="微软雅黑"/>
          <w:b/>
          <w:sz w:val="24"/>
        </w:rPr>
        <w:t>资信标</w:t>
      </w:r>
      <w:r>
        <w:rPr>
          <w:spacing w:val="-1"/>
          <w:sz w:val="24"/>
        </w:rPr>
        <w:t>至少应包括以下内容：</w:t>
      </w:r>
    </w:p>
    <w:p>
      <w:pPr>
        <w:pStyle w:val="BodyText"/>
        <w:spacing w:line="266" w:lineRule="auto"/>
        <w:ind w:left="398" w:right="663" w:firstLine="480"/>
      </w:pPr>
      <w:r>
        <w:rPr>
          <w:spacing w:val="-2"/>
        </w:rPr>
        <w:t>（</w:t>
      </w:r>
      <w:r>
        <w:rPr>
          <w:rFonts w:ascii="Times New Roman" w:eastAsia="Times New Roman"/>
          <w:spacing w:val="-2"/>
        </w:rPr>
        <w:t>1</w:t>
      </w:r>
      <w:r>
        <w:rPr>
          <w:spacing w:val="-2"/>
        </w:rPr>
        <w:t>）</w:t>
      </w:r>
      <w:r>
        <w:rPr>
          <w:rFonts w:ascii="Times New Roman" w:eastAsia="Times New Roman"/>
          <w:spacing w:val="-2"/>
        </w:rPr>
        <w:t>2012-2015</w:t>
      </w:r>
      <w:r>
        <w:rPr>
          <w:spacing w:val="-2"/>
        </w:rPr>
        <w:t>年政府部门颁发的与培训相关的荣誉证书复印件，原件现场提供备</w:t>
      </w:r>
      <w:r>
        <w:rPr>
          <w:spacing w:val="-2"/>
        </w:rPr>
        <w:t>查（如有）；</w:t>
      </w:r>
    </w:p>
    <w:p>
      <w:pPr>
        <w:pStyle w:val="BodyText"/>
        <w:spacing w:line="266" w:lineRule="auto"/>
        <w:ind w:left="398" w:right="664" w:firstLine="480"/>
      </w:pPr>
      <w:r>
        <w:rPr>
          <w:spacing w:val="-2"/>
        </w:rPr>
        <w:t>（</w:t>
      </w:r>
      <w:r>
        <w:rPr>
          <w:rFonts w:ascii="Times New Roman" w:eastAsia="Times New Roman"/>
          <w:spacing w:val="-2"/>
        </w:rPr>
        <w:t>2</w:t>
      </w:r>
      <w:r>
        <w:rPr>
          <w:spacing w:val="-2"/>
        </w:rPr>
        <w:t>）</w:t>
      </w:r>
      <w:r>
        <w:rPr>
          <w:rFonts w:ascii="Times New Roman" w:eastAsia="Times New Roman"/>
          <w:spacing w:val="-2"/>
        </w:rPr>
        <w:t>2012</w:t>
      </w:r>
      <w:r>
        <w:rPr>
          <w:spacing w:val="-2"/>
        </w:rPr>
        <w:t>年以来企业承接政府部门的培训任务（提供合同复印件或由政府部门提</w:t>
      </w:r>
      <w:r>
        <w:rPr>
          <w:spacing w:val="-2"/>
        </w:rPr>
        <w:t>供的相关证明）；</w:t>
      </w:r>
    </w:p>
    <w:p>
      <w:pPr>
        <w:spacing w:after="0" w:line="266" w:lineRule="auto"/>
        <w:sectPr>
          <w:footerReference w:type="default" r:id="rId12"/>
          <w:pgSz w:w="11910" w:h="16840"/>
          <w:pgMar w:top="1220" w:right="800" w:bottom="1180" w:left="1020" w:header="0" w:footer="990"/>
          <w:pgNumType w:start="9"/>
          <w:cols w:space="708"/>
        </w:sectPr>
      </w:pPr>
    </w:p>
    <w:p>
      <w:pPr>
        <w:pStyle w:val="ListParagraph"/>
        <w:numPr>
          <w:ilvl w:val="0"/>
          <w:numId w:val="23"/>
        </w:numPr>
        <w:tabs>
          <w:tab w:val="left" w:pos="1358"/>
          <w:tab w:val="left" w:pos="3157"/>
        </w:tabs>
        <w:spacing w:before="41" w:after="0" w:line="240" w:lineRule="auto"/>
        <w:ind w:left="1358" w:right="0" w:hanging="480"/>
        <w:jc w:val="left"/>
        <w:rPr>
          <w:sz w:val="24"/>
        </w:rPr>
      </w:pPr>
      <w:r>
        <w:rPr>
          <w:sz w:val="24"/>
        </w:rPr>
        <w:t>投标人开具</w:t>
      </w:r>
      <w:r>
        <w:rPr>
          <w:spacing w:val="-10"/>
          <w:sz w:val="24"/>
        </w:rPr>
        <w:t>《</w:t>
      </w:r>
      <w:r>
        <w:rPr>
          <w:rFonts w:ascii="Times New Roman" w:eastAsia="Times New Roman"/>
          <w:sz w:val="24"/>
          <w:u w:val="single"/>
        </w:rPr>
        <w:tab/>
      </w:r>
      <w:r>
        <w:rPr>
          <w:sz w:val="24"/>
        </w:rPr>
        <w:t>区</w:t>
      </w:r>
      <w:r>
        <w:rPr>
          <w:spacing w:val="-60"/>
          <w:sz w:val="24"/>
        </w:rPr>
        <w:t xml:space="preserve"> </w:t>
      </w:r>
      <w:r>
        <w:rPr>
          <w:sz w:val="24"/>
        </w:rPr>
        <w:t>2013-2014</w:t>
      </w:r>
      <w:r>
        <w:rPr>
          <w:spacing w:val="-60"/>
          <w:sz w:val="24"/>
        </w:rPr>
        <w:t xml:space="preserve"> </w:t>
      </w:r>
      <w:r>
        <w:rPr>
          <w:sz w:val="24"/>
        </w:rPr>
        <w:t>年农民培训抽查汇总表》（加盖公章</w:t>
      </w:r>
      <w:r>
        <w:rPr>
          <w:spacing w:val="-5"/>
          <w:sz w:val="24"/>
        </w:rPr>
        <w:t>）；</w:t>
      </w:r>
    </w:p>
    <w:p>
      <w:pPr>
        <w:pStyle w:val="ListParagraph"/>
        <w:numPr>
          <w:ilvl w:val="0"/>
          <w:numId w:val="23"/>
        </w:numPr>
        <w:tabs>
          <w:tab w:val="left" w:pos="1358"/>
        </w:tabs>
        <w:spacing w:before="32" w:after="0" w:line="240" w:lineRule="auto"/>
        <w:ind w:left="1358" w:right="0" w:hanging="480"/>
        <w:jc w:val="left"/>
        <w:rPr>
          <w:sz w:val="24"/>
        </w:rPr>
      </w:pPr>
      <w:r>
        <w:rPr>
          <w:spacing w:val="-1"/>
          <w:sz w:val="24"/>
        </w:rPr>
        <w:t>企业法人营业执照、税务登记证 (复印件加盖公章)；</w:t>
      </w:r>
    </w:p>
    <w:p>
      <w:pPr>
        <w:pStyle w:val="ListParagraph"/>
        <w:numPr>
          <w:ilvl w:val="0"/>
          <w:numId w:val="23"/>
        </w:numPr>
        <w:tabs>
          <w:tab w:val="left" w:pos="1358"/>
        </w:tabs>
        <w:spacing w:before="33" w:after="0" w:line="240" w:lineRule="auto"/>
        <w:ind w:left="1358" w:right="0" w:hanging="480"/>
        <w:jc w:val="left"/>
        <w:rPr>
          <w:sz w:val="24"/>
        </w:rPr>
      </w:pPr>
      <w:r>
        <w:rPr>
          <w:sz w:val="24"/>
        </w:rPr>
        <w:t>所有资质文件（如果有</w:t>
      </w:r>
      <w:r>
        <w:rPr>
          <w:spacing w:val="-125"/>
          <w:sz w:val="24"/>
        </w:rPr>
        <w:t>）</w:t>
      </w:r>
      <w:r>
        <w:rPr>
          <w:spacing w:val="-5"/>
          <w:sz w:val="24"/>
        </w:rPr>
        <w:t>；</w:t>
      </w:r>
    </w:p>
    <w:p>
      <w:pPr>
        <w:pStyle w:val="ListParagraph"/>
        <w:numPr>
          <w:ilvl w:val="0"/>
          <w:numId w:val="23"/>
        </w:numPr>
        <w:tabs>
          <w:tab w:val="left" w:pos="1358"/>
        </w:tabs>
        <w:spacing w:before="32" w:after="0" w:line="285" w:lineRule="exact"/>
        <w:ind w:left="1358" w:right="0" w:hanging="480"/>
        <w:jc w:val="left"/>
        <w:rPr>
          <w:sz w:val="24"/>
        </w:rPr>
      </w:pPr>
      <w:r>
        <w:rPr>
          <w:spacing w:val="-1"/>
          <w:sz w:val="24"/>
        </w:rPr>
        <w:t>投标人认为需要的其他资信文件或说明。</w:t>
      </w:r>
    </w:p>
    <w:p>
      <w:pPr>
        <w:pStyle w:val="Heading5"/>
        <w:spacing w:before="51" w:line="184" w:lineRule="auto"/>
        <w:ind w:right="665" w:firstLine="588"/>
        <w:jc w:val="both"/>
        <w:rPr>
          <w:rFonts w:ascii="宋体" w:eastAsia="宋体"/>
          <w:b w:val="0"/>
        </w:rPr>
      </w:pPr>
      <w:r>
        <w:rPr>
          <w:spacing w:val="-2"/>
        </w:rPr>
        <w:t>所有文件和资料表述均应采用中文，如当前公布的技术指标只有英文表述的，必</w:t>
      </w:r>
      <w:r>
        <w:rPr>
          <w:spacing w:val="-2"/>
        </w:rPr>
        <w:t>须由投标人作出中文注释，否则任何含糊不清的表述导致评标委员会技术扣分直至认</w:t>
      </w:r>
      <w:r>
        <w:rPr>
          <w:spacing w:val="-2"/>
        </w:rPr>
        <w:t>定为投标无效都将是投标人的责任</w:t>
      </w:r>
      <w:r>
        <w:rPr>
          <w:rFonts w:ascii="宋体" w:eastAsia="宋体"/>
          <w:b w:val="0"/>
          <w:spacing w:val="-2"/>
        </w:rPr>
        <w:t>。</w:t>
      </w:r>
    </w:p>
    <w:p>
      <w:pPr>
        <w:pStyle w:val="Heading5"/>
        <w:spacing w:line="184" w:lineRule="auto"/>
        <w:ind w:right="665" w:firstLine="480"/>
        <w:jc w:val="both"/>
      </w:pPr>
      <w:r>
        <w:rPr>
          <w:spacing w:val="-2"/>
        </w:rPr>
        <w:t>投标文件中所需的各种证书、证件、证明资料如是复印件，须在复印件上加盖有</w:t>
      </w:r>
      <w:r>
        <w:rPr>
          <w:spacing w:val="-2"/>
        </w:rPr>
        <w:t>效公章，原件备查。投标人不能在规定时间内提供原件核实，其投标文件中提供的复</w:t>
      </w:r>
      <w:r>
        <w:rPr>
          <w:spacing w:val="-2"/>
        </w:rPr>
        <w:t>印件即无效。</w:t>
      </w:r>
    </w:p>
    <w:p>
      <w:pPr>
        <w:pStyle w:val="Heading5"/>
        <w:spacing w:line="316" w:lineRule="exact"/>
        <w:ind w:left="938"/>
      </w:pPr>
      <w:r>
        <w:rPr>
          <w:spacing w:val="-1"/>
        </w:rPr>
        <w:t>投标人的投标文件必须按照招标文件要求制作。</w:t>
      </w:r>
    </w:p>
    <w:p>
      <w:pPr>
        <w:pStyle w:val="Heading5"/>
        <w:spacing w:line="378" w:lineRule="exact"/>
      </w:pPr>
      <w:r>
        <w:rPr>
          <w:spacing w:val="-6"/>
        </w:rPr>
        <w:t>9</w:t>
      </w:r>
      <w:r>
        <w:rPr>
          <w:spacing w:val="-7"/>
        </w:rPr>
        <w:t>、投标有效期</w:t>
      </w:r>
    </w:p>
    <w:p>
      <w:pPr>
        <w:pStyle w:val="ListParagraph"/>
        <w:numPr>
          <w:ilvl w:val="1"/>
          <w:numId w:val="22"/>
        </w:numPr>
        <w:tabs>
          <w:tab w:val="left" w:pos="1358"/>
        </w:tabs>
        <w:spacing w:before="0" w:after="0" w:line="295" w:lineRule="exact"/>
        <w:ind w:left="1358" w:right="0" w:hanging="480"/>
        <w:jc w:val="left"/>
        <w:rPr>
          <w:sz w:val="24"/>
        </w:rPr>
      </w:pPr>
      <w:r>
        <w:rPr>
          <w:spacing w:val="-18"/>
          <w:sz w:val="24"/>
        </w:rPr>
        <w:t xml:space="preserve">投标文件合格投递后，自投标截止日期起，至前附表第 </w:t>
      </w:r>
      <w:r>
        <w:rPr>
          <w:sz w:val="24"/>
        </w:rPr>
        <w:t>3</w:t>
      </w:r>
      <w:r>
        <w:rPr>
          <w:spacing w:val="-9"/>
          <w:sz w:val="24"/>
        </w:rPr>
        <w:t xml:space="preserve"> 项所列的日期内有效。</w:t>
      </w:r>
    </w:p>
    <w:p>
      <w:pPr>
        <w:pStyle w:val="ListParagraph"/>
        <w:numPr>
          <w:ilvl w:val="1"/>
          <w:numId w:val="22"/>
        </w:numPr>
        <w:tabs>
          <w:tab w:val="left" w:pos="1358"/>
        </w:tabs>
        <w:spacing w:before="31" w:after="0" w:line="266" w:lineRule="auto"/>
        <w:ind w:left="398" w:right="663" w:firstLine="480"/>
        <w:jc w:val="left"/>
        <w:rPr>
          <w:sz w:val="24"/>
        </w:rPr>
      </w:pPr>
      <w:r>
        <w:rPr>
          <w:spacing w:val="-4"/>
          <w:sz w:val="24"/>
        </w:rPr>
        <w:t>在原定投标有效期之前，如果出现特殊情况，招标代理机构可以以书面形式通</w:t>
      </w:r>
      <w:r>
        <w:rPr>
          <w:spacing w:val="-2"/>
          <w:sz w:val="24"/>
        </w:rPr>
        <w:t>知投标人延长投标有效期。</w:t>
      </w:r>
    </w:p>
    <w:p>
      <w:pPr>
        <w:pStyle w:val="Heading5"/>
        <w:spacing w:line="350" w:lineRule="exact"/>
      </w:pPr>
      <w:r>
        <w:rPr>
          <w:spacing w:val="-10"/>
        </w:rPr>
        <w:t>10</w:t>
      </w:r>
      <w:r>
        <w:rPr>
          <w:spacing w:val="-10"/>
        </w:rPr>
        <w:t>、投标保证金</w:t>
      </w:r>
    </w:p>
    <w:p>
      <w:pPr>
        <w:pStyle w:val="ListParagraph"/>
        <w:numPr>
          <w:ilvl w:val="1"/>
          <w:numId w:val="21"/>
        </w:numPr>
        <w:tabs>
          <w:tab w:val="left" w:pos="1597"/>
          <w:tab w:val="left" w:pos="1598"/>
        </w:tabs>
        <w:spacing w:before="0" w:after="0" w:line="295" w:lineRule="exact"/>
        <w:ind w:left="1598" w:right="0" w:hanging="720"/>
        <w:jc w:val="left"/>
        <w:rPr>
          <w:sz w:val="24"/>
        </w:rPr>
      </w:pPr>
      <w:r>
        <w:rPr>
          <w:spacing w:val="-1"/>
          <w:sz w:val="24"/>
        </w:rPr>
        <w:t>投标人应提供前附表中的投标保证金，作为投标文件的一个组成部分。</w:t>
      </w:r>
    </w:p>
    <w:p>
      <w:pPr>
        <w:pStyle w:val="ListParagraph"/>
        <w:numPr>
          <w:ilvl w:val="1"/>
          <w:numId w:val="21"/>
        </w:numPr>
        <w:tabs>
          <w:tab w:val="left" w:pos="1597"/>
          <w:tab w:val="left" w:pos="1598"/>
        </w:tabs>
        <w:spacing w:before="32" w:after="0" w:line="240" w:lineRule="auto"/>
        <w:ind w:left="1598" w:right="0" w:hanging="720"/>
        <w:jc w:val="left"/>
        <w:rPr>
          <w:sz w:val="24"/>
        </w:rPr>
      </w:pPr>
      <w:r>
        <w:rPr>
          <w:spacing w:val="-1"/>
          <w:sz w:val="24"/>
        </w:rPr>
        <w:t>投标保证金可以用支票、银行汇票、电汇或现金缴款单的形式缴纳。</w:t>
      </w:r>
    </w:p>
    <w:p>
      <w:pPr>
        <w:pStyle w:val="ListParagraph"/>
        <w:numPr>
          <w:ilvl w:val="1"/>
          <w:numId w:val="21"/>
        </w:numPr>
        <w:tabs>
          <w:tab w:val="left" w:pos="1597"/>
          <w:tab w:val="left" w:pos="1598"/>
        </w:tabs>
        <w:spacing w:before="33" w:after="0" w:line="240" w:lineRule="auto"/>
        <w:ind w:left="1598" w:right="0" w:hanging="720"/>
        <w:jc w:val="left"/>
        <w:rPr>
          <w:sz w:val="24"/>
        </w:rPr>
      </w:pPr>
      <w:r>
        <w:rPr>
          <w:spacing w:val="-1"/>
          <w:sz w:val="24"/>
        </w:rPr>
        <w:t>招标代理机构将拒绝未能按规定时间和数额提交投标保证金的投标文件。</w:t>
      </w:r>
    </w:p>
    <w:p>
      <w:pPr>
        <w:pStyle w:val="ListParagraph"/>
        <w:numPr>
          <w:ilvl w:val="1"/>
          <w:numId w:val="21"/>
        </w:numPr>
        <w:tabs>
          <w:tab w:val="left" w:pos="1597"/>
          <w:tab w:val="left" w:pos="1598"/>
        </w:tabs>
        <w:spacing w:before="32" w:after="0" w:line="266" w:lineRule="auto"/>
        <w:ind w:left="398" w:right="567" w:firstLine="480"/>
        <w:jc w:val="left"/>
        <w:rPr>
          <w:sz w:val="24"/>
        </w:rPr>
      </w:pPr>
      <w:r>
        <w:rPr>
          <w:spacing w:val="-2"/>
          <w:sz w:val="24"/>
        </w:rPr>
        <w:t>未中标人的投标保证金将在中标通知书发出后五个工作日内全额无息退还。</w:t>
      </w:r>
      <w:r>
        <w:rPr>
          <w:spacing w:val="-2"/>
          <w:sz w:val="24"/>
        </w:rPr>
        <w:t>中标人的投标保证金将在合同签订后五个工作日内全额无息退还。</w:t>
      </w:r>
    </w:p>
    <w:p>
      <w:pPr>
        <w:pStyle w:val="ListParagraph"/>
        <w:numPr>
          <w:ilvl w:val="1"/>
          <w:numId w:val="21"/>
        </w:numPr>
        <w:tabs>
          <w:tab w:val="left" w:pos="1597"/>
          <w:tab w:val="left" w:pos="1598"/>
        </w:tabs>
        <w:spacing w:before="0" w:after="0" w:line="305" w:lineRule="exact"/>
        <w:ind w:left="1598" w:right="0" w:hanging="720"/>
        <w:jc w:val="left"/>
        <w:rPr>
          <w:sz w:val="24"/>
        </w:rPr>
      </w:pPr>
      <w:r>
        <w:rPr>
          <w:spacing w:val="-1"/>
          <w:sz w:val="24"/>
        </w:rPr>
        <w:t>如投标人有下列情况，将不予退还投标保证金：</w:t>
      </w:r>
    </w:p>
    <w:p>
      <w:pPr>
        <w:pStyle w:val="ListParagraph"/>
        <w:numPr>
          <w:ilvl w:val="0"/>
          <w:numId w:val="20"/>
        </w:numPr>
        <w:tabs>
          <w:tab w:val="left" w:pos="1479"/>
        </w:tabs>
        <w:spacing w:before="33" w:after="0" w:line="240" w:lineRule="auto"/>
        <w:ind w:left="1479" w:right="0" w:hanging="601"/>
        <w:jc w:val="left"/>
        <w:rPr>
          <w:sz w:val="24"/>
        </w:rPr>
      </w:pPr>
      <w:r>
        <w:rPr>
          <w:spacing w:val="-1"/>
          <w:sz w:val="24"/>
        </w:rPr>
        <w:t>投标人在投标有效期内撤回投标文件的；</w:t>
      </w:r>
    </w:p>
    <w:p>
      <w:pPr>
        <w:pStyle w:val="ListParagraph"/>
        <w:numPr>
          <w:ilvl w:val="0"/>
          <w:numId w:val="20"/>
        </w:numPr>
        <w:tabs>
          <w:tab w:val="left" w:pos="1479"/>
        </w:tabs>
        <w:spacing w:before="32" w:after="0" w:line="240" w:lineRule="auto"/>
        <w:ind w:left="1479" w:right="0" w:hanging="601"/>
        <w:jc w:val="left"/>
        <w:rPr>
          <w:sz w:val="24"/>
        </w:rPr>
      </w:pPr>
      <w:r>
        <w:rPr>
          <w:spacing w:val="-1"/>
          <w:sz w:val="24"/>
        </w:rPr>
        <w:t>投标人在投标过程中弄虚作假，提供虚假材料的；</w:t>
      </w:r>
    </w:p>
    <w:p>
      <w:pPr>
        <w:pStyle w:val="ListParagraph"/>
        <w:numPr>
          <w:ilvl w:val="0"/>
          <w:numId w:val="20"/>
        </w:numPr>
        <w:tabs>
          <w:tab w:val="left" w:pos="1479"/>
        </w:tabs>
        <w:spacing w:before="33" w:after="0" w:line="240" w:lineRule="auto"/>
        <w:ind w:left="1479" w:right="0" w:hanging="601"/>
        <w:jc w:val="left"/>
        <w:rPr>
          <w:sz w:val="24"/>
        </w:rPr>
      </w:pPr>
      <w:r>
        <w:rPr>
          <w:spacing w:val="-1"/>
          <w:sz w:val="24"/>
        </w:rPr>
        <w:t>中标人无正当理由不与招标人签订合同的；</w:t>
      </w:r>
    </w:p>
    <w:p>
      <w:pPr>
        <w:pStyle w:val="ListParagraph"/>
        <w:numPr>
          <w:ilvl w:val="0"/>
          <w:numId w:val="20"/>
        </w:numPr>
        <w:tabs>
          <w:tab w:val="left" w:pos="1480"/>
        </w:tabs>
        <w:spacing w:before="32" w:after="0" w:line="266" w:lineRule="auto"/>
        <w:ind w:left="398" w:right="664" w:firstLine="480"/>
        <w:jc w:val="left"/>
        <w:rPr>
          <w:sz w:val="24"/>
        </w:rPr>
      </w:pPr>
      <w:r>
        <w:rPr>
          <w:spacing w:val="-2"/>
          <w:sz w:val="24"/>
        </w:rPr>
        <w:t>将中标项目转让给他人或者在投标文件中未说明且未经招标人同意，将中标</w:t>
      </w:r>
      <w:r>
        <w:rPr>
          <w:spacing w:val="-2"/>
          <w:sz w:val="24"/>
        </w:rPr>
        <w:t>项目分包给他人的；</w:t>
      </w:r>
    </w:p>
    <w:p>
      <w:pPr>
        <w:pStyle w:val="ListParagraph"/>
        <w:numPr>
          <w:ilvl w:val="0"/>
          <w:numId w:val="20"/>
        </w:numPr>
        <w:tabs>
          <w:tab w:val="left" w:pos="1479"/>
        </w:tabs>
        <w:spacing w:before="0" w:after="0" w:line="305" w:lineRule="exact"/>
        <w:ind w:left="1479" w:right="0" w:hanging="601"/>
        <w:jc w:val="left"/>
        <w:rPr>
          <w:sz w:val="24"/>
        </w:rPr>
      </w:pPr>
      <w:r>
        <w:rPr>
          <w:spacing w:val="-1"/>
          <w:sz w:val="24"/>
        </w:rPr>
        <w:t>拒绝履行合同义务的；</w:t>
      </w:r>
    </w:p>
    <w:p>
      <w:pPr>
        <w:pStyle w:val="ListParagraph"/>
        <w:numPr>
          <w:ilvl w:val="0"/>
          <w:numId w:val="20"/>
        </w:numPr>
        <w:tabs>
          <w:tab w:val="left" w:pos="1479"/>
        </w:tabs>
        <w:spacing w:before="33" w:after="0" w:line="285" w:lineRule="exact"/>
        <w:ind w:left="1479" w:right="0" w:hanging="601"/>
        <w:jc w:val="left"/>
        <w:rPr>
          <w:sz w:val="24"/>
        </w:rPr>
      </w:pPr>
      <w:r>
        <w:rPr>
          <w:spacing w:val="-1"/>
          <w:sz w:val="24"/>
        </w:rPr>
        <w:t>其他严重扰乱招投标程序的。</w:t>
      </w:r>
    </w:p>
    <w:p>
      <w:pPr>
        <w:pStyle w:val="Heading5"/>
        <w:spacing w:line="407" w:lineRule="exact"/>
      </w:pPr>
      <w:r>
        <w:rPr>
          <w:spacing w:val="-6"/>
        </w:rPr>
        <w:t>11</w:t>
      </w:r>
      <w:r>
        <w:rPr>
          <w:spacing w:val="-7"/>
        </w:rPr>
        <w:t>、投标文件的编制和签署</w:t>
      </w:r>
    </w:p>
    <w:p>
      <w:pPr>
        <w:pStyle w:val="ListParagraph"/>
        <w:numPr>
          <w:ilvl w:val="1"/>
          <w:numId w:val="19"/>
        </w:numPr>
        <w:tabs>
          <w:tab w:val="left" w:pos="1411"/>
        </w:tabs>
        <w:spacing w:before="0" w:after="0" w:line="266" w:lineRule="auto"/>
        <w:ind w:left="398" w:right="543" w:firstLine="480"/>
        <w:jc w:val="left"/>
        <w:rPr>
          <w:sz w:val="24"/>
        </w:rPr>
      </w:pPr>
      <w:r>
        <w:rPr>
          <w:spacing w:val="-9"/>
          <w:sz w:val="24"/>
        </w:rPr>
        <w:t xml:space="preserve">投标人按本须知第 </w:t>
      </w:r>
      <w:r>
        <w:rPr>
          <w:spacing w:val="-2"/>
          <w:sz w:val="24"/>
        </w:rPr>
        <w:t>7</w:t>
      </w:r>
      <w:r>
        <w:rPr>
          <w:spacing w:val="-14"/>
          <w:sz w:val="24"/>
        </w:rPr>
        <w:t xml:space="preserve"> 条规定的语言和前附表第 </w:t>
      </w:r>
      <w:r>
        <w:rPr>
          <w:spacing w:val="-2"/>
          <w:sz w:val="24"/>
        </w:rPr>
        <w:t>5</w:t>
      </w:r>
      <w:r>
        <w:rPr>
          <w:spacing w:val="-10"/>
          <w:sz w:val="24"/>
        </w:rPr>
        <w:t xml:space="preserve"> 项规定的份数编制投标文件，</w:t>
      </w:r>
      <w:r>
        <w:rPr>
          <w:spacing w:val="-10"/>
          <w:sz w:val="24"/>
        </w:rPr>
        <w:t>并在封面上标明“正本”和“副本”。投标文件正本和副本如有不一致之处，以正本为</w:t>
      </w:r>
      <w:r>
        <w:rPr>
          <w:spacing w:val="-6"/>
          <w:sz w:val="24"/>
        </w:rPr>
        <w:t>准。</w:t>
      </w:r>
    </w:p>
    <w:p>
      <w:pPr>
        <w:pStyle w:val="ListParagraph"/>
        <w:numPr>
          <w:ilvl w:val="1"/>
          <w:numId w:val="19"/>
        </w:numPr>
        <w:tabs>
          <w:tab w:val="left" w:pos="1479"/>
        </w:tabs>
        <w:spacing w:before="0" w:after="0" w:line="266" w:lineRule="auto"/>
        <w:ind w:left="398" w:right="664" w:firstLine="480"/>
        <w:jc w:val="left"/>
        <w:rPr>
          <w:sz w:val="24"/>
        </w:rPr>
      </w:pPr>
      <w:r>
        <w:rPr>
          <w:spacing w:val="-2"/>
          <w:sz w:val="24"/>
        </w:rPr>
        <w:t>投标文件正本和副本均应使用不褪色的材料书写或打印，开标一览表必须加</w:t>
      </w:r>
      <w:r>
        <w:rPr>
          <w:spacing w:val="-2"/>
          <w:sz w:val="24"/>
        </w:rPr>
        <w:t>盖法人单位公章，按要求由法定（授权）代表人签字。</w:t>
      </w:r>
    </w:p>
    <w:p>
      <w:pPr>
        <w:pStyle w:val="ListParagraph"/>
        <w:numPr>
          <w:ilvl w:val="1"/>
          <w:numId w:val="19"/>
        </w:numPr>
        <w:tabs>
          <w:tab w:val="left" w:pos="1479"/>
        </w:tabs>
        <w:spacing w:before="0" w:after="0" w:line="266" w:lineRule="auto"/>
        <w:ind w:left="398" w:right="664" w:firstLine="480"/>
        <w:jc w:val="left"/>
        <w:rPr>
          <w:sz w:val="24"/>
        </w:rPr>
      </w:pPr>
      <w:r>
        <w:rPr>
          <w:spacing w:val="-2"/>
          <w:sz w:val="24"/>
        </w:rPr>
        <w:t>全套投标文件应无涂改和行间插字。如有修改，所修改处应由法定代表人或</w:t>
      </w:r>
      <w:r>
        <w:rPr>
          <w:spacing w:val="-2"/>
          <w:sz w:val="24"/>
        </w:rPr>
        <w:t>授权代表签字予以确认。</w:t>
      </w:r>
    </w:p>
    <w:p>
      <w:pPr>
        <w:pStyle w:val="Heading3"/>
        <w:spacing w:line="377" w:lineRule="exact"/>
        <w:ind w:left="3643"/>
        <w:jc w:val="left"/>
        <w:rPr>
          <w:rFonts w:ascii="微软雅黑" w:eastAsia="微软雅黑"/>
        </w:rPr>
      </w:pPr>
      <w:r>
        <w:rPr>
          <w:rFonts w:ascii="微软雅黑" w:eastAsia="微软雅黑"/>
          <w:spacing w:val="-2"/>
        </w:rPr>
        <w:t>四、投标文件的递交</w:t>
      </w:r>
    </w:p>
    <w:p>
      <w:pPr>
        <w:pStyle w:val="Heading5"/>
        <w:spacing w:before="69" w:line="391" w:lineRule="exact"/>
      </w:pPr>
      <w:r>
        <w:rPr>
          <w:spacing w:val="-6"/>
        </w:rPr>
        <w:t>12</w:t>
      </w:r>
      <w:r>
        <w:rPr>
          <w:spacing w:val="-7"/>
        </w:rPr>
        <w:t>、投标文件的密封与标志</w:t>
      </w:r>
    </w:p>
    <w:p>
      <w:pPr>
        <w:pStyle w:val="ListParagraph"/>
        <w:numPr>
          <w:ilvl w:val="1"/>
          <w:numId w:val="18"/>
        </w:numPr>
        <w:tabs>
          <w:tab w:val="left" w:pos="1597"/>
          <w:tab w:val="left" w:pos="1598"/>
        </w:tabs>
        <w:spacing w:before="21" w:after="0" w:line="184" w:lineRule="auto"/>
        <w:ind w:left="398" w:right="663" w:firstLine="480"/>
        <w:jc w:val="left"/>
        <w:rPr>
          <w:rFonts w:ascii="微软雅黑" w:eastAsia="微软雅黑"/>
          <w:b/>
          <w:sz w:val="24"/>
        </w:rPr>
      </w:pPr>
      <w:r>
        <w:rPr>
          <w:spacing w:val="-4"/>
          <w:sz w:val="24"/>
        </w:rPr>
        <w:t>投标文件分正本和副本，其中</w:t>
      </w:r>
      <w:r>
        <w:rPr>
          <w:rFonts w:ascii="微软雅黑" w:eastAsia="微软雅黑"/>
          <w:b/>
          <w:spacing w:val="-4"/>
          <w:sz w:val="24"/>
        </w:rPr>
        <w:t>商务标、技术标、资信标</w:t>
      </w:r>
      <w:r>
        <w:rPr>
          <w:spacing w:val="-4"/>
          <w:sz w:val="24"/>
        </w:rPr>
        <w:t>分别装订并分别密封</w:t>
      </w:r>
      <w:r>
        <w:rPr>
          <w:spacing w:val="-2"/>
          <w:sz w:val="24"/>
        </w:rPr>
        <w:t>包装。</w:t>
      </w:r>
      <w:r>
        <w:rPr>
          <w:rFonts w:ascii="微软雅黑" w:eastAsia="微软雅黑"/>
          <w:b/>
          <w:spacing w:val="-2"/>
          <w:sz w:val="24"/>
          <w:u w:val="thick"/>
        </w:rPr>
        <w:t>没有密封包装的投标文件，将被当场拒绝。</w:t>
      </w:r>
    </w:p>
    <w:p>
      <w:pPr>
        <w:spacing w:after="0" w:line="184" w:lineRule="auto"/>
        <w:jc w:val="left"/>
        <w:rPr>
          <w:rFonts w:ascii="微软雅黑" w:eastAsia="微软雅黑"/>
          <w:sz w:val="24"/>
        </w:rPr>
        <w:sectPr>
          <w:footerReference w:type="default" r:id="rId13"/>
          <w:pgSz w:w="11910" w:h="16840"/>
          <w:pgMar w:top="1220" w:right="800" w:bottom="1180" w:left="1020" w:header="0" w:footer="990"/>
          <w:pgNumType w:start="10"/>
          <w:cols w:space="708"/>
        </w:sectPr>
      </w:pPr>
    </w:p>
    <w:p>
      <w:pPr>
        <w:pStyle w:val="ListParagraph"/>
        <w:numPr>
          <w:ilvl w:val="1"/>
          <w:numId w:val="18"/>
        </w:numPr>
        <w:tabs>
          <w:tab w:val="left" w:pos="1597"/>
          <w:tab w:val="left" w:pos="1598"/>
        </w:tabs>
        <w:spacing w:before="41" w:after="0" w:line="266" w:lineRule="auto"/>
        <w:ind w:left="398" w:right="543" w:firstLine="480"/>
        <w:jc w:val="left"/>
        <w:rPr>
          <w:sz w:val="24"/>
        </w:rPr>
      </w:pPr>
      <w:r>
        <w:rPr>
          <w:spacing w:val="-2"/>
          <w:sz w:val="24"/>
        </w:rPr>
        <w:t>包装封面物的正面应写明项目名称、投标人全称，封口处要密封并加盖投标</w:t>
      </w:r>
      <w:r>
        <w:rPr>
          <w:spacing w:val="-29"/>
          <w:sz w:val="24"/>
        </w:rPr>
        <w:t>人公章(或授权代表签章)。在包装封面上还应分别标明“商务标”、“技术标”、“资信标”</w:t>
      </w:r>
      <w:r>
        <w:rPr>
          <w:spacing w:val="-2"/>
          <w:sz w:val="24"/>
        </w:rPr>
        <w:t>字样。不论投标人中标与否，投标文件均不退回。</w:t>
      </w:r>
    </w:p>
    <w:p>
      <w:pPr>
        <w:pStyle w:val="ListParagraph"/>
        <w:numPr>
          <w:ilvl w:val="1"/>
          <w:numId w:val="18"/>
        </w:numPr>
        <w:tabs>
          <w:tab w:val="left" w:pos="1597"/>
          <w:tab w:val="left" w:pos="1598"/>
        </w:tabs>
        <w:spacing w:before="0" w:after="0" w:line="281" w:lineRule="exact"/>
        <w:ind w:left="1598" w:right="0" w:hanging="720"/>
        <w:jc w:val="left"/>
        <w:rPr>
          <w:sz w:val="24"/>
        </w:rPr>
      </w:pPr>
      <w:r>
        <w:rPr>
          <w:spacing w:val="-5"/>
          <w:sz w:val="24"/>
        </w:rPr>
        <w:t xml:space="preserve">投标文件递交至前附表第 </w:t>
      </w:r>
      <w:r>
        <w:rPr>
          <w:sz w:val="24"/>
        </w:rPr>
        <w:t>7</w:t>
      </w:r>
      <w:r>
        <w:rPr>
          <w:spacing w:val="-9"/>
          <w:sz w:val="24"/>
        </w:rPr>
        <w:t xml:space="preserve"> 项所述的单位和地址。</w:t>
      </w:r>
    </w:p>
    <w:p>
      <w:pPr>
        <w:pStyle w:val="Heading5"/>
        <w:spacing w:line="407" w:lineRule="exact"/>
      </w:pPr>
      <w:r>
        <w:rPr>
          <w:spacing w:val="-10"/>
        </w:rPr>
        <w:t>13</w:t>
      </w:r>
      <w:r>
        <w:rPr>
          <w:spacing w:val="-10"/>
        </w:rPr>
        <w:t>、投标截止期</w:t>
      </w:r>
    </w:p>
    <w:p>
      <w:pPr>
        <w:pStyle w:val="ListParagraph"/>
        <w:numPr>
          <w:ilvl w:val="1"/>
          <w:numId w:val="17"/>
        </w:numPr>
        <w:tabs>
          <w:tab w:val="left" w:pos="1600"/>
        </w:tabs>
        <w:spacing w:before="0" w:after="0" w:line="266" w:lineRule="auto"/>
        <w:ind w:left="398" w:right="664" w:firstLine="480"/>
        <w:jc w:val="both"/>
        <w:rPr>
          <w:sz w:val="24"/>
        </w:rPr>
      </w:pPr>
      <w:r>
        <w:rPr>
          <w:spacing w:val="-5"/>
          <w:sz w:val="24"/>
        </w:rPr>
        <w:t xml:space="preserve">投标人应按前附表第 </w:t>
      </w:r>
      <w:r>
        <w:rPr>
          <w:spacing w:val="-2"/>
          <w:sz w:val="24"/>
        </w:rPr>
        <w:t>7、8</w:t>
      </w:r>
      <w:r>
        <w:rPr>
          <w:spacing w:val="-7"/>
          <w:sz w:val="24"/>
        </w:rPr>
        <w:t xml:space="preserve"> 两项规定的时间、地点将投标文件递交给招标代</w:t>
      </w:r>
      <w:r>
        <w:rPr>
          <w:spacing w:val="-2"/>
          <w:sz w:val="24"/>
        </w:rPr>
        <w:t>理机构，招标代理机构将拒绝接受逾期送达的投标文件。</w:t>
      </w:r>
    </w:p>
    <w:p>
      <w:pPr>
        <w:pStyle w:val="ListParagraph"/>
        <w:numPr>
          <w:ilvl w:val="1"/>
          <w:numId w:val="17"/>
        </w:numPr>
        <w:tabs>
          <w:tab w:val="left" w:pos="1598"/>
        </w:tabs>
        <w:spacing w:before="0" w:after="0" w:line="266" w:lineRule="auto"/>
        <w:ind w:left="398" w:right="663" w:firstLine="480"/>
        <w:jc w:val="both"/>
        <w:rPr>
          <w:sz w:val="24"/>
        </w:rPr>
      </w:pPr>
      <w:r>
        <w:rPr>
          <w:spacing w:val="-5"/>
          <w:sz w:val="24"/>
        </w:rPr>
        <w:t xml:space="preserve">招标代理机构可以按本须知第 </w:t>
      </w:r>
      <w:r>
        <w:rPr>
          <w:spacing w:val="-4"/>
          <w:sz w:val="24"/>
        </w:rPr>
        <w:t>7</w:t>
      </w:r>
      <w:r>
        <w:rPr>
          <w:spacing w:val="-14"/>
          <w:sz w:val="24"/>
        </w:rPr>
        <w:t xml:space="preserve"> 条规定以补充通知的方式，酌情延长递交投</w:t>
      </w:r>
      <w:r>
        <w:rPr>
          <w:spacing w:val="-4"/>
          <w:sz w:val="24"/>
        </w:rPr>
        <w:t>标文件的截止日期。在上述情况下，招标代理机构与投标人以前在投标截止期方面的全</w:t>
      </w:r>
      <w:r>
        <w:rPr>
          <w:spacing w:val="-2"/>
          <w:sz w:val="24"/>
        </w:rPr>
        <w:t>部权利、责任和义务，将适用于延长至新的投标截止期。</w:t>
      </w:r>
    </w:p>
    <w:p>
      <w:pPr>
        <w:pStyle w:val="Heading5"/>
        <w:spacing w:line="349" w:lineRule="exact"/>
      </w:pPr>
      <w:r>
        <w:rPr>
          <w:spacing w:val="-8"/>
        </w:rPr>
        <w:t>14</w:t>
      </w:r>
      <w:r>
        <w:rPr>
          <w:spacing w:val="-9"/>
        </w:rPr>
        <w:t>、投标文件的修改</w:t>
      </w:r>
    </w:p>
    <w:p>
      <w:pPr>
        <w:pStyle w:val="ListParagraph"/>
        <w:numPr>
          <w:ilvl w:val="1"/>
          <w:numId w:val="16"/>
        </w:numPr>
        <w:tabs>
          <w:tab w:val="left" w:pos="1597"/>
          <w:tab w:val="left" w:pos="1598"/>
        </w:tabs>
        <w:spacing w:before="0" w:after="0" w:line="266" w:lineRule="auto"/>
        <w:ind w:left="398" w:right="543" w:firstLine="480"/>
        <w:jc w:val="left"/>
        <w:rPr>
          <w:sz w:val="24"/>
        </w:rPr>
      </w:pPr>
      <w:r>
        <w:rPr>
          <w:spacing w:val="-2"/>
          <w:sz w:val="24"/>
        </w:rPr>
        <w:t>投标人递交投标文件以后，在规定的投标截止时间之前，可以书面形式对投</w:t>
      </w:r>
      <w:r>
        <w:rPr>
          <w:spacing w:val="-6"/>
          <w:sz w:val="24"/>
        </w:rPr>
        <w:t>标文件进行补充、修改，修改文件须加盖单位公章，并由法定（授权）代表人签字盖章，</w:t>
      </w:r>
      <w:r>
        <w:rPr>
          <w:spacing w:val="-2"/>
          <w:sz w:val="24"/>
        </w:rPr>
        <w:t>在投标截止时间以后，不能修改、补充投标文件。</w:t>
      </w:r>
    </w:p>
    <w:p>
      <w:pPr>
        <w:pStyle w:val="ListParagraph"/>
        <w:numPr>
          <w:ilvl w:val="1"/>
          <w:numId w:val="16"/>
        </w:numPr>
        <w:tabs>
          <w:tab w:val="left" w:pos="1597"/>
          <w:tab w:val="left" w:pos="1598"/>
        </w:tabs>
        <w:spacing w:before="0" w:after="0" w:line="266" w:lineRule="auto"/>
        <w:ind w:left="398" w:right="663" w:firstLine="480"/>
        <w:jc w:val="left"/>
        <w:rPr>
          <w:sz w:val="24"/>
        </w:rPr>
      </w:pPr>
      <w:r>
        <w:rPr>
          <w:spacing w:val="-4"/>
          <w:sz w:val="24"/>
        </w:rPr>
        <w:t>投标人的修改文件，应按本须知规定编制、密封、标志和递交，如果一份投</w:t>
      </w:r>
      <w:r>
        <w:rPr>
          <w:spacing w:val="-2"/>
          <w:sz w:val="24"/>
        </w:rPr>
        <w:t>标文件有几份函件时，应注明哪一份有效，否则所作修改视为无效。</w:t>
      </w:r>
    </w:p>
    <w:p>
      <w:pPr>
        <w:pStyle w:val="ListParagraph"/>
        <w:numPr>
          <w:ilvl w:val="1"/>
          <w:numId w:val="16"/>
        </w:numPr>
        <w:tabs>
          <w:tab w:val="left" w:pos="1597"/>
          <w:tab w:val="left" w:pos="1598"/>
        </w:tabs>
        <w:spacing w:before="0" w:after="0" w:line="266" w:lineRule="auto"/>
        <w:ind w:left="398" w:right="663" w:firstLine="480"/>
        <w:jc w:val="left"/>
        <w:rPr>
          <w:sz w:val="24"/>
        </w:rPr>
      </w:pPr>
      <w:r>
        <w:rPr>
          <w:spacing w:val="-6"/>
          <w:sz w:val="24"/>
        </w:rPr>
        <w:t>在投标截止日期与招标文件中规定的有效期终止日之间的这段时间内，投标</w:t>
      </w:r>
      <w:r>
        <w:rPr>
          <w:spacing w:val="-2"/>
          <w:sz w:val="24"/>
        </w:rPr>
        <w:t>人不能撤回投标文件，否则其投标保证金将不予退还。</w:t>
      </w:r>
    </w:p>
    <w:p>
      <w:pPr>
        <w:pStyle w:val="Heading3"/>
        <w:spacing w:line="396" w:lineRule="exact"/>
        <w:ind w:left="4318"/>
        <w:jc w:val="left"/>
        <w:rPr>
          <w:rFonts w:ascii="微软雅黑" w:eastAsia="微软雅黑"/>
        </w:rPr>
      </w:pPr>
      <w:r>
        <w:rPr>
          <w:rFonts w:ascii="微软雅黑" w:eastAsia="微软雅黑"/>
          <w:spacing w:val="9"/>
        </w:rPr>
        <w:t>五、开 标</w:t>
      </w:r>
    </w:p>
    <w:p>
      <w:pPr>
        <w:pStyle w:val="Heading5"/>
        <w:spacing w:before="34" w:line="430" w:lineRule="exact"/>
      </w:pPr>
      <w:r>
        <w:rPr>
          <w:w w:val="90"/>
        </w:rPr>
        <w:t>15</w:t>
      </w:r>
      <w:r>
        <w:rPr>
          <w:w w:val="90"/>
        </w:rPr>
        <w:t>、</w:t>
      </w:r>
      <w:r>
        <w:rPr>
          <w:w w:val="90"/>
        </w:rPr>
        <w:t>开</w:t>
      </w:r>
      <w:r>
        <w:rPr>
          <w:spacing w:val="-10"/>
          <w:w w:val="90"/>
        </w:rPr>
        <w:t>标</w:t>
      </w:r>
    </w:p>
    <w:p>
      <w:pPr>
        <w:pStyle w:val="ListParagraph"/>
        <w:numPr>
          <w:ilvl w:val="1"/>
          <w:numId w:val="15"/>
        </w:numPr>
        <w:tabs>
          <w:tab w:val="left" w:pos="1598"/>
        </w:tabs>
        <w:spacing w:before="0" w:after="0" w:line="266" w:lineRule="auto"/>
        <w:ind w:left="398" w:right="663" w:firstLine="480"/>
        <w:jc w:val="both"/>
        <w:rPr>
          <w:sz w:val="24"/>
        </w:rPr>
      </w:pPr>
      <w:r>
        <w:rPr>
          <w:spacing w:val="-7"/>
          <w:sz w:val="24"/>
        </w:rPr>
        <w:t>招标代理机构将按前附表规定的时间和地点开标，各投标人法定代表人或授</w:t>
      </w:r>
      <w:r>
        <w:rPr>
          <w:spacing w:val="-4"/>
          <w:sz w:val="24"/>
        </w:rPr>
        <w:t>权代表准时参加，携带本人身份证原件。如投标人的法定代表人或其授权代表不能出示</w:t>
      </w:r>
      <w:r>
        <w:rPr>
          <w:spacing w:val="-4"/>
          <w:sz w:val="24"/>
        </w:rPr>
        <w:t>其身份证件或者未按时签到的，事后不得对采购相关人员、开标过程和开标结果提出异</w:t>
      </w:r>
      <w:r>
        <w:rPr>
          <w:spacing w:val="-2"/>
          <w:sz w:val="24"/>
        </w:rPr>
        <w:t>议。投标人代表未到场签字确认或者拒绝签字确认的，不影响评标过程。</w:t>
      </w:r>
    </w:p>
    <w:p>
      <w:pPr>
        <w:pStyle w:val="ListParagraph"/>
        <w:numPr>
          <w:ilvl w:val="1"/>
          <w:numId w:val="15"/>
        </w:numPr>
        <w:tabs>
          <w:tab w:val="left" w:pos="1598"/>
        </w:tabs>
        <w:spacing w:before="0" w:after="0" w:line="266" w:lineRule="auto"/>
        <w:ind w:left="398" w:right="663" w:firstLine="480"/>
        <w:jc w:val="both"/>
        <w:rPr>
          <w:sz w:val="24"/>
        </w:rPr>
      </w:pPr>
      <w:r>
        <w:rPr>
          <w:spacing w:val="-5"/>
          <w:sz w:val="24"/>
        </w:rPr>
        <w:t>开标时投标文件中的开标一览表内容与投标文件中明细表内容不一致的，以</w:t>
      </w:r>
      <w:r>
        <w:rPr>
          <w:spacing w:val="-4"/>
          <w:sz w:val="24"/>
        </w:rPr>
        <w:t>开标一览表为准。投标文件的大写金额和小写金额不一致的，以大写金额为准；总价金</w:t>
      </w:r>
      <w:r>
        <w:rPr>
          <w:spacing w:val="-4"/>
          <w:sz w:val="24"/>
        </w:rPr>
        <w:t>额与按单价汇总金额不一致的，以单价金额计算结果为准；单价金额小数点有明显错位</w:t>
      </w:r>
      <w:r>
        <w:rPr>
          <w:spacing w:val="-4"/>
          <w:sz w:val="24"/>
        </w:rPr>
        <w:t>的，应以总价为准，并修改单价；对不同文字文本投标文件的解释发生异议的，以中文</w:t>
      </w:r>
      <w:r>
        <w:rPr>
          <w:spacing w:val="-2"/>
          <w:sz w:val="24"/>
        </w:rPr>
        <w:t>文本为准。</w:t>
      </w:r>
    </w:p>
    <w:p>
      <w:pPr>
        <w:pStyle w:val="Heading5"/>
        <w:numPr>
          <w:ilvl w:val="1"/>
          <w:numId w:val="15"/>
        </w:numPr>
        <w:tabs>
          <w:tab w:val="left" w:pos="1601"/>
          <w:tab w:val="left" w:pos="1602"/>
        </w:tabs>
        <w:spacing w:before="0" w:after="0" w:line="308" w:lineRule="exact"/>
        <w:ind w:left="1601" w:right="0" w:hanging="724"/>
        <w:jc w:val="left"/>
      </w:pPr>
      <w:r>
        <w:rPr>
          <w:spacing w:val="-1"/>
        </w:rPr>
        <w:t>投标文件有下列情况之一者将视为无效：</w:t>
      </w:r>
    </w:p>
    <w:p>
      <w:pPr>
        <w:pStyle w:val="Heading5"/>
        <w:numPr>
          <w:ilvl w:val="0"/>
          <w:numId w:val="14"/>
        </w:numPr>
        <w:tabs>
          <w:tab w:val="left" w:pos="1481"/>
        </w:tabs>
        <w:spacing w:before="0" w:after="0" w:line="340" w:lineRule="exact"/>
        <w:ind w:left="1480" w:right="0" w:hanging="603"/>
        <w:jc w:val="left"/>
      </w:pPr>
      <w:r>
        <w:rPr>
          <w:spacing w:val="-1"/>
        </w:rPr>
        <w:t>在投标文件递交截止时间以后送达的投标文件；</w:t>
      </w:r>
    </w:p>
    <w:p>
      <w:pPr>
        <w:pStyle w:val="Heading5"/>
        <w:numPr>
          <w:ilvl w:val="0"/>
          <w:numId w:val="14"/>
        </w:numPr>
        <w:tabs>
          <w:tab w:val="left" w:pos="1481"/>
        </w:tabs>
        <w:spacing w:before="3" w:after="0" w:line="184" w:lineRule="auto"/>
        <w:ind w:left="398" w:right="664" w:firstLine="480"/>
        <w:jc w:val="left"/>
      </w:pPr>
      <w:r>
        <w:rPr>
          <w:spacing w:val="-2"/>
        </w:rPr>
        <w:t>投标文件没有密封包装或者由于包装不妥，在送交途中严重破损或失散的投</w:t>
      </w:r>
      <w:r>
        <w:rPr>
          <w:spacing w:val="-4"/>
        </w:rPr>
        <w:t>标文件；</w:t>
      </w:r>
    </w:p>
    <w:p>
      <w:pPr>
        <w:pStyle w:val="Heading5"/>
        <w:numPr>
          <w:ilvl w:val="0"/>
          <w:numId w:val="14"/>
        </w:numPr>
        <w:tabs>
          <w:tab w:val="left" w:pos="1481"/>
        </w:tabs>
        <w:spacing w:before="0" w:after="0" w:line="317" w:lineRule="exact"/>
        <w:ind w:left="1480" w:right="0" w:hanging="603"/>
        <w:jc w:val="left"/>
      </w:pPr>
      <w:r>
        <w:rPr>
          <w:spacing w:val="-1"/>
        </w:rPr>
        <w:t>仅以非纸制文本形式的投标文件；</w:t>
      </w:r>
    </w:p>
    <w:p>
      <w:pPr>
        <w:pStyle w:val="Heading5"/>
        <w:numPr>
          <w:ilvl w:val="0"/>
          <w:numId w:val="14"/>
        </w:numPr>
        <w:tabs>
          <w:tab w:val="left" w:pos="1481"/>
        </w:tabs>
        <w:spacing w:before="22" w:after="0" w:line="184" w:lineRule="auto"/>
        <w:ind w:left="398" w:right="664" w:firstLine="480"/>
        <w:jc w:val="left"/>
      </w:pPr>
      <w:r>
        <w:rPr>
          <w:spacing w:val="-2"/>
        </w:rPr>
        <w:t>投标人未能提供满足招标文件资格要求的投标文件；未采用人民币报价或未</w:t>
      </w:r>
      <w:r>
        <w:rPr>
          <w:spacing w:val="-2"/>
        </w:rPr>
        <w:t>按招标文件标明的币种报价；</w:t>
      </w:r>
    </w:p>
    <w:p>
      <w:pPr>
        <w:pStyle w:val="Heading5"/>
        <w:numPr>
          <w:ilvl w:val="0"/>
          <w:numId w:val="14"/>
        </w:numPr>
        <w:tabs>
          <w:tab w:val="left" w:pos="1481"/>
        </w:tabs>
        <w:spacing w:before="0" w:after="0" w:line="317" w:lineRule="exact"/>
        <w:ind w:left="1480" w:right="0" w:hanging="603"/>
        <w:jc w:val="left"/>
      </w:pPr>
      <w:r>
        <w:rPr>
          <w:spacing w:val="-1"/>
        </w:rPr>
        <w:t>投标文件有招标方不能接受附加条件的，投标报价超预算的；</w:t>
      </w:r>
    </w:p>
    <w:p>
      <w:pPr>
        <w:pStyle w:val="Heading5"/>
        <w:numPr>
          <w:ilvl w:val="0"/>
          <w:numId w:val="14"/>
        </w:numPr>
        <w:tabs>
          <w:tab w:val="left" w:pos="1481"/>
        </w:tabs>
        <w:spacing w:before="0" w:after="0" w:line="340" w:lineRule="exact"/>
        <w:ind w:left="1480" w:right="0" w:hanging="603"/>
        <w:jc w:val="left"/>
      </w:pPr>
      <w:r>
        <w:t>与招标文件有重大偏离或缺漏的投标文件</w:t>
      </w:r>
      <w:r>
        <w:rPr>
          <w:w w:val="155"/>
        </w:rPr>
        <w:t>,</w:t>
      </w:r>
      <w:r>
        <w:t>加▲</w:t>
      </w:r>
      <w:r>
        <w:rPr>
          <w:spacing w:val="-1"/>
        </w:rPr>
        <w:t>条款未响应或偏离的；</w:t>
      </w:r>
    </w:p>
    <w:p>
      <w:pPr>
        <w:pStyle w:val="Heading5"/>
        <w:numPr>
          <w:ilvl w:val="0"/>
          <w:numId w:val="14"/>
        </w:numPr>
        <w:tabs>
          <w:tab w:val="left" w:pos="1481"/>
        </w:tabs>
        <w:spacing w:before="22" w:after="0" w:line="184" w:lineRule="auto"/>
        <w:ind w:left="398" w:right="664" w:firstLine="480"/>
        <w:jc w:val="left"/>
      </w:pPr>
      <w:r>
        <w:rPr>
          <w:spacing w:val="-2"/>
        </w:rPr>
        <w:t>未提供或未如实提供投标货物的技术参数；投标文件标明的商务、技术响应</w:t>
      </w:r>
      <w:r>
        <w:rPr>
          <w:spacing w:val="-2"/>
        </w:rPr>
        <w:t>或偏离与事实不符或虚假投标的；</w:t>
      </w:r>
    </w:p>
    <w:p>
      <w:pPr>
        <w:pStyle w:val="Heading5"/>
        <w:numPr>
          <w:ilvl w:val="0"/>
          <w:numId w:val="14"/>
        </w:numPr>
        <w:tabs>
          <w:tab w:val="left" w:pos="1481"/>
        </w:tabs>
        <w:spacing w:before="0" w:after="0" w:line="368" w:lineRule="exact"/>
        <w:ind w:left="1480" w:right="0" w:hanging="603"/>
        <w:jc w:val="left"/>
      </w:pPr>
      <w:r>
        <w:t>投标技术方案不明确，存在一个或一个以上备选（替代）</w:t>
      </w:r>
      <w:r>
        <w:rPr>
          <w:spacing w:val="-2"/>
        </w:rPr>
        <w:t>投标方案的；</w:t>
      </w:r>
    </w:p>
    <w:p>
      <w:pPr>
        <w:spacing w:after="0" w:line="368" w:lineRule="exact"/>
        <w:jc w:val="left"/>
        <w:sectPr>
          <w:footerReference w:type="default" r:id="rId14"/>
          <w:pgSz w:w="11910" w:h="16840"/>
          <w:pgMar w:top="1220" w:right="800" w:bottom="1180" w:left="1020" w:header="0" w:footer="990"/>
          <w:pgNumType w:start="11"/>
          <w:cols w:space="708"/>
        </w:sectPr>
      </w:pPr>
    </w:p>
    <w:p>
      <w:pPr>
        <w:pStyle w:val="Heading5"/>
        <w:numPr>
          <w:ilvl w:val="0"/>
          <w:numId w:val="14"/>
        </w:numPr>
        <w:tabs>
          <w:tab w:val="left" w:pos="1481"/>
        </w:tabs>
        <w:spacing w:before="37" w:after="0" w:line="184" w:lineRule="auto"/>
        <w:ind w:left="398" w:right="664" w:firstLine="480"/>
        <w:jc w:val="left"/>
      </w:pPr>
      <w:r>
        <w:rPr>
          <w:spacing w:val="-2"/>
        </w:rPr>
        <w:t>投标报价明显低于成本，投标人又不能在规定时间内作出合理说明或提供相</w:t>
      </w:r>
      <w:r>
        <w:rPr>
          <w:spacing w:val="-2"/>
        </w:rPr>
        <w:t>关证明材料；</w:t>
      </w:r>
    </w:p>
    <w:p>
      <w:pPr>
        <w:pStyle w:val="Heading5"/>
        <w:numPr>
          <w:ilvl w:val="0"/>
          <w:numId w:val="14"/>
        </w:numPr>
        <w:tabs>
          <w:tab w:val="left" w:pos="1609"/>
        </w:tabs>
        <w:spacing w:before="0" w:after="0" w:line="184" w:lineRule="auto"/>
        <w:ind w:left="398" w:right="665" w:firstLine="480"/>
        <w:jc w:val="left"/>
      </w:pPr>
      <w:r>
        <w:rPr>
          <w:spacing w:val="-2"/>
        </w:rPr>
        <w:t>投标文件未有有效授权；未提供或擅自改动投标响应函、开标一览表的投</w:t>
      </w:r>
      <w:r>
        <w:rPr>
          <w:spacing w:val="-2"/>
        </w:rPr>
        <w:t>标文件；法定代表人授权委托书等填写不完整或有涂改的；</w:t>
      </w:r>
    </w:p>
    <w:p>
      <w:pPr>
        <w:pStyle w:val="Heading5"/>
        <w:numPr>
          <w:ilvl w:val="0"/>
          <w:numId w:val="14"/>
        </w:numPr>
        <w:tabs>
          <w:tab w:val="left" w:pos="1609"/>
        </w:tabs>
        <w:spacing w:before="0" w:after="0" w:line="184" w:lineRule="auto"/>
        <w:ind w:left="398" w:right="665" w:firstLine="480"/>
        <w:jc w:val="left"/>
      </w:pPr>
      <w:r>
        <w:rPr>
          <w:spacing w:val="-2"/>
        </w:rPr>
        <w:t>投标文件组成漏项或未按规定的格式编制或投标文件正、副本份数不足，</w:t>
      </w:r>
      <w:r>
        <w:rPr>
          <w:spacing w:val="-2"/>
        </w:rPr>
        <w:t>内容不全或内容字迹严重模糊辨认不清；</w:t>
      </w:r>
    </w:p>
    <w:p>
      <w:pPr>
        <w:pStyle w:val="Heading5"/>
        <w:numPr>
          <w:ilvl w:val="0"/>
          <w:numId w:val="14"/>
        </w:numPr>
        <w:tabs>
          <w:tab w:val="left" w:pos="1602"/>
        </w:tabs>
        <w:spacing w:before="0" w:after="0" w:line="317" w:lineRule="exact"/>
        <w:ind w:left="1601" w:right="0" w:hanging="724"/>
        <w:jc w:val="left"/>
      </w:pPr>
      <w:r>
        <w:rPr>
          <w:spacing w:val="-1"/>
        </w:rPr>
        <w:t>未按规定缴纳保证金的；</w:t>
      </w:r>
    </w:p>
    <w:p>
      <w:pPr>
        <w:pStyle w:val="Heading5"/>
        <w:numPr>
          <w:ilvl w:val="0"/>
          <w:numId w:val="14"/>
        </w:numPr>
        <w:tabs>
          <w:tab w:val="left" w:pos="1604"/>
        </w:tabs>
        <w:spacing w:before="0" w:after="0" w:line="340" w:lineRule="exact"/>
        <w:ind w:left="1603" w:right="0" w:hanging="725"/>
        <w:jc w:val="left"/>
      </w:pPr>
      <w:r>
        <w:rPr>
          <w:spacing w:val="-1"/>
        </w:rPr>
        <w:t>不符合法律、法规和本招标文件规定的其他实质性要求的。</w:t>
      </w:r>
    </w:p>
    <w:p>
      <w:pPr>
        <w:pStyle w:val="Heading5"/>
        <w:spacing w:line="391" w:lineRule="exact"/>
      </w:pPr>
      <w:r>
        <w:rPr>
          <w:spacing w:val="-10"/>
        </w:rPr>
        <w:t>16</w:t>
      </w:r>
      <w:r>
        <w:rPr>
          <w:spacing w:val="-11"/>
        </w:rPr>
        <w:t>、开标流程</w:t>
      </w:r>
    </w:p>
    <w:p>
      <w:pPr>
        <w:pStyle w:val="ListParagraph"/>
        <w:numPr>
          <w:ilvl w:val="1"/>
          <w:numId w:val="13"/>
        </w:numPr>
        <w:tabs>
          <w:tab w:val="left" w:pos="1438"/>
        </w:tabs>
        <w:spacing w:before="4" w:after="0" w:line="297" w:lineRule="auto"/>
        <w:ind w:left="398" w:right="664" w:firstLine="500"/>
        <w:jc w:val="left"/>
        <w:rPr>
          <w:sz w:val="24"/>
        </w:rPr>
      </w:pPr>
      <w:r>
        <w:rPr>
          <w:spacing w:val="-2"/>
          <w:sz w:val="24"/>
        </w:rPr>
        <w:t>招标人将于投标须知前附表所规定的时间在衢州市柯城区公共资源交易中心</w:t>
      </w:r>
      <w:r>
        <w:rPr>
          <w:spacing w:val="-2"/>
          <w:sz w:val="24"/>
        </w:rPr>
        <w:t>电子显示屏指定的开标厅举行开标会议。以下人员须参加开标会议：</w:t>
      </w:r>
    </w:p>
    <w:p>
      <w:pPr>
        <w:pStyle w:val="Heading5"/>
        <w:numPr>
          <w:ilvl w:val="0"/>
          <w:numId w:val="12"/>
        </w:numPr>
        <w:tabs>
          <w:tab w:val="left" w:pos="1354"/>
        </w:tabs>
        <w:spacing w:before="0" w:after="0" w:line="332" w:lineRule="exact"/>
        <w:ind w:left="1353" w:right="0" w:hanging="604"/>
        <w:jc w:val="left"/>
      </w:pPr>
      <w:r>
        <w:rPr>
          <w:spacing w:val="-2"/>
        </w:rPr>
        <w:t>投标人法定代表人或其委托代理人（须提供授权书）</w:t>
      </w:r>
      <w:r>
        <w:rPr>
          <w:spacing w:val="-3"/>
        </w:rPr>
        <w:t>携身份证参加开标会议；</w:t>
      </w:r>
    </w:p>
    <w:p>
      <w:pPr>
        <w:pStyle w:val="Heading5"/>
        <w:numPr>
          <w:ilvl w:val="0"/>
          <w:numId w:val="12"/>
        </w:numPr>
        <w:tabs>
          <w:tab w:val="left" w:pos="1354"/>
        </w:tabs>
        <w:spacing w:before="13" w:after="0" w:line="206" w:lineRule="auto"/>
        <w:ind w:left="398" w:right="664" w:firstLine="352"/>
        <w:jc w:val="both"/>
      </w:pPr>
      <w:r>
        <w:rPr>
          <w:spacing w:val="-4"/>
        </w:rPr>
        <w:t>投标人法定代表人（或委托代理人）未准时参加或不能确认参加开标会议（以</w:t>
      </w:r>
      <w:r>
        <w:rPr>
          <w:spacing w:val="-2"/>
        </w:rPr>
        <w:t>上要求提供的身份证原件、授权委托书原件不能在投标文件提交截止时间前提供的，</w:t>
      </w:r>
      <w:r>
        <w:rPr>
          <w:spacing w:val="-2"/>
        </w:rPr>
        <w:t>为不能确认参加开标会议</w:t>
      </w:r>
      <w:r>
        <w:rPr>
          <w:spacing w:val="-120"/>
        </w:rPr>
        <w:t>）</w:t>
      </w:r>
      <w:r>
        <w:rPr>
          <w:spacing w:val="-2"/>
        </w:rPr>
        <w:t>，视为自动放弃投标（不作为投标人</w:t>
      </w:r>
      <w:r>
        <w:rPr>
          <w:spacing w:val="-120"/>
        </w:rPr>
        <w:t>）</w:t>
      </w:r>
      <w:r>
        <w:rPr>
          <w:spacing w:val="-2"/>
        </w:rPr>
        <w:t>。</w:t>
      </w:r>
    </w:p>
    <w:p>
      <w:pPr>
        <w:pStyle w:val="ListParagraph"/>
        <w:numPr>
          <w:ilvl w:val="1"/>
          <w:numId w:val="13"/>
        </w:numPr>
        <w:tabs>
          <w:tab w:val="left" w:pos="1438"/>
        </w:tabs>
        <w:spacing w:before="31" w:after="0" w:line="240" w:lineRule="auto"/>
        <w:ind w:left="1438" w:right="0" w:hanging="540"/>
        <w:jc w:val="left"/>
        <w:rPr>
          <w:sz w:val="24"/>
        </w:rPr>
      </w:pPr>
      <w:r>
        <w:rPr>
          <w:spacing w:val="-2"/>
          <w:sz w:val="24"/>
        </w:rPr>
        <w:t>开标程序：</w:t>
      </w:r>
    </w:p>
    <w:p>
      <w:pPr>
        <w:pStyle w:val="ListParagraph"/>
        <w:numPr>
          <w:ilvl w:val="2"/>
          <w:numId w:val="13"/>
        </w:numPr>
        <w:tabs>
          <w:tab w:val="left" w:pos="1678"/>
        </w:tabs>
        <w:spacing w:before="72" w:after="0" w:line="297" w:lineRule="auto"/>
        <w:ind w:left="398" w:right="663" w:firstLine="500"/>
        <w:jc w:val="both"/>
        <w:rPr>
          <w:sz w:val="24"/>
        </w:rPr>
      </w:pPr>
      <w:r>
        <w:rPr>
          <w:spacing w:val="-2"/>
          <w:sz w:val="24"/>
        </w:rPr>
        <w:t>投标人须在开标前缴纳席位费，已缴纳席位费的投标人，须携带当月席位</w:t>
      </w:r>
      <w:r>
        <w:rPr>
          <w:spacing w:val="-4"/>
          <w:sz w:val="24"/>
        </w:rPr>
        <w:t>费发票的原件或复印件，供工作人员核查。投标人在投标截止时未缴纳席位费的，视为</w:t>
      </w:r>
      <w:r>
        <w:rPr>
          <w:spacing w:val="-2"/>
          <w:sz w:val="24"/>
        </w:rPr>
        <w:t>放弃投标资格。</w:t>
      </w:r>
    </w:p>
    <w:p>
      <w:pPr>
        <w:pStyle w:val="ListParagraph"/>
        <w:numPr>
          <w:ilvl w:val="2"/>
          <w:numId w:val="13"/>
        </w:numPr>
        <w:tabs>
          <w:tab w:val="left" w:pos="1659"/>
        </w:tabs>
        <w:spacing w:before="0" w:after="0" w:line="304" w:lineRule="exact"/>
        <w:ind w:left="1659" w:right="0" w:hanging="780"/>
        <w:jc w:val="left"/>
        <w:rPr>
          <w:sz w:val="24"/>
        </w:rPr>
      </w:pPr>
      <w:r>
        <w:rPr>
          <w:sz w:val="24"/>
        </w:rPr>
        <w:t>开标由招标人（或招标人委托的招标代理公司）</w:t>
      </w:r>
      <w:r>
        <w:rPr>
          <w:spacing w:val="-4"/>
          <w:sz w:val="24"/>
        </w:rPr>
        <w:t>主持。</w:t>
      </w:r>
    </w:p>
    <w:p>
      <w:pPr>
        <w:pStyle w:val="ListParagraph"/>
        <w:numPr>
          <w:ilvl w:val="2"/>
          <w:numId w:val="13"/>
        </w:numPr>
        <w:tabs>
          <w:tab w:val="left" w:pos="1659"/>
        </w:tabs>
        <w:spacing w:before="73" w:after="0" w:line="297" w:lineRule="auto"/>
        <w:ind w:left="398" w:right="746" w:firstLine="481"/>
        <w:jc w:val="left"/>
        <w:rPr>
          <w:sz w:val="24"/>
        </w:rPr>
      </w:pPr>
      <w:r>
        <w:rPr>
          <w:spacing w:val="-2"/>
          <w:sz w:val="24"/>
        </w:rPr>
        <w:t>开标时，由监管办工作人员宣布保证金到帐情况，保证金未到帐的标书予</w:t>
      </w:r>
      <w:r>
        <w:rPr>
          <w:spacing w:val="-4"/>
          <w:sz w:val="24"/>
        </w:rPr>
        <w:t>以拒绝。</w:t>
      </w:r>
    </w:p>
    <w:p>
      <w:pPr>
        <w:pStyle w:val="ListParagraph"/>
        <w:numPr>
          <w:ilvl w:val="2"/>
          <w:numId w:val="13"/>
        </w:numPr>
        <w:tabs>
          <w:tab w:val="left" w:pos="1658"/>
        </w:tabs>
        <w:spacing w:before="0" w:after="0" w:line="297" w:lineRule="auto"/>
        <w:ind w:left="398" w:right="747" w:firstLine="480"/>
        <w:jc w:val="left"/>
        <w:rPr>
          <w:sz w:val="24"/>
        </w:rPr>
      </w:pPr>
      <w:r>
        <w:rPr>
          <w:spacing w:val="-2"/>
          <w:sz w:val="24"/>
        </w:rPr>
        <w:t>工作人员核实缴纳席位费缴纳情况，已缴纳席位费并缴纳投标保证金的投</w:t>
      </w:r>
      <w:r>
        <w:rPr>
          <w:spacing w:val="-2"/>
          <w:sz w:val="24"/>
        </w:rPr>
        <w:t>标人，在开标截止前一小时内，向代理机构缴纳资料费，办理投标登记手续。</w:t>
      </w:r>
    </w:p>
    <w:p>
      <w:pPr>
        <w:pStyle w:val="ListParagraph"/>
        <w:numPr>
          <w:ilvl w:val="2"/>
          <w:numId w:val="13"/>
        </w:numPr>
        <w:tabs>
          <w:tab w:val="left" w:pos="1658"/>
        </w:tabs>
        <w:spacing w:before="0" w:after="0" w:line="273" w:lineRule="exact"/>
        <w:ind w:left="1658" w:right="0" w:hanging="780"/>
        <w:jc w:val="left"/>
        <w:rPr>
          <w:sz w:val="24"/>
        </w:rPr>
      </w:pPr>
      <w:r>
        <w:rPr>
          <w:spacing w:val="-1"/>
          <w:sz w:val="24"/>
        </w:rPr>
        <w:t>公证处工作人员检查各投标人的商务标、技术标、资信标的密封情况，并</w:t>
      </w:r>
    </w:p>
    <w:p>
      <w:pPr>
        <w:pStyle w:val="BodyText"/>
        <w:spacing w:before="30"/>
        <w:ind w:left="398"/>
      </w:pPr>
      <w:r>
        <w:rPr>
          <w:spacing w:val="-2"/>
        </w:rPr>
        <w:t>公布检查结果。</w:t>
      </w:r>
    </w:p>
    <w:p>
      <w:pPr>
        <w:pStyle w:val="ListParagraph"/>
        <w:numPr>
          <w:ilvl w:val="2"/>
          <w:numId w:val="13"/>
        </w:numPr>
        <w:tabs>
          <w:tab w:val="left" w:pos="1718"/>
        </w:tabs>
        <w:spacing w:before="32" w:after="0" w:line="240" w:lineRule="auto"/>
        <w:ind w:left="1718" w:right="0" w:hanging="840"/>
        <w:jc w:val="left"/>
        <w:rPr>
          <w:sz w:val="24"/>
        </w:rPr>
      </w:pPr>
      <w:r>
        <w:rPr>
          <w:spacing w:val="-7"/>
          <w:sz w:val="24"/>
        </w:rPr>
        <w:t>公证处工作人员当众启封各合格投标人的技术标，然后送评标委员会评审。</w:t>
      </w:r>
    </w:p>
    <w:p>
      <w:pPr>
        <w:pStyle w:val="ListParagraph"/>
        <w:numPr>
          <w:ilvl w:val="2"/>
          <w:numId w:val="13"/>
        </w:numPr>
        <w:tabs>
          <w:tab w:val="left" w:pos="1658"/>
        </w:tabs>
        <w:spacing w:before="33" w:after="0" w:line="266" w:lineRule="auto"/>
        <w:ind w:left="398" w:right="729" w:firstLine="480"/>
        <w:jc w:val="left"/>
        <w:rPr>
          <w:sz w:val="24"/>
        </w:rPr>
      </w:pPr>
      <w:r>
        <w:rPr>
          <w:spacing w:val="-2"/>
          <w:sz w:val="24"/>
        </w:rPr>
        <w:t>公证处工作人员当众宣布合格投标人的技术标得分并当众启封各合格投标</w:t>
      </w:r>
      <w:r>
        <w:rPr>
          <w:spacing w:val="-2"/>
          <w:sz w:val="24"/>
        </w:rPr>
        <w:t>人的资信标，然后送评标委员会评审。</w:t>
      </w:r>
    </w:p>
    <w:p>
      <w:pPr>
        <w:pStyle w:val="ListParagraph"/>
        <w:numPr>
          <w:ilvl w:val="2"/>
          <w:numId w:val="13"/>
        </w:numPr>
        <w:tabs>
          <w:tab w:val="left" w:pos="1658"/>
        </w:tabs>
        <w:spacing w:before="0" w:after="0" w:line="266" w:lineRule="auto"/>
        <w:ind w:left="398" w:right="609" w:firstLine="480"/>
        <w:jc w:val="both"/>
        <w:rPr>
          <w:sz w:val="24"/>
        </w:rPr>
      </w:pPr>
      <w:r>
        <w:rPr>
          <w:sz w:val="24"/>
        </w:rPr>
        <w:t>公证处工作人员当众宣布合格投标人的资信标得分并启封各合格投标人商</w:t>
      </w:r>
      <w:r>
        <w:rPr>
          <w:spacing w:val="1"/>
          <w:sz w:val="24"/>
        </w:rPr>
        <w:t>务标，公布各投标人名称、投标报价及投标文件的其他主要内容，由投标人法定代表</w:t>
      </w:r>
      <w:r>
        <w:rPr>
          <w:spacing w:val="-2"/>
          <w:sz w:val="24"/>
        </w:rPr>
        <w:t>人或其委托代理人对招标代理工作人员的记录结果签字确认，然后送评标委员会评审。</w:t>
      </w:r>
    </w:p>
    <w:p>
      <w:pPr>
        <w:pStyle w:val="ListParagraph"/>
        <w:numPr>
          <w:ilvl w:val="2"/>
          <w:numId w:val="13"/>
        </w:numPr>
        <w:tabs>
          <w:tab w:val="left" w:pos="1718"/>
        </w:tabs>
        <w:spacing w:before="0" w:after="0" w:line="304" w:lineRule="exact"/>
        <w:ind w:left="1718" w:right="0" w:hanging="840"/>
        <w:jc w:val="both"/>
        <w:rPr>
          <w:sz w:val="24"/>
        </w:rPr>
      </w:pPr>
      <w:r>
        <w:rPr>
          <w:spacing w:val="-2"/>
          <w:sz w:val="24"/>
        </w:rPr>
        <w:t>公布评审结果。</w:t>
      </w:r>
    </w:p>
    <w:p>
      <w:pPr>
        <w:pStyle w:val="ListParagraph"/>
        <w:numPr>
          <w:ilvl w:val="2"/>
          <w:numId w:val="13"/>
        </w:numPr>
        <w:tabs>
          <w:tab w:val="left" w:pos="1778"/>
        </w:tabs>
        <w:spacing w:before="30" w:after="0" w:line="240" w:lineRule="auto"/>
        <w:ind w:left="1778" w:right="0" w:hanging="900"/>
        <w:jc w:val="left"/>
        <w:rPr>
          <w:sz w:val="24"/>
        </w:rPr>
      </w:pPr>
      <w:r>
        <w:rPr>
          <w:spacing w:val="-1"/>
          <w:sz w:val="24"/>
        </w:rPr>
        <w:t>评标委员会商讨必要事宜。</w:t>
      </w:r>
    </w:p>
    <w:p>
      <w:pPr>
        <w:pStyle w:val="ListParagraph"/>
        <w:numPr>
          <w:ilvl w:val="2"/>
          <w:numId w:val="13"/>
        </w:numPr>
        <w:tabs>
          <w:tab w:val="left" w:pos="1778"/>
        </w:tabs>
        <w:spacing w:before="32" w:after="0" w:line="240" w:lineRule="auto"/>
        <w:ind w:left="1778" w:right="0" w:hanging="900"/>
        <w:jc w:val="left"/>
        <w:rPr>
          <w:sz w:val="24"/>
        </w:rPr>
      </w:pPr>
      <w:r>
        <w:rPr>
          <w:spacing w:val="-1"/>
          <w:sz w:val="24"/>
        </w:rPr>
        <w:t>招标人代表宣布中标候选人。</w:t>
      </w:r>
    </w:p>
    <w:p>
      <w:pPr>
        <w:pStyle w:val="ListParagraph"/>
        <w:numPr>
          <w:ilvl w:val="2"/>
          <w:numId w:val="13"/>
        </w:numPr>
        <w:tabs>
          <w:tab w:val="left" w:pos="1778"/>
        </w:tabs>
        <w:spacing w:before="33" w:after="0" w:line="285" w:lineRule="exact"/>
        <w:ind w:left="1778" w:right="0" w:hanging="900"/>
        <w:jc w:val="left"/>
        <w:rPr>
          <w:sz w:val="24"/>
        </w:rPr>
      </w:pPr>
      <w:r>
        <w:rPr>
          <w:spacing w:val="-2"/>
          <w:sz w:val="24"/>
        </w:rPr>
        <w:t>开标会议结束。</w:t>
      </w:r>
    </w:p>
    <w:p>
      <w:pPr>
        <w:pStyle w:val="Heading5"/>
        <w:spacing w:before="50" w:line="184" w:lineRule="auto"/>
        <w:ind w:right="769" w:firstLine="480"/>
        <w:jc w:val="both"/>
      </w:pPr>
      <w:r>
        <w:pict>
          <v:line id="_x0000_s1027" style="mso-position-horizontal-relative:page;position:absolute;z-index:-251656192" from="94.9pt,16.95pt" to="518.8pt,16.95pt" stroked="t" strokecolor="black" strokeweight="0.6pt">
            <v:stroke dashstyle="solid"/>
          </v:line>
        </w:pict>
      </w:r>
      <w:r>
        <w:pict>
          <v:line id="_x0000_s1028" style="mso-position-horizontal-relative:page;position:absolute;z-index:-251655168" from="70.9pt,33.95pt" to="518.8pt,33.95pt" stroked="t" strokecolor="black" strokeweight="0.6pt">
            <v:stroke dashstyle="solid"/>
          </v:line>
        </w:pict>
      </w:r>
      <w:r>
        <w:pict>
          <v:line id="_x0000_s1029" style="mso-position-horizontal-relative:page;position:absolute;z-index:-251654144" from="70.9pt,50.95pt" to="408.05pt,50.95pt" stroked="t" strokecolor="black" strokeweight="0.6pt">
            <v:stroke dashstyle="solid"/>
          </v:line>
        </w:pict>
      </w:r>
      <w:r>
        <w:rPr>
          <w:spacing w:val="30"/>
          <w:u w:val="single"/>
        </w:rPr>
        <w:t xml:space="preserve">开标会议结束前，投标人擅自离开开标现场超过 </w:t>
      </w:r>
      <w:r>
        <w:rPr>
          <w:spacing w:val="10"/>
          <w:u w:val="single"/>
        </w:rPr>
        <w:t>20</w:t>
      </w:r>
      <w:r>
        <w:rPr>
          <w:spacing w:val="15"/>
          <w:u w:val="single"/>
        </w:rPr>
        <w:t xml:space="preserve"> 分钟的</w:t>
      </w:r>
      <w:r>
        <w:rPr>
          <w:u w:val="single"/>
        </w:rPr>
        <w:t>（</w:t>
      </w:r>
      <w:r>
        <w:rPr>
          <w:spacing w:val="-18"/>
        </w:rPr>
        <w:t xml:space="preserve"> </w:t>
      </w:r>
      <w:r>
        <w:rPr>
          <w:spacing w:val="30"/>
          <w:u w:val="single"/>
        </w:rPr>
        <w:t>涉及需要</w:t>
      </w:r>
      <w:r>
        <w:rPr>
          <w:spacing w:val="37"/>
          <w:u w:val="single"/>
        </w:rPr>
        <w:t xml:space="preserve"> </w:t>
      </w:r>
      <w:r>
        <w:rPr>
          <w:spacing w:val="18"/>
          <w:u w:val="single"/>
        </w:rPr>
        <w:t>时，</w:t>
      </w:r>
      <w:r>
        <w:rPr>
          <w:spacing w:val="-18"/>
        </w:rPr>
        <w:t xml:space="preserve"> </w:t>
      </w:r>
      <w:r>
        <w:rPr>
          <w:spacing w:val="37"/>
          <w:u w:val="single"/>
        </w:rPr>
        <w:t>以公证人员宣布计时的时间为准</w:t>
      </w:r>
      <w:r>
        <w:rPr>
          <w:u w:val="single"/>
        </w:rPr>
        <w:t>）</w:t>
      </w:r>
      <w:r>
        <w:rPr>
          <w:spacing w:val="-18"/>
        </w:rPr>
        <w:t xml:space="preserve"> </w:t>
      </w:r>
      <w:r>
        <w:rPr>
          <w:u w:val="single"/>
        </w:rPr>
        <w:t>，</w:t>
      </w:r>
      <w:r>
        <w:rPr>
          <w:spacing w:val="-18"/>
        </w:rPr>
        <w:t xml:space="preserve"> </w:t>
      </w:r>
      <w:r>
        <w:rPr>
          <w:spacing w:val="32"/>
          <w:u w:val="single"/>
        </w:rPr>
        <w:t>视作自动放弃中标资格；</w:t>
      </w:r>
      <w:r>
        <w:rPr>
          <w:spacing w:val="-18"/>
        </w:rPr>
        <w:t xml:space="preserve"> </w:t>
      </w:r>
      <w:r>
        <w:rPr>
          <w:spacing w:val="24"/>
          <w:u w:val="single"/>
        </w:rPr>
        <w:t>擅自带</w:t>
      </w:r>
      <w:r>
        <w:rPr>
          <w:spacing w:val="36"/>
          <w:u w:val="single"/>
        </w:rPr>
        <w:t>走投标文件离开开标现场的，</w:t>
      </w:r>
      <w:r>
        <w:rPr>
          <w:spacing w:val="-31"/>
        </w:rPr>
        <w:t xml:space="preserve"> </w:t>
      </w:r>
      <w:r>
        <w:rPr>
          <w:spacing w:val="36"/>
          <w:u w:val="single"/>
        </w:rPr>
        <w:t>视作直接放弃中标资格。</w:t>
      </w:r>
    </w:p>
    <w:p>
      <w:pPr>
        <w:pStyle w:val="Heading5"/>
        <w:spacing w:line="368" w:lineRule="exact"/>
      </w:pPr>
      <w:r>
        <w:rPr>
          <w:rFonts w:ascii="Times New Roman" w:eastAsia="Times New Roman"/>
        </w:rPr>
        <w:t>17</w:t>
      </w:r>
      <w:r>
        <w:rPr>
          <w:spacing w:val="-2"/>
        </w:rPr>
        <w:t>、投标文件鉴定</w:t>
      </w:r>
    </w:p>
    <w:p>
      <w:pPr>
        <w:spacing w:after="0" w:line="368" w:lineRule="exact"/>
        <w:sectPr>
          <w:footerReference w:type="default" r:id="rId15"/>
          <w:pgSz w:w="11910" w:h="16840"/>
          <w:pgMar w:top="1220" w:right="800" w:bottom="1180" w:left="1020" w:header="0" w:footer="990"/>
          <w:pgNumType w:start="12"/>
          <w:cols w:space="708"/>
        </w:sectPr>
      </w:pPr>
    </w:p>
    <w:p>
      <w:pPr>
        <w:pStyle w:val="ListParagraph"/>
        <w:numPr>
          <w:ilvl w:val="1"/>
          <w:numId w:val="11"/>
        </w:numPr>
        <w:tabs>
          <w:tab w:val="left" w:pos="1597"/>
          <w:tab w:val="left" w:pos="1598"/>
        </w:tabs>
        <w:spacing w:before="41" w:after="0" w:line="266" w:lineRule="auto"/>
        <w:ind w:left="398" w:right="567" w:firstLine="480"/>
        <w:jc w:val="left"/>
        <w:rPr>
          <w:sz w:val="24"/>
        </w:rPr>
      </w:pPr>
      <w:r>
        <w:rPr>
          <w:spacing w:val="-2"/>
          <w:sz w:val="24"/>
        </w:rPr>
        <w:t>就本条款而言，实质上响应要求的投标文件，应该与招标文件的规定要求、</w:t>
      </w:r>
      <w:r>
        <w:rPr>
          <w:spacing w:val="-2"/>
          <w:sz w:val="24"/>
        </w:rPr>
        <w:t>条件、条款和规范相符，无显著差异或保留。</w:t>
      </w:r>
    </w:p>
    <w:p>
      <w:pPr>
        <w:pStyle w:val="ListParagraph"/>
        <w:numPr>
          <w:ilvl w:val="1"/>
          <w:numId w:val="11"/>
        </w:numPr>
        <w:tabs>
          <w:tab w:val="left" w:pos="1597"/>
          <w:tab w:val="left" w:pos="1598"/>
        </w:tabs>
        <w:spacing w:before="0" w:after="0" w:line="266" w:lineRule="auto"/>
        <w:ind w:left="398" w:right="663" w:firstLine="480"/>
        <w:jc w:val="left"/>
        <w:rPr>
          <w:sz w:val="24"/>
        </w:rPr>
      </w:pPr>
      <w:r>
        <w:rPr>
          <w:spacing w:val="-4"/>
          <w:sz w:val="24"/>
        </w:rPr>
        <w:t>如果投标文件实质上不响应招标文件的要求，将被视为无效，并且不允许通</w:t>
      </w:r>
      <w:r>
        <w:rPr>
          <w:spacing w:val="-2"/>
          <w:sz w:val="24"/>
        </w:rPr>
        <w:t>过修正或撤消不符合要求的差异或保留，使之成为具有响应性的投标。</w:t>
      </w:r>
    </w:p>
    <w:p>
      <w:pPr>
        <w:pStyle w:val="ListParagraph"/>
        <w:numPr>
          <w:ilvl w:val="1"/>
          <w:numId w:val="11"/>
        </w:numPr>
        <w:tabs>
          <w:tab w:val="left" w:pos="1597"/>
          <w:tab w:val="left" w:pos="1598"/>
        </w:tabs>
        <w:spacing w:before="0" w:after="0" w:line="266" w:lineRule="auto"/>
        <w:ind w:left="398" w:right="663" w:firstLine="480"/>
        <w:jc w:val="left"/>
        <w:rPr>
          <w:sz w:val="24"/>
        </w:rPr>
      </w:pPr>
      <w:r>
        <w:rPr>
          <w:spacing w:val="-4"/>
          <w:sz w:val="24"/>
        </w:rPr>
        <w:t>本项目采用资格后审制。经开标后递交至评标委员会的投标文件，仍需接受</w:t>
      </w:r>
      <w:r>
        <w:rPr>
          <w:spacing w:val="-2"/>
          <w:sz w:val="24"/>
        </w:rPr>
        <w:t>相关符合性的检查，并有可能在评标过程中被判断为无效。</w:t>
      </w:r>
    </w:p>
    <w:p>
      <w:pPr>
        <w:pStyle w:val="Heading3"/>
        <w:spacing w:before="215"/>
        <w:ind w:left="4318"/>
        <w:jc w:val="left"/>
        <w:rPr>
          <w:rFonts w:ascii="微软雅黑" w:eastAsia="微软雅黑"/>
        </w:rPr>
      </w:pPr>
      <w:r>
        <w:rPr>
          <w:rFonts w:ascii="微软雅黑" w:eastAsia="微软雅黑"/>
          <w:spacing w:val="9"/>
        </w:rPr>
        <w:t>六、评 标</w:t>
      </w:r>
    </w:p>
    <w:p>
      <w:pPr>
        <w:pStyle w:val="Heading5"/>
        <w:spacing w:before="69" w:line="430" w:lineRule="exact"/>
      </w:pPr>
      <w:r>
        <w:rPr>
          <w:spacing w:val="-10"/>
        </w:rPr>
        <w:t>18</w:t>
      </w:r>
      <w:r>
        <w:rPr>
          <w:spacing w:val="-11"/>
        </w:rPr>
        <w:t>、评标组织</w:t>
      </w:r>
    </w:p>
    <w:p>
      <w:pPr>
        <w:pStyle w:val="BodyText"/>
        <w:spacing w:line="266" w:lineRule="auto"/>
        <w:ind w:left="398" w:right="575" w:firstLine="470"/>
      </w:pPr>
      <w:r>
        <w:rPr>
          <w:spacing w:val="-6"/>
        </w:rPr>
        <w:t xml:space="preserve">本项目评标委员会由 </w:t>
      </w:r>
      <w:r>
        <w:rPr>
          <w:spacing w:val="-2"/>
        </w:rPr>
        <w:t>5</w:t>
      </w:r>
      <w:r>
        <w:rPr>
          <w:spacing w:val="-9"/>
        </w:rPr>
        <w:t xml:space="preserve"> 人组成，负责对投标文件进行审查、质询、评审和比较等。</w:t>
      </w:r>
      <w:r>
        <w:rPr>
          <w:spacing w:val="-2"/>
        </w:rPr>
        <w:t>评标委员会由招标人自行组织。</w:t>
      </w:r>
    </w:p>
    <w:p>
      <w:pPr>
        <w:pStyle w:val="Heading5"/>
        <w:spacing w:line="350" w:lineRule="exact"/>
      </w:pPr>
      <w:r>
        <w:rPr>
          <w:spacing w:val="-10"/>
        </w:rPr>
        <w:t>19</w:t>
      </w:r>
      <w:r>
        <w:rPr>
          <w:spacing w:val="-11"/>
        </w:rPr>
        <w:t>、评标原则</w:t>
      </w:r>
    </w:p>
    <w:p>
      <w:pPr>
        <w:pStyle w:val="ListParagraph"/>
        <w:numPr>
          <w:ilvl w:val="1"/>
          <w:numId w:val="10"/>
        </w:numPr>
        <w:tabs>
          <w:tab w:val="left" w:pos="1597"/>
          <w:tab w:val="left" w:pos="1598"/>
        </w:tabs>
        <w:spacing w:before="0" w:after="0" w:line="295" w:lineRule="exact"/>
        <w:ind w:left="1598" w:right="0" w:hanging="720"/>
        <w:jc w:val="left"/>
        <w:rPr>
          <w:sz w:val="24"/>
        </w:rPr>
      </w:pPr>
      <w:r>
        <w:rPr>
          <w:spacing w:val="-2"/>
          <w:sz w:val="24"/>
        </w:rPr>
        <w:t>竞争优选；</w:t>
      </w:r>
    </w:p>
    <w:p>
      <w:pPr>
        <w:pStyle w:val="ListParagraph"/>
        <w:numPr>
          <w:ilvl w:val="1"/>
          <w:numId w:val="10"/>
        </w:numPr>
        <w:tabs>
          <w:tab w:val="left" w:pos="1597"/>
          <w:tab w:val="left" w:pos="1598"/>
        </w:tabs>
        <w:spacing w:before="19" w:after="0" w:line="240" w:lineRule="auto"/>
        <w:ind w:left="1598" w:right="0" w:hanging="720"/>
        <w:jc w:val="left"/>
        <w:rPr>
          <w:sz w:val="24"/>
        </w:rPr>
      </w:pPr>
      <w:r>
        <w:rPr>
          <w:spacing w:val="-1"/>
          <w:sz w:val="24"/>
        </w:rPr>
        <w:t>坚持公开、公平、公正、科学合理的原则；</w:t>
      </w:r>
    </w:p>
    <w:p>
      <w:pPr>
        <w:pStyle w:val="ListParagraph"/>
        <w:numPr>
          <w:ilvl w:val="1"/>
          <w:numId w:val="10"/>
        </w:numPr>
        <w:tabs>
          <w:tab w:val="left" w:pos="1597"/>
          <w:tab w:val="left" w:pos="1598"/>
        </w:tabs>
        <w:spacing w:before="33" w:after="0" w:line="240" w:lineRule="auto"/>
        <w:ind w:left="1598" w:right="0" w:hanging="720"/>
        <w:jc w:val="left"/>
        <w:rPr>
          <w:sz w:val="24"/>
        </w:rPr>
      </w:pPr>
      <w:r>
        <w:rPr>
          <w:spacing w:val="-1"/>
          <w:sz w:val="24"/>
        </w:rPr>
        <w:t>价格合理，方案、产品先进可行；</w:t>
      </w:r>
    </w:p>
    <w:p>
      <w:pPr>
        <w:pStyle w:val="ListParagraph"/>
        <w:numPr>
          <w:ilvl w:val="1"/>
          <w:numId w:val="10"/>
        </w:numPr>
        <w:tabs>
          <w:tab w:val="left" w:pos="1597"/>
          <w:tab w:val="left" w:pos="1598"/>
        </w:tabs>
        <w:spacing w:before="32" w:after="0" w:line="285" w:lineRule="exact"/>
        <w:ind w:left="1598" w:right="0" w:hanging="720"/>
        <w:jc w:val="left"/>
        <w:rPr>
          <w:sz w:val="24"/>
        </w:rPr>
      </w:pPr>
      <w:r>
        <w:rPr>
          <w:spacing w:val="-2"/>
          <w:sz w:val="24"/>
        </w:rPr>
        <w:t>反对不正当竞争。</w:t>
      </w:r>
    </w:p>
    <w:p>
      <w:pPr>
        <w:pStyle w:val="Heading5"/>
        <w:spacing w:line="407" w:lineRule="exact"/>
      </w:pPr>
      <w:r>
        <w:rPr>
          <w:spacing w:val="-2"/>
        </w:rPr>
        <w:t>20</w:t>
      </w:r>
      <w:r>
        <w:rPr>
          <w:spacing w:val="-3"/>
        </w:rPr>
        <w:t>、 投标文件审查</w:t>
      </w:r>
    </w:p>
    <w:p>
      <w:pPr>
        <w:pStyle w:val="ListParagraph"/>
        <w:numPr>
          <w:ilvl w:val="1"/>
          <w:numId w:val="9"/>
        </w:numPr>
        <w:tabs>
          <w:tab w:val="left" w:pos="1598"/>
        </w:tabs>
        <w:spacing w:before="0" w:after="0" w:line="266" w:lineRule="auto"/>
        <w:ind w:left="398" w:right="663" w:firstLine="480"/>
        <w:jc w:val="both"/>
        <w:rPr>
          <w:sz w:val="24"/>
        </w:rPr>
      </w:pPr>
      <w:r>
        <w:rPr>
          <w:spacing w:val="-4"/>
          <w:sz w:val="24"/>
        </w:rPr>
        <w:t>投标文件资格性审查：评标委员会依据法律法规和招标文件的规定，对投标</w:t>
      </w:r>
      <w:r>
        <w:rPr>
          <w:spacing w:val="-2"/>
          <w:sz w:val="24"/>
        </w:rPr>
        <w:t>文件中的资格证明、投标保证金等进行审查，以确定投标人是否具备投标资格。</w:t>
      </w:r>
    </w:p>
    <w:p>
      <w:pPr>
        <w:pStyle w:val="ListParagraph"/>
        <w:numPr>
          <w:ilvl w:val="1"/>
          <w:numId w:val="9"/>
        </w:numPr>
        <w:tabs>
          <w:tab w:val="left" w:pos="1598"/>
        </w:tabs>
        <w:spacing w:before="0" w:after="0" w:line="266" w:lineRule="auto"/>
        <w:ind w:left="398" w:right="663" w:firstLine="480"/>
        <w:jc w:val="both"/>
        <w:rPr>
          <w:sz w:val="24"/>
        </w:rPr>
      </w:pPr>
      <w:r>
        <w:rPr>
          <w:spacing w:val="-4"/>
          <w:sz w:val="24"/>
        </w:rPr>
        <w:t>投标文件符合性审查：评标委员会依据招标文件的规定，从投标文件的有效</w:t>
      </w:r>
      <w:r>
        <w:rPr>
          <w:spacing w:val="-4"/>
          <w:sz w:val="24"/>
        </w:rPr>
        <w:t>性、完整性和对招标文件的响应程度进行审查，以确定是否对招标文件的实质性要求作</w:t>
      </w:r>
      <w:r>
        <w:rPr>
          <w:spacing w:val="-4"/>
          <w:sz w:val="24"/>
        </w:rPr>
        <w:t>出响应。</w:t>
      </w:r>
    </w:p>
    <w:p>
      <w:pPr>
        <w:pStyle w:val="Heading5"/>
        <w:spacing w:line="310" w:lineRule="exact"/>
      </w:pPr>
      <w:r>
        <w:rPr>
          <w:spacing w:val="-10"/>
        </w:rPr>
        <w:t>21</w:t>
      </w:r>
      <w:r>
        <w:rPr>
          <w:spacing w:val="-11"/>
        </w:rPr>
        <w:t>、评标办法</w:t>
      </w:r>
    </w:p>
    <w:p>
      <w:pPr>
        <w:pStyle w:val="ListParagraph"/>
        <w:numPr>
          <w:ilvl w:val="1"/>
          <w:numId w:val="8"/>
        </w:numPr>
        <w:tabs>
          <w:tab w:val="left" w:pos="1598"/>
        </w:tabs>
        <w:spacing w:before="0" w:after="0" w:line="378" w:lineRule="exact"/>
        <w:ind w:left="1598" w:right="0" w:hanging="720"/>
        <w:jc w:val="both"/>
        <w:rPr>
          <w:sz w:val="24"/>
        </w:rPr>
      </w:pPr>
      <w:r>
        <w:rPr>
          <w:rFonts w:ascii="微软雅黑" w:eastAsia="微软雅黑"/>
          <w:b/>
          <w:sz w:val="24"/>
        </w:rPr>
        <w:t>本项目采用综合评分法</w:t>
      </w:r>
      <w:r>
        <w:rPr>
          <w:spacing w:val="-12"/>
          <w:sz w:val="24"/>
        </w:rPr>
        <w:t xml:space="preserve">，总分为 </w:t>
      </w:r>
      <w:r>
        <w:rPr>
          <w:sz w:val="24"/>
        </w:rPr>
        <w:t>100</w:t>
      </w:r>
      <w:r>
        <w:rPr>
          <w:spacing w:val="-14"/>
          <w:sz w:val="24"/>
        </w:rPr>
        <w:t xml:space="preserve"> 分，其中技术分 </w:t>
      </w:r>
      <w:r>
        <w:rPr>
          <w:sz w:val="24"/>
        </w:rPr>
        <w:t>55</w:t>
      </w:r>
      <w:r>
        <w:rPr>
          <w:spacing w:val="-18"/>
          <w:sz w:val="24"/>
        </w:rPr>
        <w:t xml:space="preserve"> 分，资信分 </w:t>
      </w:r>
      <w:r>
        <w:rPr>
          <w:sz w:val="24"/>
        </w:rPr>
        <w:t>15</w:t>
      </w:r>
      <w:r>
        <w:rPr>
          <w:spacing w:val="-24"/>
          <w:sz w:val="24"/>
        </w:rPr>
        <w:t xml:space="preserve"> 分，</w:t>
      </w:r>
    </w:p>
    <w:p>
      <w:pPr>
        <w:pStyle w:val="BodyText"/>
        <w:spacing w:line="266" w:lineRule="auto"/>
        <w:ind w:left="398" w:right="663"/>
        <w:jc w:val="both"/>
      </w:pPr>
      <w:r>
        <w:rPr>
          <w:spacing w:val="-9"/>
        </w:rPr>
        <w:t xml:space="preserve">商务分 </w:t>
      </w:r>
      <w:r>
        <w:rPr>
          <w:spacing w:val="-2"/>
        </w:rPr>
        <w:t>30</w:t>
      </w:r>
      <w:r>
        <w:rPr>
          <w:spacing w:val="-7"/>
        </w:rPr>
        <w:t xml:space="preserve"> 分。评标委员会将对实质上响应招标文件的投标人，根据技术、资信、商务</w:t>
      </w:r>
      <w:r>
        <w:rPr>
          <w:spacing w:val="-4"/>
        </w:rPr>
        <w:t>情况由各评委独立记名打分。中标候选资格按评标总得分由高到低顺序排列，得分相同</w:t>
      </w:r>
      <w:r>
        <w:rPr>
          <w:spacing w:val="-1"/>
        </w:rPr>
        <w:t xml:space="preserve">的，排序以技术分高的优先。评分得分中采用四舍五入法，并保留小数 </w:t>
      </w:r>
      <w:r>
        <w:t>2</w:t>
      </w:r>
      <w:r>
        <w:rPr>
          <w:spacing w:val="-8"/>
        </w:rPr>
        <w:t xml:space="preserve"> 位。</w:t>
      </w:r>
    </w:p>
    <w:p>
      <w:pPr>
        <w:pStyle w:val="ListParagraph"/>
        <w:numPr>
          <w:ilvl w:val="1"/>
          <w:numId w:val="8"/>
        </w:numPr>
        <w:tabs>
          <w:tab w:val="left" w:pos="1597"/>
          <w:tab w:val="left" w:pos="1598"/>
        </w:tabs>
        <w:spacing w:before="0" w:after="0" w:line="266" w:lineRule="auto"/>
        <w:ind w:left="398" w:right="663" w:firstLine="480"/>
        <w:jc w:val="left"/>
        <w:rPr>
          <w:sz w:val="24"/>
        </w:rPr>
      </w:pPr>
      <w:r>
        <w:rPr>
          <w:spacing w:val="-4"/>
          <w:sz w:val="24"/>
        </w:rPr>
        <w:t>技术分=（评标委员会所有成员评分合计数-最高分-最低分）/（评标委员会</w:t>
      </w:r>
      <w:r>
        <w:rPr>
          <w:spacing w:val="-2"/>
          <w:sz w:val="24"/>
        </w:rPr>
        <w:t>组成人员数-2）</w:t>
      </w:r>
    </w:p>
    <w:p>
      <w:pPr>
        <w:pStyle w:val="ListParagraph"/>
        <w:numPr>
          <w:ilvl w:val="1"/>
          <w:numId w:val="8"/>
        </w:numPr>
        <w:tabs>
          <w:tab w:val="left" w:pos="1597"/>
          <w:tab w:val="left" w:pos="1598"/>
        </w:tabs>
        <w:spacing w:before="0" w:after="0" w:line="266" w:lineRule="auto"/>
        <w:ind w:left="398" w:right="663" w:firstLine="480"/>
        <w:jc w:val="left"/>
        <w:rPr>
          <w:sz w:val="24"/>
        </w:rPr>
      </w:pPr>
      <w:r>
        <w:rPr>
          <w:spacing w:val="-4"/>
          <w:sz w:val="24"/>
        </w:rPr>
        <w:t>资信分=（评标委员会所有成员评分合计数-最高分-最低分）/（评标委员会</w:t>
      </w:r>
      <w:r>
        <w:rPr>
          <w:spacing w:val="-2"/>
          <w:sz w:val="24"/>
        </w:rPr>
        <w:t>组成人员数-2）</w:t>
      </w:r>
    </w:p>
    <w:p>
      <w:pPr>
        <w:pStyle w:val="ListParagraph"/>
        <w:numPr>
          <w:ilvl w:val="1"/>
          <w:numId w:val="8"/>
        </w:numPr>
        <w:tabs>
          <w:tab w:val="left" w:pos="1588"/>
          <w:tab w:val="left" w:pos="1589"/>
        </w:tabs>
        <w:spacing w:before="0" w:after="0" w:line="277" w:lineRule="exact"/>
        <w:ind w:left="1588" w:right="0" w:hanging="721"/>
        <w:jc w:val="left"/>
        <w:rPr>
          <w:sz w:val="24"/>
        </w:rPr>
      </w:pPr>
      <w:r>
        <w:rPr>
          <w:spacing w:val="-16"/>
          <w:sz w:val="24"/>
        </w:rPr>
        <w:t>商务分：各投标人按招投标文件附件收费标准，按招投标文件要求统一报价，</w:t>
      </w:r>
    </w:p>
    <w:p>
      <w:pPr>
        <w:pStyle w:val="BodyText"/>
        <w:spacing w:before="125"/>
        <w:ind w:left="398"/>
        <w:jc w:val="both"/>
      </w:pPr>
      <w:r>
        <w:rPr>
          <w:spacing w:val="-30"/>
        </w:rPr>
        <w:t xml:space="preserve">得 </w:t>
      </w:r>
      <w:r>
        <w:rPr>
          <w:rFonts w:ascii="Times New Roman" w:eastAsia="Times New Roman"/>
        </w:rPr>
        <w:t xml:space="preserve">20 </w:t>
      </w:r>
      <w:r>
        <w:rPr>
          <w:spacing w:val="-5"/>
        </w:rPr>
        <w:t>分。</w:t>
      </w:r>
    </w:p>
    <w:p>
      <w:pPr>
        <w:pStyle w:val="ListParagraph"/>
        <w:numPr>
          <w:ilvl w:val="1"/>
          <w:numId w:val="8"/>
        </w:numPr>
        <w:tabs>
          <w:tab w:val="left" w:pos="1598"/>
        </w:tabs>
        <w:spacing w:before="187" w:after="0" w:line="240" w:lineRule="auto"/>
        <w:ind w:left="1598" w:right="0" w:hanging="720"/>
        <w:jc w:val="both"/>
        <w:rPr>
          <w:sz w:val="24"/>
        </w:rPr>
      </w:pPr>
      <w:r>
        <w:rPr>
          <w:spacing w:val="-1"/>
          <w:sz w:val="24"/>
        </w:rPr>
        <w:t>投标人评标综合得分=技术分+资信分+商务分</w:t>
      </w:r>
    </w:p>
    <w:p>
      <w:pPr>
        <w:pStyle w:val="ListParagraph"/>
        <w:numPr>
          <w:ilvl w:val="1"/>
          <w:numId w:val="8"/>
        </w:numPr>
        <w:tabs>
          <w:tab w:val="left" w:pos="1593"/>
        </w:tabs>
        <w:spacing w:before="1" w:after="0" w:line="440" w:lineRule="exact"/>
        <w:ind w:left="398" w:right="663" w:firstLine="470"/>
        <w:jc w:val="both"/>
        <w:rPr>
          <w:rFonts w:ascii="微软雅黑" w:eastAsia="微软雅黑"/>
          <w:b/>
          <w:sz w:val="24"/>
        </w:rPr>
      </w:pPr>
      <w:r>
        <w:rPr>
          <w:rFonts w:ascii="微软雅黑" w:eastAsia="微软雅黑"/>
          <w:b/>
          <w:spacing w:val="-4"/>
          <w:sz w:val="24"/>
        </w:rPr>
        <w:t>评标细则：</w:t>
      </w:r>
      <w:r>
        <w:rPr>
          <w:spacing w:val="-4"/>
          <w:sz w:val="24"/>
        </w:rPr>
        <w:t>技术分、资信分由评委以招标文件为评标依据，独立对投标人按</w:t>
      </w:r>
      <w:r>
        <w:rPr>
          <w:spacing w:val="-4"/>
          <w:sz w:val="24"/>
        </w:rPr>
        <w:t>评分标准（见下表）进行打分，打分不得超过该评分项目的最高分值，否则该评委对此</w:t>
      </w:r>
      <w:r>
        <w:rPr>
          <w:spacing w:val="-2"/>
          <w:sz w:val="24"/>
        </w:rPr>
        <w:t>评分项目的评分无效。</w:t>
      </w:r>
    </w:p>
    <w:p>
      <w:pPr>
        <w:pStyle w:val="Heading5"/>
        <w:spacing w:before="35"/>
        <w:ind w:left="868"/>
      </w:pPr>
      <w:r>
        <w:pict>
          <v:shapetype id="_x0000_t202" coordsize="21600,21600" o:spt="202" path="m,l,21600r21600,l21600,xe">
            <v:stroke joinstyle="miter"/>
            <v:path gradientshapeok="t" o:connecttype="rect"/>
          </v:shapetype>
          <v:shape id="_x0000_s1030" type="#_x0000_t202" style="width:479.85pt;height:19.15pt;margin-top:21.99pt;margin-left:56.53pt;mso-position-horizontal-relative:page;position:absolute;z-index:251663360" filled="f" stroked="f">
            <v:textbox inset="0,0,0,0">
              <w:txbxContent>
                <w:tbl>
                  <w:tblPr>
                    <w:tblStyle w:val="TableNormal1"/>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4"/>
                    <w:gridCol w:w="1961"/>
                    <w:gridCol w:w="1117"/>
                    <w:gridCol w:w="5755"/>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63"/>
                      <w:jc w:val="left"/>
                    </w:trPr>
                    <w:tc>
                      <w:tcPr>
                        <w:tcW w:w="754" w:type="dxa"/>
                      </w:tcPr>
                      <w:p>
                        <w:pPr>
                          <w:pStyle w:val="TableParagraph"/>
                          <w:spacing w:line="343" w:lineRule="exact"/>
                          <w:ind w:left="135"/>
                          <w:rPr>
                            <w:rFonts w:ascii="微软雅黑" w:eastAsia="微软雅黑"/>
                            <w:b/>
                            <w:sz w:val="28"/>
                          </w:rPr>
                        </w:pPr>
                        <w:r>
                          <w:rPr>
                            <w:rFonts w:ascii="微软雅黑" w:eastAsia="微软雅黑"/>
                            <w:b/>
                            <w:spacing w:val="-25"/>
                            <w:sz w:val="28"/>
                          </w:rPr>
                          <w:t>序号</w:t>
                        </w:r>
                      </w:p>
                    </w:tc>
                    <w:tc>
                      <w:tcPr>
                        <w:tcW w:w="1961" w:type="dxa"/>
                      </w:tcPr>
                      <w:p>
                        <w:pPr>
                          <w:pStyle w:val="TableParagraph"/>
                          <w:spacing w:line="343" w:lineRule="exact"/>
                          <w:ind w:left="418"/>
                          <w:rPr>
                            <w:rFonts w:ascii="微软雅黑" w:eastAsia="微软雅黑"/>
                            <w:b/>
                            <w:sz w:val="28"/>
                          </w:rPr>
                        </w:pPr>
                        <w:r>
                          <w:rPr>
                            <w:rFonts w:ascii="微软雅黑" w:eastAsia="微软雅黑"/>
                            <w:b/>
                            <w:spacing w:val="-3"/>
                            <w:sz w:val="28"/>
                          </w:rPr>
                          <w:t>评审内容</w:t>
                        </w:r>
                      </w:p>
                    </w:tc>
                    <w:tc>
                      <w:tcPr>
                        <w:tcW w:w="1117" w:type="dxa"/>
                      </w:tcPr>
                      <w:p>
                        <w:pPr>
                          <w:pStyle w:val="TableParagraph"/>
                          <w:spacing w:line="343" w:lineRule="exact"/>
                          <w:ind w:left="317"/>
                          <w:rPr>
                            <w:rFonts w:ascii="微软雅黑" w:eastAsia="微软雅黑"/>
                            <w:b/>
                            <w:sz w:val="28"/>
                          </w:rPr>
                        </w:pPr>
                        <w:r>
                          <w:rPr>
                            <w:rFonts w:ascii="微软雅黑" w:eastAsia="微软雅黑"/>
                            <w:b/>
                            <w:spacing w:val="-25"/>
                            <w:sz w:val="28"/>
                          </w:rPr>
                          <w:t>分值</w:t>
                        </w:r>
                      </w:p>
                    </w:tc>
                    <w:tc>
                      <w:tcPr>
                        <w:tcW w:w="5755" w:type="dxa"/>
                      </w:tcPr>
                      <w:p>
                        <w:pPr>
                          <w:pStyle w:val="TableParagraph"/>
                          <w:spacing w:line="343" w:lineRule="exact"/>
                          <w:ind w:left="2302" w:right="2294"/>
                          <w:jc w:val="center"/>
                          <w:rPr>
                            <w:rFonts w:ascii="微软雅黑" w:eastAsia="微软雅黑"/>
                            <w:b/>
                            <w:sz w:val="28"/>
                          </w:rPr>
                        </w:pPr>
                        <w:r>
                          <w:rPr>
                            <w:rFonts w:ascii="微软雅黑" w:eastAsia="微软雅黑"/>
                            <w:b/>
                            <w:spacing w:val="-3"/>
                            <w:sz w:val="28"/>
                          </w:rPr>
                          <w:t>评分标准</w:t>
                        </w:r>
                      </w:p>
                    </w:tc>
                  </w:tr>
                </w:tbl>
                <w:p>
                  <w:pPr>
                    <w:pStyle w:val="BodyText"/>
                  </w:pPr>
                </w:p>
              </w:txbxContent>
            </v:textbox>
          </v:shape>
        </w:pict>
      </w:r>
      <w:r>
        <w:rPr>
          <w:spacing w:val="-2"/>
        </w:rPr>
        <w:t>评分标准表：</w:t>
      </w:r>
    </w:p>
    <w:p>
      <w:pPr>
        <w:spacing w:after="0"/>
        <w:sectPr>
          <w:footerReference w:type="default" r:id="rId16"/>
          <w:pgSz w:w="11910" w:h="16840"/>
          <w:pgMar w:top="1220" w:right="800" w:bottom="1180" w:left="1020" w:header="0" w:footer="990"/>
          <w:pgNumType w:start="13"/>
          <w:cols w:space="708"/>
        </w:sectPr>
      </w:pPr>
    </w:p>
    <w:p>
      <w:pPr>
        <w:pStyle w:val="BodyText"/>
        <w:rPr>
          <w:rFonts w:ascii="微软雅黑"/>
          <w:b/>
          <w:sz w:val="2"/>
        </w:rPr>
      </w:pPr>
    </w:p>
    <w:tbl>
      <w:tblPr>
        <w:tblStyle w:val="TableNormal2"/>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4"/>
        <w:gridCol w:w="778"/>
        <w:gridCol w:w="1183"/>
        <w:gridCol w:w="1117"/>
        <w:gridCol w:w="5755"/>
      </w:tblGrid>
      <w:tr>
        <w:tblPrEx>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9"/>
          <w:jc w:val="left"/>
        </w:trPr>
        <w:tc>
          <w:tcPr>
            <w:tcW w:w="754" w:type="dxa"/>
            <w:tcBorders>
              <w:bottom w:val="nil"/>
            </w:tcBorders>
          </w:tcPr>
          <w:p>
            <w:pPr>
              <w:pStyle w:val="TableParagraph"/>
              <w:rPr>
                <w:rFonts w:ascii="Times New Roman"/>
                <w:sz w:val="22"/>
              </w:rPr>
            </w:pPr>
          </w:p>
        </w:tc>
        <w:tc>
          <w:tcPr>
            <w:tcW w:w="778" w:type="dxa"/>
            <w:tcBorders>
              <w:bottom w:val="nil"/>
            </w:tcBorders>
          </w:tcPr>
          <w:p>
            <w:pPr>
              <w:pStyle w:val="TableParagraph"/>
              <w:rPr>
                <w:rFonts w:ascii="Times New Roman"/>
                <w:sz w:val="22"/>
              </w:rPr>
            </w:pPr>
          </w:p>
        </w:tc>
        <w:tc>
          <w:tcPr>
            <w:tcW w:w="1183" w:type="dxa"/>
            <w:tcBorders>
              <w:bottom w:val="nil"/>
            </w:tcBorders>
          </w:tcPr>
          <w:p>
            <w:pPr>
              <w:pStyle w:val="TableParagraph"/>
              <w:rPr>
                <w:rFonts w:ascii="Times New Roman"/>
                <w:sz w:val="22"/>
              </w:rPr>
            </w:pPr>
          </w:p>
        </w:tc>
        <w:tc>
          <w:tcPr>
            <w:tcW w:w="1117" w:type="dxa"/>
            <w:tcBorders>
              <w:bottom w:val="nil"/>
            </w:tcBorders>
          </w:tcPr>
          <w:p>
            <w:pPr>
              <w:pStyle w:val="TableParagraph"/>
              <w:rPr>
                <w:rFonts w:ascii="Times New Roman"/>
                <w:sz w:val="22"/>
              </w:rPr>
            </w:pPr>
          </w:p>
        </w:tc>
        <w:tc>
          <w:tcPr>
            <w:tcW w:w="5755" w:type="dxa"/>
            <w:tcBorders>
              <w:bottom w:val="nil"/>
            </w:tcBorders>
          </w:tcPr>
          <w:p>
            <w:pPr>
              <w:pStyle w:val="TableParagraph"/>
              <w:spacing w:line="310" w:lineRule="atLeast"/>
              <w:ind w:left="108" w:right="96"/>
              <w:rPr>
                <w:sz w:val="24"/>
              </w:rPr>
            </w:pPr>
            <w:r>
              <w:rPr>
                <w:rFonts w:ascii="Cambria Math" w:eastAsia="Cambria Math" w:hAnsi="Cambria Math"/>
                <w:spacing w:val="-2"/>
                <w:sz w:val="24"/>
              </w:rPr>
              <w:t>①</w:t>
            </w:r>
            <w:r>
              <w:rPr>
                <w:spacing w:val="-2"/>
                <w:sz w:val="24"/>
              </w:rPr>
              <w:t>根据招生方案和措施的科学性、合理性、规范性和</w:t>
            </w:r>
            <w:r>
              <w:rPr>
                <w:sz w:val="24"/>
              </w:rPr>
              <w:t>可操作性进行横向比较酌情打分（</w:t>
            </w:r>
            <w:r>
              <w:rPr>
                <w:rFonts w:ascii="Times New Roman" w:eastAsia="Times New Roman" w:hAnsi="Times New Roman"/>
                <w:sz w:val="24"/>
              </w:rPr>
              <w:t xml:space="preserve">0-10 </w:t>
            </w:r>
            <w:r>
              <w:rPr>
                <w:sz w:val="24"/>
              </w:rPr>
              <w:t>分</w:t>
            </w:r>
            <w:r>
              <w:rPr>
                <w:spacing w:val="-120"/>
                <w:sz w:val="24"/>
              </w:rPr>
              <w:t>）</w:t>
            </w:r>
            <w:r>
              <w:rPr>
                <w:sz w:val="24"/>
              </w:rPr>
              <w:t>。</w:t>
            </w:r>
          </w:p>
        </w:tc>
      </w:tr>
      <w:tr>
        <w:tblPrEx>
          <w:tblW w:w="0" w:type="auto"/>
          <w:jc w:val="left"/>
          <w:tblInd w:w="120" w:type="dxa"/>
          <w:tblLayout w:type="fixed"/>
          <w:tblCellMar>
            <w:top w:w="0" w:type="dxa"/>
            <w:left w:w="0" w:type="dxa"/>
            <w:bottom w:w="0" w:type="dxa"/>
            <w:right w:w="0" w:type="dxa"/>
          </w:tblCellMar>
          <w:tblLook w:val="01E0"/>
        </w:tblPrEx>
        <w:trPr>
          <w:trHeight w:val="315"/>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spacing w:line="296" w:lineRule="exact"/>
              <w:ind w:left="97" w:right="88"/>
              <w:jc w:val="center"/>
              <w:rPr>
                <w:sz w:val="24"/>
              </w:rPr>
            </w:pPr>
            <w:r>
              <w:rPr>
                <w:spacing w:val="-3"/>
                <w:sz w:val="24"/>
              </w:rPr>
              <w:t>实施方案</w:t>
            </w:r>
          </w:p>
        </w:tc>
        <w:tc>
          <w:tcPr>
            <w:tcW w:w="1117" w:type="dxa"/>
            <w:tcBorders>
              <w:top w:val="nil"/>
              <w:bottom w:val="nil"/>
            </w:tcBorders>
          </w:tcPr>
          <w:p>
            <w:pPr>
              <w:pStyle w:val="TableParagraph"/>
              <w:spacing w:line="296" w:lineRule="exact"/>
              <w:ind w:left="273" w:right="263"/>
              <w:jc w:val="center"/>
              <w:rPr>
                <w:sz w:val="24"/>
              </w:rPr>
            </w:pPr>
            <w:r>
              <w:rPr>
                <w:rFonts w:ascii="Times New Roman" w:eastAsia="Times New Roman"/>
                <w:sz w:val="24"/>
              </w:rPr>
              <w:t xml:space="preserve">15 </w:t>
            </w:r>
            <w:r>
              <w:rPr>
                <w:spacing w:val="-10"/>
                <w:sz w:val="24"/>
              </w:rPr>
              <w:t>分</w:t>
            </w:r>
          </w:p>
        </w:tc>
        <w:tc>
          <w:tcPr>
            <w:tcW w:w="5755" w:type="dxa"/>
            <w:tcBorders>
              <w:top w:val="nil"/>
              <w:bottom w:val="nil"/>
            </w:tcBorders>
          </w:tcPr>
          <w:p>
            <w:pPr>
              <w:pStyle w:val="TableParagraph"/>
              <w:spacing w:line="296" w:lineRule="exact"/>
              <w:ind w:left="108"/>
              <w:rPr>
                <w:sz w:val="24"/>
              </w:rPr>
            </w:pPr>
            <w:r>
              <w:rPr>
                <w:rFonts w:ascii="Cambria Math" w:eastAsia="Cambria Math" w:hAnsi="Cambria Math"/>
                <w:spacing w:val="-2"/>
                <w:sz w:val="24"/>
              </w:rPr>
              <w:t>②</w:t>
            </w:r>
            <w:r>
              <w:rPr>
                <w:spacing w:val="-3"/>
                <w:sz w:val="24"/>
              </w:rPr>
              <w:t>根据培训程序和步骤、培训的组织形式和方法手段</w:t>
            </w:r>
          </w:p>
        </w:tc>
      </w:tr>
      <w:tr>
        <w:tblPrEx>
          <w:tblW w:w="0" w:type="auto"/>
          <w:jc w:val="left"/>
          <w:tblInd w:w="120" w:type="dxa"/>
          <w:tblLayout w:type="fixed"/>
          <w:tblCellMar>
            <w:top w:w="0" w:type="dxa"/>
            <w:left w:w="0" w:type="dxa"/>
            <w:bottom w:w="0" w:type="dxa"/>
            <w:right w:w="0" w:type="dxa"/>
          </w:tblCellMar>
          <w:tblLook w:val="01E0"/>
        </w:tblPrEx>
        <w:trPr>
          <w:trHeight w:val="297"/>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78" w:lineRule="exact"/>
              <w:ind w:left="108"/>
              <w:rPr>
                <w:sz w:val="24"/>
              </w:rPr>
            </w:pPr>
            <w:r>
              <w:rPr>
                <w:spacing w:val="-1"/>
                <w:sz w:val="24"/>
              </w:rPr>
              <w:t>及保证受训人员培训通过率的有力措施和办法进行横</w:t>
            </w:r>
          </w:p>
        </w:tc>
      </w:tr>
      <w:tr>
        <w:tblPrEx>
          <w:tblW w:w="0" w:type="auto"/>
          <w:jc w:val="left"/>
          <w:tblInd w:w="120" w:type="dxa"/>
          <w:tblLayout w:type="fixed"/>
          <w:tblCellMar>
            <w:top w:w="0" w:type="dxa"/>
            <w:left w:w="0" w:type="dxa"/>
            <w:bottom w:w="0" w:type="dxa"/>
            <w:right w:w="0" w:type="dxa"/>
          </w:tblCellMar>
          <w:tblLook w:val="01E0"/>
        </w:tblPrEx>
        <w:trPr>
          <w:trHeight w:val="313"/>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tcBorders>
          </w:tcPr>
          <w:p>
            <w:pPr>
              <w:pStyle w:val="TableParagraph"/>
              <w:rPr>
                <w:rFonts w:ascii="Times New Roman"/>
                <w:sz w:val="22"/>
              </w:rPr>
            </w:pPr>
          </w:p>
        </w:tc>
        <w:tc>
          <w:tcPr>
            <w:tcW w:w="1117" w:type="dxa"/>
            <w:tcBorders>
              <w:top w:val="nil"/>
            </w:tcBorders>
          </w:tcPr>
          <w:p>
            <w:pPr>
              <w:pStyle w:val="TableParagraph"/>
              <w:rPr>
                <w:rFonts w:ascii="Times New Roman"/>
                <w:sz w:val="22"/>
              </w:rPr>
            </w:pPr>
          </w:p>
        </w:tc>
        <w:tc>
          <w:tcPr>
            <w:tcW w:w="5755" w:type="dxa"/>
            <w:tcBorders>
              <w:top w:val="nil"/>
            </w:tcBorders>
          </w:tcPr>
          <w:p>
            <w:pPr>
              <w:pStyle w:val="TableParagraph"/>
              <w:spacing w:before="5" w:line="288" w:lineRule="exact"/>
              <w:ind w:left="108"/>
              <w:rPr>
                <w:sz w:val="24"/>
              </w:rPr>
            </w:pPr>
            <w:r>
              <w:rPr>
                <w:sz w:val="24"/>
              </w:rPr>
              <w:t>向比较酌情打分（</w:t>
            </w:r>
            <w:r>
              <w:rPr>
                <w:rFonts w:ascii="Times New Roman" w:eastAsia="Times New Roman"/>
                <w:sz w:val="24"/>
              </w:rPr>
              <w:t xml:space="preserve">0-5 </w:t>
            </w:r>
            <w:r>
              <w:rPr>
                <w:sz w:val="24"/>
              </w:rPr>
              <w:t>分</w:t>
            </w:r>
            <w:r>
              <w:rPr>
                <w:spacing w:val="-120"/>
                <w:sz w:val="24"/>
              </w:rPr>
              <w:t>）</w:t>
            </w:r>
            <w:r>
              <w:rPr>
                <w:spacing w:val="-10"/>
                <w:sz w:val="24"/>
              </w:rPr>
              <w:t>。</w:t>
            </w:r>
          </w:p>
        </w:tc>
      </w:tr>
      <w:tr>
        <w:tblPrEx>
          <w:tblW w:w="0" w:type="auto"/>
          <w:jc w:val="left"/>
          <w:tblInd w:w="120" w:type="dxa"/>
          <w:tblLayout w:type="fixed"/>
          <w:tblCellMar>
            <w:top w:w="0" w:type="dxa"/>
            <w:left w:w="0" w:type="dxa"/>
            <w:bottom w:w="0" w:type="dxa"/>
            <w:right w:w="0" w:type="dxa"/>
          </w:tblCellMar>
          <w:tblLook w:val="01E0"/>
        </w:tblPrEx>
        <w:trPr>
          <w:trHeight w:val="313"/>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bottom w:val="nil"/>
            </w:tcBorders>
          </w:tcPr>
          <w:p>
            <w:pPr>
              <w:pStyle w:val="TableParagraph"/>
              <w:rPr>
                <w:rFonts w:ascii="Times New Roman"/>
                <w:sz w:val="22"/>
              </w:rPr>
            </w:pPr>
          </w:p>
        </w:tc>
        <w:tc>
          <w:tcPr>
            <w:tcW w:w="1117" w:type="dxa"/>
            <w:tcBorders>
              <w:bottom w:val="nil"/>
            </w:tcBorders>
          </w:tcPr>
          <w:p>
            <w:pPr>
              <w:pStyle w:val="TableParagraph"/>
              <w:rPr>
                <w:rFonts w:ascii="Times New Roman"/>
                <w:sz w:val="22"/>
              </w:rPr>
            </w:pPr>
          </w:p>
        </w:tc>
        <w:tc>
          <w:tcPr>
            <w:tcW w:w="5755" w:type="dxa"/>
            <w:tcBorders>
              <w:bottom w:val="nil"/>
            </w:tcBorders>
          </w:tcPr>
          <w:p>
            <w:pPr>
              <w:pStyle w:val="TableParagraph"/>
              <w:spacing w:before="3" w:line="289" w:lineRule="exact"/>
              <w:ind w:left="108"/>
              <w:rPr>
                <w:sz w:val="24"/>
              </w:rPr>
            </w:pPr>
            <w:r>
              <w:rPr>
                <w:spacing w:val="-1"/>
                <w:sz w:val="24"/>
              </w:rPr>
              <w:t>各项管理制度齐全，其中有师资管理制度、学员档案</w:t>
            </w:r>
          </w:p>
        </w:tc>
      </w:tr>
      <w:tr>
        <w:tblPrEx>
          <w:tblW w:w="0" w:type="auto"/>
          <w:jc w:val="left"/>
          <w:tblInd w:w="120" w:type="dxa"/>
          <w:tblLayout w:type="fixed"/>
          <w:tblCellMar>
            <w:top w:w="0" w:type="dxa"/>
            <w:left w:w="0" w:type="dxa"/>
            <w:bottom w:w="0" w:type="dxa"/>
            <w:right w:w="0" w:type="dxa"/>
          </w:tblCellMar>
          <w:tblLook w:val="01E0"/>
        </w:tblPrEx>
        <w:trPr>
          <w:trHeight w:val="307"/>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before="2" w:line="286" w:lineRule="exact"/>
              <w:ind w:left="108"/>
              <w:rPr>
                <w:sz w:val="24"/>
              </w:rPr>
            </w:pPr>
            <w:r>
              <w:rPr>
                <w:spacing w:val="-1"/>
                <w:sz w:val="24"/>
              </w:rPr>
              <w:t>管理制度、学员考评制度、跟踪指导服务制度、安全</w:t>
            </w:r>
          </w:p>
        </w:tc>
      </w:tr>
      <w:tr>
        <w:tblPrEx>
          <w:tblW w:w="0" w:type="auto"/>
          <w:jc w:val="left"/>
          <w:tblInd w:w="120" w:type="dxa"/>
          <w:tblLayout w:type="fixed"/>
          <w:tblCellMar>
            <w:top w:w="0" w:type="dxa"/>
            <w:left w:w="0" w:type="dxa"/>
            <w:bottom w:w="0" w:type="dxa"/>
            <w:right w:w="0" w:type="dxa"/>
          </w:tblCellMar>
          <w:tblLook w:val="01E0"/>
        </w:tblPrEx>
        <w:trPr>
          <w:trHeight w:val="324"/>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spacing w:before="5" w:line="298" w:lineRule="exact"/>
              <w:ind w:left="97" w:right="88"/>
              <w:jc w:val="center"/>
              <w:rPr>
                <w:sz w:val="24"/>
              </w:rPr>
            </w:pPr>
            <w:r>
              <w:rPr>
                <w:spacing w:val="-3"/>
                <w:sz w:val="24"/>
              </w:rPr>
              <w:t>管理制度</w:t>
            </w:r>
          </w:p>
        </w:tc>
        <w:tc>
          <w:tcPr>
            <w:tcW w:w="1117" w:type="dxa"/>
            <w:tcBorders>
              <w:top w:val="nil"/>
              <w:bottom w:val="nil"/>
            </w:tcBorders>
          </w:tcPr>
          <w:p>
            <w:pPr>
              <w:pStyle w:val="TableParagraph"/>
              <w:spacing w:before="5" w:line="298" w:lineRule="exact"/>
              <w:ind w:left="273" w:right="263"/>
              <w:jc w:val="center"/>
              <w:rPr>
                <w:sz w:val="24"/>
              </w:rPr>
            </w:pPr>
            <w:r>
              <w:rPr>
                <w:rFonts w:ascii="Times New Roman" w:eastAsia="Times New Roman"/>
                <w:color w:val="FF0000"/>
                <w:sz w:val="24"/>
              </w:rPr>
              <w:t xml:space="preserve">5 </w:t>
            </w:r>
            <w:r>
              <w:rPr>
                <w:spacing w:val="-10"/>
                <w:sz w:val="24"/>
              </w:rPr>
              <w:t>分</w:t>
            </w:r>
          </w:p>
        </w:tc>
        <w:tc>
          <w:tcPr>
            <w:tcW w:w="5755" w:type="dxa"/>
            <w:tcBorders>
              <w:top w:val="nil"/>
              <w:bottom w:val="nil"/>
            </w:tcBorders>
          </w:tcPr>
          <w:p>
            <w:pPr>
              <w:pStyle w:val="TableParagraph"/>
              <w:spacing w:before="5" w:line="298" w:lineRule="exact"/>
              <w:ind w:left="108"/>
              <w:rPr>
                <w:sz w:val="24"/>
              </w:rPr>
            </w:pPr>
            <w:r>
              <w:rPr>
                <w:spacing w:val="-6"/>
                <w:sz w:val="24"/>
              </w:rPr>
              <w:t xml:space="preserve">管理制度且上墙的得 </w:t>
            </w:r>
            <w:r>
              <w:rPr>
                <w:rFonts w:ascii="Times New Roman" w:eastAsia="Times New Roman"/>
                <w:sz w:val="24"/>
              </w:rPr>
              <w:t xml:space="preserve">5 </w:t>
            </w:r>
            <w:r>
              <w:rPr>
                <w:spacing w:val="-7"/>
                <w:sz w:val="24"/>
              </w:rPr>
              <w:t xml:space="preserve">分，每缺少一项扣 </w:t>
            </w:r>
            <w:r>
              <w:rPr>
                <w:rFonts w:ascii="Times New Roman" w:eastAsia="Times New Roman"/>
                <w:sz w:val="24"/>
              </w:rPr>
              <w:t xml:space="preserve">1 </w:t>
            </w:r>
            <w:r>
              <w:rPr>
                <w:spacing w:val="-3"/>
                <w:sz w:val="24"/>
              </w:rPr>
              <w:t>分，须提</w:t>
            </w:r>
          </w:p>
        </w:tc>
      </w:tr>
      <w:tr>
        <w:tblPrEx>
          <w:tblW w:w="0" w:type="auto"/>
          <w:jc w:val="left"/>
          <w:tblInd w:w="120" w:type="dxa"/>
          <w:tblLayout w:type="fixed"/>
          <w:tblCellMar>
            <w:top w:w="0" w:type="dxa"/>
            <w:left w:w="0" w:type="dxa"/>
            <w:bottom w:w="0" w:type="dxa"/>
            <w:right w:w="0" w:type="dxa"/>
          </w:tblCellMar>
          <w:tblLook w:val="01E0"/>
        </w:tblPrEx>
        <w:trPr>
          <w:trHeight w:val="298"/>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78" w:lineRule="exact"/>
              <w:ind w:left="108" w:right="-29"/>
              <w:rPr>
                <w:sz w:val="24"/>
              </w:rPr>
            </w:pPr>
            <w:r>
              <w:rPr>
                <w:spacing w:val="16"/>
                <w:sz w:val="24"/>
              </w:rPr>
              <w:t>供制定上墙的现场实拍图片， 否则本项不得分。</w:t>
            </w:r>
          </w:p>
        </w:tc>
      </w:tr>
      <w:tr>
        <w:tblPrEx>
          <w:tblW w:w="0" w:type="auto"/>
          <w:jc w:val="left"/>
          <w:tblInd w:w="120" w:type="dxa"/>
          <w:tblLayout w:type="fixed"/>
          <w:tblCellMar>
            <w:top w:w="0" w:type="dxa"/>
            <w:left w:w="0" w:type="dxa"/>
            <w:bottom w:w="0" w:type="dxa"/>
            <w:right w:w="0" w:type="dxa"/>
          </w:tblCellMar>
          <w:tblLook w:val="01E0"/>
        </w:tblPrEx>
        <w:trPr>
          <w:trHeight w:val="313"/>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tcBorders>
          </w:tcPr>
          <w:p>
            <w:pPr>
              <w:pStyle w:val="TableParagraph"/>
              <w:rPr>
                <w:rFonts w:ascii="Times New Roman"/>
                <w:sz w:val="22"/>
              </w:rPr>
            </w:pPr>
          </w:p>
        </w:tc>
        <w:tc>
          <w:tcPr>
            <w:tcW w:w="1117" w:type="dxa"/>
            <w:tcBorders>
              <w:top w:val="nil"/>
            </w:tcBorders>
          </w:tcPr>
          <w:p>
            <w:pPr>
              <w:pStyle w:val="TableParagraph"/>
              <w:rPr>
                <w:rFonts w:ascii="Times New Roman"/>
                <w:sz w:val="22"/>
              </w:rPr>
            </w:pPr>
          </w:p>
        </w:tc>
        <w:tc>
          <w:tcPr>
            <w:tcW w:w="5755" w:type="dxa"/>
            <w:tcBorders>
              <w:top w:val="nil"/>
            </w:tcBorders>
          </w:tcPr>
          <w:p>
            <w:pPr>
              <w:pStyle w:val="TableParagraph"/>
              <w:spacing w:before="5" w:line="288" w:lineRule="exact"/>
              <w:ind w:left="108"/>
              <w:rPr>
                <w:sz w:val="24"/>
              </w:rPr>
            </w:pPr>
            <w:r>
              <w:rPr>
                <w:sz w:val="24"/>
              </w:rPr>
              <w:t>（</w:t>
            </w:r>
            <w:r>
              <w:rPr>
                <w:rFonts w:ascii="Times New Roman" w:eastAsia="Times New Roman"/>
                <w:sz w:val="24"/>
              </w:rPr>
              <w:t xml:space="preserve">0-5 </w:t>
            </w:r>
            <w:r>
              <w:rPr>
                <w:sz w:val="24"/>
              </w:rPr>
              <w:t>分</w:t>
            </w:r>
            <w:r>
              <w:rPr>
                <w:spacing w:val="-120"/>
                <w:sz w:val="24"/>
              </w:rPr>
              <w:t>）</w:t>
            </w:r>
            <w:r>
              <w:rPr>
                <w:spacing w:val="-10"/>
                <w:sz w:val="24"/>
              </w:rPr>
              <w:t>。</w:t>
            </w:r>
          </w:p>
        </w:tc>
      </w:tr>
      <w:tr>
        <w:tblPrEx>
          <w:tblW w:w="0" w:type="auto"/>
          <w:jc w:val="left"/>
          <w:tblInd w:w="120" w:type="dxa"/>
          <w:tblLayout w:type="fixed"/>
          <w:tblCellMar>
            <w:top w:w="0" w:type="dxa"/>
            <w:left w:w="0" w:type="dxa"/>
            <w:bottom w:w="0" w:type="dxa"/>
            <w:right w:w="0" w:type="dxa"/>
          </w:tblCellMar>
          <w:tblLook w:val="01E0"/>
        </w:tblPrEx>
        <w:trPr>
          <w:trHeight w:val="944"/>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bottom w:val="nil"/>
            </w:tcBorders>
          </w:tcPr>
          <w:p>
            <w:pPr>
              <w:pStyle w:val="TableParagraph"/>
              <w:rPr>
                <w:rFonts w:ascii="Times New Roman"/>
                <w:sz w:val="22"/>
              </w:rPr>
            </w:pPr>
          </w:p>
        </w:tc>
        <w:tc>
          <w:tcPr>
            <w:tcW w:w="1117" w:type="dxa"/>
            <w:tcBorders>
              <w:bottom w:val="nil"/>
            </w:tcBorders>
          </w:tcPr>
          <w:p>
            <w:pPr>
              <w:pStyle w:val="TableParagraph"/>
              <w:rPr>
                <w:rFonts w:ascii="Times New Roman"/>
                <w:sz w:val="22"/>
              </w:rPr>
            </w:pPr>
          </w:p>
        </w:tc>
        <w:tc>
          <w:tcPr>
            <w:tcW w:w="5755" w:type="dxa"/>
            <w:tcBorders>
              <w:bottom w:val="nil"/>
            </w:tcBorders>
          </w:tcPr>
          <w:p>
            <w:pPr>
              <w:pStyle w:val="TableParagraph"/>
              <w:spacing w:line="310" w:lineRule="atLeast"/>
              <w:ind w:left="108" w:right="96"/>
              <w:jc w:val="both"/>
              <w:rPr>
                <w:sz w:val="24"/>
              </w:rPr>
            </w:pPr>
            <w:r>
              <w:rPr>
                <w:rFonts w:ascii="Cambria Math" w:eastAsia="Cambria Math" w:hAnsi="Cambria Math"/>
                <w:sz w:val="24"/>
              </w:rPr>
              <w:t>①</w:t>
            </w:r>
            <w:r>
              <w:rPr>
                <w:spacing w:val="7"/>
                <w:sz w:val="24"/>
              </w:rPr>
              <w:t>培训机构所在区域位于柯城区城区建成区范围内</w:t>
            </w:r>
            <w:r>
              <w:rPr>
                <w:spacing w:val="-11"/>
                <w:sz w:val="24"/>
              </w:rPr>
              <w:t xml:space="preserve">的得 </w:t>
            </w:r>
            <w:r>
              <w:rPr>
                <w:rFonts w:ascii="Times New Roman" w:eastAsia="Times New Roman" w:hAnsi="Times New Roman"/>
                <w:spacing w:val="-2"/>
                <w:sz w:val="24"/>
              </w:rPr>
              <w:t>8</w:t>
            </w:r>
            <w:r>
              <w:rPr>
                <w:rFonts w:ascii="Times New Roman" w:eastAsia="Times New Roman" w:hAnsi="Times New Roman"/>
                <w:spacing w:val="-13"/>
                <w:sz w:val="24"/>
              </w:rPr>
              <w:t xml:space="preserve"> </w:t>
            </w:r>
            <w:r>
              <w:rPr>
                <w:spacing w:val="-4"/>
                <w:sz w:val="24"/>
              </w:rPr>
              <w:t xml:space="preserve">分，位于建成区范围外的得 </w:t>
            </w:r>
            <w:r>
              <w:rPr>
                <w:rFonts w:ascii="Times New Roman" w:eastAsia="Times New Roman" w:hAnsi="Times New Roman"/>
                <w:spacing w:val="-2"/>
                <w:sz w:val="24"/>
              </w:rPr>
              <w:t>6</w:t>
            </w:r>
            <w:r>
              <w:rPr>
                <w:rFonts w:ascii="Times New Roman" w:eastAsia="Times New Roman" w:hAnsi="Times New Roman"/>
                <w:spacing w:val="-13"/>
                <w:sz w:val="24"/>
              </w:rPr>
              <w:t xml:space="preserve"> </w:t>
            </w:r>
            <w:r>
              <w:rPr>
                <w:spacing w:val="-2"/>
                <w:sz w:val="24"/>
              </w:rPr>
              <w:t>分，位于柯城区</w:t>
            </w:r>
            <w:r>
              <w:rPr>
                <w:spacing w:val="-3"/>
                <w:sz w:val="24"/>
              </w:rPr>
              <w:t xml:space="preserve">行政区划外的得 </w:t>
            </w:r>
            <w:r>
              <w:rPr>
                <w:rFonts w:ascii="Times New Roman" w:eastAsia="Times New Roman" w:hAnsi="Times New Roman"/>
                <w:sz w:val="24"/>
              </w:rPr>
              <w:t xml:space="preserve">3 </w:t>
            </w:r>
            <w:r>
              <w:rPr>
                <w:sz w:val="24"/>
              </w:rPr>
              <w:t>分；</w:t>
            </w:r>
          </w:p>
        </w:tc>
      </w:tr>
      <w:tr>
        <w:tblPrEx>
          <w:tblW w:w="0" w:type="auto"/>
          <w:jc w:val="left"/>
          <w:tblInd w:w="120" w:type="dxa"/>
          <w:tblLayout w:type="fixed"/>
          <w:tblCellMar>
            <w:top w:w="0" w:type="dxa"/>
            <w:left w:w="0" w:type="dxa"/>
            <w:bottom w:w="0" w:type="dxa"/>
            <w:right w:w="0" w:type="dxa"/>
          </w:tblCellMar>
          <w:tblLook w:val="01E0"/>
        </w:tblPrEx>
        <w:trPr>
          <w:trHeight w:val="1244"/>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微软雅黑"/>
                <w:b/>
                <w:sz w:val="24"/>
              </w:rPr>
            </w:pPr>
          </w:p>
          <w:p>
            <w:pPr>
              <w:pStyle w:val="TableParagraph"/>
              <w:spacing w:before="15"/>
              <w:rPr>
                <w:rFonts w:ascii="微软雅黑"/>
                <w:b/>
                <w:sz w:val="17"/>
              </w:rPr>
            </w:pPr>
          </w:p>
          <w:p>
            <w:pPr>
              <w:pStyle w:val="TableParagraph"/>
              <w:ind w:left="97" w:right="88"/>
              <w:jc w:val="center"/>
              <w:rPr>
                <w:sz w:val="24"/>
              </w:rPr>
            </w:pPr>
            <w:r>
              <w:rPr>
                <w:spacing w:val="-3"/>
                <w:sz w:val="24"/>
              </w:rPr>
              <w:t>培训场所</w:t>
            </w:r>
          </w:p>
        </w:tc>
        <w:tc>
          <w:tcPr>
            <w:tcW w:w="1117" w:type="dxa"/>
            <w:tcBorders>
              <w:top w:val="nil"/>
              <w:bottom w:val="nil"/>
            </w:tcBorders>
          </w:tcPr>
          <w:p>
            <w:pPr>
              <w:pStyle w:val="TableParagraph"/>
              <w:rPr>
                <w:rFonts w:ascii="微软雅黑"/>
                <w:b/>
                <w:sz w:val="26"/>
              </w:rPr>
            </w:pPr>
          </w:p>
          <w:p>
            <w:pPr>
              <w:pStyle w:val="TableParagraph"/>
              <w:spacing w:before="15"/>
              <w:rPr>
                <w:rFonts w:ascii="微软雅黑"/>
                <w:b/>
                <w:sz w:val="15"/>
              </w:rPr>
            </w:pPr>
          </w:p>
          <w:p>
            <w:pPr>
              <w:pStyle w:val="TableParagraph"/>
              <w:ind w:left="273" w:right="263"/>
              <w:jc w:val="center"/>
              <w:rPr>
                <w:sz w:val="24"/>
              </w:rPr>
            </w:pPr>
            <w:r>
              <w:rPr>
                <w:rFonts w:ascii="Times New Roman" w:eastAsia="Times New Roman"/>
                <w:sz w:val="24"/>
              </w:rPr>
              <w:t xml:space="preserve">19 </w:t>
            </w:r>
            <w:r>
              <w:rPr>
                <w:spacing w:val="-10"/>
                <w:sz w:val="24"/>
              </w:rPr>
              <w:t>分</w:t>
            </w:r>
          </w:p>
        </w:tc>
        <w:tc>
          <w:tcPr>
            <w:tcW w:w="5755" w:type="dxa"/>
            <w:tcBorders>
              <w:top w:val="nil"/>
              <w:bottom w:val="nil"/>
            </w:tcBorders>
          </w:tcPr>
          <w:p>
            <w:pPr>
              <w:pStyle w:val="TableParagraph"/>
              <w:spacing w:line="300" w:lineRule="exact"/>
              <w:ind w:left="108"/>
              <w:rPr>
                <w:sz w:val="24"/>
              </w:rPr>
            </w:pPr>
            <w:r>
              <w:rPr>
                <w:rFonts w:ascii="Cambria Math" w:eastAsia="Cambria Math" w:hAnsi="Cambria Math"/>
                <w:spacing w:val="-2"/>
                <w:sz w:val="24"/>
              </w:rPr>
              <w:t>②</w:t>
            </w:r>
            <w:r>
              <w:rPr>
                <w:spacing w:val="-3"/>
                <w:sz w:val="24"/>
              </w:rPr>
              <w:t>按培训机构教学用房建筑面积大小进行打分：面积</w:t>
            </w:r>
          </w:p>
          <w:p>
            <w:pPr>
              <w:pStyle w:val="TableParagraph"/>
              <w:spacing w:before="3"/>
              <w:ind w:left="108"/>
              <w:rPr>
                <w:sz w:val="24"/>
              </w:rPr>
            </w:pPr>
            <w:r>
              <w:rPr>
                <w:rFonts w:ascii="Times New Roman" w:eastAsia="Times New Roman" w:hAnsi="Times New Roman"/>
                <w:sz w:val="24"/>
              </w:rPr>
              <w:t>800</w:t>
            </w:r>
            <w:r>
              <w:rPr>
                <w:sz w:val="24"/>
              </w:rPr>
              <w:t>㎡（含</w:t>
            </w:r>
            <w:r>
              <w:rPr>
                <w:spacing w:val="-81"/>
                <w:sz w:val="24"/>
              </w:rPr>
              <w:t>）</w:t>
            </w:r>
            <w:r>
              <w:rPr>
                <w:spacing w:val="-12"/>
                <w:sz w:val="24"/>
              </w:rPr>
              <w:t xml:space="preserve">以上的得 </w:t>
            </w:r>
            <w:r>
              <w:rPr>
                <w:rFonts w:ascii="Times New Roman" w:eastAsia="Times New Roman" w:hAnsi="Times New Roman"/>
                <w:sz w:val="24"/>
              </w:rPr>
              <w:t xml:space="preserve">8 </w:t>
            </w:r>
            <w:r>
              <w:rPr>
                <w:spacing w:val="-29"/>
                <w:sz w:val="24"/>
              </w:rPr>
              <w:t xml:space="preserve">分，面积 </w:t>
            </w:r>
            <w:r>
              <w:rPr>
                <w:rFonts w:ascii="Times New Roman" w:eastAsia="Times New Roman" w:hAnsi="Times New Roman"/>
                <w:sz w:val="24"/>
              </w:rPr>
              <w:t>500</w:t>
            </w:r>
            <w:r>
              <w:rPr>
                <w:sz w:val="24"/>
              </w:rPr>
              <w:t>㎡（含）—</w:t>
            </w:r>
            <w:r>
              <w:rPr>
                <w:rFonts w:ascii="Times New Roman" w:eastAsia="Times New Roman" w:hAnsi="Times New Roman"/>
                <w:sz w:val="24"/>
              </w:rPr>
              <w:t>800</w:t>
            </w:r>
            <w:r>
              <w:rPr>
                <w:spacing w:val="-10"/>
                <w:sz w:val="24"/>
              </w:rPr>
              <w:t>㎡</w:t>
            </w:r>
          </w:p>
          <w:p>
            <w:pPr>
              <w:pStyle w:val="TableParagraph"/>
              <w:spacing w:line="310" w:lineRule="atLeast"/>
              <w:ind w:left="108" w:right="-29"/>
              <w:rPr>
                <w:sz w:val="24"/>
              </w:rPr>
            </w:pPr>
            <w:r>
              <w:rPr>
                <w:sz w:val="24"/>
              </w:rPr>
              <w:t>（不含</w:t>
            </w:r>
            <w:r>
              <w:rPr>
                <w:spacing w:val="-81"/>
                <w:sz w:val="24"/>
              </w:rPr>
              <w:t>）</w:t>
            </w:r>
            <w:r>
              <w:rPr>
                <w:spacing w:val="-20"/>
                <w:sz w:val="24"/>
              </w:rPr>
              <w:t xml:space="preserve">的得 </w:t>
            </w:r>
            <w:r>
              <w:rPr>
                <w:rFonts w:ascii="Times New Roman" w:eastAsia="Times New Roman" w:hAnsi="Times New Roman"/>
                <w:sz w:val="24"/>
              </w:rPr>
              <w:t>6</w:t>
            </w:r>
            <w:r>
              <w:rPr>
                <w:rFonts w:ascii="Times New Roman" w:eastAsia="Times New Roman" w:hAnsi="Times New Roman"/>
                <w:spacing w:val="-15"/>
                <w:sz w:val="24"/>
              </w:rPr>
              <w:t xml:space="preserve"> </w:t>
            </w:r>
            <w:r>
              <w:rPr>
                <w:spacing w:val="-29"/>
                <w:sz w:val="24"/>
              </w:rPr>
              <w:t xml:space="preserve">分，面积 </w:t>
            </w:r>
            <w:r>
              <w:rPr>
                <w:rFonts w:ascii="Times New Roman" w:eastAsia="Times New Roman" w:hAnsi="Times New Roman"/>
                <w:sz w:val="24"/>
              </w:rPr>
              <w:t>300</w:t>
            </w:r>
            <w:r>
              <w:rPr>
                <w:sz w:val="24"/>
              </w:rPr>
              <w:t>㎡（含）—</w:t>
            </w:r>
            <w:r>
              <w:rPr>
                <w:rFonts w:ascii="Times New Roman" w:eastAsia="Times New Roman" w:hAnsi="Times New Roman"/>
                <w:sz w:val="24"/>
              </w:rPr>
              <w:t>500</w:t>
            </w:r>
            <w:r>
              <w:rPr>
                <w:sz w:val="24"/>
              </w:rPr>
              <w:t>㎡（不含</w:t>
            </w:r>
            <w:r>
              <w:rPr>
                <w:sz w:val="24"/>
              </w:rPr>
              <w:t>）</w:t>
            </w:r>
            <w:r>
              <w:rPr>
                <w:spacing w:val="-5"/>
                <w:sz w:val="24"/>
              </w:rPr>
              <w:t xml:space="preserve">的得 </w:t>
            </w:r>
            <w:r>
              <w:rPr>
                <w:rFonts w:ascii="Times New Roman" w:eastAsia="Times New Roman" w:hAnsi="Times New Roman"/>
                <w:sz w:val="24"/>
              </w:rPr>
              <w:t xml:space="preserve">4 </w:t>
            </w:r>
            <w:r>
              <w:rPr>
                <w:spacing w:val="-2"/>
                <w:sz w:val="24"/>
              </w:rPr>
              <w:t xml:space="preserve">分，面积小于 </w:t>
            </w:r>
            <w:r>
              <w:rPr>
                <w:rFonts w:ascii="Times New Roman" w:eastAsia="Times New Roman" w:hAnsi="Times New Roman"/>
                <w:sz w:val="24"/>
              </w:rPr>
              <w:t>300</w:t>
            </w:r>
            <w:r>
              <w:rPr>
                <w:sz w:val="24"/>
              </w:rPr>
              <w:t>㎡的不得分；</w:t>
            </w:r>
          </w:p>
        </w:tc>
      </w:tr>
      <w:tr>
        <w:tblPrEx>
          <w:tblW w:w="0" w:type="auto"/>
          <w:jc w:val="left"/>
          <w:tblInd w:w="120" w:type="dxa"/>
          <w:tblLayout w:type="fixed"/>
          <w:tblCellMar>
            <w:top w:w="0" w:type="dxa"/>
            <w:left w:w="0" w:type="dxa"/>
            <w:bottom w:w="0" w:type="dxa"/>
            <w:right w:w="0" w:type="dxa"/>
          </w:tblCellMar>
          <w:tblLook w:val="01E0"/>
        </w:tblPrEx>
        <w:trPr>
          <w:trHeight w:val="1235"/>
          <w:jc w:val="left"/>
        </w:trPr>
        <w:tc>
          <w:tcPr>
            <w:tcW w:w="754" w:type="dxa"/>
            <w:tcBorders>
              <w:top w:val="nil"/>
              <w:bottom w:val="nil"/>
            </w:tcBorders>
          </w:tcPr>
          <w:p>
            <w:pPr>
              <w:pStyle w:val="TableParagraph"/>
              <w:spacing w:before="12"/>
              <w:rPr>
                <w:rFonts w:ascii="微软雅黑"/>
                <w:b/>
                <w:sz w:val="25"/>
              </w:rPr>
            </w:pPr>
          </w:p>
          <w:p>
            <w:pPr>
              <w:pStyle w:val="TableParagraph"/>
              <w:ind w:left="10"/>
              <w:jc w:val="center"/>
              <w:rPr>
                <w:rFonts w:ascii="Times New Roman"/>
                <w:sz w:val="24"/>
              </w:rPr>
            </w:pPr>
            <w:r>
              <w:rPr>
                <w:rFonts w:ascii="Times New Roman"/>
                <w:sz w:val="24"/>
              </w:rPr>
              <w:t>1</w:t>
            </w:r>
          </w:p>
        </w:tc>
        <w:tc>
          <w:tcPr>
            <w:tcW w:w="778" w:type="dxa"/>
            <w:tcBorders>
              <w:top w:val="nil"/>
              <w:bottom w:val="nil"/>
            </w:tcBorders>
          </w:tcPr>
          <w:p>
            <w:pPr>
              <w:pStyle w:val="TableParagraph"/>
              <w:spacing w:before="148" w:line="242" w:lineRule="auto"/>
              <w:ind w:left="119" w:right="108"/>
              <w:jc w:val="center"/>
              <w:rPr>
                <w:sz w:val="24"/>
              </w:rPr>
            </w:pPr>
            <w:r>
              <w:rPr>
                <w:spacing w:val="-6"/>
                <w:sz w:val="24"/>
              </w:rPr>
              <w:t>技术</w:t>
            </w:r>
            <w:r>
              <w:rPr>
                <w:spacing w:val="-10"/>
                <w:sz w:val="24"/>
              </w:rPr>
              <w:t>分</w:t>
            </w:r>
            <w:r>
              <w:rPr>
                <w:sz w:val="24"/>
              </w:rPr>
              <w:t xml:space="preserve"> </w:t>
            </w:r>
            <w:r>
              <w:rPr>
                <w:rFonts w:ascii="Times New Roman" w:eastAsia="Times New Roman"/>
                <w:sz w:val="24"/>
              </w:rPr>
              <w:t>55</w:t>
            </w:r>
            <w:r>
              <w:rPr>
                <w:rFonts w:ascii="Times New Roman" w:eastAsia="Times New Roman"/>
                <w:spacing w:val="-15"/>
                <w:sz w:val="24"/>
              </w:rPr>
              <w:t xml:space="preserve"> </w:t>
            </w:r>
            <w:r>
              <w:rPr>
                <w:sz w:val="24"/>
              </w:rPr>
              <w:t>分</w:t>
            </w: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42" w:lineRule="auto"/>
              <w:ind w:left="108" w:right="96"/>
              <w:rPr>
                <w:sz w:val="24"/>
              </w:rPr>
            </w:pPr>
            <w:r>
              <w:rPr>
                <w:spacing w:val="-2"/>
                <w:sz w:val="24"/>
              </w:rPr>
              <w:t>③根据培训教学及实习场所与消防、安全、环保有关</w:t>
            </w:r>
            <w:r>
              <w:rPr>
                <w:spacing w:val="-2"/>
                <w:sz w:val="24"/>
              </w:rPr>
              <w:t xml:space="preserve">规定及相关安全规程符合程度酌情给 </w:t>
            </w:r>
            <w:r>
              <w:rPr>
                <w:rFonts w:ascii="Times New Roman" w:eastAsia="Times New Roman" w:hAnsi="Times New Roman"/>
                <w:sz w:val="24"/>
              </w:rPr>
              <w:t xml:space="preserve">0-3 </w:t>
            </w:r>
            <w:r>
              <w:rPr>
                <w:sz w:val="24"/>
              </w:rPr>
              <w:t>分。</w:t>
            </w:r>
          </w:p>
          <w:p>
            <w:pPr>
              <w:pStyle w:val="TableParagraph"/>
              <w:ind w:left="108"/>
              <w:rPr>
                <w:sz w:val="24"/>
              </w:rPr>
            </w:pPr>
            <w:r>
              <w:rPr>
                <w:spacing w:val="-1"/>
                <w:sz w:val="24"/>
              </w:rPr>
              <w:t>注：以上三项分数相加为投标人本项得分。产权证明</w:t>
            </w:r>
          </w:p>
          <w:p>
            <w:pPr>
              <w:pStyle w:val="TableParagraph"/>
              <w:spacing w:line="289" w:lineRule="exact"/>
              <w:ind w:left="108"/>
              <w:rPr>
                <w:sz w:val="24"/>
              </w:rPr>
            </w:pPr>
            <w:r>
              <w:rPr>
                <w:sz w:val="24"/>
              </w:rPr>
              <w:t>或有效租赁合同（租期一年以上）</w:t>
            </w:r>
            <w:r>
              <w:rPr>
                <w:spacing w:val="-2"/>
                <w:sz w:val="24"/>
              </w:rPr>
              <w:t>原件现场提供，否</w:t>
            </w:r>
          </w:p>
        </w:tc>
      </w:tr>
      <w:tr>
        <w:tblPrEx>
          <w:tblW w:w="0" w:type="auto"/>
          <w:jc w:val="left"/>
          <w:tblInd w:w="120" w:type="dxa"/>
          <w:tblLayout w:type="fixed"/>
          <w:tblCellMar>
            <w:top w:w="0" w:type="dxa"/>
            <w:left w:w="0" w:type="dxa"/>
            <w:bottom w:w="0" w:type="dxa"/>
            <w:right w:w="0" w:type="dxa"/>
          </w:tblCellMar>
          <w:tblLook w:val="01E0"/>
        </w:tblPrEx>
        <w:trPr>
          <w:trHeight w:val="309"/>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tcBorders>
          </w:tcPr>
          <w:p>
            <w:pPr>
              <w:pStyle w:val="TableParagraph"/>
              <w:rPr>
                <w:rFonts w:ascii="Times New Roman"/>
                <w:sz w:val="22"/>
              </w:rPr>
            </w:pPr>
          </w:p>
        </w:tc>
        <w:tc>
          <w:tcPr>
            <w:tcW w:w="1117" w:type="dxa"/>
            <w:tcBorders>
              <w:top w:val="nil"/>
            </w:tcBorders>
          </w:tcPr>
          <w:p>
            <w:pPr>
              <w:pStyle w:val="TableParagraph"/>
              <w:rPr>
                <w:rFonts w:ascii="Times New Roman"/>
                <w:sz w:val="22"/>
              </w:rPr>
            </w:pPr>
          </w:p>
        </w:tc>
        <w:tc>
          <w:tcPr>
            <w:tcW w:w="5755" w:type="dxa"/>
            <w:tcBorders>
              <w:top w:val="nil"/>
            </w:tcBorders>
          </w:tcPr>
          <w:p>
            <w:pPr>
              <w:pStyle w:val="TableParagraph"/>
              <w:spacing w:before="2" w:line="288" w:lineRule="exact"/>
              <w:ind w:left="108"/>
              <w:rPr>
                <w:sz w:val="24"/>
              </w:rPr>
            </w:pPr>
            <w:r>
              <w:rPr>
                <w:spacing w:val="-2"/>
                <w:sz w:val="24"/>
              </w:rPr>
              <w:t>则本项不得分。</w:t>
            </w:r>
          </w:p>
        </w:tc>
      </w:tr>
      <w:tr>
        <w:tblPrEx>
          <w:tblW w:w="0" w:type="auto"/>
          <w:jc w:val="left"/>
          <w:tblInd w:w="120" w:type="dxa"/>
          <w:tblLayout w:type="fixed"/>
          <w:tblCellMar>
            <w:top w:w="0" w:type="dxa"/>
            <w:left w:w="0" w:type="dxa"/>
            <w:bottom w:w="0" w:type="dxa"/>
            <w:right w:w="0" w:type="dxa"/>
          </w:tblCellMar>
          <w:tblLook w:val="01E0"/>
        </w:tblPrEx>
        <w:trPr>
          <w:trHeight w:val="313"/>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bottom w:val="nil"/>
            </w:tcBorders>
          </w:tcPr>
          <w:p>
            <w:pPr>
              <w:pStyle w:val="TableParagraph"/>
              <w:rPr>
                <w:rFonts w:ascii="Times New Roman"/>
                <w:sz w:val="22"/>
              </w:rPr>
            </w:pPr>
          </w:p>
        </w:tc>
        <w:tc>
          <w:tcPr>
            <w:tcW w:w="1117" w:type="dxa"/>
            <w:tcBorders>
              <w:bottom w:val="nil"/>
            </w:tcBorders>
          </w:tcPr>
          <w:p>
            <w:pPr>
              <w:pStyle w:val="TableParagraph"/>
              <w:rPr>
                <w:rFonts w:ascii="Times New Roman"/>
                <w:sz w:val="22"/>
              </w:rPr>
            </w:pPr>
          </w:p>
        </w:tc>
        <w:tc>
          <w:tcPr>
            <w:tcW w:w="5755" w:type="dxa"/>
            <w:tcBorders>
              <w:bottom w:val="nil"/>
            </w:tcBorders>
          </w:tcPr>
          <w:p>
            <w:pPr>
              <w:pStyle w:val="TableParagraph"/>
              <w:spacing w:before="3" w:line="289" w:lineRule="exact"/>
              <w:ind w:left="108"/>
              <w:rPr>
                <w:sz w:val="24"/>
              </w:rPr>
            </w:pPr>
            <w:r>
              <w:rPr>
                <w:spacing w:val="-1"/>
                <w:sz w:val="24"/>
              </w:rPr>
              <w:t>根据培训机构的培训设施、设备的完整性等进行酌情</w:t>
            </w:r>
          </w:p>
        </w:tc>
      </w:tr>
      <w:tr>
        <w:tblPrEx>
          <w:tblW w:w="0" w:type="auto"/>
          <w:jc w:val="left"/>
          <w:tblInd w:w="120" w:type="dxa"/>
          <w:tblLayout w:type="fixed"/>
          <w:tblCellMar>
            <w:top w:w="0" w:type="dxa"/>
            <w:left w:w="0" w:type="dxa"/>
            <w:bottom w:w="0" w:type="dxa"/>
            <w:right w:w="0" w:type="dxa"/>
          </w:tblCellMar>
          <w:tblLook w:val="01E0"/>
        </w:tblPrEx>
        <w:trPr>
          <w:trHeight w:val="307"/>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before="2" w:line="286" w:lineRule="exact"/>
              <w:ind w:left="108"/>
              <w:rPr>
                <w:sz w:val="24"/>
              </w:rPr>
            </w:pPr>
            <w:r>
              <w:rPr>
                <w:sz w:val="24"/>
              </w:rPr>
              <w:t>打分，主要因素为理论教室是否配备固定投影仪（</w:t>
            </w:r>
            <w:r>
              <w:rPr>
                <w:spacing w:val="-10"/>
                <w:sz w:val="24"/>
              </w:rPr>
              <w:t>含</w:t>
            </w:r>
          </w:p>
        </w:tc>
      </w:tr>
      <w:tr>
        <w:tblPrEx>
          <w:tblW w:w="0" w:type="auto"/>
          <w:jc w:val="left"/>
          <w:tblInd w:w="120" w:type="dxa"/>
          <w:tblLayout w:type="fixed"/>
          <w:tblCellMar>
            <w:top w:w="0" w:type="dxa"/>
            <w:left w:w="0" w:type="dxa"/>
            <w:bottom w:w="0" w:type="dxa"/>
            <w:right w:w="0" w:type="dxa"/>
          </w:tblCellMar>
          <w:tblLook w:val="01E0"/>
        </w:tblPrEx>
        <w:trPr>
          <w:trHeight w:val="324"/>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spacing w:before="5" w:line="298" w:lineRule="exact"/>
              <w:ind w:left="97" w:right="88"/>
              <w:jc w:val="center"/>
              <w:rPr>
                <w:sz w:val="24"/>
              </w:rPr>
            </w:pPr>
            <w:r>
              <w:rPr>
                <w:spacing w:val="-3"/>
                <w:sz w:val="24"/>
              </w:rPr>
              <w:t>培训设施</w:t>
            </w:r>
          </w:p>
        </w:tc>
        <w:tc>
          <w:tcPr>
            <w:tcW w:w="1117" w:type="dxa"/>
            <w:tcBorders>
              <w:top w:val="nil"/>
              <w:bottom w:val="nil"/>
            </w:tcBorders>
          </w:tcPr>
          <w:p>
            <w:pPr>
              <w:pStyle w:val="TableParagraph"/>
              <w:spacing w:before="5" w:line="298" w:lineRule="exact"/>
              <w:ind w:left="273" w:right="263"/>
              <w:jc w:val="center"/>
              <w:rPr>
                <w:sz w:val="24"/>
              </w:rPr>
            </w:pPr>
            <w:r>
              <w:rPr>
                <w:rFonts w:ascii="Times New Roman" w:eastAsia="Times New Roman"/>
                <w:sz w:val="24"/>
              </w:rPr>
              <w:t xml:space="preserve">6 </w:t>
            </w:r>
            <w:r>
              <w:rPr>
                <w:spacing w:val="-10"/>
                <w:sz w:val="24"/>
              </w:rPr>
              <w:t>分</w:t>
            </w:r>
          </w:p>
        </w:tc>
        <w:tc>
          <w:tcPr>
            <w:tcW w:w="5755" w:type="dxa"/>
            <w:tcBorders>
              <w:top w:val="nil"/>
              <w:bottom w:val="nil"/>
            </w:tcBorders>
          </w:tcPr>
          <w:p>
            <w:pPr>
              <w:pStyle w:val="TableParagraph"/>
              <w:spacing w:before="5" w:line="298" w:lineRule="exact"/>
              <w:ind w:left="108"/>
              <w:rPr>
                <w:sz w:val="24"/>
              </w:rPr>
            </w:pPr>
            <w:r>
              <w:rPr>
                <w:spacing w:val="-6"/>
                <w:sz w:val="24"/>
              </w:rPr>
              <w:t>幕布</w:t>
            </w:r>
            <w:r>
              <w:rPr>
                <w:spacing w:val="-120"/>
                <w:sz w:val="24"/>
              </w:rPr>
              <w:t>）</w:t>
            </w:r>
            <w:r>
              <w:rPr>
                <w:spacing w:val="-7"/>
                <w:sz w:val="24"/>
              </w:rPr>
              <w:t>、音响、电子白板，实训场所是否配备相适应的</w:t>
            </w:r>
          </w:p>
        </w:tc>
      </w:tr>
      <w:tr>
        <w:tblPrEx>
          <w:tblW w:w="0" w:type="auto"/>
          <w:jc w:val="left"/>
          <w:tblInd w:w="120" w:type="dxa"/>
          <w:tblLayout w:type="fixed"/>
          <w:tblCellMar>
            <w:top w:w="0" w:type="dxa"/>
            <w:left w:w="0" w:type="dxa"/>
            <w:bottom w:w="0" w:type="dxa"/>
            <w:right w:w="0" w:type="dxa"/>
          </w:tblCellMar>
          <w:tblLook w:val="01E0"/>
        </w:tblPrEx>
        <w:trPr>
          <w:trHeight w:val="298"/>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78" w:lineRule="exact"/>
              <w:ind w:left="108"/>
              <w:rPr>
                <w:sz w:val="24"/>
              </w:rPr>
            </w:pPr>
            <w:r>
              <w:rPr>
                <w:spacing w:val="-1"/>
                <w:sz w:val="24"/>
              </w:rPr>
              <w:t>操作设施等。须提供培训设施设备清单、图片等证明</w:t>
            </w:r>
          </w:p>
        </w:tc>
      </w:tr>
      <w:tr>
        <w:tblPrEx>
          <w:tblW w:w="0" w:type="auto"/>
          <w:jc w:val="left"/>
          <w:tblInd w:w="120" w:type="dxa"/>
          <w:tblLayout w:type="fixed"/>
          <w:tblCellMar>
            <w:top w:w="0" w:type="dxa"/>
            <w:left w:w="0" w:type="dxa"/>
            <w:bottom w:w="0" w:type="dxa"/>
            <w:right w:w="0" w:type="dxa"/>
          </w:tblCellMar>
          <w:tblLook w:val="01E0"/>
        </w:tblPrEx>
        <w:trPr>
          <w:trHeight w:val="313"/>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tcBorders>
          </w:tcPr>
          <w:p>
            <w:pPr>
              <w:pStyle w:val="TableParagraph"/>
              <w:rPr>
                <w:rFonts w:ascii="Times New Roman"/>
                <w:sz w:val="22"/>
              </w:rPr>
            </w:pPr>
          </w:p>
        </w:tc>
        <w:tc>
          <w:tcPr>
            <w:tcW w:w="1117" w:type="dxa"/>
            <w:tcBorders>
              <w:top w:val="nil"/>
            </w:tcBorders>
          </w:tcPr>
          <w:p>
            <w:pPr>
              <w:pStyle w:val="TableParagraph"/>
              <w:rPr>
                <w:rFonts w:ascii="Times New Roman"/>
                <w:sz w:val="22"/>
              </w:rPr>
            </w:pPr>
          </w:p>
        </w:tc>
        <w:tc>
          <w:tcPr>
            <w:tcW w:w="5755" w:type="dxa"/>
            <w:tcBorders>
              <w:top w:val="nil"/>
            </w:tcBorders>
          </w:tcPr>
          <w:p>
            <w:pPr>
              <w:pStyle w:val="TableParagraph"/>
              <w:spacing w:before="5" w:line="287" w:lineRule="exact"/>
              <w:ind w:left="108"/>
              <w:rPr>
                <w:sz w:val="24"/>
              </w:rPr>
            </w:pPr>
            <w:r>
              <w:rPr>
                <w:spacing w:val="-14"/>
                <w:sz w:val="24"/>
              </w:rPr>
              <w:t>材料，否则不得分。</w:t>
            </w:r>
            <w:r>
              <w:rPr>
                <w:sz w:val="24"/>
              </w:rPr>
              <w:t>（</w:t>
            </w:r>
            <w:r>
              <w:rPr>
                <w:rFonts w:ascii="Times New Roman" w:eastAsia="Times New Roman"/>
                <w:sz w:val="24"/>
              </w:rPr>
              <w:t xml:space="preserve">0-6 </w:t>
            </w:r>
            <w:r>
              <w:rPr>
                <w:sz w:val="24"/>
              </w:rPr>
              <w:t>分</w:t>
            </w:r>
            <w:r>
              <w:rPr>
                <w:spacing w:val="-10"/>
                <w:sz w:val="24"/>
              </w:rPr>
              <w:t>）</w:t>
            </w:r>
          </w:p>
        </w:tc>
      </w:tr>
      <w:tr>
        <w:tblPrEx>
          <w:tblW w:w="0" w:type="auto"/>
          <w:jc w:val="left"/>
          <w:tblInd w:w="120" w:type="dxa"/>
          <w:tblLayout w:type="fixed"/>
          <w:tblCellMar>
            <w:top w:w="0" w:type="dxa"/>
            <w:left w:w="0" w:type="dxa"/>
            <w:bottom w:w="0" w:type="dxa"/>
            <w:right w:w="0" w:type="dxa"/>
          </w:tblCellMar>
          <w:tblLook w:val="01E0"/>
        </w:tblPrEx>
        <w:trPr>
          <w:trHeight w:val="633"/>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bottom w:val="nil"/>
            </w:tcBorders>
          </w:tcPr>
          <w:p>
            <w:pPr>
              <w:pStyle w:val="TableParagraph"/>
              <w:rPr>
                <w:rFonts w:ascii="Times New Roman"/>
                <w:sz w:val="22"/>
              </w:rPr>
            </w:pPr>
          </w:p>
        </w:tc>
        <w:tc>
          <w:tcPr>
            <w:tcW w:w="1117" w:type="dxa"/>
            <w:tcBorders>
              <w:bottom w:val="nil"/>
            </w:tcBorders>
          </w:tcPr>
          <w:p>
            <w:pPr>
              <w:pStyle w:val="TableParagraph"/>
              <w:rPr>
                <w:rFonts w:ascii="Times New Roman"/>
                <w:sz w:val="22"/>
              </w:rPr>
            </w:pPr>
          </w:p>
        </w:tc>
        <w:tc>
          <w:tcPr>
            <w:tcW w:w="5755" w:type="dxa"/>
            <w:tcBorders>
              <w:bottom w:val="nil"/>
            </w:tcBorders>
          </w:tcPr>
          <w:p>
            <w:pPr>
              <w:pStyle w:val="TableParagraph"/>
              <w:spacing w:line="310" w:lineRule="atLeast"/>
              <w:ind w:left="108" w:right="96"/>
              <w:rPr>
                <w:sz w:val="24"/>
              </w:rPr>
            </w:pPr>
            <w:r>
              <w:rPr>
                <w:rFonts w:ascii="Cambria Math" w:eastAsia="Cambria Math" w:hAnsi="Cambria Math"/>
                <w:spacing w:val="-2"/>
                <w:sz w:val="24"/>
              </w:rPr>
              <w:t>①</w:t>
            </w:r>
            <w:r>
              <w:rPr>
                <w:spacing w:val="-6"/>
                <w:sz w:val="24"/>
              </w:rPr>
              <w:t xml:space="preserve">教职人员中有一名为本机构专职人员的得 </w:t>
            </w:r>
            <w:r>
              <w:rPr>
                <w:rFonts w:ascii="Times New Roman" w:eastAsia="Times New Roman" w:hAnsi="Times New Roman"/>
                <w:spacing w:val="-2"/>
                <w:sz w:val="24"/>
              </w:rPr>
              <w:t>2</w:t>
            </w:r>
            <w:r>
              <w:rPr>
                <w:rFonts w:ascii="Times New Roman" w:eastAsia="Times New Roman" w:hAnsi="Times New Roman"/>
                <w:spacing w:val="-13"/>
                <w:sz w:val="24"/>
              </w:rPr>
              <w:t xml:space="preserve"> </w:t>
            </w:r>
            <w:r>
              <w:rPr>
                <w:spacing w:val="-2"/>
                <w:sz w:val="24"/>
              </w:rPr>
              <w:t>分，每</w:t>
            </w:r>
            <w:r>
              <w:rPr>
                <w:spacing w:val="-10"/>
                <w:sz w:val="24"/>
              </w:rPr>
              <w:t xml:space="preserve">增加一名得 </w:t>
            </w:r>
            <w:r>
              <w:rPr>
                <w:rFonts w:ascii="Times New Roman" w:eastAsia="Times New Roman" w:hAnsi="Times New Roman"/>
                <w:sz w:val="24"/>
              </w:rPr>
              <w:t xml:space="preserve">2 </w:t>
            </w:r>
            <w:r>
              <w:rPr>
                <w:spacing w:val="-10"/>
                <w:sz w:val="24"/>
              </w:rPr>
              <w:t xml:space="preserve">分，最高得 </w:t>
            </w:r>
            <w:r>
              <w:rPr>
                <w:rFonts w:ascii="Times New Roman" w:eastAsia="Times New Roman" w:hAnsi="Times New Roman"/>
                <w:sz w:val="24"/>
              </w:rPr>
              <w:t xml:space="preserve">6 </w:t>
            </w:r>
            <w:r>
              <w:rPr>
                <w:spacing w:val="-1"/>
                <w:sz w:val="24"/>
              </w:rPr>
              <w:t>分。注：须提供专职人员</w:t>
            </w:r>
          </w:p>
        </w:tc>
      </w:tr>
      <w:tr>
        <w:tblPrEx>
          <w:tblW w:w="0" w:type="auto"/>
          <w:jc w:val="left"/>
          <w:tblInd w:w="120" w:type="dxa"/>
          <w:tblLayout w:type="fixed"/>
          <w:tblCellMar>
            <w:top w:w="0" w:type="dxa"/>
            <w:left w:w="0" w:type="dxa"/>
            <w:bottom w:w="0" w:type="dxa"/>
            <w:right w:w="0" w:type="dxa"/>
          </w:tblCellMar>
          <w:tblLook w:val="01E0"/>
        </w:tblPrEx>
        <w:trPr>
          <w:trHeight w:val="302"/>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82" w:lineRule="exact"/>
              <w:ind w:left="108"/>
              <w:rPr>
                <w:sz w:val="24"/>
              </w:rPr>
            </w:pPr>
            <w:r>
              <w:rPr>
                <w:spacing w:val="-1"/>
                <w:sz w:val="24"/>
              </w:rPr>
              <w:t>的资格证书和社保部门出具的投标人为该人员缴纳基</w:t>
            </w: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before="2" w:line="289" w:lineRule="exact"/>
              <w:ind w:left="108"/>
              <w:rPr>
                <w:sz w:val="24"/>
              </w:rPr>
            </w:pPr>
            <w:r>
              <w:rPr>
                <w:spacing w:val="-1"/>
                <w:sz w:val="24"/>
              </w:rPr>
              <w:t>本养老保险的证明复印件；原件现场提供，否则不得</w:t>
            </w:r>
          </w:p>
        </w:tc>
      </w:tr>
      <w:tr>
        <w:tblPrEx>
          <w:tblW w:w="0" w:type="auto"/>
          <w:jc w:val="left"/>
          <w:tblInd w:w="120" w:type="dxa"/>
          <w:tblLayout w:type="fixed"/>
          <w:tblCellMar>
            <w:top w:w="0" w:type="dxa"/>
            <w:left w:w="0" w:type="dxa"/>
            <w:bottom w:w="0" w:type="dxa"/>
            <w:right w:w="0" w:type="dxa"/>
          </w:tblCellMar>
          <w:tblLook w:val="01E0"/>
        </w:tblPrEx>
        <w:trPr>
          <w:trHeight w:val="307"/>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before="2" w:line="286" w:lineRule="exact"/>
              <w:ind w:left="108"/>
              <w:rPr>
                <w:sz w:val="24"/>
              </w:rPr>
            </w:pPr>
            <w:r>
              <w:rPr>
                <w:spacing w:val="-57"/>
                <w:sz w:val="24"/>
              </w:rPr>
              <w:t>分。</w:t>
            </w:r>
            <w:r>
              <w:rPr>
                <w:sz w:val="24"/>
              </w:rPr>
              <w:t>（</w:t>
            </w:r>
            <w:r>
              <w:rPr>
                <w:spacing w:val="-1"/>
                <w:sz w:val="24"/>
              </w:rPr>
              <w:t>专职人员资格证书包括与开办专业相关的中级</w:t>
            </w:r>
          </w:p>
        </w:tc>
      </w:tr>
      <w:tr>
        <w:tblPrEx>
          <w:tblW w:w="0" w:type="auto"/>
          <w:jc w:val="left"/>
          <w:tblInd w:w="120" w:type="dxa"/>
          <w:tblLayout w:type="fixed"/>
          <w:tblCellMar>
            <w:top w:w="0" w:type="dxa"/>
            <w:left w:w="0" w:type="dxa"/>
            <w:bottom w:w="0" w:type="dxa"/>
            <w:right w:w="0" w:type="dxa"/>
          </w:tblCellMar>
          <w:tblLook w:val="01E0"/>
        </w:tblPrEx>
        <w:trPr>
          <w:trHeight w:val="324"/>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spacing w:before="5" w:line="298" w:lineRule="exact"/>
              <w:ind w:left="97" w:right="88"/>
              <w:jc w:val="center"/>
              <w:rPr>
                <w:sz w:val="24"/>
              </w:rPr>
            </w:pPr>
            <w:r>
              <w:rPr>
                <w:spacing w:val="-3"/>
                <w:sz w:val="24"/>
              </w:rPr>
              <w:t>师资力量</w:t>
            </w:r>
          </w:p>
        </w:tc>
        <w:tc>
          <w:tcPr>
            <w:tcW w:w="1117" w:type="dxa"/>
            <w:tcBorders>
              <w:top w:val="nil"/>
              <w:bottom w:val="nil"/>
            </w:tcBorders>
          </w:tcPr>
          <w:p>
            <w:pPr>
              <w:pStyle w:val="TableParagraph"/>
              <w:spacing w:before="5" w:line="298" w:lineRule="exact"/>
              <w:ind w:left="273" w:right="263"/>
              <w:jc w:val="center"/>
              <w:rPr>
                <w:sz w:val="24"/>
              </w:rPr>
            </w:pPr>
            <w:r>
              <w:rPr>
                <w:rFonts w:ascii="Times New Roman" w:eastAsia="Times New Roman"/>
                <w:sz w:val="24"/>
              </w:rPr>
              <w:t xml:space="preserve">10 </w:t>
            </w:r>
            <w:r>
              <w:rPr>
                <w:spacing w:val="-10"/>
                <w:sz w:val="24"/>
              </w:rPr>
              <w:t>分</w:t>
            </w:r>
          </w:p>
        </w:tc>
        <w:tc>
          <w:tcPr>
            <w:tcW w:w="5755" w:type="dxa"/>
            <w:tcBorders>
              <w:top w:val="nil"/>
              <w:bottom w:val="nil"/>
            </w:tcBorders>
          </w:tcPr>
          <w:p>
            <w:pPr>
              <w:pStyle w:val="TableParagraph"/>
              <w:spacing w:before="5" w:line="298" w:lineRule="exact"/>
              <w:ind w:left="108"/>
              <w:rPr>
                <w:sz w:val="24"/>
              </w:rPr>
            </w:pPr>
            <w:r>
              <w:rPr>
                <w:sz w:val="24"/>
              </w:rPr>
              <w:t>及以上职称证书或高级工及以上国家职业资格证书</w:t>
            </w:r>
            <w:r>
              <w:rPr>
                <w:spacing w:val="-10"/>
                <w:sz w:val="24"/>
              </w:rPr>
              <w:t>）</w:t>
            </w:r>
          </w:p>
        </w:tc>
      </w:tr>
      <w:tr>
        <w:tblPrEx>
          <w:tblW w:w="0" w:type="auto"/>
          <w:jc w:val="left"/>
          <w:tblInd w:w="120" w:type="dxa"/>
          <w:tblLayout w:type="fixed"/>
          <w:tblCellMar>
            <w:top w:w="0" w:type="dxa"/>
            <w:left w:w="0" w:type="dxa"/>
            <w:bottom w:w="0" w:type="dxa"/>
            <w:right w:w="0" w:type="dxa"/>
          </w:tblCellMar>
          <w:tblLook w:val="01E0"/>
        </w:tblPrEx>
        <w:trPr>
          <w:trHeight w:val="622"/>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300" w:lineRule="exact"/>
              <w:ind w:left="108"/>
              <w:rPr>
                <w:sz w:val="24"/>
              </w:rPr>
            </w:pPr>
            <w:r>
              <w:rPr>
                <w:rFonts w:ascii="Cambria Math" w:eastAsia="Cambria Math" w:hAnsi="Cambria Math"/>
                <w:sz w:val="24"/>
              </w:rPr>
              <w:t>②</w:t>
            </w:r>
            <w:r>
              <w:rPr>
                <w:spacing w:val="9"/>
                <w:sz w:val="24"/>
              </w:rPr>
              <w:t>提供的教师队伍中具有副教授及以上专业技术职</w:t>
            </w:r>
          </w:p>
          <w:p>
            <w:pPr>
              <w:pStyle w:val="TableParagraph"/>
              <w:spacing w:before="3" w:line="298" w:lineRule="exact"/>
              <w:ind w:left="108"/>
              <w:rPr>
                <w:sz w:val="24"/>
              </w:rPr>
            </w:pPr>
            <w:r>
              <w:rPr>
                <w:sz w:val="24"/>
              </w:rPr>
              <w:t>务（或一级以上国家职业资格）</w:t>
            </w:r>
            <w:r>
              <w:rPr>
                <w:spacing w:val="-20"/>
                <w:sz w:val="24"/>
              </w:rPr>
              <w:t xml:space="preserve">的得 </w:t>
            </w:r>
            <w:r>
              <w:rPr>
                <w:rFonts w:ascii="Times New Roman" w:eastAsia="Times New Roman"/>
                <w:sz w:val="24"/>
              </w:rPr>
              <w:t xml:space="preserve">2 </w:t>
            </w:r>
            <w:r>
              <w:rPr>
                <w:spacing w:val="-2"/>
                <w:sz w:val="24"/>
              </w:rPr>
              <w:t>分，没有则不</w:t>
            </w:r>
          </w:p>
        </w:tc>
      </w:tr>
      <w:tr>
        <w:tblPrEx>
          <w:tblW w:w="0" w:type="auto"/>
          <w:jc w:val="left"/>
          <w:tblInd w:w="120" w:type="dxa"/>
          <w:tblLayout w:type="fixed"/>
          <w:tblCellMar>
            <w:top w:w="0" w:type="dxa"/>
            <w:left w:w="0" w:type="dxa"/>
            <w:bottom w:w="0" w:type="dxa"/>
            <w:right w:w="0" w:type="dxa"/>
          </w:tblCellMar>
          <w:tblLook w:val="01E0"/>
        </w:tblPrEx>
        <w:trPr>
          <w:trHeight w:val="302"/>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82" w:lineRule="exact"/>
              <w:ind w:left="108"/>
              <w:rPr>
                <w:sz w:val="24"/>
              </w:rPr>
            </w:pPr>
            <w:r>
              <w:rPr>
                <w:spacing w:val="-4"/>
                <w:sz w:val="24"/>
              </w:rPr>
              <w:t>得分。</w:t>
            </w:r>
          </w:p>
        </w:tc>
      </w:tr>
      <w:tr>
        <w:tblPrEx>
          <w:tblW w:w="0" w:type="auto"/>
          <w:jc w:val="left"/>
          <w:tblInd w:w="120" w:type="dxa"/>
          <w:tblLayout w:type="fixed"/>
          <w:tblCellMar>
            <w:top w:w="0" w:type="dxa"/>
            <w:left w:w="0" w:type="dxa"/>
            <w:bottom w:w="0" w:type="dxa"/>
            <w:right w:w="0" w:type="dxa"/>
          </w:tblCellMar>
          <w:tblLook w:val="01E0"/>
        </w:tblPrEx>
        <w:trPr>
          <w:trHeight w:val="307"/>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before="2" w:line="286" w:lineRule="exact"/>
              <w:ind w:left="108"/>
              <w:rPr>
                <w:sz w:val="24"/>
              </w:rPr>
            </w:pPr>
            <w:r>
              <w:rPr>
                <w:spacing w:val="-1"/>
                <w:sz w:val="24"/>
              </w:rPr>
              <w:t>③根据各培训学校提供的就业服务人员人数及工作经</w:t>
            </w:r>
          </w:p>
        </w:tc>
      </w:tr>
      <w:tr>
        <w:tblPrEx>
          <w:tblW w:w="0" w:type="auto"/>
          <w:jc w:val="left"/>
          <w:tblInd w:w="120" w:type="dxa"/>
          <w:tblLayout w:type="fixed"/>
          <w:tblCellMar>
            <w:top w:w="0" w:type="dxa"/>
            <w:left w:w="0" w:type="dxa"/>
            <w:bottom w:w="0" w:type="dxa"/>
            <w:right w:w="0" w:type="dxa"/>
          </w:tblCellMar>
          <w:tblLook w:val="01E0"/>
        </w:tblPrEx>
        <w:trPr>
          <w:trHeight w:val="313"/>
          <w:jc w:val="left"/>
        </w:trPr>
        <w:tc>
          <w:tcPr>
            <w:tcW w:w="754" w:type="dxa"/>
            <w:tcBorders>
              <w:top w:val="nil"/>
            </w:tcBorders>
          </w:tcPr>
          <w:p>
            <w:pPr>
              <w:pStyle w:val="TableParagraph"/>
              <w:rPr>
                <w:rFonts w:ascii="Times New Roman"/>
                <w:sz w:val="22"/>
              </w:rPr>
            </w:pPr>
          </w:p>
        </w:tc>
        <w:tc>
          <w:tcPr>
            <w:tcW w:w="778" w:type="dxa"/>
            <w:tcBorders>
              <w:top w:val="nil"/>
            </w:tcBorders>
          </w:tcPr>
          <w:p>
            <w:pPr>
              <w:pStyle w:val="TableParagraph"/>
              <w:rPr>
                <w:rFonts w:ascii="Times New Roman"/>
                <w:sz w:val="22"/>
              </w:rPr>
            </w:pPr>
          </w:p>
        </w:tc>
        <w:tc>
          <w:tcPr>
            <w:tcW w:w="1183" w:type="dxa"/>
            <w:tcBorders>
              <w:top w:val="nil"/>
            </w:tcBorders>
          </w:tcPr>
          <w:p>
            <w:pPr>
              <w:pStyle w:val="TableParagraph"/>
              <w:rPr>
                <w:rFonts w:ascii="Times New Roman"/>
                <w:sz w:val="22"/>
              </w:rPr>
            </w:pPr>
          </w:p>
        </w:tc>
        <w:tc>
          <w:tcPr>
            <w:tcW w:w="1117" w:type="dxa"/>
            <w:tcBorders>
              <w:top w:val="nil"/>
            </w:tcBorders>
          </w:tcPr>
          <w:p>
            <w:pPr>
              <w:pStyle w:val="TableParagraph"/>
              <w:rPr>
                <w:rFonts w:ascii="Times New Roman"/>
                <w:sz w:val="22"/>
              </w:rPr>
            </w:pPr>
          </w:p>
        </w:tc>
        <w:tc>
          <w:tcPr>
            <w:tcW w:w="5755" w:type="dxa"/>
            <w:tcBorders>
              <w:top w:val="nil"/>
            </w:tcBorders>
          </w:tcPr>
          <w:p>
            <w:pPr>
              <w:pStyle w:val="TableParagraph"/>
              <w:spacing w:before="5" w:line="288" w:lineRule="exact"/>
              <w:ind w:left="108"/>
              <w:rPr>
                <w:sz w:val="24"/>
              </w:rPr>
            </w:pPr>
            <w:r>
              <w:rPr>
                <w:spacing w:val="-8"/>
                <w:sz w:val="24"/>
              </w:rPr>
              <w:t xml:space="preserve">历等情况酌情给 </w:t>
            </w:r>
            <w:r>
              <w:rPr>
                <w:rFonts w:ascii="Times New Roman" w:eastAsia="Times New Roman"/>
                <w:sz w:val="24"/>
              </w:rPr>
              <w:t xml:space="preserve">0-2 </w:t>
            </w:r>
            <w:r>
              <w:rPr>
                <w:spacing w:val="-5"/>
                <w:sz w:val="24"/>
              </w:rPr>
              <w:t>分。</w:t>
            </w:r>
          </w:p>
        </w:tc>
      </w:tr>
      <w:tr>
        <w:tblPrEx>
          <w:tblW w:w="0" w:type="auto"/>
          <w:jc w:val="left"/>
          <w:tblInd w:w="120" w:type="dxa"/>
          <w:tblLayout w:type="fixed"/>
          <w:tblCellMar>
            <w:top w:w="0" w:type="dxa"/>
            <w:left w:w="0" w:type="dxa"/>
            <w:bottom w:w="0" w:type="dxa"/>
            <w:right w:w="0" w:type="dxa"/>
          </w:tblCellMar>
          <w:tblLook w:val="01E0"/>
        </w:tblPrEx>
        <w:trPr>
          <w:trHeight w:val="1567"/>
          <w:jc w:val="left"/>
        </w:trPr>
        <w:tc>
          <w:tcPr>
            <w:tcW w:w="754" w:type="dxa"/>
            <w:tcBorders>
              <w:bottom w:val="nil"/>
            </w:tcBorders>
          </w:tcPr>
          <w:p>
            <w:pPr>
              <w:pStyle w:val="TableParagraph"/>
              <w:rPr>
                <w:rFonts w:ascii="微软雅黑"/>
                <w:b/>
                <w:sz w:val="26"/>
              </w:rPr>
            </w:pPr>
          </w:p>
          <w:p>
            <w:pPr>
              <w:pStyle w:val="TableParagraph"/>
              <w:spacing w:before="11"/>
              <w:rPr>
                <w:rFonts w:ascii="微软雅黑"/>
                <w:b/>
                <w:sz w:val="25"/>
              </w:rPr>
            </w:pPr>
          </w:p>
          <w:p>
            <w:pPr>
              <w:pStyle w:val="TableParagraph"/>
              <w:ind w:left="10"/>
              <w:jc w:val="center"/>
              <w:rPr>
                <w:rFonts w:ascii="Times New Roman"/>
                <w:sz w:val="24"/>
              </w:rPr>
            </w:pPr>
            <w:r>
              <w:rPr>
                <w:rFonts w:ascii="Times New Roman"/>
                <w:sz w:val="24"/>
              </w:rPr>
              <w:t>2</w:t>
            </w:r>
          </w:p>
        </w:tc>
        <w:tc>
          <w:tcPr>
            <w:tcW w:w="778" w:type="dxa"/>
            <w:tcBorders>
              <w:bottom w:val="nil"/>
            </w:tcBorders>
          </w:tcPr>
          <w:p>
            <w:pPr>
              <w:pStyle w:val="TableParagraph"/>
              <w:spacing w:before="8"/>
              <w:rPr>
                <w:rFonts w:ascii="微软雅黑"/>
                <w:b/>
                <w:sz w:val="33"/>
              </w:rPr>
            </w:pPr>
          </w:p>
          <w:p>
            <w:pPr>
              <w:pStyle w:val="TableParagraph"/>
              <w:spacing w:before="1" w:line="310" w:lineRule="atLeast"/>
              <w:ind w:left="173" w:right="54"/>
              <w:jc w:val="center"/>
              <w:rPr>
                <w:sz w:val="24"/>
              </w:rPr>
            </w:pPr>
            <w:r>
              <w:rPr>
                <w:spacing w:val="-6"/>
                <w:sz w:val="24"/>
              </w:rPr>
              <w:t>资信</w:t>
            </w:r>
            <w:r>
              <w:rPr>
                <w:spacing w:val="-10"/>
                <w:sz w:val="24"/>
              </w:rPr>
              <w:t>分</w:t>
            </w:r>
            <w:r>
              <w:rPr>
                <w:sz w:val="24"/>
              </w:rPr>
              <w:t xml:space="preserve"> </w:t>
            </w:r>
            <w:r>
              <w:rPr>
                <w:rFonts w:ascii="Times New Roman" w:eastAsia="Times New Roman"/>
                <w:sz w:val="24"/>
              </w:rPr>
              <w:t>15</w:t>
            </w:r>
            <w:r>
              <w:rPr>
                <w:rFonts w:ascii="Times New Roman" w:eastAsia="Times New Roman"/>
                <w:spacing w:val="-15"/>
                <w:sz w:val="24"/>
              </w:rPr>
              <w:t xml:space="preserve"> </w:t>
            </w:r>
            <w:r>
              <w:rPr>
                <w:sz w:val="24"/>
              </w:rPr>
              <w:t>分</w:t>
            </w:r>
          </w:p>
        </w:tc>
        <w:tc>
          <w:tcPr>
            <w:tcW w:w="1183" w:type="dxa"/>
            <w:tcBorders>
              <w:bottom w:val="nil"/>
            </w:tcBorders>
          </w:tcPr>
          <w:p>
            <w:pPr>
              <w:pStyle w:val="TableParagraph"/>
              <w:rPr>
                <w:rFonts w:ascii="微软雅黑"/>
                <w:b/>
                <w:sz w:val="24"/>
              </w:rPr>
            </w:pPr>
          </w:p>
          <w:p>
            <w:pPr>
              <w:pStyle w:val="TableParagraph"/>
              <w:spacing w:before="15"/>
              <w:rPr>
                <w:rFonts w:ascii="微软雅黑"/>
                <w:b/>
                <w:sz w:val="26"/>
              </w:rPr>
            </w:pPr>
          </w:p>
          <w:p>
            <w:pPr>
              <w:pStyle w:val="TableParagraph"/>
              <w:spacing w:before="1"/>
              <w:ind w:left="97" w:right="88"/>
              <w:jc w:val="center"/>
              <w:rPr>
                <w:sz w:val="24"/>
              </w:rPr>
            </w:pPr>
            <w:r>
              <w:rPr>
                <w:spacing w:val="-5"/>
                <w:sz w:val="24"/>
              </w:rPr>
              <w:t>荣誉</w:t>
            </w:r>
          </w:p>
        </w:tc>
        <w:tc>
          <w:tcPr>
            <w:tcW w:w="1117" w:type="dxa"/>
            <w:tcBorders>
              <w:bottom w:val="nil"/>
            </w:tcBorders>
          </w:tcPr>
          <w:p>
            <w:pPr>
              <w:pStyle w:val="TableParagraph"/>
              <w:rPr>
                <w:rFonts w:ascii="微软雅黑"/>
                <w:b/>
                <w:sz w:val="26"/>
              </w:rPr>
            </w:pPr>
          </w:p>
          <w:p>
            <w:pPr>
              <w:pStyle w:val="TableParagraph"/>
              <w:spacing w:before="15"/>
              <w:rPr>
                <w:rFonts w:ascii="微软雅黑"/>
                <w:b/>
                <w:sz w:val="24"/>
              </w:rPr>
            </w:pPr>
          </w:p>
          <w:p>
            <w:pPr>
              <w:pStyle w:val="TableParagraph"/>
              <w:spacing w:before="1"/>
              <w:ind w:left="273" w:right="263"/>
              <w:jc w:val="center"/>
              <w:rPr>
                <w:sz w:val="24"/>
              </w:rPr>
            </w:pPr>
            <w:r>
              <w:rPr>
                <w:rFonts w:ascii="Times New Roman" w:eastAsia="Times New Roman"/>
                <w:sz w:val="24"/>
              </w:rPr>
              <w:t xml:space="preserve">3 </w:t>
            </w:r>
            <w:r>
              <w:rPr>
                <w:spacing w:val="-10"/>
                <w:sz w:val="24"/>
              </w:rPr>
              <w:t>分</w:t>
            </w:r>
          </w:p>
        </w:tc>
        <w:tc>
          <w:tcPr>
            <w:tcW w:w="5755" w:type="dxa"/>
            <w:tcBorders>
              <w:bottom w:val="nil"/>
            </w:tcBorders>
          </w:tcPr>
          <w:p>
            <w:pPr>
              <w:pStyle w:val="TableParagraph"/>
              <w:spacing w:line="310" w:lineRule="atLeast"/>
              <w:ind w:left="108" w:right="96"/>
              <w:jc w:val="both"/>
              <w:rPr>
                <w:sz w:val="24"/>
              </w:rPr>
            </w:pPr>
            <w:r>
              <w:rPr>
                <w:rFonts w:ascii="Times New Roman" w:eastAsia="Times New Roman"/>
                <w:spacing w:val="-4"/>
                <w:sz w:val="24"/>
              </w:rPr>
              <w:t>2012</w:t>
            </w:r>
            <w:r>
              <w:rPr>
                <w:rFonts w:ascii="Times New Roman" w:eastAsia="Times New Roman"/>
                <w:spacing w:val="-11"/>
                <w:sz w:val="24"/>
              </w:rPr>
              <w:t xml:space="preserve"> </w:t>
            </w:r>
            <w:r>
              <w:rPr>
                <w:spacing w:val="-15"/>
                <w:sz w:val="24"/>
              </w:rPr>
              <w:t xml:space="preserve">年 </w:t>
            </w:r>
            <w:r>
              <w:rPr>
                <w:rFonts w:ascii="Times New Roman" w:eastAsia="Times New Roman"/>
                <w:spacing w:val="-4"/>
                <w:sz w:val="24"/>
              </w:rPr>
              <w:t>1</w:t>
            </w:r>
            <w:r>
              <w:rPr>
                <w:rFonts w:ascii="Times New Roman" w:eastAsia="Times New Roman"/>
                <w:spacing w:val="-11"/>
                <w:sz w:val="24"/>
              </w:rPr>
              <w:t xml:space="preserve"> </w:t>
            </w:r>
            <w:r>
              <w:rPr>
                <w:spacing w:val="-15"/>
                <w:sz w:val="24"/>
              </w:rPr>
              <w:t xml:space="preserve">月 </w:t>
            </w:r>
            <w:r>
              <w:rPr>
                <w:rFonts w:ascii="Times New Roman" w:eastAsia="Times New Roman"/>
                <w:spacing w:val="-4"/>
                <w:sz w:val="24"/>
              </w:rPr>
              <w:t>1</w:t>
            </w:r>
            <w:r>
              <w:rPr>
                <w:rFonts w:ascii="Times New Roman" w:eastAsia="Times New Roman"/>
                <w:spacing w:val="-11"/>
                <w:sz w:val="24"/>
              </w:rPr>
              <w:t xml:space="preserve"> </w:t>
            </w:r>
            <w:r>
              <w:rPr>
                <w:spacing w:val="-4"/>
                <w:sz w:val="24"/>
              </w:rPr>
              <w:t>日以来，获得县级政府部门颁发的荣誉</w:t>
            </w:r>
            <w:r>
              <w:rPr>
                <w:spacing w:val="-15"/>
                <w:sz w:val="24"/>
              </w:rPr>
              <w:t xml:space="preserve">得 </w:t>
            </w:r>
            <w:r>
              <w:rPr>
                <w:rFonts w:ascii="Times New Roman" w:eastAsia="Times New Roman"/>
                <w:sz w:val="24"/>
              </w:rPr>
              <w:t>1</w:t>
            </w:r>
            <w:r>
              <w:rPr>
                <w:rFonts w:ascii="Times New Roman" w:eastAsia="Times New Roman"/>
                <w:spacing w:val="-15"/>
                <w:sz w:val="24"/>
              </w:rPr>
              <w:t xml:space="preserve"> </w:t>
            </w:r>
            <w:r>
              <w:rPr>
                <w:spacing w:val="-2"/>
                <w:sz w:val="24"/>
              </w:rPr>
              <w:t xml:space="preserve">分，市级政府部门颁发的荣誉得 </w:t>
            </w:r>
            <w:r>
              <w:rPr>
                <w:rFonts w:ascii="Times New Roman" w:eastAsia="Times New Roman"/>
                <w:sz w:val="24"/>
              </w:rPr>
              <w:t>1.5</w:t>
            </w:r>
            <w:r>
              <w:rPr>
                <w:rFonts w:ascii="Times New Roman" w:eastAsia="Times New Roman"/>
                <w:spacing w:val="-5"/>
                <w:sz w:val="24"/>
              </w:rPr>
              <w:t xml:space="preserve"> </w:t>
            </w:r>
            <w:r>
              <w:rPr>
                <w:sz w:val="24"/>
              </w:rPr>
              <w:t>分，省级政</w:t>
            </w:r>
            <w:r>
              <w:rPr>
                <w:spacing w:val="-5"/>
                <w:sz w:val="24"/>
              </w:rPr>
              <w:t xml:space="preserve">府部门颁发的荣誉得 </w:t>
            </w:r>
            <w:r>
              <w:rPr>
                <w:rFonts w:ascii="Times New Roman" w:eastAsia="Times New Roman"/>
                <w:spacing w:val="-2"/>
                <w:sz w:val="24"/>
              </w:rPr>
              <w:t>2</w:t>
            </w:r>
            <w:r>
              <w:rPr>
                <w:rFonts w:ascii="Times New Roman" w:eastAsia="Times New Roman"/>
                <w:spacing w:val="-6"/>
                <w:sz w:val="24"/>
              </w:rPr>
              <w:t xml:space="preserve"> </w:t>
            </w:r>
            <w:r>
              <w:rPr>
                <w:spacing w:val="-2"/>
                <w:sz w:val="24"/>
              </w:rPr>
              <w:t>分，国家级政府部门颁发的荣</w:t>
            </w:r>
            <w:r>
              <w:rPr>
                <w:spacing w:val="-10"/>
                <w:sz w:val="24"/>
              </w:rPr>
              <w:t xml:space="preserve">誉得 </w:t>
            </w:r>
            <w:r>
              <w:rPr>
                <w:rFonts w:ascii="Times New Roman" w:eastAsia="Times New Roman"/>
                <w:sz w:val="24"/>
              </w:rPr>
              <w:t>3</w:t>
            </w:r>
            <w:r>
              <w:rPr>
                <w:rFonts w:ascii="Times New Roman" w:eastAsia="Times New Roman"/>
                <w:spacing w:val="-15"/>
                <w:sz w:val="24"/>
              </w:rPr>
              <w:t xml:space="preserve"> </w:t>
            </w:r>
            <w:r>
              <w:rPr>
                <w:spacing w:val="-18"/>
                <w:sz w:val="24"/>
              </w:rPr>
              <w:t xml:space="preserve">分，重复的荣誉以最高荣誉为准，本项最高得 </w:t>
            </w:r>
            <w:r>
              <w:rPr>
                <w:rFonts w:ascii="Times New Roman" w:eastAsia="Times New Roman"/>
                <w:sz w:val="24"/>
              </w:rPr>
              <w:t>3</w:t>
            </w:r>
            <w:r>
              <w:rPr>
                <w:spacing w:val="-6"/>
                <w:sz w:val="24"/>
              </w:rPr>
              <w:t>分。</w:t>
            </w:r>
          </w:p>
        </w:tc>
      </w:tr>
      <w:tr>
        <w:tblPrEx>
          <w:tblW w:w="0" w:type="auto"/>
          <w:jc w:val="left"/>
          <w:tblInd w:w="120" w:type="dxa"/>
          <w:tblLayout w:type="fixed"/>
          <w:tblCellMar>
            <w:top w:w="0" w:type="dxa"/>
            <w:left w:w="0" w:type="dxa"/>
            <w:bottom w:w="0" w:type="dxa"/>
            <w:right w:w="0" w:type="dxa"/>
          </w:tblCellMar>
          <w:tblLook w:val="01E0"/>
        </w:tblPrEx>
        <w:trPr>
          <w:trHeight w:val="302"/>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82" w:lineRule="exact"/>
              <w:ind w:left="108" w:right="-130"/>
              <w:rPr>
                <w:sz w:val="24"/>
              </w:rPr>
            </w:pPr>
            <w:r>
              <w:rPr>
                <w:spacing w:val="-1"/>
                <w:sz w:val="24"/>
              </w:rPr>
              <w:t>须提供政府部门颁发的与培训相关的荣誉证书复印件，</w:t>
            </w:r>
          </w:p>
        </w:tc>
      </w:tr>
      <w:tr>
        <w:tblPrEx>
          <w:tblW w:w="0" w:type="auto"/>
          <w:jc w:val="left"/>
          <w:tblInd w:w="120" w:type="dxa"/>
          <w:tblLayout w:type="fixed"/>
          <w:tblCellMar>
            <w:top w:w="0" w:type="dxa"/>
            <w:left w:w="0" w:type="dxa"/>
            <w:bottom w:w="0" w:type="dxa"/>
            <w:right w:w="0" w:type="dxa"/>
          </w:tblCellMar>
          <w:tblLook w:val="01E0"/>
        </w:tblPrEx>
        <w:trPr>
          <w:trHeight w:val="309"/>
          <w:jc w:val="left"/>
        </w:trPr>
        <w:tc>
          <w:tcPr>
            <w:tcW w:w="754" w:type="dxa"/>
            <w:tcBorders>
              <w:top w:val="nil"/>
              <w:bottom w:val="nil"/>
            </w:tcBorders>
          </w:tcPr>
          <w:p>
            <w:pPr>
              <w:pStyle w:val="TableParagraph"/>
              <w:rPr>
                <w:rFonts w:ascii="Times New Roman"/>
                <w:sz w:val="22"/>
              </w:rPr>
            </w:pPr>
          </w:p>
        </w:tc>
        <w:tc>
          <w:tcPr>
            <w:tcW w:w="778" w:type="dxa"/>
            <w:tcBorders>
              <w:top w:val="nil"/>
              <w:bottom w:val="nil"/>
            </w:tcBorders>
          </w:tcPr>
          <w:p>
            <w:pPr>
              <w:pStyle w:val="TableParagraph"/>
              <w:rPr>
                <w:rFonts w:ascii="Times New Roman"/>
                <w:sz w:val="22"/>
              </w:rPr>
            </w:pPr>
          </w:p>
        </w:tc>
        <w:tc>
          <w:tcPr>
            <w:tcW w:w="1183" w:type="dxa"/>
            <w:tcBorders>
              <w:top w:val="nil"/>
            </w:tcBorders>
          </w:tcPr>
          <w:p>
            <w:pPr>
              <w:pStyle w:val="TableParagraph"/>
              <w:rPr>
                <w:rFonts w:ascii="Times New Roman"/>
                <w:sz w:val="22"/>
              </w:rPr>
            </w:pPr>
          </w:p>
        </w:tc>
        <w:tc>
          <w:tcPr>
            <w:tcW w:w="1117" w:type="dxa"/>
            <w:tcBorders>
              <w:top w:val="nil"/>
            </w:tcBorders>
          </w:tcPr>
          <w:p>
            <w:pPr>
              <w:pStyle w:val="TableParagraph"/>
              <w:rPr>
                <w:rFonts w:ascii="Times New Roman"/>
                <w:sz w:val="22"/>
              </w:rPr>
            </w:pPr>
          </w:p>
        </w:tc>
        <w:tc>
          <w:tcPr>
            <w:tcW w:w="5755" w:type="dxa"/>
            <w:tcBorders>
              <w:top w:val="nil"/>
            </w:tcBorders>
          </w:tcPr>
          <w:p>
            <w:pPr>
              <w:pStyle w:val="TableParagraph"/>
              <w:spacing w:before="2" w:line="288" w:lineRule="exact"/>
              <w:ind w:left="108"/>
              <w:rPr>
                <w:sz w:val="24"/>
              </w:rPr>
            </w:pPr>
            <w:r>
              <w:rPr>
                <w:spacing w:val="-1"/>
                <w:sz w:val="24"/>
              </w:rPr>
              <w:t>原件现场提供，否则不得分。</w:t>
            </w:r>
          </w:p>
        </w:tc>
      </w:tr>
    </w:tbl>
    <w:p>
      <w:pPr>
        <w:spacing w:after="0" w:line="288" w:lineRule="exact"/>
        <w:rPr>
          <w:sz w:val="24"/>
        </w:rPr>
        <w:sectPr>
          <w:footerReference w:type="default" r:id="rId17"/>
          <w:pgSz w:w="11910" w:h="16840"/>
          <w:pgMar w:top="1200" w:right="800" w:bottom="1180" w:left="1020" w:header="0" w:footer="990"/>
          <w:pgNumType w:start="14"/>
          <w:cols w:space="708"/>
        </w:sectPr>
      </w:pPr>
    </w:p>
    <w:p>
      <w:pPr>
        <w:pStyle w:val="BodyText"/>
        <w:rPr>
          <w:rFonts w:ascii="微软雅黑"/>
          <w:b/>
          <w:sz w:val="2"/>
        </w:rPr>
      </w:pPr>
    </w:p>
    <w:tbl>
      <w:tblPr>
        <w:tblStyle w:val="TableNormal3"/>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4"/>
        <w:gridCol w:w="778"/>
        <w:gridCol w:w="1183"/>
        <w:gridCol w:w="1117"/>
        <w:gridCol w:w="5755"/>
      </w:tblGrid>
      <w:tr>
        <w:tblPrEx>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3"/>
          <w:jc w:val="left"/>
        </w:trPr>
        <w:tc>
          <w:tcPr>
            <w:tcW w:w="754" w:type="dxa"/>
            <w:vMerge w:val="restart"/>
          </w:tcPr>
          <w:p>
            <w:pPr>
              <w:pStyle w:val="TableParagraph"/>
              <w:rPr>
                <w:rFonts w:ascii="Times New Roman"/>
                <w:sz w:val="24"/>
              </w:rPr>
            </w:pPr>
          </w:p>
        </w:tc>
        <w:tc>
          <w:tcPr>
            <w:tcW w:w="778" w:type="dxa"/>
            <w:vMerge w:val="restart"/>
          </w:tcPr>
          <w:p>
            <w:pPr>
              <w:pStyle w:val="TableParagraph"/>
              <w:rPr>
                <w:rFonts w:ascii="Times New Roman"/>
                <w:sz w:val="24"/>
              </w:rPr>
            </w:pPr>
          </w:p>
        </w:tc>
        <w:tc>
          <w:tcPr>
            <w:tcW w:w="1183" w:type="dxa"/>
            <w:tcBorders>
              <w:bottom w:val="nil"/>
            </w:tcBorders>
          </w:tcPr>
          <w:p>
            <w:pPr>
              <w:pStyle w:val="TableParagraph"/>
              <w:rPr>
                <w:rFonts w:ascii="Times New Roman"/>
                <w:sz w:val="22"/>
              </w:rPr>
            </w:pPr>
          </w:p>
        </w:tc>
        <w:tc>
          <w:tcPr>
            <w:tcW w:w="1117" w:type="dxa"/>
            <w:tcBorders>
              <w:bottom w:val="nil"/>
            </w:tcBorders>
          </w:tcPr>
          <w:p>
            <w:pPr>
              <w:pStyle w:val="TableParagraph"/>
              <w:rPr>
                <w:rFonts w:ascii="Times New Roman"/>
                <w:sz w:val="22"/>
              </w:rPr>
            </w:pPr>
          </w:p>
        </w:tc>
        <w:tc>
          <w:tcPr>
            <w:tcW w:w="5755" w:type="dxa"/>
            <w:tcBorders>
              <w:bottom w:val="nil"/>
            </w:tcBorders>
          </w:tcPr>
          <w:p>
            <w:pPr>
              <w:pStyle w:val="TableParagraph"/>
              <w:spacing w:before="3" w:line="290" w:lineRule="exact"/>
              <w:ind w:left="108"/>
              <w:rPr>
                <w:sz w:val="24"/>
              </w:rPr>
            </w:pPr>
            <w:r>
              <w:rPr>
                <w:rFonts w:ascii="Times New Roman" w:eastAsia="Times New Roman"/>
                <w:sz w:val="24"/>
              </w:rPr>
              <w:t xml:space="preserve">2012 </w:t>
            </w:r>
            <w:r>
              <w:rPr>
                <w:spacing w:val="-30"/>
                <w:sz w:val="24"/>
              </w:rPr>
              <w:t xml:space="preserve">年 </w:t>
            </w:r>
            <w:r>
              <w:rPr>
                <w:rFonts w:ascii="Times New Roman" w:eastAsia="Times New Roman"/>
                <w:sz w:val="24"/>
              </w:rPr>
              <w:t xml:space="preserve">1 </w:t>
            </w:r>
            <w:r>
              <w:rPr>
                <w:spacing w:val="-30"/>
                <w:sz w:val="24"/>
              </w:rPr>
              <w:t xml:space="preserve">月 </w:t>
            </w:r>
            <w:r>
              <w:rPr>
                <w:rFonts w:ascii="Times New Roman" w:eastAsia="Times New Roman"/>
                <w:sz w:val="24"/>
              </w:rPr>
              <w:t xml:space="preserve">1 </w:t>
            </w:r>
            <w:r>
              <w:rPr>
                <w:spacing w:val="-11"/>
                <w:sz w:val="24"/>
              </w:rPr>
              <w:t>日以来，承接政府部门培训任务</w:t>
            </w:r>
            <w:r>
              <w:rPr>
                <w:rFonts w:ascii="Times New Roman" w:eastAsia="Times New Roman"/>
                <w:sz w:val="24"/>
              </w:rPr>
              <w:t>,</w:t>
            </w:r>
            <w:r>
              <w:rPr>
                <w:spacing w:val="-4"/>
                <w:sz w:val="24"/>
              </w:rPr>
              <w:t>累计培</w:t>
            </w:r>
          </w:p>
        </w:tc>
      </w:tr>
      <w:tr>
        <w:tblPrEx>
          <w:tblW w:w="0" w:type="auto"/>
          <w:jc w:val="left"/>
          <w:tblInd w:w="120" w:type="dxa"/>
          <w:tblLayout w:type="fixed"/>
          <w:tblCellMar>
            <w:top w:w="0" w:type="dxa"/>
            <w:left w:w="0" w:type="dxa"/>
            <w:bottom w:w="0" w:type="dxa"/>
            <w:right w:w="0" w:type="dxa"/>
          </w:tblCellMar>
          <w:tblLook w:val="01E0"/>
        </w:tblPrEx>
        <w:trPr>
          <w:trHeight w:val="301"/>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81" w:lineRule="exact"/>
              <w:ind w:left="108"/>
              <w:rPr>
                <w:sz w:val="24"/>
              </w:rPr>
            </w:pPr>
            <w:r>
              <w:rPr>
                <w:spacing w:val="11"/>
                <w:sz w:val="24"/>
              </w:rPr>
              <w:t xml:space="preserve">训审核合格后补助人数≥ </w:t>
            </w:r>
            <w:r>
              <w:rPr>
                <w:rFonts w:ascii="Times New Roman" w:eastAsia="Times New Roman" w:hAnsi="Times New Roman"/>
                <w:sz w:val="24"/>
              </w:rPr>
              <w:t xml:space="preserve">1500 </w:t>
            </w:r>
            <w:r>
              <w:rPr>
                <w:spacing w:val="24"/>
                <w:sz w:val="24"/>
              </w:rPr>
              <w:t>人</w:t>
            </w:r>
            <w:r>
              <w:rPr>
                <w:sz w:val="24"/>
              </w:rPr>
              <w:t>（</w:t>
            </w:r>
            <w:r>
              <w:rPr>
                <w:spacing w:val="-36"/>
                <w:sz w:val="24"/>
              </w:rPr>
              <w:t xml:space="preserve"> 次</w:t>
            </w:r>
            <w:r>
              <w:rPr>
                <w:sz w:val="24"/>
              </w:rPr>
              <w:t>）</w:t>
            </w:r>
            <w:r>
              <w:rPr>
                <w:spacing w:val="-44"/>
                <w:sz w:val="24"/>
              </w:rPr>
              <w:t xml:space="preserve"> 得 </w:t>
            </w:r>
            <w:r>
              <w:rPr>
                <w:rFonts w:ascii="Times New Roman" w:eastAsia="Times New Roman" w:hAnsi="Times New Roman"/>
                <w:sz w:val="24"/>
              </w:rPr>
              <w:t xml:space="preserve">8 </w:t>
            </w:r>
            <w:r>
              <w:rPr>
                <w:spacing w:val="7"/>
                <w:sz w:val="24"/>
              </w:rPr>
              <w:t>分，</w:t>
            </w:r>
          </w:p>
        </w:tc>
      </w:tr>
      <w:tr>
        <w:tblPrEx>
          <w:tblW w:w="0" w:type="auto"/>
          <w:jc w:val="left"/>
          <w:tblInd w:w="120" w:type="dxa"/>
          <w:tblLayout w:type="fixed"/>
          <w:tblCellMar>
            <w:top w:w="0" w:type="dxa"/>
            <w:left w:w="0" w:type="dxa"/>
            <w:bottom w:w="0" w:type="dxa"/>
            <w:right w:w="0" w:type="dxa"/>
          </w:tblCellMar>
          <w:tblLook w:val="01E0"/>
        </w:tblPrEx>
        <w:trPr>
          <w:trHeight w:val="301"/>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81" w:lineRule="exact"/>
              <w:ind w:left="108"/>
              <w:rPr>
                <w:rFonts w:ascii="Times New Roman" w:eastAsia="Times New Roman"/>
                <w:sz w:val="24"/>
              </w:rPr>
            </w:pPr>
            <w:r>
              <w:rPr>
                <w:rFonts w:ascii="Times New Roman" w:eastAsia="Times New Roman"/>
                <w:spacing w:val="-4"/>
                <w:sz w:val="24"/>
              </w:rPr>
              <w:t>1200~1499</w:t>
            </w:r>
            <w:r>
              <w:rPr>
                <w:rFonts w:ascii="Times New Roman" w:eastAsia="Times New Roman"/>
                <w:sz w:val="24"/>
              </w:rPr>
              <w:t xml:space="preserve"> </w:t>
            </w:r>
            <w:r>
              <w:rPr>
                <w:spacing w:val="-4"/>
                <w:sz w:val="24"/>
              </w:rPr>
              <w:t>人（次）</w:t>
            </w:r>
            <w:r>
              <w:rPr>
                <w:spacing w:val="-32"/>
                <w:sz w:val="24"/>
              </w:rPr>
              <w:t xml:space="preserve">得 </w:t>
            </w:r>
            <w:r>
              <w:rPr>
                <w:rFonts w:ascii="Times New Roman" w:eastAsia="Times New Roman"/>
                <w:spacing w:val="-4"/>
                <w:sz w:val="24"/>
              </w:rPr>
              <w:t>7</w:t>
            </w:r>
            <w:r>
              <w:rPr>
                <w:rFonts w:ascii="Times New Roman" w:eastAsia="Times New Roman"/>
                <w:sz w:val="24"/>
              </w:rPr>
              <w:t xml:space="preserve"> </w:t>
            </w:r>
            <w:r>
              <w:rPr>
                <w:spacing w:val="-4"/>
                <w:sz w:val="24"/>
              </w:rPr>
              <w:t>分，</w:t>
            </w:r>
            <w:r>
              <w:rPr>
                <w:rFonts w:ascii="Times New Roman" w:eastAsia="Times New Roman"/>
                <w:spacing w:val="-4"/>
                <w:sz w:val="24"/>
              </w:rPr>
              <w:t>1000~1199</w:t>
            </w:r>
            <w:r>
              <w:rPr>
                <w:rFonts w:ascii="Times New Roman" w:eastAsia="Times New Roman"/>
                <w:sz w:val="24"/>
              </w:rPr>
              <w:t xml:space="preserve"> </w:t>
            </w:r>
            <w:r>
              <w:rPr>
                <w:spacing w:val="-4"/>
                <w:sz w:val="24"/>
              </w:rPr>
              <w:t>人（次）</w:t>
            </w:r>
            <w:r>
              <w:rPr>
                <w:spacing w:val="-32"/>
                <w:sz w:val="24"/>
              </w:rPr>
              <w:t xml:space="preserve">得 </w:t>
            </w:r>
            <w:r>
              <w:rPr>
                <w:rFonts w:ascii="Times New Roman" w:eastAsia="Times New Roman"/>
                <w:spacing w:val="-10"/>
                <w:sz w:val="24"/>
              </w:rPr>
              <w:t>6</w:t>
            </w:r>
          </w:p>
        </w:tc>
      </w:tr>
      <w:tr>
        <w:tblPrEx>
          <w:tblW w:w="0" w:type="auto"/>
          <w:jc w:val="left"/>
          <w:tblInd w:w="120" w:type="dxa"/>
          <w:tblLayout w:type="fixed"/>
          <w:tblCellMar>
            <w:top w:w="0" w:type="dxa"/>
            <w:left w:w="0" w:type="dxa"/>
            <w:bottom w:w="0" w:type="dxa"/>
            <w:right w:w="0" w:type="dxa"/>
          </w:tblCellMar>
          <w:tblLook w:val="01E0"/>
        </w:tblPrEx>
        <w:trPr>
          <w:trHeight w:val="607"/>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bottom w:val="nil"/>
            </w:tcBorders>
          </w:tcPr>
          <w:p>
            <w:pPr>
              <w:pStyle w:val="TableParagraph"/>
              <w:spacing w:before="147"/>
              <w:ind w:left="351"/>
              <w:rPr>
                <w:sz w:val="24"/>
              </w:rPr>
            </w:pPr>
            <w:r>
              <w:rPr>
                <w:spacing w:val="-5"/>
                <w:sz w:val="24"/>
              </w:rPr>
              <w:t>业绩</w:t>
            </w:r>
          </w:p>
        </w:tc>
        <w:tc>
          <w:tcPr>
            <w:tcW w:w="1117" w:type="dxa"/>
            <w:tcBorders>
              <w:top w:val="nil"/>
              <w:bottom w:val="nil"/>
            </w:tcBorders>
          </w:tcPr>
          <w:p>
            <w:pPr>
              <w:pStyle w:val="TableParagraph"/>
              <w:spacing w:before="122"/>
              <w:ind w:right="301"/>
              <w:jc w:val="right"/>
              <w:rPr>
                <w:sz w:val="28"/>
              </w:rPr>
            </w:pPr>
            <w:r>
              <w:rPr>
                <w:rFonts w:ascii="Times New Roman" w:eastAsia="Times New Roman"/>
                <w:sz w:val="28"/>
              </w:rPr>
              <w:t xml:space="preserve">8 </w:t>
            </w:r>
            <w:r>
              <w:rPr>
                <w:spacing w:val="-10"/>
                <w:sz w:val="28"/>
              </w:rPr>
              <w:t>分</w:t>
            </w:r>
          </w:p>
        </w:tc>
        <w:tc>
          <w:tcPr>
            <w:tcW w:w="5755" w:type="dxa"/>
            <w:tcBorders>
              <w:top w:val="nil"/>
              <w:bottom w:val="nil"/>
            </w:tcBorders>
          </w:tcPr>
          <w:p>
            <w:pPr>
              <w:pStyle w:val="TableParagraph"/>
              <w:spacing w:line="299" w:lineRule="exact"/>
              <w:ind w:left="108" w:right="-29"/>
              <w:rPr>
                <w:sz w:val="24"/>
              </w:rPr>
            </w:pPr>
            <w:r>
              <w:rPr>
                <w:sz w:val="24"/>
              </w:rPr>
              <w:t>分，</w:t>
            </w:r>
            <w:r>
              <w:rPr>
                <w:rFonts w:ascii="Times New Roman" w:eastAsia="Times New Roman"/>
                <w:sz w:val="24"/>
              </w:rPr>
              <w:t>800~999</w:t>
            </w:r>
            <w:r>
              <w:rPr>
                <w:rFonts w:ascii="Times New Roman" w:eastAsia="Times New Roman"/>
                <w:spacing w:val="-15"/>
                <w:sz w:val="24"/>
              </w:rPr>
              <w:t xml:space="preserve"> </w:t>
            </w:r>
            <w:r>
              <w:rPr>
                <w:sz w:val="24"/>
              </w:rPr>
              <w:t>人（次）</w:t>
            </w:r>
            <w:r>
              <w:rPr>
                <w:spacing w:val="-30"/>
                <w:sz w:val="24"/>
              </w:rPr>
              <w:t xml:space="preserve">得 </w:t>
            </w:r>
            <w:r>
              <w:rPr>
                <w:rFonts w:ascii="Times New Roman" w:eastAsia="Times New Roman"/>
                <w:sz w:val="24"/>
              </w:rPr>
              <w:t>5</w:t>
            </w:r>
            <w:r>
              <w:rPr>
                <w:rFonts w:ascii="Times New Roman" w:eastAsia="Times New Roman"/>
                <w:spacing w:val="-15"/>
                <w:sz w:val="24"/>
              </w:rPr>
              <w:t xml:space="preserve"> </w:t>
            </w:r>
            <w:r>
              <w:rPr>
                <w:spacing w:val="-12"/>
                <w:sz w:val="24"/>
              </w:rPr>
              <w:t xml:space="preserve">分，低于 </w:t>
            </w:r>
            <w:r>
              <w:rPr>
                <w:rFonts w:ascii="Times New Roman" w:eastAsia="Times New Roman"/>
                <w:sz w:val="24"/>
              </w:rPr>
              <w:t>800</w:t>
            </w:r>
            <w:r>
              <w:rPr>
                <w:rFonts w:ascii="Times New Roman" w:eastAsia="Times New Roman"/>
                <w:spacing w:val="-15"/>
                <w:sz w:val="24"/>
              </w:rPr>
              <w:t xml:space="preserve"> </w:t>
            </w:r>
            <w:r>
              <w:rPr>
                <w:spacing w:val="-15"/>
                <w:sz w:val="24"/>
              </w:rPr>
              <w:t xml:space="preserve">人的得 </w:t>
            </w:r>
            <w:r>
              <w:rPr>
                <w:rFonts w:ascii="Times New Roman" w:eastAsia="Times New Roman"/>
                <w:sz w:val="24"/>
              </w:rPr>
              <w:t>3</w:t>
            </w:r>
            <w:r>
              <w:rPr>
                <w:rFonts w:ascii="Times New Roman" w:eastAsia="Times New Roman"/>
                <w:spacing w:val="-7"/>
                <w:sz w:val="24"/>
              </w:rPr>
              <w:t xml:space="preserve"> </w:t>
            </w:r>
            <w:r>
              <w:rPr>
                <w:spacing w:val="-5"/>
                <w:sz w:val="24"/>
              </w:rPr>
              <w:t>分，</w:t>
            </w:r>
          </w:p>
          <w:p>
            <w:pPr>
              <w:pStyle w:val="TableParagraph"/>
              <w:spacing w:before="3" w:line="284" w:lineRule="exact"/>
              <w:ind w:left="108"/>
              <w:rPr>
                <w:sz w:val="24"/>
              </w:rPr>
            </w:pPr>
            <w:r>
              <w:rPr>
                <w:spacing w:val="-1"/>
                <w:sz w:val="24"/>
              </w:rPr>
              <w:t>没有培训人数的不得分。</w:t>
            </w:r>
          </w:p>
        </w:tc>
      </w:tr>
      <w:tr>
        <w:tblPrEx>
          <w:tblW w:w="0" w:type="auto"/>
          <w:jc w:val="left"/>
          <w:tblInd w:w="120" w:type="dxa"/>
          <w:tblLayout w:type="fixed"/>
          <w:tblCellMar>
            <w:top w:w="0" w:type="dxa"/>
            <w:left w:w="0" w:type="dxa"/>
            <w:bottom w:w="0" w:type="dxa"/>
            <w:right w:w="0" w:type="dxa"/>
          </w:tblCellMar>
          <w:tblLook w:val="01E0"/>
        </w:tblPrEx>
        <w:trPr>
          <w:trHeight w:val="301"/>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81" w:lineRule="exact"/>
              <w:ind w:left="108"/>
              <w:rPr>
                <w:sz w:val="24"/>
              </w:rPr>
            </w:pPr>
            <w:r>
              <w:rPr>
                <w:spacing w:val="-1"/>
                <w:sz w:val="24"/>
              </w:rPr>
              <w:t>注：须提供项目合同复印件或政府部门出具的证明材</w:t>
            </w:r>
          </w:p>
        </w:tc>
      </w:tr>
      <w:tr>
        <w:tblPrEx>
          <w:tblW w:w="0" w:type="auto"/>
          <w:jc w:val="left"/>
          <w:tblInd w:w="120" w:type="dxa"/>
          <w:tblLayout w:type="fixed"/>
          <w:tblCellMar>
            <w:top w:w="0" w:type="dxa"/>
            <w:left w:w="0" w:type="dxa"/>
            <w:bottom w:w="0" w:type="dxa"/>
            <w:right w:w="0" w:type="dxa"/>
          </w:tblCellMar>
          <w:tblLook w:val="01E0"/>
        </w:tblPrEx>
        <w:trPr>
          <w:trHeight w:val="301"/>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bottom w:val="nil"/>
            </w:tcBorders>
          </w:tcPr>
          <w:p>
            <w:pPr>
              <w:pStyle w:val="TableParagraph"/>
              <w:rPr>
                <w:rFonts w:ascii="Times New Roman"/>
                <w:sz w:val="22"/>
              </w:rPr>
            </w:pPr>
          </w:p>
        </w:tc>
        <w:tc>
          <w:tcPr>
            <w:tcW w:w="1117" w:type="dxa"/>
            <w:tcBorders>
              <w:top w:val="nil"/>
              <w:bottom w:val="nil"/>
            </w:tcBorders>
          </w:tcPr>
          <w:p>
            <w:pPr>
              <w:pStyle w:val="TableParagraph"/>
              <w:rPr>
                <w:rFonts w:ascii="Times New Roman"/>
                <w:sz w:val="22"/>
              </w:rPr>
            </w:pPr>
          </w:p>
        </w:tc>
        <w:tc>
          <w:tcPr>
            <w:tcW w:w="5755" w:type="dxa"/>
            <w:tcBorders>
              <w:top w:val="nil"/>
              <w:bottom w:val="nil"/>
            </w:tcBorders>
          </w:tcPr>
          <w:p>
            <w:pPr>
              <w:pStyle w:val="TableParagraph"/>
              <w:spacing w:line="281" w:lineRule="exact"/>
              <w:ind w:left="108"/>
              <w:rPr>
                <w:sz w:val="24"/>
              </w:rPr>
            </w:pPr>
            <w:r>
              <w:rPr>
                <w:spacing w:val="-51"/>
                <w:sz w:val="24"/>
              </w:rPr>
              <w:t>料</w:t>
            </w:r>
            <w:r>
              <w:rPr>
                <w:sz w:val="24"/>
              </w:rPr>
              <w:t>（合同或证明材料上需体现培训合格补助人数</w:t>
            </w:r>
            <w:r>
              <w:rPr>
                <w:spacing w:val="-86"/>
                <w:sz w:val="24"/>
              </w:rPr>
              <w:t>）</w:t>
            </w:r>
            <w:r>
              <w:rPr>
                <w:spacing w:val="-48"/>
                <w:sz w:val="24"/>
              </w:rPr>
              <w:t>，原</w:t>
            </w:r>
          </w:p>
        </w:tc>
      </w:tr>
      <w:tr>
        <w:tblPrEx>
          <w:tblW w:w="0" w:type="auto"/>
          <w:jc w:val="left"/>
          <w:tblInd w:w="120" w:type="dxa"/>
          <w:tblLayout w:type="fixed"/>
          <w:tblCellMar>
            <w:top w:w="0" w:type="dxa"/>
            <w:left w:w="0" w:type="dxa"/>
            <w:bottom w:w="0" w:type="dxa"/>
            <w:right w:w="0" w:type="dxa"/>
          </w:tblCellMar>
          <w:tblLook w:val="01E0"/>
        </w:tblPrEx>
        <w:trPr>
          <w:trHeight w:val="304"/>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tcBorders>
          </w:tcPr>
          <w:p>
            <w:pPr>
              <w:pStyle w:val="TableParagraph"/>
              <w:rPr>
                <w:rFonts w:ascii="Times New Roman"/>
                <w:sz w:val="22"/>
              </w:rPr>
            </w:pPr>
          </w:p>
        </w:tc>
        <w:tc>
          <w:tcPr>
            <w:tcW w:w="1117" w:type="dxa"/>
            <w:tcBorders>
              <w:top w:val="nil"/>
            </w:tcBorders>
          </w:tcPr>
          <w:p>
            <w:pPr>
              <w:pStyle w:val="TableParagraph"/>
              <w:rPr>
                <w:rFonts w:ascii="Times New Roman"/>
                <w:sz w:val="22"/>
              </w:rPr>
            </w:pPr>
          </w:p>
        </w:tc>
        <w:tc>
          <w:tcPr>
            <w:tcW w:w="5755" w:type="dxa"/>
            <w:tcBorders>
              <w:top w:val="nil"/>
            </w:tcBorders>
          </w:tcPr>
          <w:p>
            <w:pPr>
              <w:pStyle w:val="TableParagraph"/>
              <w:spacing w:line="284" w:lineRule="exact"/>
              <w:ind w:left="108"/>
              <w:rPr>
                <w:sz w:val="24"/>
              </w:rPr>
            </w:pPr>
            <w:r>
              <w:rPr>
                <w:spacing w:val="-1"/>
                <w:sz w:val="24"/>
              </w:rPr>
              <w:t>件现场提供，否则不得分。</w:t>
            </w:r>
          </w:p>
        </w:tc>
      </w:tr>
      <w:tr>
        <w:tblPrEx>
          <w:tblW w:w="0" w:type="auto"/>
          <w:jc w:val="left"/>
          <w:tblInd w:w="120" w:type="dxa"/>
          <w:tblLayout w:type="fixed"/>
          <w:tblCellMar>
            <w:top w:w="0" w:type="dxa"/>
            <w:left w:w="0" w:type="dxa"/>
            <w:bottom w:w="0" w:type="dxa"/>
            <w:right w:w="0" w:type="dxa"/>
          </w:tblCellMar>
          <w:tblLook w:val="01E0"/>
        </w:tblPrEx>
        <w:trPr>
          <w:trHeight w:val="562"/>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bottom w:val="nil"/>
            </w:tcBorders>
          </w:tcPr>
          <w:p>
            <w:pPr>
              <w:pStyle w:val="TableParagraph"/>
              <w:rPr>
                <w:rFonts w:ascii="Times New Roman"/>
                <w:sz w:val="24"/>
              </w:rPr>
            </w:pPr>
          </w:p>
        </w:tc>
        <w:tc>
          <w:tcPr>
            <w:tcW w:w="1117" w:type="dxa"/>
            <w:tcBorders>
              <w:bottom w:val="nil"/>
            </w:tcBorders>
          </w:tcPr>
          <w:p>
            <w:pPr>
              <w:pStyle w:val="TableParagraph"/>
              <w:rPr>
                <w:rFonts w:ascii="Times New Roman"/>
                <w:sz w:val="24"/>
              </w:rPr>
            </w:pPr>
          </w:p>
        </w:tc>
        <w:tc>
          <w:tcPr>
            <w:tcW w:w="5755" w:type="dxa"/>
            <w:tcBorders>
              <w:bottom w:val="nil"/>
            </w:tcBorders>
          </w:tcPr>
          <w:p>
            <w:pPr>
              <w:pStyle w:val="TableParagraph"/>
              <w:tabs>
                <w:tab w:val="left" w:pos="1566"/>
              </w:tabs>
              <w:spacing w:line="280" w:lineRule="exact"/>
              <w:ind w:left="108" w:right="96"/>
              <w:rPr>
                <w:sz w:val="24"/>
              </w:rPr>
            </w:pPr>
            <w:r>
              <w:rPr>
                <w:spacing w:val="-4"/>
                <w:sz w:val="24"/>
              </w:rPr>
              <w:t>依</w:t>
            </w:r>
            <w:r>
              <w:rPr>
                <w:spacing w:val="-4"/>
                <w:sz w:val="24"/>
              </w:rPr>
              <w:t>据</w:t>
            </w:r>
            <w:r>
              <w:rPr>
                <w:spacing w:val="-4"/>
                <w:sz w:val="24"/>
              </w:rPr>
              <w:t>附</w:t>
            </w:r>
            <w:r>
              <w:rPr>
                <w:spacing w:val="-102"/>
                <w:sz w:val="24"/>
              </w:rPr>
              <w:t>表</w:t>
            </w:r>
            <w:r>
              <w:rPr>
                <w:spacing w:val="-4"/>
                <w:sz w:val="24"/>
              </w:rPr>
              <w:t>《</w:t>
            </w:r>
            <w:r>
              <w:rPr>
                <w:rFonts w:ascii="Times New Roman" w:eastAsia="Times New Roman"/>
                <w:sz w:val="24"/>
                <w:u w:val="single"/>
              </w:rPr>
              <w:tab/>
            </w:r>
            <w:r>
              <w:rPr>
                <w:spacing w:val="-2"/>
                <w:sz w:val="24"/>
              </w:rPr>
              <w:t>区</w:t>
            </w:r>
            <w:r>
              <w:rPr>
                <w:spacing w:val="-58"/>
                <w:sz w:val="24"/>
              </w:rPr>
              <w:t xml:space="preserve"> </w:t>
            </w:r>
            <w:r>
              <w:rPr>
                <w:spacing w:val="-2"/>
                <w:sz w:val="24"/>
              </w:rPr>
              <w:t>2013-2014</w:t>
            </w:r>
            <w:r>
              <w:rPr>
                <w:spacing w:val="-58"/>
                <w:sz w:val="24"/>
              </w:rPr>
              <w:t xml:space="preserve"> </w:t>
            </w:r>
            <w:r>
              <w:rPr>
                <w:spacing w:val="-2"/>
                <w:sz w:val="24"/>
              </w:rPr>
              <w:t>年</w:t>
            </w:r>
            <w:r>
              <w:rPr>
                <w:spacing w:val="-2"/>
                <w:sz w:val="24"/>
              </w:rPr>
              <w:t>农</w:t>
            </w:r>
            <w:r>
              <w:rPr>
                <w:spacing w:val="-2"/>
                <w:sz w:val="24"/>
              </w:rPr>
              <w:t>民</w:t>
            </w:r>
            <w:r>
              <w:rPr>
                <w:spacing w:val="-2"/>
                <w:sz w:val="24"/>
              </w:rPr>
              <w:t>培</w:t>
            </w:r>
            <w:r>
              <w:rPr>
                <w:spacing w:val="-2"/>
                <w:sz w:val="24"/>
              </w:rPr>
              <w:t>训</w:t>
            </w:r>
            <w:r>
              <w:rPr>
                <w:spacing w:val="-2"/>
                <w:sz w:val="24"/>
              </w:rPr>
              <w:t>抽</w:t>
            </w:r>
            <w:r>
              <w:rPr>
                <w:spacing w:val="-2"/>
                <w:sz w:val="24"/>
              </w:rPr>
              <w:t>查</w:t>
            </w:r>
            <w:r>
              <w:rPr>
                <w:spacing w:val="-2"/>
                <w:sz w:val="24"/>
              </w:rPr>
              <w:t>调</w:t>
            </w:r>
            <w:r>
              <w:rPr>
                <w:spacing w:val="-2"/>
                <w:sz w:val="24"/>
              </w:rPr>
              <w:t>查</w:t>
            </w:r>
            <w:r>
              <w:rPr>
                <w:spacing w:val="-2"/>
                <w:sz w:val="24"/>
              </w:rPr>
              <w:t>汇</w:t>
            </w:r>
            <w:r>
              <w:rPr>
                <w:spacing w:val="-2"/>
                <w:sz w:val="24"/>
              </w:rPr>
              <w:t>总</w:t>
            </w:r>
            <w:r>
              <w:rPr>
                <w:spacing w:val="-6"/>
                <w:sz w:val="24"/>
              </w:rPr>
              <w:t>表</w:t>
            </w:r>
            <w:r>
              <w:rPr>
                <w:spacing w:val="-6"/>
                <w:sz w:val="24"/>
              </w:rPr>
              <w:t>》</w:t>
            </w:r>
          </w:p>
        </w:tc>
      </w:tr>
      <w:tr>
        <w:tblPrEx>
          <w:tblW w:w="0" w:type="auto"/>
          <w:jc w:val="left"/>
          <w:tblInd w:w="120" w:type="dxa"/>
          <w:tblLayout w:type="fixed"/>
          <w:tblCellMar>
            <w:top w:w="0" w:type="dxa"/>
            <w:left w:w="0" w:type="dxa"/>
            <w:bottom w:w="0" w:type="dxa"/>
            <w:right w:w="0" w:type="dxa"/>
          </w:tblCellMar>
          <w:tblLook w:val="01E0"/>
        </w:tblPrEx>
        <w:trPr>
          <w:trHeight w:val="1162"/>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bottom w:val="nil"/>
            </w:tcBorders>
          </w:tcPr>
          <w:p>
            <w:pPr>
              <w:pStyle w:val="TableParagraph"/>
              <w:spacing w:before="136" w:line="242" w:lineRule="auto"/>
              <w:ind w:left="111" w:right="99"/>
              <w:jc w:val="center"/>
              <w:rPr>
                <w:sz w:val="24"/>
              </w:rPr>
            </w:pPr>
            <w:r>
              <w:rPr>
                <w:spacing w:val="-4"/>
                <w:sz w:val="24"/>
              </w:rPr>
              <w:t>两年内培</w:t>
            </w:r>
            <w:r>
              <w:rPr>
                <w:spacing w:val="-4"/>
                <w:sz w:val="24"/>
              </w:rPr>
              <w:t>训验收状</w:t>
            </w:r>
            <w:r>
              <w:rPr>
                <w:spacing w:val="-10"/>
                <w:sz w:val="24"/>
              </w:rPr>
              <w:t>况</w:t>
            </w:r>
          </w:p>
        </w:tc>
        <w:tc>
          <w:tcPr>
            <w:tcW w:w="1117" w:type="dxa"/>
            <w:tcBorders>
              <w:top w:val="nil"/>
              <w:bottom w:val="nil"/>
            </w:tcBorders>
          </w:tcPr>
          <w:p>
            <w:pPr>
              <w:pStyle w:val="TableParagraph"/>
              <w:spacing w:before="5"/>
              <w:rPr>
                <w:rFonts w:ascii="微软雅黑"/>
                <w:b/>
                <w:sz w:val="24"/>
              </w:rPr>
            </w:pPr>
          </w:p>
          <w:p>
            <w:pPr>
              <w:pStyle w:val="TableParagraph"/>
              <w:ind w:right="336"/>
              <w:jc w:val="right"/>
              <w:rPr>
                <w:sz w:val="24"/>
              </w:rPr>
            </w:pPr>
            <w:r>
              <w:rPr>
                <w:sz w:val="24"/>
              </w:rPr>
              <w:t>4</w:t>
            </w:r>
            <w:r>
              <w:rPr>
                <w:spacing w:val="-35"/>
                <w:sz w:val="24"/>
              </w:rPr>
              <w:t xml:space="preserve"> 分</w:t>
            </w:r>
          </w:p>
        </w:tc>
        <w:tc>
          <w:tcPr>
            <w:tcW w:w="5755" w:type="dxa"/>
            <w:tcBorders>
              <w:top w:val="nil"/>
              <w:bottom w:val="nil"/>
            </w:tcBorders>
          </w:tcPr>
          <w:p>
            <w:pPr>
              <w:pStyle w:val="TableParagraph"/>
              <w:spacing w:line="242" w:lineRule="auto"/>
              <w:ind w:left="108" w:right="96"/>
              <w:rPr>
                <w:sz w:val="24"/>
              </w:rPr>
            </w:pPr>
            <w:r>
              <w:rPr>
                <w:spacing w:val="-2"/>
                <w:sz w:val="24"/>
              </w:rPr>
              <w:t>两年抽查中发现有违规收费、未参加培训、不满意培</w:t>
            </w:r>
            <w:r>
              <w:rPr>
                <w:spacing w:val="-2"/>
                <w:sz w:val="24"/>
              </w:rPr>
              <w:t xml:space="preserve">训的情况出现，每次扣 </w:t>
            </w:r>
            <w:r>
              <w:rPr>
                <w:rFonts w:ascii="Times New Roman" w:eastAsia="Times New Roman"/>
                <w:sz w:val="24"/>
              </w:rPr>
              <w:t xml:space="preserve">1 </w:t>
            </w:r>
            <w:r>
              <w:rPr>
                <w:sz w:val="24"/>
              </w:rPr>
              <w:t>分，扣完为止。</w:t>
            </w:r>
          </w:p>
          <w:p>
            <w:pPr>
              <w:pStyle w:val="TableParagraph"/>
              <w:tabs>
                <w:tab w:val="left" w:pos="1187"/>
              </w:tabs>
              <w:spacing w:line="275" w:lineRule="exact"/>
              <w:ind w:left="108" w:right="-15"/>
              <w:rPr>
                <w:sz w:val="24"/>
              </w:rPr>
            </w:pPr>
            <w:r>
              <w:rPr>
                <w:sz w:val="24"/>
              </w:rPr>
              <w:t>注：</w:t>
            </w:r>
            <w:r>
              <w:rPr>
                <w:spacing w:val="-10"/>
                <w:sz w:val="24"/>
              </w:rPr>
              <w:t>《</w:t>
            </w:r>
            <w:r>
              <w:rPr>
                <w:rFonts w:ascii="Times New Roman" w:eastAsia="Times New Roman"/>
                <w:sz w:val="24"/>
                <w:u w:val="single"/>
              </w:rPr>
              <w:tab/>
            </w:r>
            <w:r>
              <w:rPr>
                <w:sz w:val="24"/>
              </w:rPr>
              <w:t>区</w:t>
            </w:r>
            <w:r>
              <w:rPr>
                <w:spacing w:val="-60"/>
                <w:sz w:val="24"/>
              </w:rPr>
              <w:t xml:space="preserve"> </w:t>
            </w:r>
            <w:r>
              <w:rPr>
                <w:sz w:val="24"/>
              </w:rPr>
              <w:t>2013-2014</w:t>
            </w:r>
            <w:r>
              <w:rPr>
                <w:spacing w:val="-60"/>
                <w:sz w:val="24"/>
              </w:rPr>
              <w:t xml:space="preserve"> </w:t>
            </w:r>
            <w:r>
              <w:rPr>
                <w:sz w:val="24"/>
              </w:rPr>
              <w:t>年农民培训抽样调查汇总表</w:t>
            </w:r>
            <w:r>
              <w:rPr>
                <w:spacing w:val="-10"/>
                <w:sz w:val="24"/>
              </w:rPr>
              <w:t>》</w:t>
            </w:r>
          </w:p>
          <w:p>
            <w:pPr>
              <w:pStyle w:val="TableParagraph"/>
              <w:spacing w:line="255" w:lineRule="exact"/>
              <w:ind w:left="108"/>
              <w:rPr>
                <w:sz w:val="24"/>
              </w:rPr>
            </w:pPr>
            <w:r>
              <w:rPr>
                <w:spacing w:val="-1"/>
                <w:sz w:val="24"/>
              </w:rPr>
              <w:t>须至当地相关主管部门开具，并加盖主管部门印章。</w:t>
            </w:r>
          </w:p>
        </w:tc>
      </w:tr>
      <w:tr>
        <w:tblPrEx>
          <w:tblW w:w="0" w:type="auto"/>
          <w:jc w:val="left"/>
          <w:tblInd w:w="120" w:type="dxa"/>
          <w:tblLayout w:type="fixed"/>
          <w:tblCellMar>
            <w:top w:w="0" w:type="dxa"/>
            <w:left w:w="0" w:type="dxa"/>
            <w:bottom w:w="0" w:type="dxa"/>
            <w:right w:w="0" w:type="dxa"/>
          </w:tblCellMar>
          <w:tblLook w:val="01E0"/>
        </w:tblPrEx>
        <w:trPr>
          <w:trHeight w:val="599"/>
          <w:jc w:val="left"/>
        </w:trPr>
        <w:tc>
          <w:tcPr>
            <w:tcW w:w="754" w:type="dxa"/>
            <w:vMerge/>
            <w:tcBorders>
              <w:top w:val="nil"/>
            </w:tcBorders>
          </w:tcPr>
          <w:p>
            <w:pPr>
              <w:rPr>
                <w:sz w:val="2"/>
                <w:szCs w:val="2"/>
              </w:rPr>
            </w:pPr>
          </w:p>
        </w:tc>
        <w:tc>
          <w:tcPr>
            <w:tcW w:w="778" w:type="dxa"/>
            <w:vMerge/>
            <w:tcBorders>
              <w:top w:val="nil"/>
            </w:tcBorders>
          </w:tcPr>
          <w:p>
            <w:pPr>
              <w:rPr>
                <w:sz w:val="2"/>
                <w:szCs w:val="2"/>
              </w:rPr>
            </w:pPr>
          </w:p>
        </w:tc>
        <w:tc>
          <w:tcPr>
            <w:tcW w:w="1183" w:type="dxa"/>
            <w:tcBorders>
              <w:top w:val="nil"/>
            </w:tcBorders>
          </w:tcPr>
          <w:p>
            <w:pPr>
              <w:pStyle w:val="TableParagraph"/>
              <w:rPr>
                <w:rFonts w:ascii="Times New Roman"/>
                <w:sz w:val="24"/>
              </w:rPr>
            </w:pPr>
          </w:p>
        </w:tc>
        <w:tc>
          <w:tcPr>
            <w:tcW w:w="1117" w:type="dxa"/>
            <w:tcBorders>
              <w:top w:val="nil"/>
            </w:tcBorders>
          </w:tcPr>
          <w:p>
            <w:pPr>
              <w:pStyle w:val="TableParagraph"/>
              <w:rPr>
                <w:rFonts w:ascii="Times New Roman"/>
                <w:sz w:val="24"/>
              </w:rPr>
            </w:pPr>
          </w:p>
        </w:tc>
        <w:tc>
          <w:tcPr>
            <w:tcW w:w="5755" w:type="dxa"/>
            <w:tcBorders>
              <w:top w:val="nil"/>
            </w:tcBorders>
          </w:tcPr>
          <w:p>
            <w:pPr>
              <w:pStyle w:val="TableParagraph"/>
              <w:spacing w:line="289" w:lineRule="exact"/>
              <w:ind w:left="108"/>
              <w:rPr>
                <w:sz w:val="24"/>
              </w:rPr>
            </w:pPr>
            <w:r>
              <w:rPr>
                <w:spacing w:val="-4"/>
                <w:sz w:val="24"/>
              </w:rPr>
              <w:t xml:space="preserve">不能提供或者未加盖主管部门印章的，按 </w:t>
            </w:r>
            <w:r>
              <w:rPr>
                <w:sz w:val="24"/>
              </w:rPr>
              <w:t>0</w:t>
            </w:r>
            <w:r>
              <w:rPr>
                <w:spacing w:val="-18"/>
                <w:sz w:val="24"/>
              </w:rPr>
              <w:t xml:space="preserve"> 分算。</w:t>
            </w:r>
          </w:p>
        </w:tc>
      </w:tr>
      <w:tr>
        <w:tblPrEx>
          <w:tblW w:w="0" w:type="auto"/>
          <w:jc w:val="left"/>
          <w:tblInd w:w="120" w:type="dxa"/>
          <w:tblLayout w:type="fixed"/>
          <w:tblCellMar>
            <w:top w:w="0" w:type="dxa"/>
            <w:left w:w="0" w:type="dxa"/>
            <w:bottom w:w="0" w:type="dxa"/>
            <w:right w:w="0" w:type="dxa"/>
          </w:tblCellMar>
          <w:tblLook w:val="01E0"/>
        </w:tblPrEx>
        <w:trPr>
          <w:trHeight w:val="933"/>
          <w:jc w:val="left"/>
        </w:trPr>
        <w:tc>
          <w:tcPr>
            <w:tcW w:w="754" w:type="dxa"/>
          </w:tcPr>
          <w:p>
            <w:pPr>
              <w:pStyle w:val="TableParagraph"/>
              <w:spacing w:before="10"/>
              <w:rPr>
                <w:rFonts w:ascii="微软雅黑"/>
                <w:b/>
                <w:sz w:val="16"/>
              </w:rPr>
            </w:pPr>
          </w:p>
          <w:p>
            <w:pPr>
              <w:pStyle w:val="TableParagraph"/>
              <w:spacing w:before="1"/>
              <w:ind w:left="10"/>
              <w:jc w:val="center"/>
              <w:rPr>
                <w:rFonts w:ascii="Times New Roman"/>
                <w:sz w:val="28"/>
              </w:rPr>
            </w:pPr>
            <w:r>
              <w:rPr>
                <w:rFonts w:ascii="Times New Roman"/>
                <w:sz w:val="28"/>
              </w:rPr>
              <w:t>3</w:t>
            </w:r>
          </w:p>
        </w:tc>
        <w:tc>
          <w:tcPr>
            <w:tcW w:w="1961" w:type="dxa"/>
            <w:gridSpan w:val="2"/>
          </w:tcPr>
          <w:p>
            <w:pPr>
              <w:pStyle w:val="TableParagraph"/>
              <w:spacing w:before="1"/>
              <w:rPr>
                <w:rFonts w:ascii="微软雅黑"/>
                <w:b/>
                <w:sz w:val="17"/>
              </w:rPr>
            </w:pPr>
          </w:p>
          <w:p>
            <w:pPr>
              <w:pStyle w:val="TableParagraph"/>
              <w:ind w:left="108"/>
              <w:rPr>
                <w:sz w:val="24"/>
              </w:rPr>
            </w:pPr>
            <w:r>
              <w:rPr>
                <w:spacing w:val="-4"/>
                <w:sz w:val="24"/>
              </w:rPr>
              <w:t>商务分</w:t>
            </w:r>
          </w:p>
        </w:tc>
        <w:tc>
          <w:tcPr>
            <w:tcW w:w="1117" w:type="dxa"/>
          </w:tcPr>
          <w:p>
            <w:pPr>
              <w:pStyle w:val="TableParagraph"/>
              <w:spacing w:before="1"/>
              <w:rPr>
                <w:rFonts w:ascii="微软雅黑"/>
                <w:b/>
                <w:sz w:val="17"/>
              </w:rPr>
            </w:pPr>
          </w:p>
          <w:p>
            <w:pPr>
              <w:pStyle w:val="TableParagraph"/>
              <w:ind w:left="108"/>
              <w:rPr>
                <w:sz w:val="24"/>
              </w:rPr>
            </w:pPr>
            <w:r>
              <w:rPr>
                <w:rFonts w:ascii="Times New Roman" w:eastAsia="Times New Roman"/>
                <w:sz w:val="24"/>
              </w:rPr>
              <w:t xml:space="preserve">30 </w:t>
            </w:r>
            <w:r>
              <w:rPr>
                <w:spacing w:val="-10"/>
                <w:sz w:val="24"/>
              </w:rPr>
              <w:t>分</w:t>
            </w:r>
          </w:p>
        </w:tc>
        <w:tc>
          <w:tcPr>
            <w:tcW w:w="5755" w:type="dxa"/>
          </w:tcPr>
          <w:p>
            <w:pPr>
              <w:pStyle w:val="TableParagraph"/>
              <w:spacing w:before="49" w:line="194" w:lineRule="auto"/>
              <w:ind w:left="108" w:right="-15"/>
              <w:rPr>
                <w:rFonts w:ascii="微软雅黑" w:eastAsia="微软雅黑" w:hAnsi="微软雅黑"/>
                <w:b/>
                <w:sz w:val="24"/>
              </w:rPr>
            </w:pPr>
            <w:r>
              <w:rPr>
                <w:spacing w:val="-2"/>
                <w:sz w:val="24"/>
              </w:rPr>
              <w:t>投标人按招标文件载明的“开标一览表”中的格式统</w:t>
            </w:r>
            <w:r>
              <w:rPr>
                <w:spacing w:val="-6"/>
                <w:sz w:val="24"/>
              </w:rPr>
              <w:t xml:space="preserve">一报价并无修改的得 </w:t>
            </w:r>
            <w:r>
              <w:rPr>
                <w:rFonts w:ascii="Times New Roman" w:eastAsia="Times New Roman" w:hAnsi="Times New Roman"/>
                <w:sz w:val="24"/>
              </w:rPr>
              <w:t>30</w:t>
            </w:r>
            <w:r>
              <w:rPr>
                <w:rFonts w:ascii="Times New Roman" w:eastAsia="Times New Roman" w:hAnsi="Times New Roman"/>
                <w:spacing w:val="-15"/>
                <w:sz w:val="24"/>
              </w:rPr>
              <w:t xml:space="preserve"> </w:t>
            </w:r>
            <w:r>
              <w:rPr>
                <w:sz w:val="24"/>
              </w:rPr>
              <w:t>分，</w:t>
            </w:r>
            <w:r>
              <w:rPr>
                <w:rFonts w:ascii="微软雅黑" w:eastAsia="微软雅黑" w:hAnsi="微软雅黑"/>
                <w:b/>
                <w:sz w:val="24"/>
              </w:rPr>
              <w:t>擅自修改“开标一览表”</w:t>
            </w:r>
          </w:p>
          <w:p>
            <w:pPr>
              <w:pStyle w:val="TableParagraph"/>
              <w:spacing w:line="257" w:lineRule="exact"/>
              <w:ind w:left="108"/>
              <w:rPr>
                <w:rFonts w:ascii="微软雅黑" w:eastAsia="微软雅黑"/>
                <w:b/>
                <w:sz w:val="24"/>
              </w:rPr>
            </w:pPr>
            <w:r>
              <w:rPr>
                <w:rFonts w:ascii="微软雅黑" w:eastAsia="微软雅黑"/>
                <w:b/>
                <w:spacing w:val="-1"/>
                <w:sz w:val="24"/>
              </w:rPr>
              <w:t>中内容的按无效标处理。</w:t>
            </w:r>
          </w:p>
        </w:tc>
      </w:tr>
      <w:tr>
        <w:tblPrEx>
          <w:tblW w:w="0" w:type="auto"/>
          <w:jc w:val="left"/>
          <w:tblInd w:w="120" w:type="dxa"/>
          <w:tblLayout w:type="fixed"/>
          <w:tblCellMar>
            <w:top w:w="0" w:type="dxa"/>
            <w:left w:w="0" w:type="dxa"/>
            <w:bottom w:w="0" w:type="dxa"/>
            <w:right w:w="0" w:type="dxa"/>
          </w:tblCellMar>
          <w:tblLook w:val="01E0"/>
        </w:tblPrEx>
        <w:trPr>
          <w:trHeight w:val="445"/>
          <w:jc w:val="left"/>
        </w:trPr>
        <w:tc>
          <w:tcPr>
            <w:tcW w:w="754" w:type="dxa"/>
          </w:tcPr>
          <w:p>
            <w:pPr>
              <w:pStyle w:val="TableParagraph"/>
              <w:spacing w:before="62"/>
              <w:ind w:left="10"/>
              <w:jc w:val="center"/>
              <w:rPr>
                <w:rFonts w:ascii="Times New Roman"/>
                <w:sz w:val="28"/>
              </w:rPr>
            </w:pPr>
            <w:r>
              <w:rPr>
                <w:rFonts w:ascii="Times New Roman"/>
                <w:sz w:val="28"/>
              </w:rPr>
              <w:t>4</w:t>
            </w:r>
          </w:p>
        </w:tc>
        <w:tc>
          <w:tcPr>
            <w:tcW w:w="1961" w:type="dxa"/>
            <w:gridSpan w:val="2"/>
          </w:tcPr>
          <w:p>
            <w:pPr>
              <w:pStyle w:val="TableParagraph"/>
              <w:spacing w:before="71"/>
              <w:ind w:left="108"/>
              <w:rPr>
                <w:sz w:val="24"/>
              </w:rPr>
            </w:pPr>
            <w:r>
              <w:rPr>
                <w:spacing w:val="-3"/>
                <w:sz w:val="24"/>
              </w:rPr>
              <w:t>综合得分</w:t>
            </w:r>
          </w:p>
        </w:tc>
        <w:tc>
          <w:tcPr>
            <w:tcW w:w="1117" w:type="dxa"/>
          </w:tcPr>
          <w:p>
            <w:pPr>
              <w:pStyle w:val="TableParagraph"/>
              <w:spacing w:before="71"/>
              <w:ind w:left="108"/>
              <w:rPr>
                <w:sz w:val="24"/>
              </w:rPr>
            </w:pPr>
            <w:r>
              <w:rPr>
                <w:rFonts w:ascii="Times New Roman" w:eastAsia="Times New Roman"/>
                <w:sz w:val="24"/>
              </w:rPr>
              <w:t xml:space="preserve">100 </w:t>
            </w:r>
            <w:r>
              <w:rPr>
                <w:spacing w:val="-10"/>
                <w:sz w:val="24"/>
              </w:rPr>
              <w:t>分</w:t>
            </w:r>
          </w:p>
        </w:tc>
        <w:tc>
          <w:tcPr>
            <w:tcW w:w="5755" w:type="dxa"/>
          </w:tcPr>
          <w:p>
            <w:pPr>
              <w:pStyle w:val="TableParagraph"/>
              <w:spacing w:before="71"/>
              <w:ind w:left="108"/>
              <w:rPr>
                <w:sz w:val="24"/>
              </w:rPr>
            </w:pPr>
            <w:r>
              <w:rPr>
                <w:sz w:val="24"/>
              </w:rPr>
              <w:t>综合得分</w:t>
            </w:r>
            <w:r>
              <w:rPr>
                <w:rFonts w:ascii="Times New Roman" w:eastAsia="Times New Roman"/>
                <w:sz w:val="24"/>
              </w:rPr>
              <w:t>=</w:t>
            </w:r>
            <w:r>
              <w:rPr>
                <w:sz w:val="24"/>
              </w:rPr>
              <w:t>技术分</w:t>
            </w:r>
            <w:r>
              <w:rPr>
                <w:rFonts w:ascii="Times New Roman" w:eastAsia="Times New Roman"/>
                <w:sz w:val="24"/>
              </w:rPr>
              <w:t>+</w:t>
            </w:r>
            <w:r>
              <w:rPr>
                <w:sz w:val="24"/>
              </w:rPr>
              <w:t>资信分</w:t>
            </w:r>
            <w:r>
              <w:rPr>
                <w:rFonts w:ascii="Times New Roman" w:eastAsia="Times New Roman"/>
                <w:sz w:val="24"/>
              </w:rPr>
              <w:t>+</w:t>
            </w:r>
            <w:r>
              <w:rPr>
                <w:spacing w:val="-3"/>
                <w:sz w:val="24"/>
              </w:rPr>
              <w:t>商务分。</w:t>
            </w:r>
          </w:p>
        </w:tc>
      </w:tr>
    </w:tbl>
    <w:p>
      <w:pPr>
        <w:pStyle w:val="BodyText"/>
        <w:spacing w:before="9"/>
        <w:rPr>
          <w:rFonts w:ascii="微软雅黑"/>
          <w:b/>
          <w:sz w:val="17"/>
        </w:rPr>
      </w:pPr>
    </w:p>
    <w:p>
      <w:pPr>
        <w:pStyle w:val="Heading5"/>
        <w:spacing w:line="420" w:lineRule="exact"/>
      </w:pPr>
      <w:r>
        <w:rPr>
          <w:spacing w:val="-8"/>
        </w:rPr>
        <w:t>22</w:t>
      </w:r>
      <w:r>
        <w:rPr>
          <w:spacing w:val="-9"/>
        </w:rPr>
        <w:t>、评标内容的保密</w:t>
      </w:r>
    </w:p>
    <w:p>
      <w:pPr>
        <w:pStyle w:val="ListParagraph"/>
        <w:numPr>
          <w:ilvl w:val="1"/>
          <w:numId w:val="36"/>
        </w:numPr>
        <w:tabs>
          <w:tab w:val="left" w:pos="1597"/>
          <w:tab w:val="left" w:pos="1598"/>
        </w:tabs>
        <w:spacing w:before="0" w:after="0" w:line="266" w:lineRule="auto"/>
        <w:ind w:left="398" w:right="663" w:firstLine="480"/>
        <w:jc w:val="left"/>
        <w:rPr>
          <w:sz w:val="24"/>
        </w:rPr>
      </w:pPr>
      <w:r>
        <w:rPr>
          <w:spacing w:val="-4"/>
          <w:sz w:val="24"/>
        </w:rPr>
        <w:t>公开开标后，直到宣布中标人止，凡属于审查、澄清、评价和比较投标的所</w:t>
      </w:r>
      <w:r>
        <w:rPr>
          <w:spacing w:val="-2"/>
          <w:sz w:val="24"/>
        </w:rPr>
        <w:t>有资料，都不应向投标人或与评标无关的其他人泄露。</w:t>
      </w:r>
    </w:p>
    <w:p>
      <w:pPr>
        <w:pStyle w:val="ListParagraph"/>
        <w:numPr>
          <w:ilvl w:val="1"/>
          <w:numId w:val="36"/>
        </w:numPr>
        <w:tabs>
          <w:tab w:val="left" w:pos="1597"/>
          <w:tab w:val="left" w:pos="1598"/>
        </w:tabs>
        <w:spacing w:before="0" w:after="0" w:line="266" w:lineRule="auto"/>
        <w:ind w:left="398" w:right="663" w:firstLine="480"/>
        <w:jc w:val="left"/>
        <w:rPr>
          <w:sz w:val="24"/>
        </w:rPr>
      </w:pPr>
      <w:r>
        <w:rPr>
          <w:spacing w:val="-4"/>
          <w:sz w:val="24"/>
        </w:rPr>
        <w:t>在投标文件的审查、澄清、评价和比较以及确定中标人过程中，投标人对招</w:t>
      </w:r>
      <w:r>
        <w:rPr>
          <w:spacing w:val="-2"/>
          <w:sz w:val="24"/>
        </w:rPr>
        <w:t>标人、招标代理机构和评标委员会施加影响的任何行为，都将导致取消资格。</w:t>
      </w:r>
    </w:p>
    <w:p>
      <w:pPr>
        <w:pStyle w:val="Heading5"/>
        <w:spacing w:line="350" w:lineRule="exact"/>
      </w:pPr>
      <w:r>
        <w:rPr>
          <w:spacing w:val="-8"/>
        </w:rPr>
        <w:t>23</w:t>
      </w:r>
      <w:r>
        <w:rPr>
          <w:spacing w:val="-9"/>
        </w:rPr>
        <w:t>、投标文件的澄清</w:t>
      </w:r>
    </w:p>
    <w:p>
      <w:pPr>
        <w:pStyle w:val="BodyText"/>
        <w:spacing w:line="266" w:lineRule="auto"/>
        <w:ind w:left="398" w:right="663" w:firstLine="480"/>
      </w:pPr>
      <w:r>
        <w:rPr>
          <w:spacing w:val="-4"/>
        </w:rPr>
        <w:t>为了有助于投标文件的审查、评价和比较，评标委员会可以个别地要求投标人澄清</w:t>
      </w:r>
      <w:r>
        <w:rPr>
          <w:spacing w:val="-2"/>
        </w:rPr>
        <w:t>其投标文件。有关澄清的要求和答复，应以书面形式进行。</w:t>
      </w:r>
    </w:p>
    <w:p>
      <w:pPr>
        <w:pStyle w:val="Heading5"/>
        <w:spacing w:line="312" w:lineRule="exact"/>
      </w:pPr>
      <w:r>
        <w:rPr>
          <w:w w:val="90"/>
        </w:rPr>
        <w:t>24</w:t>
      </w:r>
      <w:r>
        <w:rPr>
          <w:w w:val="90"/>
        </w:rPr>
        <w:t>、</w:t>
      </w:r>
      <w:r>
        <w:rPr>
          <w:w w:val="90"/>
        </w:rPr>
        <w:t>废</w:t>
      </w:r>
      <w:r>
        <w:rPr>
          <w:spacing w:val="-10"/>
          <w:w w:val="90"/>
        </w:rPr>
        <w:t>标</w:t>
      </w:r>
    </w:p>
    <w:p>
      <w:pPr>
        <w:pStyle w:val="Heading5"/>
        <w:spacing w:line="184" w:lineRule="auto"/>
        <w:ind w:right="665" w:firstLine="482"/>
      </w:pPr>
      <w:r>
        <w:rPr>
          <w:spacing w:val="-2"/>
        </w:rPr>
        <w:t>根据《中华人民共和国政府采购法》第三十六条之规定，在采购中，出现下列情</w:t>
      </w:r>
      <w:r>
        <w:rPr>
          <w:spacing w:val="-2"/>
        </w:rPr>
        <w:t>形之一的，应予废标：</w:t>
      </w:r>
    </w:p>
    <w:p>
      <w:pPr>
        <w:pStyle w:val="Heading5"/>
        <w:numPr>
          <w:ilvl w:val="0"/>
          <w:numId w:val="6"/>
        </w:numPr>
        <w:tabs>
          <w:tab w:val="left" w:pos="1243"/>
        </w:tabs>
        <w:spacing w:before="0" w:after="0" w:line="317" w:lineRule="exact"/>
        <w:ind w:left="1242" w:right="0" w:hanging="363"/>
        <w:jc w:val="left"/>
        <w:rPr>
          <w:sz w:val="22"/>
        </w:rPr>
      </w:pPr>
      <w:r>
        <w:rPr>
          <w:spacing w:val="-2"/>
        </w:rPr>
        <w:t xml:space="preserve">符合专业条件的供应商或者对招标文件作实质响应的供应商不足 </w:t>
      </w:r>
      <w:r>
        <w:rPr>
          <w:spacing w:val="-2"/>
          <w:u w:val="thick"/>
        </w:rPr>
        <w:t>6</w:t>
      </w:r>
      <w:r>
        <w:rPr>
          <w:spacing w:val="-3"/>
        </w:rPr>
        <w:t xml:space="preserve"> 家的；</w:t>
      </w:r>
    </w:p>
    <w:p>
      <w:pPr>
        <w:pStyle w:val="Heading5"/>
        <w:numPr>
          <w:ilvl w:val="0"/>
          <w:numId w:val="6"/>
        </w:numPr>
        <w:tabs>
          <w:tab w:val="left" w:pos="1243"/>
        </w:tabs>
        <w:spacing w:before="0" w:after="0" w:line="340" w:lineRule="exact"/>
        <w:ind w:left="1242" w:right="0" w:hanging="363"/>
        <w:jc w:val="left"/>
        <w:rPr>
          <w:sz w:val="22"/>
        </w:rPr>
      </w:pPr>
      <w:r>
        <w:rPr>
          <w:spacing w:val="-1"/>
        </w:rPr>
        <w:t>出现影响采购公正的违法、违规行为的；</w:t>
      </w:r>
    </w:p>
    <w:p>
      <w:pPr>
        <w:pStyle w:val="Heading5"/>
        <w:numPr>
          <w:ilvl w:val="0"/>
          <w:numId w:val="6"/>
        </w:numPr>
        <w:tabs>
          <w:tab w:val="left" w:pos="1243"/>
        </w:tabs>
        <w:spacing w:before="15" w:after="0" w:line="184" w:lineRule="auto"/>
        <w:ind w:left="880" w:right="2034" w:firstLine="0"/>
        <w:jc w:val="left"/>
        <w:rPr>
          <w:sz w:val="22"/>
        </w:rPr>
      </w:pPr>
      <w:r>
        <w:rPr>
          <w:spacing w:val="-2"/>
        </w:rPr>
        <w:t>报价均超过预算，不能支付的（</w:t>
      </w:r>
      <w:r>
        <w:rPr>
          <w:u w:val="thick"/>
        </w:rPr>
        <w:t xml:space="preserve">本项目每年预算为 </w:t>
      </w:r>
      <w:r>
        <w:rPr>
          <w:spacing w:val="-2"/>
          <w:u w:val="thick"/>
        </w:rPr>
        <w:t>100</w:t>
      </w:r>
      <w:r>
        <w:rPr>
          <w:spacing w:val="-7"/>
          <w:u w:val="thick"/>
        </w:rPr>
        <w:t xml:space="preserve"> 万元</w:t>
      </w:r>
      <w:r>
        <w:rPr>
          <w:spacing w:val="-2"/>
        </w:rPr>
        <w:t>）； (4)</w:t>
      </w:r>
      <w:r>
        <w:rPr>
          <w:spacing w:val="-2"/>
        </w:rPr>
        <w:t>因重大变故，采购任务取消的。</w:t>
      </w:r>
    </w:p>
    <w:p>
      <w:pPr>
        <w:pStyle w:val="Heading3"/>
        <w:spacing w:line="402" w:lineRule="exact"/>
        <w:ind w:left="4318"/>
        <w:jc w:val="left"/>
        <w:rPr>
          <w:rFonts w:ascii="微软雅黑" w:eastAsia="微软雅黑"/>
        </w:rPr>
      </w:pPr>
      <w:r>
        <w:rPr>
          <w:rFonts w:ascii="微软雅黑" w:eastAsia="微软雅黑"/>
          <w:spacing w:val="9"/>
        </w:rPr>
        <w:t>七、定 标</w:t>
      </w:r>
    </w:p>
    <w:p>
      <w:pPr>
        <w:pStyle w:val="Heading5"/>
        <w:spacing w:before="69" w:line="430" w:lineRule="exact"/>
      </w:pPr>
      <w:r>
        <w:rPr>
          <w:w w:val="90"/>
        </w:rPr>
        <w:t>25</w:t>
      </w:r>
      <w:r>
        <w:rPr>
          <w:w w:val="90"/>
        </w:rPr>
        <w:t>、</w:t>
      </w:r>
      <w:r>
        <w:rPr>
          <w:w w:val="90"/>
        </w:rPr>
        <w:t>定</w:t>
      </w:r>
      <w:r>
        <w:rPr>
          <w:spacing w:val="-10"/>
          <w:w w:val="90"/>
        </w:rPr>
        <w:t>标</w:t>
      </w:r>
    </w:p>
    <w:p>
      <w:pPr>
        <w:pStyle w:val="ListParagraph"/>
        <w:numPr>
          <w:ilvl w:val="1"/>
          <w:numId w:val="5"/>
        </w:numPr>
        <w:tabs>
          <w:tab w:val="left" w:pos="1597"/>
          <w:tab w:val="left" w:pos="1598"/>
        </w:tabs>
        <w:spacing w:before="0" w:after="0" w:line="266" w:lineRule="auto"/>
        <w:ind w:left="398" w:right="663" w:firstLine="480"/>
        <w:jc w:val="left"/>
        <w:rPr>
          <w:sz w:val="24"/>
        </w:rPr>
      </w:pPr>
      <w:r>
        <w:rPr>
          <w:spacing w:val="-4"/>
          <w:sz w:val="24"/>
        </w:rPr>
        <w:t>评标委员会将根据招标文件和有关规定，履行评标工作职责，以评标办法为</w:t>
      </w:r>
      <w:r>
        <w:rPr>
          <w:spacing w:val="-4"/>
          <w:sz w:val="24"/>
        </w:rPr>
        <w:t>标准，全面衡量各投标人对招标文件的响应情况。对实质上响应招标文件的投标人，以</w:t>
      </w:r>
    </w:p>
    <w:p>
      <w:pPr>
        <w:spacing w:before="0" w:line="184" w:lineRule="auto"/>
        <w:ind w:left="398" w:right="664" w:firstLine="0"/>
        <w:jc w:val="left"/>
        <w:rPr>
          <w:sz w:val="24"/>
        </w:rPr>
      </w:pPr>
      <w:r>
        <w:rPr>
          <w:spacing w:val="-11"/>
          <w:sz w:val="24"/>
        </w:rPr>
        <w:t>打分的方法，从高分到低分排序投标人的先后顺序，并按顺序提出</w:t>
      </w:r>
      <w:r>
        <w:rPr>
          <w:rFonts w:ascii="微软雅黑" w:eastAsia="微软雅黑"/>
          <w:b/>
          <w:spacing w:val="-2"/>
          <w:sz w:val="24"/>
        </w:rPr>
        <w:t>推荐前六名为中标候</w:t>
      </w:r>
      <w:r>
        <w:rPr>
          <w:rFonts w:ascii="微软雅黑" w:eastAsia="微软雅黑"/>
          <w:b/>
          <w:sz w:val="24"/>
        </w:rPr>
        <w:t>选人（如有效标不足 6 家的，招标人可重新招标</w:t>
      </w:r>
      <w:r>
        <w:rPr>
          <w:rFonts w:ascii="微软雅黑" w:eastAsia="微软雅黑"/>
          <w:b/>
          <w:spacing w:val="-120"/>
          <w:sz w:val="24"/>
        </w:rPr>
        <w:t>）</w:t>
      </w:r>
      <w:r>
        <w:rPr>
          <w:sz w:val="24"/>
        </w:rPr>
        <w:t>，提交采购人。</w:t>
      </w:r>
    </w:p>
    <w:p>
      <w:pPr>
        <w:pStyle w:val="ListParagraph"/>
        <w:numPr>
          <w:ilvl w:val="1"/>
          <w:numId w:val="5"/>
        </w:numPr>
        <w:tabs>
          <w:tab w:val="left" w:pos="1607"/>
        </w:tabs>
        <w:spacing w:before="0" w:after="0" w:line="368" w:lineRule="exact"/>
        <w:ind w:left="1606" w:right="0" w:hanging="729"/>
        <w:jc w:val="left"/>
        <w:rPr>
          <w:rFonts w:ascii="微软雅黑" w:eastAsia="微软雅黑"/>
          <w:b/>
          <w:sz w:val="24"/>
        </w:rPr>
      </w:pPr>
      <w:r>
        <w:rPr>
          <w:sz w:val="24"/>
        </w:rPr>
        <w:t>招标人应当根据评标委员会推荐的中标候选人中根据综合得分从高到低</w:t>
      </w:r>
      <w:r>
        <w:rPr>
          <w:rFonts w:ascii="微软雅黑" w:eastAsia="微软雅黑"/>
          <w:b/>
          <w:spacing w:val="-10"/>
          <w:sz w:val="24"/>
        </w:rPr>
        <w:t>按</w:t>
      </w:r>
    </w:p>
    <w:p>
      <w:pPr>
        <w:spacing w:after="0" w:line="368" w:lineRule="exact"/>
        <w:jc w:val="left"/>
        <w:rPr>
          <w:rFonts w:ascii="微软雅黑" w:eastAsia="微软雅黑"/>
          <w:sz w:val="24"/>
        </w:rPr>
        <w:sectPr>
          <w:footerReference w:type="default" r:id="rId18"/>
          <w:pgSz w:w="11910" w:h="16840"/>
          <w:pgMar w:top="1200" w:right="800" w:bottom="1180" w:left="1020" w:header="0" w:footer="990"/>
          <w:pgNumType w:start="15"/>
          <w:cols w:space="708"/>
        </w:sectPr>
      </w:pPr>
    </w:p>
    <w:p>
      <w:pPr>
        <w:pStyle w:val="BodyText"/>
        <w:spacing w:line="223" w:lineRule="auto"/>
        <w:ind w:left="398" w:right="663"/>
      </w:pPr>
      <w:r>
        <w:rPr>
          <w:rFonts w:ascii="微软雅黑" w:eastAsia="微软雅黑"/>
          <w:b/>
          <w:spacing w:val="-2"/>
        </w:rPr>
        <w:t>序</w:t>
      </w:r>
      <w:r>
        <w:rPr>
          <w:spacing w:val="-2"/>
        </w:rPr>
        <w:t>确定前四家为中标人（如中标候选人不足六家的，招标人可重新招标</w:t>
      </w:r>
      <w:r>
        <w:rPr>
          <w:spacing w:val="-120"/>
        </w:rPr>
        <w:t>）</w:t>
      </w:r>
      <w:r>
        <w:rPr>
          <w:spacing w:val="-2"/>
        </w:rPr>
        <w:t>，若综合得分</w:t>
      </w:r>
      <w:r>
        <w:rPr>
          <w:spacing w:val="-5"/>
        </w:rPr>
        <w:t>相同，则以技术分高的优先，若技术分也相同，则现场抽签确定。招标人不得在评标委</w:t>
      </w:r>
    </w:p>
    <w:p>
      <w:pPr>
        <w:pStyle w:val="BodyText"/>
        <w:spacing w:before="23"/>
        <w:ind w:left="398"/>
      </w:pPr>
      <w:r>
        <w:rPr>
          <w:spacing w:val="-1"/>
        </w:rPr>
        <w:t>员会推荐的中标候选人以外确定中标人。</w:t>
      </w:r>
    </w:p>
    <w:p>
      <w:pPr>
        <w:pStyle w:val="ListParagraph"/>
        <w:numPr>
          <w:ilvl w:val="1"/>
          <w:numId w:val="37"/>
        </w:numPr>
        <w:tabs>
          <w:tab w:val="left" w:pos="1597"/>
          <w:tab w:val="left" w:pos="1598"/>
        </w:tabs>
        <w:spacing w:before="33" w:after="0" w:line="240" w:lineRule="auto"/>
        <w:ind w:left="1598" w:right="0" w:hanging="720"/>
        <w:jc w:val="left"/>
        <w:rPr>
          <w:sz w:val="24"/>
        </w:rPr>
      </w:pPr>
      <w:r>
        <w:rPr>
          <w:spacing w:val="-1"/>
          <w:sz w:val="24"/>
        </w:rPr>
        <w:t>政府采购法规、文件中另有规定的，按照相关规定执行。</w:t>
      </w:r>
    </w:p>
    <w:p>
      <w:pPr>
        <w:pStyle w:val="BodyText"/>
        <w:spacing w:before="2"/>
        <w:rPr>
          <w:sz w:val="21"/>
        </w:rPr>
      </w:pPr>
    </w:p>
    <w:p>
      <w:pPr>
        <w:spacing w:after="0"/>
        <w:rPr>
          <w:sz w:val="21"/>
        </w:rPr>
        <w:sectPr>
          <w:footerReference w:type="default" r:id="rId19"/>
          <w:pgSz w:w="11910" w:h="16840"/>
          <w:pgMar w:top="1220" w:right="800" w:bottom="1180" w:left="1020" w:header="0" w:footer="990"/>
          <w:pgNumType w:start="16"/>
          <w:cols w:space="708"/>
        </w:sectPr>
      </w:pPr>
    </w:p>
    <w:p>
      <w:pPr>
        <w:pStyle w:val="BodyText"/>
        <w:spacing w:before="6"/>
        <w:rPr>
          <w:sz w:val="28"/>
        </w:rPr>
      </w:pPr>
    </w:p>
    <w:p>
      <w:pPr>
        <w:pStyle w:val="Heading5"/>
      </w:pPr>
      <w:r>
        <w:rPr>
          <w:spacing w:val="-10"/>
        </w:rPr>
        <w:t>26</w:t>
      </w:r>
      <w:r>
        <w:rPr>
          <w:spacing w:val="-10"/>
        </w:rPr>
        <w:t>、中标通知书</w:t>
      </w:r>
    </w:p>
    <w:p>
      <w:pPr>
        <w:pStyle w:val="Heading3"/>
        <w:spacing w:line="488" w:lineRule="exact"/>
        <w:ind w:left="398"/>
        <w:jc w:val="left"/>
        <w:rPr>
          <w:rFonts w:ascii="微软雅黑" w:eastAsia="微软雅黑"/>
        </w:rPr>
      </w:pPr>
      <w:r>
        <w:rPr>
          <w:b w:val="0"/>
        </w:rPr>
        <w:br w:type="column"/>
      </w:r>
      <w:r>
        <w:rPr>
          <w:rFonts w:ascii="微软雅黑" w:eastAsia="微软雅黑"/>
          <w:spacing w:val="-2"/>
        </w:rPr>
        <w:t>八、合同签订及其他</w:t>
      </w:r>
    </w:p>
    <w:p>
      <w:pPr>
        <w:spacing w:after="0" w:line="488" w:lineRule="exact"/>
        <w:jc w:val="left"/>
        <w:rPr>
          <w:rFonts w:ascii="微软雅黑" w:eastAsia="微软雅黑"/>
        </w:rPr>
        <w:sectPr>
          <w:footerReference w:type="default" r:id="rId20"/>
          <w:type w:val="continuous"/>
          <w:pgSz w:w="11910" w:h="16840"/>
          <w:pgMar w:top="1180" w:right="800" w:bottom="280" w:left="1020" w:header="0" w:footer="990"/>
          <w:pgNumType w:start="17"/>
          <w:cols w:num="2" w:space="708" w:equalWidth="0">
            <w:col w:w="2125" w:space="1121"/>
            <w:col w:w="6844" w:space="0"/>
          </w:cols>
        </w:sectPr>
      </w:pPr>
    </w:p>
    <w:p>
      <w:pPr>
        <w:pStyle w:val="ListParagraph"/>
        <w:numPr>
          <w:ilvl w:val="1"/>
          <w:numId w:val="4"/>
        </w:numPr>
        <w:tabs>
          <w:tab w:val="left" w:pos="1598"/>
        </w:tabs>
        <w:spacing w:before="0" w:after="0" w:line="282" w:lineRule="exact"/>
        <w:ind w:left="1598" w:right="0" w:hanging="720"/>
        <w:jc w:val="both"/>
        <w:rPr>
          <w:sz w:val="24"/>
        </w:rPr>
      </w:pPr>
      <w:r>
        <w:rPr>
          <w:spacing w:val="-1"/>
          <w:sz w:val="24"/>
        </w:rPr>
        <w:t>确定中标人后，招标代理机构将在发布招标公告的网站上公布评标结果。</w:t>
      </w:r>
    </w:p>
    <w:p>
      <w:pPr>
        <w:pStyle w:val="ListParagraph"/>
        <w:numPr>
          <w:ilvl w:val="1"/>
          <w:numId w:val="4"/>
        </w:numPr>
        <w:tabs>
          <w:tab w:val="left" w:pos="1600"/>
        </w:tabs>
        <w:spacing w:before="32" w:after="0" w:line="266" w:lineRule="auto"/>
        <w:ind w:left="398" w:right="663" w:firstLine="482"/>
        <w:jc w:val="both"/>
        <w:rPr>
          <w:sz w:val="24"/>
        </w:rPr>
      </w:pPr>
      <w:r>
        <w:rPr>
          <w:spacing w:val="-4"/>
          <w:sz w:val="24"/>
        </w:rPr>
        <w:t>如中标人拒绝承担中标的项目，或提出招标方不能接受的条件，致使合同无</w:t>
      </w:r>
      <w:r>
        <w:rPr>
          <w:spacing w:val="-4"/>
          <w:sz w:val="24"/>
        </w:rPr>
        <w:t>法签订，招标方将取消其中标资格，并不予退还其投标保证金，并根据评标委员会推荐</w:t>
      </w:r>
      <w:r>
        <w:rPr>
          <w:spacing w:val="-4"/>
          <w:sz w:val="24"/>
        </w:rPr>
        <w:t>的中标候选人先后顺序，将下一顺序的中标候选人作为预中标人进行公示，或由招标方</w:t>
      </w:r>
      <w:r>
        <w:rPr>
          <w:spacing w:val="-2"/>
          <w:sz w:val="24"/>
        </w:rPr>
        <w:t>组织评标委员会复议后提出重新组织采购等建议。</w:t>
      </w:r>
    </w:p>
    <w:p>
      <w:pPr>
        <w:pStyle w:val="ListParagraph"/>
        <w:numPr>
          <w:ilvl w:val="1"/>
          <w:numId w:val="4"/>
        </w:numPr>
        <w:tabs>
          <w:tab w:val="left" w:pos="1598"/>
        </w:tabs>
        <w:spacing w:before="0" w:after="0" w:line="266" w:lineRule="auto"/>
        <w:ind w:left="398" w:right="663" w:firstLine="480"/>
        <w:jc w:val="both"/>
        <w:rPr>
          <w:sz w:val="24"/>
        </w:rPr>
      </w:pPr>
      <w:r>
        <w:rPr>
          <w:spacing w:val="-10"/>
          <w:sz w:val="24"/>
        </w:rPr>
        <w:t>在中标人签订合同并生效后，招标代理机构及时将未中标的结果通知其他投</w:t>
      </w:r>
      <w:r>
        <w:rPr>
          <w:spacing w:val="-4"/>
          <w:sz w:val="24"/>
        </w:rPr>
        <w:t>标人。</w:t>
      </w:r>
    </w:p>
    <w:p>
      <w:pPr>
        <w:pStyle w:val="ListParagraph"/>
        <w:numPr>
          <w:ilvl w:val="1"/>
          <w:numId w:val="4"/>
        </w:numPr>
        <w:tabs>
          <w:tab w:val="left" w:pos="1479"/>
        </w:tabs>
        <w:spacing w:before="0" w:after="0" w:line="266" w:lineRule="auto"/>
        <w:ind w:left="398" w:right="664" w:firstLine="480"/>
        <w:jc w:val="both"/>
        <w:rPr>
          <w:sz w:val="24"/>
        </w:rPr>
      </w:pPr>
      <w:r>
        <w:rPr>
          <w:spacing w:val="-2"/>
          <w:sz w:val="24"/>
        </w:rPr>
        <w:t>如签订合同并生效后，中标人无故拒绝或延期，除按照合同条款处罚外，列</w:t>
      </w:r>
      <w:r>
        <w:rPr>
          <w:spacing w:val="-2"/>
          <w:sz w:val="24"/>
        </w:rPr>
        <w:t>入不良行为记录一次，并给予通报。</w:t>
      </w:r>
    </w:p>
    <w:p>
      <w:pPr>
        <w:pStyle w:val="Heading5"/>
        <w:spacing w:line="350" w:lineRule="exact"/>
      </w:pPr>
      <w:r>
        <w:rPr>
          <w:spacing w:val="-10"/>
        </w:rPr>
        <w:t>27</w:t>
      </w:r>
      <w:r>
        <w:rPr>
          <w:spacing w:val="-10"/>
        </w:rPr>
        <w:t>、合同的签订</w:t>
      </w:r>
    </w:p>
    <w:p>
      <w:pPr>
        <w:pStyle w:val="BodyText"/>
        <w:spacing w:line="266" w:lineRule="auto"/>
        <w:ind w:left="398" w:right="663" w:firstLine="480"/>
        <w:jc w:val="both"/>
      </w:pPr>
      <w:r>
        <w:rPr>
          <w:spacing w:val="-4"/>
        </w:rPr>
        <w:t xml:space="preserve">中标人应自接到《中标通知书》后 </w:t>
      </w:r>
      <w:r>
        <w:rPr>
          <w:spacing w:val="-2"/>
        </w:rPr>
        <w:t>30</w:t>
      </w:r>
      <w:r>
        <w:rPr>
          <w:spacing w:val="-7"/>
        </w:rPr>
        <w:t xml:space="preserve"> 日内与招标人签订合同。法定代表人或授权</w:t>
      </w:r>
      <w:r>
        <w:rPr>
          <w:spacing w:val="-4"/>
        </w:rPr>
        <w:t>代表与招标人代表签订合同。中标人拖延、拒签合同的，将被扣罚投标保证金并取消中</w:t>
      </w:r>
      <w:r>
        <w:rPr>
          <w:spacing w:val="-2"/>
        </w:rPr>
        <w:t>标资格；给招标人造成损失的应按照相关规定进行赔偿。</w:t>
      </w:r>
    </w:p>
    <w:p>
      <w:pPr>
        <w:pStyle w:val="Heading5"/>
        <w:spacing w:line="349" w:lineRule="exact"/>
      </w:pPr>
      <w:r>
        <w:rPr>
          <w:spacing w:val="-8"/>
        </w:rPr>
        <w:t>28</w:t>
      </w:r>
      <w:r>
        <w:rPr>
          <w:spacing w:val="-9"/>
        </w:rPr>
        <w:t>、付款结算方式</w:t>
      </w:r>
    </w:p>
    <w:p>
      <w:pPr>
        <w:pStyle w:val="BodyText"/>
        <w:spacing w:line="273" w:lineRule="exact"/>
        <w:ind w:left="878"/>
      </w:pPr>
      <w:r>
        <w:rPr>
          <w:spacing w:val="-1"/>
        </w:rPr>
        <w:t>由业主与入围单位自行商定。</w:t>
      </w:r>
    </w:p>
    <w:p>
      <w:pPr>
        <w:pStyle w:val="Heading5"/>
        <w:spacing w:line="407" w:lineRule="exact"/>
      </w:pPr>
      <w:r>
        <w:rPr>
          <w:w w:val="90"/>
        </w:rPr>
        <w:t>29</w:t>
      </w:r>
      <w:r>
        <w:rPr>
          <w:w w:val="90"/>
        </w:rPr>
        <w:t>、</w:t>
      </w:r>
      <w:r>
        <w:rPr>
          <w:w w:val="90"/>
        </w:rPr>
        <w:t>服</w:t>
      </w:r>
      <w:r>
        <w:rPr>
          <w:w w:val="90"/>
        </w:rPr>
        <w:t>务</w:t>
      </w:r>
      <w:r>
        <w:rPr>
          <w:spacing w:val="-10"/>
          <w:w w:val="90"/>
        </w:rPr>
        <w:t>期</w:t>
      </w:r>
    </w:p>
    <w:p>
      <w:pPr>
        <w:pStyle w:val="BodyText"/>
        <w:spacing w:line="295" w:lineRule="exact"/>
        <w:ind w:left="878"/>
      </w:pPr>
      <w:r>
        <w:t>合同服务期暂定为</w:t>
      </w:r>
      <w:r>
        <w:rPr>
          <w:color w:val="0000FF"/>
        </w:rPr>
        <w:t>一年</w:t>
      </w:r>
      <w:r>
        <w:rPr>
          <w:spacing w:val="-1"/>
        </w:rPr>
        <w:t>，业主根据各培训机构考核情况进行延续或重新招标。</w:t>
      </w:r>
    </w:p>
    <w:p>
      <w:pPr>
        <w:pStyle w:val="BodyText"/>
        <w:spacing w:before="12"/>
        <w:ind w:left="879"/>
      </w:pPr>
      <w:r>
        <w:rPr>
          <w:spacing w:val="-5"/>
        </w:rPr>
        <w:t>服务期一年后根据年末考核，不合格的将被淘汰，并由剩余中标候选人中按序替代</w:t>
      </w:r>
    </w:p>
    <w:p>
      <w:pPr>
        <w:pStyle w:val="BodyText"/>
        <w:spacing w:before="32" w:line="285" w:lineRule="exact"/>
        <w:ind w:left="398"/>
      </w:pPr>
      <w:r>
        <w:rPr>
          <w:spacing w:val="-2"/>
        </w:rPr>
        <w:t>（若4家中有3</w:t>
      </w:r>
      <w:r>
        <w:rPr>
          <w:spacing w:val="-18"/>
        </w:rPr>
        <w:t>家及以上考核不合格，招标人可终止合同并重新招标，考核办法另行制定</w:t>
      </w:r>
      <w:r>
        <w:rPr>
          <w:spacing w:val="-120"/>
        </w:rPr>
        <w:t>）</w:t>
      </w:r>
      <w:r>
        <w:rPr>
          <w:spacing w:val="-10"/>
        </w:rPr>
        <w:t>。</w:t>
      </w:r>
    </w:p>
    <w:p>
      <w:pPr>
        <w:pStyle w:val="Heading5"/>
        <w:spacing w:line="407" w:lineRule="exact"/>
      </w:pPr>
      <w:r>
        <w:rPr>
          <w:spacing w:val="-8"/>
        </w:rPr>
        <w:t>30</w:t>
      </w:r>
      <w:r>
        <w:rPr>
          <w:spacing w:val="-9"/>
        </w:rPr>
        <w:t>、采购方式改变</w:t>
      </w:r>
    </w:p>
    <w:p>
      <w:pPr>
        <w:pStyle w:val="BodyText"/>
        <w:spacing w:line="266" w:lineRule="auto"/>
        <w:ind w:left="398" w:right="663" w:firstLine="480"/>
        <w:jc w:val="both"/>
      </w:pPr>
      <w:r>
        <w:rPr>
          <w:spacing w:val="-6"/>
        </w:rPr>
        <w:t>在符合资格的投标人不足规定数量或投标人提供的服务及其报价、服务承诺等不能</w:t>
      </w:r>
      <w:r>
        <w:rPr>
          <w:spacing w:val="-4"/>
        </w:rPr>
        <w:t>满足招标人要求，以及招标过程中出现其他不正常情况时，经批准，招标代理机构将根</w:t>
      </w:r>
      <w:r>
        <w:rPr>
          <w:spacing w:val="-3"/>
        </w:rPr>
        <w:t xml:space="preserve">据《政府采购货物和服务招标投标管理办法》(财政部第 </w:t>
      </w:r>
      <w:r>
        <w:rPr>
          <w:spacing w:val="-2"/>
        </w:rPr>
        <w:t>18</w:t>
      </w:r>
      <w:r>
        <w:rPr>
          <w:spacing w:val="-7"/>
        </w:rPr>
        <w:t xml:space="preserve"> 号令)第四十三条之规定，</w:t>
      </w:r>
      <w:r>
        <w:rPr>
          <w:spacing w:val="-2"/>
        </w:rPr>
        <w:t>重新选择合适的方式进行采购。</w:t>
      </w:r>
    </w:p>
    <w:p>
      <w:pPr>
        <w:pStyle w:val="Heading5"/>
        <w:spacing w:line="348" w:lineRule="exact"/>
      </w:pPr>
      <w:r>
        <w:rPr>
          <w:spacing w:val="-8"/>
        </w:rPr>
        <w:t>31</w:t>
      </w:r>
      <w:r>
        <w:rPr>
          <w:spacing w:val="-9"/>
        </w:rPr>
        <w:t>、售后服务考核</w:t>
      </w:r>
    </w:p>
    <w:p>
      <w:pPr>
        <w:pStyle w:val="BodyText"/>
        <w:spacing w:line="266" w:lineRule="auto"/>
        <w:ind w:left="398" w:right="663" w:firstLine="480"/>
        <w:jc w:val="both"/>
      </w:pPr>
      <w:r>
        <w:rPr>
          <w:spacing w:val="-7"/>
        </w:rPr>
        <w:t xml:space="preserve">将按照《政府采购货物和服务招标投标管理办法》(中华人民共和国财政部第 </w:t>
      </w:r>
      <w:r>
        <w:rPr>
          <w:spacing w:val="-6"/>
        </w:rPr>
        <w:t>18</w:t>
      </w:r>
      <w:r>
        <w:rPr>
          <w:spacing w:val="-11"/>
        </w:rPr>
        <w:t xml:space="preserve"> 号</w:t>
      </w:r>
      <w:r>
        <w:rPr>
          <w:spacing w:val="-7"/>
        </w:rPr>
        <w:t>令) 对供应商进行考核，发现弄虚作假，偷工减料，以次充好，达不到国家、行业有关</w:t>
      </w:r>
      <w:r>
        <w:rPr>
          <w:spacing w:val="-1"/>
        </w:rPr>
        <w:t>标准和技术文件规定的，一经查实，招标代理机构将视情况终止合同 ，并上报衢州市</w:t>
      </w:r>
      <w:r>
        <w:rPr>
          <w:spacing w:val="-2"/>
        </w:rPr>
        <w:t>柯城区财政局政府采购监管处。</w:t>
      </w:r>
    </w:p>
    <w:p>
      <w:pPr>
        <w:pStyle w:val="Heading5"/>
        <w:spacing w:line="348" w:lineRule="exact"/>
      </w:pPr>
      <w:r>
        <w:rPr>
          <w:w w:val="90"/>
        </w:rPr>
        <w:t>32</w:t>
      </w:r>
      <w:r>
        <w:rPr>
          <w:w w:val="90"/>
        </w:rPr>
        <w:t>、</w:t>
      </w:r>
      <w:r>
        <w:rPr>
          <w:w w:val="90"/>
        </w:rPr>
        <w:t>解</w:t>
      </w:r>
      <w:r>
        <w:rPr>
          <w:w w:val="90"/>
        </w:rPr>
        <w:t>释</w:t>
      </w:r>
      <w:r>
        <w:rPr>
          <w:spacing w:val="-10"/>
          <w:w w:val="90"/>
        </w:rPr>
        <w:t>权</w:t>
      </w:r>
    </w:p>
    <w:p>
      <w:pPr>
        <w:pStyle w:val="BodyText"/>
        <w:spacing w:line="295" w:lineRule="exact"/>
        <w:ind w:left="878"/>
      </w:pPr>
      <w:r>
        <w:rPr>
          <w:spacing w:val="-1"/>
        </w:rPr>
        <w:t>招标文件的解释权均属于衢州市柯城区农业和农村工作办公室</w:t>
      </w:r>
    </w:p>
    <w:p>
      <w:pPr>
        <w:pStyle w:val="BodyText"/>
        <w:rPr>
          <w:sz w:val="20"/>
        </w:rPr>
      </w:pPr>
    </w:p>
    <w:p>
      <w:pPr>
        <w:pStyle w:val="BodyText"/>
        <w:spacing w:before="4"/>
        <w:rPr>
          <w:sz w:val="16"/>
        </w:rPr>
      </w:pPr>
    </w:p>
    <w:p>
      <w:pPr>
        <w:spacing w:after="0"/>
        <w:rPr>
          <w:sz w:val="16"/>
        </w:rPr>
        <w:sectPr>
          <w:footerReference w:type="default" r:id="rId21"/>
          <w:type w:val="continuous"/>
          <w:pgSz w:w="11910" w:h="16840"/>
          <w:pgMar w:top="1180" w:right="800" w:bottom="280" w:left="1020" w:header="0" w:footer="990"/>
          <w:pgNumType w:start="18"/>
          <w:cols w:space="708"/>
        </w:sectPr>
      </w:pPr>
    </w:p>
    <w:p>
      <w:pPr>
        <w:pStyle w:val="BodyText"/>
        <w:spacing w:before="1"/>
        <w:rPr>
          <w:sz w:val="34"/>
        </w:rPr>
      </w:pPr>
    </w:p>
    <w:p>
      <w:pPr>
        <w:pStyle w:val="Heading5"/>
      </w:pPr>
      <w:r>
        <w:rPr>
          <w:spacing w:val="-2"/>
        </w:rPr>
        <w:t>一、培训内容</w:t>
      </w:r>
    </w:p>
    <w:p>
      <w:pPr>
        <w:pStyle w:val="Heading1"/>
        <w:rPr>
          <w:rFonts w:ascii="宋体" w:eastAsia="宋体"/>
        </w:rPr>
      </w:pPr>
      <w:bookmarkStart w:id="2" w:name="_TOC_250002"/>
      <w:r>
        <w:br w:type="column"/>
      </w:r>
      <w:bookmarkEnd w:id="2"/>
      <w:r>
        <w:rPr>
          <w:rFonts w:ascii="宋体" w:eastAsia="宋体"/>
          <w:spacing w:val="-1"/>
        </w:rPr>
        <w:t>第三部分 采购内容及要求</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2" w:history="1">
        <w:r>
          <w:rPr>
            <w:rFonts w:ascii="SimSun" w:eastAsia="SimSun" w:hAnsi="SimSun" w:cs="SimSun"/>
            <w:b/>
            <w:bCs/>
            <w:color w:val="0000EE"/>
            <w:sz w:val="30"/>
            <w:szCs w:val="30"/>
            <w:u w:val="single" w:color="0000EE"/>
          </w:rPr>
          <w:t>https://d.book118.com/937121052155006051</w:t>
        </w:r>
      </w:hyperlink>
    </w:p>
    <w:p>
      <w:pPr>
        <w:spacing w:after="0"/>
      </w:pPr>
    </w:p>
    <w:sectPr>
      <w:footerReference w:type="default" r:id="rId23"/>
      <w:type w:val="continuous"/>
      <w:pgSz w:w="11910" w:h="16840"/>
      <w:pgMar w:top="1180" w:right="800" w:bottom="280" w:left="1020" w:header="0" w:footer="990"/>
      <w:pgNumType w:start="19"/>
      <w:cols w:num="2" w:space="708" w:equalWidth="0">
        <w:col w:w="1883" w:space="558"/>
        <w:col w:w="764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Cambria Math">
    <w:altName w:val="Cambria Math"/>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6pt;height:12pt;margin-top:781.38pt;margin-left:288.95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6pt;height:12pt;margin-top:781.38pt;margin-left:288.95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6pt;height:12pt;margin-top:781.38pt;margin-left:288.95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6pt;height:12pt;margin-top:781.38pt;margin-left:288.95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6pt;height:12pt;margin-top:781.38pt;margin-left:288.95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6pt;height:12pt;margin-top:781.38pt;margin-left:288.95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6pt;height:12pt;margin-top:781.38pt;margin-left:288.95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31</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6pt;height:12pt;margin-top:781.38pt;margin-left:288.95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6pt;height:12pt;margin-top:781.38pt;margin-left:288.95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6pt;height:12pt;margin-top:781.38pt;margin-left:288.95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6pt;height:12pt;margin-top:781.38pt;margin-left:288.95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6pt;height:12pt;margin-top:781.38pt;margin-left:288.95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6pt;height:12pt;margin-top:781.38pt;margin-left:288.95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6pt;height:12pt;margin-top:781.38pt;margin-left:288.95pt;mso-position-horizontal-relative:page;mso-position-vertical-relative:page;position:absolute;z-index:-2516449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6pt;height:12pt;margin-top:781.38pt;margin-left:288.95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16</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6pt;height:12pt;margin-top:781.38pt;margin-left:288.95pt;mso-position-horizontal-relative:page;mso-position-vertical-relative:page;position:absolute;z-index:-2516428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31</w:t>
                </w:r>
                <w:r>
                  <w:rPr>
                    <w:rFonts w:ascii="Times New Roman"/>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6pt;height:12pt;margin-top:781.38pt;margin-left:288.95pt;mso-position-horizontal-relative:page;mso-position-vertical-relative:page;position:absolute;z-index:-2516418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31</w:t>
                </w:r>
                <w:r>
                  <w:rPr>
                    <w:rFonts w:ascii="Times New Roman"/>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6pt;height:12pt;margin-top:781.38pt;margin-left:288.95pt;mso-position-horizontal-relative:page;mso-position-vertical-relative:page;position:absolute;z-index:-25164083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31</w:t>
                </w:r>
                <w:r>
                  <w:rPr>
                    <w:rFonts w:ascii="Times New Roman"/>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064FE"/>
    <w:multiLevelType w:val="hybridMultilevel"/>
    <w:tmpl w:val="00000000"/>
    <w:lvl w:ilvl="0">
      <w:start w:val="25"/>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1">
    <w:nsid w:val="007D64FD"/>
    <w:multiLevelType w:val="hybridMultilevel"/>
    <w:tmpl w:val="00000000"/>
    <w:lvl w:ilvl="0">
      <w:start w:val="8"/>
      <w:numFmt w:val="decimal"/>
      <w:lvlText w:val="%1"/>
      <w:lvlJc w:val="left"/>
      <w:pPr>
        <w:ind w:left="1478" w:hanging="600"/>
        <w:jc w:val="left"/>
      </w:pPr>
      <w:rPr>
        <w:rFonts w:hint="default"/>
        <w:lang w:val="en-US" w:eastAsia="zh-CN" w:bidi="ar-SA"/>
      </w:rPr>
    </w:lvl>
    <w:lvl w:ilvl="1">
      <w:start w:val="1"/>
      <w:numFmt w:val="decimal"/>
      <w:lvlText w:val="%1.%2"/>
      <w:lvlJc w:val="left"/>
      <w:pPr>
        <w:ind w:left="1478" w:hanging="600"/>
        <w:jc w:val="left"/>
      </w:pPr>
      <w:rPr>
        <w:rFonts w:hint="default"/>
        <w:w w:val="100"/>
        <w:lang w:val="en-US" w:eastAsia="zh-CN" w:bidi="ar-SA"/>
      </w:rPr>
    </w:lvl>
    <w:lvl w:ilvl="2">
      <w:start w:val="0"/>
      <w:numFmt w:val="bullet"/>
      <w:lvlText w:val="•"/>
      <w:lvlJc w:val="left"/>
      <w:pPr>
        <w:ind w:left="3201" w:hanging="600"/>
      </w:pPr>
      <w:rPr>
        <w:rFonts w:hint="default"/>
        <w:lang w:val="en-US" w:eastAsia="zh-CN" w:bidi="ar-SA"/>
      </w:rPr>
    </w:lvl>
    <w:lvl w:ilvl="3">
      <w:start w:val="0"/>
      <w:numFmt w:val="bullet"/>
      <w:lvlText w:val="•"/>
      <w:lvlJc w:val="left"/>
      <w:pPr>
        <w:ind w:left="4061" w:hanging="600"/>
      </w:pPr>
      <w:rPr>
        <w:rFonts w:hint="default"/>
        <w:lang w:val="en-US" w:eastAsia="zh-CN" w:bidi="ar-SA"/>
      </w:rPr>
    </w:lvl>
    <w:lvl w:ilvl="4">
      <w:start w:val="0"/>
      <w:numFmt w:val="bullet"/>
      <w:lvlText w:val="•"/>
      <w:lvlJc w:val="left"/>
      <w:pPr>
        <w:ind w:left="4922" w:hanging="600"/>
      </w:pPr>
      <w:rPr>
        <w:rFonts w:hint="default"/>
        <w:lang w:val="en-US" w:eastAsia="zh-CN" w:bidi="ar-SA"/>
      </w:rPr>
    </w:lvl>
    <w:lvl w:ilvl="5">
      <w:start w:val="0"/>
      <w:numFmt w:val="bullet"/>
      <w:lvlText w:val="•"/>
      <w:lvlJc w:val="left"/>
      <w:pPr>
        <w:ind w:left="5783" w:hanging="600"/>
      </w:pPr>
      <w:rPr>
        <w:rFonts w:hint="default"/>
        <w:lang w:val="en-US" w:eastAsia="zh-CN" w:bidi="ar-SA"/>
      </w:rPr>
    </w:lvl>
    <w:lvl w:ilvl="6">
      <w:start w:val="0"/>
      <w:numFmt w:val="bullet"/>
      <w:lvlText w:val="•"/>
      <w:lvlJc w:val="left"/>
      <w:pPr>
        <w:ind w:left="6643" w:hanging="600"/>
      </w:pPr>
      <w:rPr>
        <w:rFonts w:hint="default"/>
        <w:lang w:val="en-US" w:eastAsia="zh-CN" w:bidi="ar-SA"/>
      </w:rPr>
    </w:lvl>
    <w:lvl w:ilvl="7">
      <w:start w:val="0"/>
      <w:numFmt w:val="bullet"/>
      <w:lvlText w:val="•"/>
      <w:lvlJc w:val="left"/>
      <w:pPr>
        <w:ind w:left="7504" w:hanging="600"/>
      </w:pPr>
      <w:rPr>
        <w:rFonts w:hint="default"/>
        <w:lang w:val="en-US" w:eastAsia="zh-CN" w:bidi="ar-SA"/>
      </w:rPr>
    </w:lvl>
    <w:lvl w:ilvl="8">
      <w:start w:val="0"/>
      <w:numFmt w:val="bullet"/>
      <w:lvlText w:val="•"/>
      <w:lvlJc w:val="left"/>
      <w:pPr>
        <w:ind w:left="8364" w:hanging="600"/>
      </w:pPr>
      <w:rPr>
        <w:rFonts w:hint="default"/>
        <w:lang w:val="en-US" w:eastAsia="zh-CN" w:bidi="ar-SA"/>
      </w:rPr>
    </w:lvl>
  </w:abstractNum>
  <w:abstractNum w:abstractNumId="2">
    <w:nsid w:val="04B5CFA5"/>
    <w:multiLevelType w:val="hybridMultilevel"/>
    <w:tmpl w:val="00000000"/>
    <w:lvl w:ilvl="0">
      <w:start w:val="1"/>
      <w:numFmt w:val="decimal"/>
      <w:lvlText w:val="（%1）"/>
      <w:lvlJc w:val="left"/>
      <w:pPr>
        <w:ind w:left="1300"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78" w:hanging="601"/>
      </w:pPr>
      <w:rPr>
        <w:rFonts w:hint="default"/>
        <w:lang w:val="en-US" w:eastAsia="zh-CN" w:bidi="ar-SA"/>
      </w:rPr>
    </w:lvl>
    <w:lvl w:ilvl="2">
      <w:start w:val="0"/>
      <w:numFmt w:val="bullet"/>
      <w:lvlText w:val="•"/>
      <w:lvlJc w:val="left"/>
      <w:pPr>
        <w:ind w:left="3057" w:hanging="601"/>
      </w:pPr>
      <w:rPr>
        <w:rFonts w:hint="default"/>
        <w:lang w:val="en-US" w:eastAsia="zh-CN" w:bidi="ar-SA"/>
      </w:rPr>
    </w:lvl>
    <w:lvl w:ilvl="3">
      <w:start w:val="0"/>
      <w:numFmt w:val="bullet"/>
      <w:lvlText w:val="•"/>
      <w:lvlJc w:val="left"/>
      <w:pPr>
        <w:ind w:left="3935" w:hanging="601"/>
      </w:pPr>
      <w:rPr>
        <w:rFonts w:hint="default"/>
        <w:lang w:val="en-US" w:eastAsia="zh-CN" w:bidi="ar-SA"/>
      </w:rPr>
    </w:lvl>
    <w:lvl w:ilvl="4">
      <w:start w:val="0"/>
      <w:numFmt w:val="bullet"/>
      <w:lvlText w:val="•"/>
      <w:lvlJc w:val="left"/>
      <w:pPr>
        <w:ind w:left="4814" w:hanging="601"/>
      </w:pPr>
      <w:rPr>
        <w:rFonts w:hint="default"/>
        <w:lang w:val="en-US" w:eastAsia="zh-CN" w:bidi="ar-SA"/>
      </w:rPr>
    </w:lvl>
    <w:lvl w:ilvl="5">
      <w:start w:val="0"/>
      <w:numFmt w:val="bullet"/>
      <w:lvlText w:val="•"/>
      <w:lvlJc w:val="left"/>
      <w:pPr>
        <w:ind w:left="5693" w:hanging="601"/>
      </w:pPr>
      <w:rPr>
        <w:rFonts w:hint="default"/>
        <w:lang w:val="en-US" w:eastAsia="zh-CN" w:bidi="ar-SA"/>
      </w:rPr>
    </w:lvl>
    <w:lvl w:ilvl="6">
      <w:start w:val="0"/>
      <w:numFmt w:val="bullet"/>
      <w:lvlText w:val="•"/>
      <w:lvlJc w:val="left"/>
      <w:pPr>
        <w:ind w:left="6571" w:hanging="601"/>
      </w:pPr>
      <w:rPr>
        <w:rFonts w:hint="default"/>
        <w:lang w:val="en-US" w:eastAsia="zh-CN" w:bidi="ar-SA"/>
      </w:rPr>
    </w:lvl>
    <w:lvl w:ilvl="7">
      <w:start w:val="0"/>
      <w:numFmt w:val="bullet"/>
      <w:lvlText w:val="•"/>
      <w:lvlJc w:val="left"/>
      <w:pPr>
        <w:ind w:left="7450" w:hanging="601"/>
      </w:pPr>
      <w:rPr>
        <w:rFonts w:hint="default"/>
        <w:lang w:val="en-US" w:eastAsia="zh-CN" w:bidi="ar-SA"/>
      </w:rPr>
    </w:lvl>
    <w:lvl w:ilvl="8">
      <w:start w:val="0"/>
      <w:numFmt w:val="bullet"/>
      <w:lvlText w:val="•"/>
      <w:lvlJc w:val="left"/>
      <w:pPr>
        <w:ind w:left="8328" w:hanging="601"/>
      </w:pPr>
      <w:rPr>
        <w:rFonts w:hint="default"/>
        <w:lang w:val="en-US" w:eastAsia="zh-CN" w:bidi="ar-SA"/>
      </w:rPr>
    </w:lvl>
  </w:abstractNum>
  <w:abstractNum w:abstractNumId="3">
    <w:nsid w:val="066A74CF"/>
    <w:multiLevelType w:val="hybridMultilevel"/>
    <w:tmpl w:val="00000000"/>
    <w:lvl w:ilvl="0">
      <w:start w:val="5"/>
      <w:numFmt w:val="decimal"/>
      <w:lvlText w:val="%1"/>
      <w:lvlJc w:val="left"/>
      <w:pPr>
        <w:ind w:left="1478" w:hanging="600"/>
        <w:jc w:val="left"/>
      </w:pPr>
      <w:rPr>
        <w:rFonts w:hint="default"/>
        <w:lang w:val="en-US" w:eastAsia="zh-CN" w:bidi="ar-SA"/>
      </w:rPr>
    </w:lvl>
    <w:lvl w:ilvl="1">
      <w:start w:val="1"/>
      <w:numFmt w:val="decimal"/>
      <w:lvlText w:val="%1.%2"/>
      <w:lvlJc w:val="left"/>
      <w:pPr>
        <w:ind w:left="1478" w:hanging="60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1298" w:hanging="420"/>
      </w:pPr>
      <w:rPr>
        <w:rFonts w:ascii="Wingdings" w:eastAsia="Wingdings" w:hAnsi="Wingdings" w:cs="Wingdings" w:hint="default"/>
        <w:b w:val="0"/>
        <w:bCs w:val="0"/>
        <w:i w:val="0"/>
        <w:iCs w:val="0"/>
        <w:w w:val="100"/>
        <w:sz w:val="24"/>
        <w:szCs w:val="24"/>
        <w:lang w:val="en-US" w:eastAsia="zh-CN" w:bidi="ar-SA"/>
      </w:rPr>
    </w:lvl>
    <w:lvl w:ilvl="3">
      <w:start w:val="0"/>
      <w:numFmt w:val="bullet"/>
      <w:lvlText w:val="•"/>
      <w:lvlJc w:val="left"/>
      <w:pPr>
        <w:ind w:left="3392" w:hanging="420"/>
      </w:pPr>
      <w:rPr>
        <w:rFonts w:hint="default"/>
        <w:lang w:val="en-US" w:eastAsia="zh-CN" w:bidi="ar-SA"/>
      </w:rPr>
    </w:lvl>
    <w:lvl w:ilvl="4">
      <w:start w:val="0"/>
      <w:numFmt w:val="bullet"/>
      <w:lvlText w:val="•"/>
      <w:lvlJc w:val="left"/>
      <w:pPr>
        <w:ind w:left="4348" w:hanging="420"/>
      </w:pPr>
      <w:rPr>
        <w:rFonts w:hint="default"/>
        <w:lang w:val="en-US" w:eastAsia="zh-CN" w:bidi="ar-SA"/>
      </w:rPr>
    </w:lvl>
    <w:lvl w:ilvl="5">
      <w:start w:val="0"/>
      <w:numFmt w:val="bullet"/>
      <w:lvlText w:val="•"/>
      <w:lvlJc w:val="left"/>
      <w:pPr>
        <w:ind w:left="5304" w:hanging="420"/>
      </w:pPr>
      <w:rPr>
        <w:rFonts w:hint="default"/>
        <w:lang w:val="en-US" w:eastAsia="zh-CN" w:bidi="ar-SA"/>
      </w:rPr>
    </w:lvl>
    <w:lvl w:ilvl="6">
      <w:start w:val="0"/>
      <w:numFmt w:val="bullet"/>
      <w:lvlText w:val="•"/>
      <w:lvlJc w:val="left"/>
      <w:pPr>
        <w:ind w:left="6261" w:hanging="420"/>
      </w:pPr>
      <w:rPr>
        <w:rFonts w:hint="default"/>
        <w:lang w:val="en-US" w:eastAsia="zh-CN" w:bidi="ar-SA"/>
      </w:rPr>
    </w:lvl>
    <w:lvl w:ilvl="7">
      <w:start w:val="0"/>
      <w:numFmt w:val="bullet"/>
      <w:lvlText w:val="•"/>
      <w:lvlJc w:val="left"/>
      <w:pPr>
        <w:ind w:left="7217" w:hanging="420"/>
      </w:pPr>
      <w:rPr>
        <w:rFonts w:hint="default"/>
        <w:lang w:val="en-US" w:eastAsia="zh-CN" w:bidi="ar-SA"/>
      </w:rPr>
    </w:lvl>
    <w:lvl w:ilvl="8">
      <w:start w:val="0"/>
      <w:numFmt w:val="bullet"/>
      <w:lvlText w:val="•"/>
      <w:lvlJc w:val="left"/>
      <w:pPr>
        <w:ind w:left="8173" w:hanging="420"/>
      </w:pPr>
      <w:rPr>
        <w:rFonts w:hint="default"/>
        <w:lang w:val="en-US" w:eastAsia="zh-CN" w:bidi="ar-SA"/>
      </w:rPr>
    </w:lvl>
  </w:abstractNum>
  <w:abstractNum w:abstractNumId="4">
    <w:nsid w:val="0F408F17"/>
    <w:multiLevelType w:val="hybridMultilevel"/>
    <w:tmpl w:val="00000000"/>
    <w:lvl w:ilvl="0">
      <w:start w:val="11"/>
      <w:numFmt w:val="decimal"/>
      <w:lvlText w:val="%1"/>
      <w:lvlJc w:val="left"/>
      <w:pPr>
        <w:ind w:left="398" w:hanging="540"/>
        <w:jc w:val="left"/>
      </w:pPr>
      <w:rPr>
        <w:rFonts w:hint="default"/>
        <w:lang w:val="en-US" w:eastAsia="zh-CN" w:bidi="ar-SA"/>
      </w:rPr>
    </w:lvl>
    <w:lvl w:ilvl="1">
      <w:start w:val="1"/>
      <w:numFmt w:val="decimal"/>
      <w:lvlText w:val="%1.%2"/>
      <w:lvlJc w:val="left"/>
      <w:pPr>
        <w:ind w:left="398" w:hanging="54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540"/>
      </w:pPr>
      <w:rPr>
        <w:rFonts w:hint="default"/>
        <w:lang w:val="en-US" w:eastAsia="zh-CN" w:bidi="ar-SA"/>
      </w:rPr>
    </w:lvl>
    <w:lvl w:ilvl="3">
      <w:start w:val="0"/>
      <w:numFmt w:val="bullet"/>
      <w:lvlText w:val="•"/>
      <w:lvlJc w:val="left"/>
      <w:pPr>
        <w:ind w:left="3305" w:hanging="540"/>
      </w:pPr>
      <w:rPr>
        <w:rFonts w:hint="default"/>
        <w:lang w:val="en-US" w:eastAsia="zh-CN" w:bidi="ar-SA"/>
      </w:rPr>
    </w:lvl>
    <w:lvl w:ilvl="4">
      <w:start w:val="0"/>
      <w:numFmt w:val="bullet"/>
      <w:lvlText w:val="•"/>
      <w:lvlJc w:val="left"/>
      <w:pPr>
        <w:ind w:left="4274" w:hanging="540"/>
      </w:pPr>
      <w:rPr>
        <w:rFonts w:hint="default"/>
        <w:lang w:val="en-US" w:eastAsia="zh-CN" w:bidi="ar-SA"/>
      </w:rPr>
    </w:lvl>
    <w:lvl w:ilvl="5">
      <w:start w:val="0"/>
      <w:numFmt w:val="bullet"/>
      <w:lvlText w:val="•"/>
      <w:lvlJc w:val="left"/>
      <w:pPr>
        <w:ind w:left="5243" w:hanging="540"/>
      </w:pPr>
      <w:rPr>
        <w:rFonts w:hint="default"/>
        <w:lang w:val="en-US" w:eastAsia="zh-CN" w:bidi="ar-SA"/>
      </w:rPr>
    </w:lvl>
    <w:lvl w:ilvl="6">
      <w:start w:val="0"/>
      <w:numFmt w:val="bullet"/>
      <w:lvlText w:val="•"/>
      <w:lvlJc w:val="left"/>
      <w:pPr>
        <w:ind w:left="6211" w:hanging="540"/>
      </w:pPr>
      <w:rPr>
        <w:rFonts w:hint="default"/>
        <w:lang w:val="en-US" w:eastAsia="zh-CN" w:bidi="ar-SA"/>
      </w:rPr>
    </w:lvl>
    <w:lvl w:ilvl="7">
      <w:start w:val="0"/>
      <w:numFmt w:val="bullet"/>
      <w:lvlText w:val="•"/>
      <w:lvlJc w:val="left"/>
      <w:pPr>
        <w:ind w:left="7180" w:hanging="540"/>
      </w:pPr>
      <w:rPr>
        <w:rFonts w:hint="default"/>
        <w:lang w:val="en-US" w:eastAsia="zh-CN" w:bidi="ar-SA"/>
      </w:rPr>
    </w:lvl>
    <w:lvl w:ilvl="8">
      <w:start w:val="0"/>
      <w:numFmt w:val="bullet"/>
      <w:lvlText w:val="•"/>
      <w:lvlJc w:val="left"/>
      <w:pPr>
        <w:ind w:left="8148" w:hanging="540"/>
      </w:pPr>
      <w:rPr>
        <w:rFonts w:hint="default"/>
        <w:lang w:val="en-US" w:eastAsia="zh-CN" w:bidi="ar-SA"/>
      </w:rPr>
    </w:lvl>
  </w:abstractNum>
  <w:abstractNum w:abstractNumId="5">
    <w:nsid w:val="109C9642"/>
    <w:multiLevelType w:val="hybridMultilevel"/>
    <w:tmpl w:val="00000000"/>
    <w:lvl w:ilvl="0">
      <w:start w:val="26"/>
      <w:numFmt w:val="decimal"/>
      <w:lvlText w:val="%1"/>
      <w:lvlJc w:val="left"/>
      <w:pPr>
        <w:ind w:left="1598" w:hanging="720"/>
        <w:jc w:val="left"/>
      </w:pPr>
      <w:rPr>
        <w:rFonts w:hint="default"/>
        <w:lang w:val="en-US" w:eastAsia="zh-CN" w:bidi="ar-SA"/>
      </w:rPr>
    </w:lvl>
    <w:lvl w:ilvl="1">
      <w:start w:val="1"/>
      <w:numFmt w:val="decimal"/>
      <w:lvlText w:val="%1.%2"/>
      <w:lvlJc w:val="left"/>
      <w:pPr>
        <w:ind w:left="15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297" w:hanging="720"/>
      </w:pPr>
      <w:rPr>
        <w:rFonts w:hint="default"/>
        <w:lang w:val="en-US" w:eastAsia="zh-CN" w:bidi="ar-SA"/>
      </w:rPr>
    </w:lvl>
    <w:lvl w:ilvl="3">
      <w:start w:val="0"/>
      <w:numFmt w:val="bullet"/>
      <w:lvlText w:val="•"/>
      <w:lvlJc w:val="left"/>
      <w:pPr>
        <w:ind w:left="4145" w:hanging="720"/>
      </w:pPr>
      <w:rPr>
        <w:rFonts w:hint="default"/>
        <w:lang w:val="en-US" w:eastAsia="zh-CN" w:bidi="ar-SA"/>
      </w:rPr>
    </w:lvl>
    <w:lvl w:ilvl="4">
      <w:start w:val="0"/>
      <w:numFmt w:val="bullet"/>
      <w:lvlText w:val="•"/>
      <w:lvlJc w:val="left"/>
      <w:pPr>
        <w:ind w:left="4994" w:hanging="720"/>
      </w:pPr>
      <w:rPr>
        <w:rFonts w:hint="default"/>
        <w:lang w:val="en-US" w:eastAsia="zh-CN" w:bidi="ar-SA"/>
      </w:rPr>
    </w:lvl>
    <w:lvl w:ilvl="5">
      <w:start w:val="0"/>
      <w:numFmt w:val="bullet"/>
      <w:lvlText w:val="•"/>
      <w:lvlJc w:val="left"/>
      <w:pPr>
        <w:ind w:left="5843" w:hanging="720"/>
      </w:pPr>
      <w:rPr>
        <w:rFonts w:hint="default"/>
        <w:lang w:val="en-US" w:eastAsia="zh-CN" w:bidi="ar-SA"/>
      </w:rPr>
    </w:lvl>
    <w:lvl w:ilvl="6">
      <w:start w:val="0"/>
      <w:numFmt w:val="bullet"/>
      <w:lvlText w:val="•"/>
      <w:lvlJc w:val="left"/>
      <w:pPr>
        <w:ind w:left="6691" w:hanging="720"/>
      </w:pPr>
      <w:rPr>
        <w:rFonts w:hint="default"/>
        <w:lang w:val="en-US" w:eastAsia="zh-CN" w:bidi="ar-SA"/>
      </w:rPr>
    </w:lvl>
    <w:lvl w:ilvl="7">
      <w:start w:val="0"/>
      <w:numFmt w:val="bullet"/>
      <w:lvlText w:val="•"/>
      <w:lvlJc w:val="left"/>
      <w:pPr>
        <w:ind w:left="7540" w:hanging="720"/>
      </w:pPr>
      <w:rPr>
        <w:rFonts w:hint="default"/>
        <w:lang w:val="en-US" w:eastAsia="zh-CN" w:bidi="ar-SA"/>
      </w:rPr>
    </w:lvl>
    <w:lvl w:ilvl="8">
      <w:start w:val="0"/>
      <w:numFmt w:val="bullet"/>
      <w:lvlText w:val="•"/>
      <w:lvlJc w:val="left"/>
      <w:pPr>
        <w:ind w:left="8388" w:hanging="720"/>
      </w:pPr>
      <w:rPr>
        <w:rFonts w:hint="default"/>
        <w:lang w:val="en-US" w:eastAsia="zh-CN" w:bidi="ar-SA"/>
      </w:rPr>
    </w:lvl>
  </w:abstractNum>
  <w:abstractNum w:abstractNumId="6">
    <w:nsid w:val="1418FA6A"/>
    <w:multiLevelType w:val="hybridMultilevel"/>
    <w:tmpl w:val="00000000"/>
    <w:lvl w:ilvl="0">
      <w:start w:val="19"/>
      <w:numFmt w:val="decimal"/>
      <w:lvlText w:val="%1"/>
      <w:lvlJc w:val="left"/>
      <w:pPr>
        <w:ind w:left="1598" w:hanging="720"/>
        <w:jc w:val="left"/>
      </w:pPr>
      <w:rPr>
        <w:rFonts w:hint="default"/>
        <w:lang w:val="en-US" w:eastAsia="zh-CN" w:bidi="ar-SA"/>
      </w:rPr>
    </w:lvl>
    <w:lvl w:ilvl="1">
      <w:start w:val="1"/>
      <w:numFmt w:val="decimal"/>
      <w:lvlText w:val="%1.%2"/>
      <w:lvlJc w:val="left"/>
      <w:pPr>
        <w:ind w:left="15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297" w:hanging="720"/>
      </w:pPr>
      <w:rPr>
        <w:rFonts w:hint="default"/>
        <w:lang w:val="en-US" w:eastAsia="zh-CN" w:bidi="ar-SA"/>
      </w:rPr>
    </w:lvl>
    <w:lvl w:ilvl="3">
      <w:start w:val="0"/>
      <w:numFmt w:val="bullet"/>
      <w:lvlText w:val="•"/>
      <w:lvlJc w:val="left"/>
      <w:pPr>
        <w:ind w:left="4145" w:hanging="720"/>
      </w:pPr>
      <w:rPr>
        <w:rFonts w:hint="default"/>
        <w:lang w:val="en-US" w:eastAsia="zh-CN" w:bidi="ar-SA"/>
      </w:rPr>
    </w:lvl>
    <w:lvl w:ilvl="4">
      <w:start w:val="0"/>
      <w:numFmt w:val="bullet"/>
      <w:lvlText w:val="•"/>
      <w:lvlJc w:val="left"/>
      <w:pPr>
        <w:ind w:left="4994" w:hanging="720"/>
      </w:pPr>
      <w:rPr>
        <w:rFonts w:hint="default"/>
        <w:lang w:val="en-US" w:eastAsia="zh-CN" w:bidi="ar-SA"/>
      </w:rPr>
    </w:lvl>
    <w:lvl w:ilvl="5">
      <w:start w:val="0"/>
      <w:numFmt w:val="bullet"/>
      <w:lvlText w:val="•"/>
      <w:lvlJc w:val="left"/>
      <w:pPr>
        <w:ind w:left="5843" w:hanging="720"/>
      </w:pPr>
      <w:rPr>
        <w:rFonts w:hint="default"/>
        <w:lang w:val="en-US" w:eastAsia="zh-CN" w:bidi="ar-SA"/>
      </w:rPr>
    </w:lvl>
    <w:lvl w:ilvl="6">
      <w:start w:val="0"/>
      <w:numFmt w:val="bullet"/>
      <w:lvlText w:val="•"/>
      <w:lvlJc w:val="left"/>
      <w:pPr>
        <w:ind w:left="6691" w:hanging="720"/>
      </w:pPr>
      <w:rPr>
        <w:rFonts w:hint="default"/>
        <w:lang w:val="en-US" w:eastAsia="zh-CN" w:bidi="ar-SA"/>
      </w:rPr>
    </w:lvl>
    <w:lvl w:ilvl="7">
      <w:start w:val="0"/>
      <w:numFmt w:val="bullet"/>
      <w:lvlText w:val="•"/>
      <w:lvlJc w:val="left"/>
      <w:pPr>
        <w:ind w:left="7540" w:hanging="720"/>
      </w:pPr>
      <w:rPr>
        <w:rFonts w:hint="default"/>
        <w:lang w:val="en-US" w:eastAsia="zh-CN" w:bidi="ar-SA"/>
      </w:rPr>
    </w:lvl>
    <w:lvl w:ilvl="8">
      <w:start w:val="0"/>
      <w:numFmt w:val="bullet"/>
      <w:lvlText w:val="•"/>
      <w:lvlJc w:val="left"/>
      <w:pPr>
        <w:ind w:left="8388" w:hanging="720"/>
      </w:pPr>
      <w:rPr>
        <w:rFonts w:hint="default"/>
        <w:lang w:val="en-US" w:eastAsia="zh-CN" w:bidi="ar-SA"/>
      </w:rPr>
    </w:lvl>
  </w:abstractNum>
  <w:abstractNum w:abstractNumId="7">
    <w:nsid w:val="1632BBE9"/>
    <w:multiLevelType w:val="hybridMultilevel"/>
    <w:tmpl w:val="00000000"/>
    <w:lvl w:ilvl="0">
      <w:start w:val="1"/>
      <w:numFmt w:val="decimal"/>
      <w:lvlText w:val="（%1）"/>
      <w:lvlJc w:val="left"/>
      <w:pPr>
        <w:ind w:left="1353" w:hanging="603"/>
        <w:jc w:val="left"/>
      </w:pPr>
      <w:rPr>
        <w:rFonts w:ascii="微软雅黑" w:eastAsia="微软雅黑" w:hAnsi="微软雅黑" w:cs="微软雅黑" w:hint="default"/>
        <w:b/>
        <w:bCs/>
        <w:i w:val="0"/>
        <w:iCs w:val="0"/>
        <w:w w:val="81"/>
        <w:sz w:val="22"/>
        <w:szCs w:val="22"/>
        <w:lang w:val="en-US" w:eastAsia="zh-CN" w:bidi="ar-SA"/>
      </w:rPr>
    </w:lvl>
    <w:lvl w:ilvl="1">
      <w:start w:val="0"/>
      <w:numFmt w:val="bullet"/>
      <w:lvlText w:val="•"/>
      <w:lvlJc w:val="left"/>
      <w:pPr>
        <w:ind w:left="2232" w:hanging="603"/>
      </w:pPr>
      <w:rPr>
        <w:rFonts w:hint="default"/>
        <w:lang w:val="en-US" w:eastAsia="zh-CN" w:bidi="ar-SA"/>
      </w:rPr>
    </w:lvl>
    <w:lvl w:ilvl="2">
      <w:start w:val="0"/>
      <w:numFmt w:val="bullet"/>
      <w:lvlText w:val="•"/>
      <w:lvlJc w:val="left"/>
      <w:pPr>
        <w:ind w:left="3105" w:hanging="603"/>
      </w:pPr>
      <w:rPr>
        <w:rFonts w:hint="default"/>
        <w:lang w:val="en-US" w:eastAsia="zh-CN" w:bidi="ar-SA"/>
      </w:rPr>
    </w:lvl>
    <w:lvl w:ilvl="3">
      <w:start w:val="0"/>
      <w:numFmt w:val="bullet"/>
      <w:lvlText w:val="•"/>
      <w:lvlJc w:val="left"/>
      <w:pPr>
        <w:ind w:left="3977" w:hanging="603"/>
      </w:pPr>
      <w:rPr>
        <w:rFonts w:hint="default"/>
        <w:lang w:val="en-US" w:eastAsia="zh-CN" w:bidi="ar-SA"/>
      </w:rPr>
    </w:lvl>
    <w:lvl w:ilvl="4">
      <w:start w:val="0"/>
      <w:numFmt w:val="bullet"/>
      <w:lvlText w:val="•"/>
      <w:lvlJc w:val="left"/>
      <w:pPr>
        <w:ind w:left="4850" w:hanging="603"/>
      </w:pPr>
      <w:rPr>
        <w:rFonts w:hint="default"/>
        <w:lang w:val="en-US" w:eastAsia="zh-CN" w:bidi="ar-SA"/>
      </w:rPr>
    </w:lvl>
    <w:lvl w:ilvl="5">
      <w:start w:val="0"/>
      <w:numFmt w:val="bullet"/>
      <w:lvlText w:val="•"/>
      <w:lvlJc w:val="left"/>
      <w:pPr>
        <w:ind w:left="5723" w:hanging="603"/>
      </w:pPr>
      <w:rPr>
        <w:rFonts w:hint="default"/>
        <w:lang w:val="en-US" w:eastAsia="zh-CN" w:bidi="ar-SA"/>
      </w:rPr>
    </w:lvl>
    <w:lvl w:ilvl="6">
      <w:start w:val="0"/>
      <w:numFmt w:val="bullet"/>
      <w:lvlText w:val="•"/>
      <w:lvlJc w:val="left"/>
      <w:pPr>
        <w:ind w:left="6595" w:hanging="603"/>
      </w:pPr>
      <w:rPr>
        <w:rFonts w:hint="default"/>
        <w:lang w:val="en-US" w:eastAsia="zh-CN" w:bidi="ar-SA"/>
      </w:rPr>
    </w:lvl>
    <w:lvl w:ilvl="7">
      <w:start w:val="0"/>
      <w:numFmt w:val="bullet"/>
      <w:lvlText w:val="•"/>
      <w:lvlJc w:val="left"/>
      <w:pPr>
        <w:ind w:left="7468" w:hanging="603"/>
      </w:pPr>
      <w:rPr>
        <w:rFonts w:hint="default"/>
        <w:lang w:val="en-US" w:eastAsia="zh-CN" w:bidi="ar-SA"/>
      </w:rPr>
    </w:lvl>
    <w:lvl w:ilvl="8">
      <w:start w:val="0"/>
      <w:numFmt w:val="bullet"/>
      <w:lvlText w:val="•"/>
      <w:lvlJc w:val="left"/>
      <w:pPr>
        <w:ind w:left="8340" w:hanging="603"/>
      </w:pPr>
      <w:rPr>
        <w:rFonts w:hint="default"/>
        <w:lang w:val="en-US" w:eastAsia="zh-CN" w:bidi="ar-SA"/>
      </w:rPr>
    </w:lvl>
  </w:abstractNum>
  <w:abstractNum w:abstractNumId="8">
    <w:nsid w:val="1A5BC9D6"/>
    <w:multiLevelType w:val="hybridMultilevel"/>
    <w:tmpl w:val="00000000"/>
    <w:lvl w:ilvl="0">
      <w:start w:val="14"/>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9">
    <w:nsid w:val="1C9CCEF7"/>
    <w:multiLevelType w:val="hybridMultilevel"/>
    <w:tmpl w:val="00000000"/>
    <w:lvl w:ilvl="0">
      <w:start w:val="6"/>
      <w:numFmt w:val="decimal"/>
      <w:lvlText w:val="%1"/>
      <w:lvlJc w:val="left"/>
      <w:pPr>
        <w:ind w:left="1478" w:hanging="600"/>
        <w:jc w:val="left"/>
      </w:pPr>
      <w:rPr>
        <w:rFonts w:hint="default"/>
        <w:lang w:val="en-US" w:eastAsia="zh-CN" w:bidi="ar-SA"/>
      </w:rPr>
    </w:lvl>
    <w:lvl w:ilvl="1">
      <w:start w:val="1"/>
      <w:numFmt w:val="decimal"/>
      <w:lvlText w:val="%1.%2"/>
      <w:lvlJc w:val="left"/>
      <w:pPr>
        <w:ind w:left="1478" w:hanging="60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201" w:hanging="600"/>
      </w:pPr>
      <w:rPr>
        <w:rFonts w:hint="default"/>
        <w:lang w:val="en-US" w:eastAsia="zh-CN" w:bidi="ar-SA"/>
      </w:rPr>
    </w:lvl>
    <w:lvl w:ilvl="3">
      <w:start w:val="0"/>
      <w:numFmt w:val="bullet"/>
      <w:lvlText w:val="•"/>
      <w:lvlJc w:val="left"/>
      <w:pPr>
        <w:ind w:left="4061" w:hanging="600"/>
      </w:pPr>
      <w:rPr>
        <w:rFonts w:hint="default"/>
        <w:lang w:val="en-US" w:eastAsia="zh-CN" w:bidi="ar-SA"/>
      </w:rPr>
    </w:lvl>
    <w:lvl w:ilvl="4">
      <w:start w:val="0"/>
      <w:numFmt w:val="bullet"/>
      <w:lvlText w:val="•"/>
      <w:lvlJc w:val="left"/>
      <w:pPr>
        <w:ind w:left="4922" w:hanging="600"/>
      </w:pPr>
      <w:rPr>
        <w:rFonts w:hint="default"/>
        <w:lang w:val="en-US" w:eastAsia="zh-CN" w:bidi="ar-SA"/>
      </w:rPr>
    </w:lvl>
    <w:lvl w:ilvl="5">
      <w:start w:val="0"/>
      <w:numFmt w:val="bullet"/>
      <w:lvlText w:val="•"/>
      <w:lvlJc w:val="left"/>
      <w:pPr>
        <w:ind w:left="5783" w:hanging="600"/>
      </w:pPr>
      <w:rPr>
        <w:rFonts w:hint="default"/>
        <w:lang w:val="en-US" w:eastAsia="zh-CN" w:bidi="ar-SA"/>
      </w:rPr>
    </w:lvl>
    <w:lvl w:ilvl="6">
      <w:start w:val="0"/>
      <w:numFmt w:val="bullet"/>
      <w:lvlText w:val="•"/>
      <w:lvlJc w:val="left"/>
      <w:pPr>
        <w:ind w:left="6643" w:hanging="600"/>
      </w:pPr>
      <w:rPr>
        <w:rFonts w:hint="default"/>
        <w:lang w:val="en-US" w:eastAsia="zh-CN" w:bidi="ar-SA"/>
      </w:rPr>
    </w:lvl>
    <w:lvl w:ilvl="7">
      <w:start w:val="0"/>
      <w:numFmt w:val="bullet"/>
      <w:lvlText w:val="•"/>
      <w:lvlJc w:val="left"/>
      <w:pPr>
        <w:ind w:left="7504" w:hanging="600"/>
      </w:pPr>
      <w:rPr>
        <w:rFonts w:hint="default"/>
        <w:lang w:val="en-US" w:eastAsia="zh-CN" w:bidi="ar-SA"/>
      </w:rPr>
    </w:lvl>
    <w:lvl w:ilvl="8">
      <w:start w:val="0"/>
      <w:numFmt w:val="bullet"/>
      <w:lvlText w:val="•"/>
      <w:lvlJc w:val="left"/>
      <w:pPr>
        <w:ind w:left="8364" w:hanging="600"/>
      </w:pPr>
      <w:rPr>
        <w:rFonts w:hint="default"/>
        <w:lang w:val="en-US" w:eastAsia="zh-CN" w:bidi="ar-SA"/>
      </w:rPr>
    </w:lvl>
  </w:abstractNum>
  <w:abstractNum w:abstractNumId="10">
    <w:nsid w:val="1E10CD28"/>
    <w:multiLevelType w:val="hybridMultilevel"/>
    <w:tmpl w:val="00000000"/>
    <w:lvl w:ilvl="0">
      <w:start w:val="1"/>
      <w:numFmt w:val="decimal"/>
      <w:lvlText w:val="（%1）"/>
      <w:lvlJc w:val="left"/>
      <w:pPr>
        <w:ind w:left="1479"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201" w:hanging="601"/>
      </w:pPr>
      <w:rPr>
        <w:rFonts w:hint="default"/>
        <w:lang w:val="en-US" w:eastAsia="zh-CN" w:bidi="ar-SA"/>
      </w:rPr>
    </w:lvl>
    <w:lvl w:ilvl="3">
      <w:start w:val="0"/>
      <w:numFmt w:val="bullet"/>
      <w:lvlText w:val="•"/>
      <w:lvlJc w:val="left"/>
      <w:pPr>
        <w:ind w:left="4061" w:hanging="601"/>
      </w:pPr>
      <w:rPr>
        <w:rFonts w:hint="default"/>
        <w:lang w:val="en-US" w:eastAsia="zh-CN" w:bidi="ar-SA"/>
      </w:rPr>
    </w:lvl>
    <w:lvl w:ilvl="4">
      <w:start w:val="0"/>
      <w:numFmt w:val="bullet"/>
      <w:lvlText w:val="•"/>
      <w:lvlJc w:val="left"/>
      <w:pPr>
        <w:ind w:left="4922" w:hanging="601"/>
      </w:pPr>
      <w:rPr>
        <w:rFonts w:hint="default"/>
        <w:lang w:val="en-US" w:eastAsia="zh-CN" w:bidi="ar-SA"/>
      </w:rPr>
    </w:lvl>
    <w:lvl w:ilvl="5">
      <w:start w:val="0"/>
      <w:numFmt w:val="bullet"/>
      <w:lvlText w:val="•"/>
      <w:lvlJc w:val="left"/>
      <w:pPr>
        <w:ind w:left="5783" w:hanging="601"/>
      </w:pPr>
      <w:rPr>
        <w:rFonts w:hint="default"/>
        <w:lang w:val="en-US" w:eastAsia="zh-CN" w:bidi="ar-SA"/>
      </w:rPr>
    </w:lvl>
    <w:lvl w:ilvl="6">
      <w:start w:val="0"/>
      <w:numFmt w:val="bullet"/>
      <w:lvlText w:val="•"/>
      <w:lvlJc w:val="left"/>
      <w:pPr>
        <w:ind w:left="6643" w:hanging="601"/>
      </w:pPr>
      <w:rPr>
        <w:rFonts w:hint="default"/>
        <w:lang w:val="en-US" w:eastAsia="zh-CN" w:bidi="ar-SA"/>
      </w:rPr>
    </w:lvl>
    <w:lvl w:ilvl="7">
      <w:start w:val="0"/>
      <w:numFmt w:val="bullet"/>
      <w:lvlText w:val="•"/>
      <w:lvlJc w:val="left"/>
      <w:pPr>
        <w:ind w:left="7504" w:hanging="601"/>
      </w:pPr>
      <w:rPr>
        <w:rFonts w:hint="default"/>
        <w:lang w:val="en-US" w:eastAsia="zh-CN" w:bidi="ar-SA"/>
      </w:rPr>
    </w:lvl>
    <w:lvl w:ilvl="8">
      <w:start w:val="0"/>
      <w:numFmt w:val="bullet"/>
      <w:lvlText w:val="•"/>
      <w:lvlJc w:val="left"/>
      <w:pPr>
        <w:ind w:left="8364" w:hanging="601"/>
      </w:pPr>
      <w:rPr>
        <w:rFonts w:hint="default"/>
        <w:lang w:val="en-US" w:eastAsia="zh-CN" w:bidi="ar-SA"/>
      </w:rPr>
    </w:lvl>
  </w:abstractNum>
  <w:abstractNum w:abstractNumId="11">
    <w:nsid w:val="2444D7AD"/>
    <w:multiLevelType w:val="hybridMultilevel"/>
    <w:tmpl w:val="00000000"/>
    <w:lvl w:ilvl="0">
      <w:start w:val="1"/>
      <w:numFmt w:val="decimal"/>
      <w:lvlText w:val="%1"/>
      <w:lvlJc w:val="left"/>
      <w:pPr>
        <w:ind w:left="1298" w:hanging="420"/>
        <w:jc w:val="left"/>
      </w:pPr>
      <w:rPr>
        <w:rFonts w:hint="default"/>
        <w:lang w:val="en-US" w:eastAsia="zh-CN" w:bidi="ar-SA"/>
      </w:rPr>
    </w:lvl>
    <w:lvl w:ilvl="1">
      <w:start w:val="1"/>
      <w:numFmt w:val="decimal"/>
      <w:lvlText w:val="%1.%2"/>
      <w:lvlJc w:val="left"/>
      <w:pPr>
        <w:ind w:left="1298" w:hanging="4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057" w:hanging="420"/>
      </w:pPr>
      <w:rPr>
        <w:rFonts w:hint="default"/>
        <w:lang w:val="en-US" w:eastAsia="zh-CN" w:bidi="ar-SA"/>
      </w:rPr>
    </w:lvl>
    <w:lvl w:ilvl="3">
      <w:start w:val="0"/>
      <w:numFmt w:val="bullet"/>
      <w:lvlText w:val="•"/>
      <w:lvlJc w:val="left"/>
      <w:pPr>
        <w:ind w:left="3935" w:hanging="420"/>
      </w:pPr>
      <w:rPr>
        <w:rFonts w:hint="default"/>
        <w:lang w:val="en-US" w:eastAsia="zh-CN" w:bidi="ar-SA"/>
      </w:rPr>
    </w:lvl>
    <w:lvl w:ilvl="4">
      <w:start w:val="0"/>
      <w:numFmt w:val="bullet"/>
      <w:lvlText w:val="•"/>
      <w:lvlJc w:val="left"/>
      <w:pPr>
        <w:ind w:left="4814" w:hanging="420"/>
      </w:pPr>
      <w:rPr>
        <w:rFonts w:hint="default"/>
        <w:lang w:val="en-US" w:eastAsia="zh-CN" w:bidi="ar-SA"/>
      </w:rPr>
    </w:lvl>
    <w:lvl w:ilvl="5">
      <w:start w:val="0"/>
      <w:numFmt w:val="bullet"/>
      <w:lvlText w:val="•"/>
      <w:lvlJc w:val="left"/>
      <w:pPr>
        <w:ind w:left="5693" w:hanging="420"/>
      </w:pPr>
      <w:rPr>
        <w:rFonts w:hint="default"/>
        <w:lang w:val="en-US" w:eastAsia="zh-CN" w:bidi="ar-SA"/>
      </w:rPr>
    </w:lvl>
    <w:lvl w:ilvl="6">
      <w:start w:val="0"/>
      <w:numFmt w:val="bullet"/>
      <w:lvlText w:val="•"/>
      <w:lvlJc w:val="left"/>
      <w:pPr>
        <w:ind w:left="6571" w:hanging="420"/>
      </w:pPr>
      <w:rPr>
        <w:rFonts w:hint="default"/>
        <w:lang w:val="en-US" w:eastAsia="zh-CN" w:bidi="ar-SA"/>
      </w:rPr>
    </w:lvl>
    <w:lvl w:ilvl="7">
      <w:start w:val="0"/>
      <w:numFmt w:val="bullet"/>
      <w:lvlText w:val="•"/>
      <w:lvlJc w:val="left"/>
      <w:pPr>
        <w:ind w:left="7450" w:hanging="420"/>
      </w:pPr>
      <w:rPr>
        <w:rFonts w:hint="default"/>
        <w:lang w:val="en-US" w:eastAsia="zh-CN" w:bidi="ar-SA"/>
      </w:rPr>
    </w:lvl>
    <w:lvl w:ilvl="8">
      <w:start w:val="0"/>
      <w:numFmt w:val="bullet"/>
      <w:lvlText w:val="•"/>
      <w:lvlJc w:val="left"/>
      <w:pPr>
        <w:ind w:left="8328" w:hanging="420"/>
      </w:pPr>
      <w:rPr>
        <w:rFonts w:hint="default"/>
        <w:lang w:val="en-US" w:eastAsia="zh-CN" w:bidi="ar-SA"/>
      </w:rPr>
    </w:lvl>
  </w:abstractNum>
  <w:abstractNum w:abstractNumId="12">
    <w:nsid w:val="24BD4CC3"/>
    <w:multiLevelType w:val="hybridMultilevel"/>
    <w:tmpl w:val="00000000"/>
    <w:lvl w:ilvl="0">
      <w:start w:val="15"/>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hint="default"/>
        <w:w w:val="100"/>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13">
    <w:nsid w:val="270FC792"/>
    <w:multiLevelType w:val="hybridMultilevel"/>
    <w:tmpl w:val="00000000"/>
    <w:lvl w:ilvl="0">
      <w:start w:val="20"/>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14">
    <w:nsid w:val="27CEF40E"/>
    <w:multiLevelType w:val="hybridMultilevel"/>
    <w:tmpl w:val="00000000"/>
    <w:lvl w:ilvl="0">
      <w:start w:val="3"/>
      <w:numFmt w:val="decimal"/>
      <w:lvlText w:val="%1"/>
      <w:lvlJc w:val="left"/>
      <w:pPr>
        <w:ind w:left="1360" w:hanging="483"/>
        <w:jc w:val="left"/>
      </w:pPr>
      <w:rPr>
        <w:rFonts w:hint="default"/>
        <w:lang w:val="en-US" w:eastAsia="zh-CN" w:bidi="ar-SA"/>
      </w:rPr>
    </w:lvl>
    <w:lvl w:ilvl="1">
      <w:start w:val="1"/>
      <w:numFmt w:val="decimal"/>
      <w:lvlText w:val="%1.%2"/>
      <w:lvlJc w:val="left"/>
      <w:pPr>
        <w:ind w:left="1360" w:hanging="483"/>
        <w:jc w:val="left"/>
      </w:pPr>
      <w:rPr>
        <w:rFonts w:ascii="微软雅黑" w:eastAsia="微软雅黑" w:hAnsi="微软雅黑" w:cs="微软雅黑" w:hint="default"/>
        <w:b/>
        <w:bCs/>
        <w:i w:val="0"/>
        <w:iCs w:val="0"/>
        <w:w w:val="81"/>
        <w:sz w:val="24"/>
        <w:szCs w:val="24"/>
        <w:lang w:val="en-US" w:eastAsia="zh-CN" w:bidi="ar-SA"/>
      </w:rPr>
    </w:lvl>
    <w:lvl w:ilvl="2">
      <w:start w:val="0"/>
      <w:numFmt w:val="bullet"/>
      <w:lvlText w:val="•"/>
      <w:lvlJc w:val="left"/>
      <w:pPr>
        <w:ind w:left="3105" w:hanging="483"/>
      </w:pPr>
      <w:rPr>
        <w:rFonts w:hint="default"/>
        <w:lang w:val="en-US" w:eastAsia="zh-CN" w:bidi="ar-SA"/>
      </w:rPr>
    </w:lvl>
    <w:lvl w:ilvl="3">
      <w:start w:val="0"/>
      <w:numFmt w:val="bullet"/>
      <w:lvlText w:val="•"/>
      <w:lvlJc w:val="left"/>
      <w:pPr>
        <w:ind w:left="3977" w:hanging="483"/>
      </w:pPr>
      <w:rPr>
        <w:rFonts w:hint="default"/>
        <w:lang w:val="en-US" w:eastAsia="zh-CN" w:bidi="ar-SA"/>
      </w:rPr>
    </w:lvl>
    <w:lvl w:ilvl="4">
      <w:start w:val="0"/>
      <w:numFmt w:val="bullet"/>
      <w:lvlText w:val="•"/>
      <w:lvlJc w:val="left"/>
      <w:pPr>
        <w:ind w:left="4850" w:hanging="483"/>
      </w:pPr>
      <w:rPr>
        <w:rFonts w:hint="default"/>
        <w:lang w:val="en-US" w:eastAsia="zh-CN" w:bidi="ar-SA"/>
      </w:rPr>
    </w:lvl>
    <w:lvl w:ilvl="5">
      <w:start w:val="0"/>
      <w:numFmt w:val="bullet"/>
      <w:lvlText w:val="•"/>
      <w:lvlJc w:val="left"/>
      <w:pPr>
        <w:ind w:left="5723" w:hanging="483"/>
      </w:pPr>
      <w:rPr>
        <w:rFonts w:hint="default"/>
        <w:lang w:val="en-US" w:eastAsia="zh-CN" w:bidi="ar-SA"/>
      </w:rPr>
    </w:lvl>
    <w:lvl w:ilvl="6">
      <w:start w:val="0"/>
      <w:numFmt w:val="bullet"/>
      <w:lvlText w:val="•"/>
      <w:lvlJc w:val="left"/>
      <w:pPr>
        <w:ind w:left="6595" w:hanging="483"/>
      </w:pPr>
      <w:rPr>
        <w:rFonts w:hint="default"/>
        <w:lang w:val="en-US" w:eastAsia="zh-CN" w:bidi="ar-SA"/>
      </w:rPr>
    </w:lvl>
    <w:lvl w:ilvl="7">
      <w:start w:val="0"/>
      <w:numFmt w:val="bullet"/>
      <w:lvlText w:val="•"/>
      <w:lvlJc w:val="left"/>
      <w:pPr>
        <w:ind w:left="7468" w:hanging="483"/>
      </w:pPr>
      <w:rPr>
        <w:rFonts w:hint="default"/>
        <w:lang w:val="en-US" w:eastAsia="zh-CN" w:bidi="ar-SA"/>
      </w:rPr>
    </w:lvl>
    <w:lvl w:ilvl="8">
      <w:start w:val="0"/>
      <w:numFmt w:val="bullet"/>
      <w:lvlText w:val="•"/>
      <w:lvlJc w:val="left"/>
      <w:pPr>
        <w:ind w:left="8340" w:hanging="483"/>
      </w:pPr>
      <w:rPr>
        <w:rFonts w:hint="default"/>
        <w:lang w:val="en-US" w:eastAsia="zh-CN" w:bidi="ar-SA"/>
      </w:rPr>
    </w:lvl>
  </w:abstractNum>
  <w:abstractNum w:abstractNumId="15">
    <w:nsid w:val="2A903528"/>
    <w:multiLevelType w:val="hybridMultilevel"/>
    <w:tmpl w:val="00000000"/>
    <w:lvl w:ilvl="0">
      <w:start w:val="1"/>
      <w:numFmt w:val="decimal"/>
      <w:lvlText w:val="（%1）"/>
      <w:lvlJc w:val="left"/>
      <w:pPr>
        <w:ind w:left="1479" w:hanging="601"/>
        <w:jc w:val="left"/>
      </w:pPr>
      <w:rPr>
        <w:rFonts w:hint="default"/>
        <w:w w:val="100"/>
        <w:lang w:val="en-US" w:eastAsia="zh-CN" w:bidi="ar-SA"/>
      </w:rPr>
    </w:lvl>
    <w:lvl w:ilvl="1">
      <w:start w:val="4"/>
      <w:numFmt w:val="decimal"/>
      <w:lvlText w:val="(%2)"/>
      <w:lvlJc w:val="left"/>
      <w:pPr>
        <w:ind w:left="1478" w:hanging="48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201" w:hanging="480"/>
      </w:pPr>
      <w:rPr>
        <w:rFonts w:hint="default"/>
        <w:lang w:val="en-US" w:eastAsia="zh-CN" w:bidi="ar-SA"/>
      </w:rPr>
    </w:lvl>
    <w:lvl w:ilvl="3">
      <w:start w:val="0"/>
      <w:numFmt w:val="bullet"/>
      <w:lvlText w:val="•"/>
      <w:lvlJc w:val="left"/>
      <w:pPr>
        <w:ind w:left="4061" w:hanging="480"/>
      </w:pPr>
      <w:rPr>
        <w:rFonts w:hint="default"/>
        <w:lang w:val="en-US" w:eastAsia="zh-CN" w:bidi="ar-SA"/>
      </w:rPr>
    </w:lvl>
    <w:lvl w:ilvl="4">
      <w:start w:val="0"/>
      <w:numFmt w:val="bullet"/>
      <w:lvlText w:val="•"/>
      <w:lvlJc w:val="left"/>
      <w:pPr>
        <w:ind w:left="4922" w:hanging="480"/>
      </w:pPr>
      <w:rPr>
        <w:rFonts w:hint="default"/>
        <w:lang w:val="en-US" w:eastAsia="zh-CN" w:bidi="ar-SA"/>
      </w:rPr>
    </w:lvl>
    <w:lvl w:ilvl="5">
      <w:start w:val="0"/>
      <w:numFmt w:val="bullet"/>
      <w:lvlText w:val="•"/>
      <w:lvlJc w:val="left"/>
      <w:pPr>
        <w:ind w:left="5783" w:hanging="480"/>
      </w:pPr>
      <w:rPr>
        <w:rFonts w:hint="default"/>
        <w:lang w:val="en-US" w:eastAsia="zh-CN" w:bidi="ar-SA"/>
      </w:rPr>
    </w:lvl>
    <w:lvl w:ilvl="6">
      <w:start w:val="0"/>
      <w:numFmt w:val="bullet"/>
      <w:lvlText w:val="•"/>
      <w:lvlJc w:val="left"/>
      <w:pPr>
        <w:ind w:left="6643" w:hanging="480"/>
      </w:pPr>
      <w:rPr>
        <w:rFonts w:hint="default"/>
        <w:lang w:val="en-US" w:eastAsia="zh-CN" w:bidi="ar-SA"/>
      </w:rPr>
    </w:lvl>
    <w:lvl w:ilvl="7">
      <w:start w:val="0"/>
      <w:numFmt w:val="bullet"/>
      <w:lvlText w:val="•"/>
      <w:lvlJc w:val="left"/>
      <w:pPr>
        <w:ind w:left="7504" w:hanging="480"/>
      </w:pPr>
      <w:rPr>
        <w:rFonts w:hint="default"/>
        <w:lang w:val="en-US" w:eastAsia="zh-CN" w:bidi="ar-SA"/>
      </w:rPr>
    </w:lvl>
    <w:lvl w:ilvl="8">
      <w:start w:val="0"/>
      <w:numFmt w:val="bullet"/>
      <w:lvlText w:val="•"/>
      <w:lvlJc w:val="left"/>
      <w:pPr>
        <w:ind w:left="8364" w:hanging="480"/>
      </w:pPr>
      <w:rPr>
        <w:rFonts w:hint="default"/>
        <w:lang w:val="en-US" w:eastAsia="zh-CN" w:bidi="ar-SA"/>
      </w:rPr>
    </w:lvl>
  </w:abstractNum>
  <w:abstractNum w:abstractNumId="16">
    <w:nsid w:val="2D50D5C4"/>
    <w:multiLevelType w:val="hybridMultilevel"/>
    <w:tmpl w:val="00000000"/>
    <w:lvl w:ilvl="0">
      <w:start w:val="7"/>
      <w:numFmt w:val="decimal"/>
      <w:lvlText w:val="（%1）"/>
      <w:lvlJc w:val="left"/>
      <w:pPr>
        <w:ind w:left="1479"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201" w:hanging="601"/>
      </w:pPr>
      <w:rPr>
        <w:rFonts w:hint="default"/>
        <w:lang w:val="en-US" w:eastAsia="zh-CN" w:bidi="ar-SA"/>
      </w:rPr>
    </w:lvl>
    <w:lvl w:ilvl="3">
      <w:start w:val="0"/>
      <w:numFmt w:val="bullet"/>
      <w:lvlText w:val="•"/>
      <w:lvlJc w:val="left"/>
      <w:pPr>
        <w:ind w:left="4061" w:hanging="601"/>
      </w:pPr>
      <w:rPr>
        <w:rFonts w:hint="default"/>
        <w:lang w:val="en-US" w:eastAsia="zh-CN" w:bidi="ar-SA"/>
      </w:rPr>
    </w:lvl>
    <w:lvl w:ilvl="4">
      <w:start w:val="0"/>
      <w:numFmt w:val="bullet"/>
      <w:lvlText w:val="•"/>
      <w:lvlJc w:val="left"/>
      <w:pPr>
        <w:ind w:left="4922" w:hanging="601"/>
      </w:pPr>
      <w:rPr>
        <w:rFonts w:hint="default"/>
        <w:lang w:val="en-US" w:eastAsia="zh-CN" w:bidi="ar-SA"/>
      </w:rPr>
    </w:lvl>
    <w:lvl w:ilvl="5">
      <w:start w:val="0"/>
      <w:numFmt w:val="bullet"/>
      <w:lvlText w:val="•"/>
      <w:lvlJc w:val="left"/>
      <w:pPr>
        <w:ind w:left="5783" w:hanging="601"/>
      </w:pPr>
      <w:rPr>
        <w:rFonts w:hint="default"/>
        <w:lang w:val="en-US" w:eastAsia="zh-CN" w:bidi="ar-SA"/>
      </w:rPr>
    </w:lvl>
    <w:lvl w:ilvl="6">
      <w:start w:val="0"/>
      <w:numFmt w:val="bullet"/>
      <w:lvlText w:val="•"/>
      <w:lvlJc w:val="left"/>
      <w:pPr>
        <w:ind w:left="6643" w:hanging="601"/>
      </w:pPr>
      <w:rPr>
        <w:rFonts w:hint="default"/>
        <w:lang w:val="en-US" w:eastAsia="zh-CN" w:bidi="ar-SA"/>
      </w:rPr>
    </w:lvl>
    <w:lvl w:ilvl="7">
      <w:start w:val="0"/>
      <w:numFmt w:val="bullet"/>
      <w:lvlText w:val="•"/>
      <w:lvlJc w:val="left"/>
      <w:pPr>
        <w:ind w:left="7504" w:hanging="601"/>
      </w:pPr>
      <w:rPr>
        <w:rFonts w:hint="default"/>
        <w:lang w:val="en-US" w:eastAsia="zh-CN" w:bidi="ar-SA"/>
      </w:rPr>
    </w:lvl>
    <w:lvl w:ilvl="8">
      <w:start w:val="0"/>
      <w:numFmt w:val="bullet"/>
      <w:lvlText w:val="•"/>
      <w:lvlJc w:val="left"/>
      <w:pPr>
        <w:ind w:left="8364" w:hanging="601"/>
      </w:pPr>
      <w:rPr>
        <w:rFonts w:hint="default"/>
        <w:lang w:val="en-US" w:eastAsia="zh-CN" w:bidi="ar-SA"/>
      </w:rPr>
    </w:lvl>
  </w:abstractNum>
  <w:abstractNum w:abstractNumId="17">
    <w:nsid w:val="2F1AA898"/>
    <w:multiLevelType w:val="hybridMultilevel"/>
    <w:tmpl w:val="00000000"/>
    <w:lvl w:ilvl="0">
      <w:start w:val="11"/>
      <w:numFmt w:val="decimal"/>
      <w:lvlText w:val="%1"/>
      <w:lvlJc w:val="left"/>
      <w:pPr>
        <w:ind w:left="398" w:hanging="533"/>
        <w:jc w:val="left"/>
      </w:pPr>
      <w:rPr>
        <w:rFonts w:hint="default"/>
        <w:lang w:val="en-US" w:eastAsia="zh-CN" w:bidi="ar-SA"/>
      </w:rPr>
    </w:lvl>
    <w:lvl w:ilvl="1">
      <w:start w:val="1"/>
      <w:numFmt w:val="decimal"/>
      <w:lvlText w:val="%1.%2"/>
      <w:lvlJc w:val="left"/>
      <w:pPr>
        <w:ind w:left="398" w:hanging="533"/>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533"/>
      </w:pPr>
      <w:rPr>
        <w:rFonts w:hint="default"/>
        <w:lang w:val="en-US" w:eastAsia="zh-CN" w:bidi="ar-SA"/>
      </w:rPr>
    </w:lvl>
    <w:lvl w:ilvl="3">
      <w:start w:val="0"/>
      <w:numFmt w:val="bullet"/>
      <w:lvlText w:val="•"/>
      <w:lvlJc w:val="left"/>
      <w:pPr>
        <w:ind w:left="3305" w:hanging="533"/>
      </w:pPr>
      <w:rPr>
        <w:rFonts w:hint="default"/>
        <w:lang w:val="en-US" w:eastAsia="zh-CN" w:bidi="ar-SA"/>
      </w:rPr>
    </w:lvl>
    <w:lvl w:ilvl="4">
      <w:start w:val="0"/>
      <w:numFmt w:val="bullet"/>
      <w:lvlText w:val="•"/>
      <w:lvlJc w:val="left"/>
      <w:pPr>
        <w:ind w:left="4274" w:hanging="533"/>
      </w:pPr>
      <w:rPr>
        <w:rFonts w:hint="default"/>
        <w:lang w:val="en-US" w:eastAsia="zh-CN" w:bidi="ar-SA"/>
      </w:rPr>
    </w:lvl>
    <w:lvl w:ilvl="5">
      <w:start w:val="0"/>
      <w:numFmt w:val="bullet"/>
      <w:lvlText w:val="•"/>
      <w:lvlJc w:val="left"/>
      <w:pPr>
        <w:ind w:left="5243" w:hanging="533"/>
      </w:pPr>
      <w:rPr>
        <w:rFonts w:hint="default"/>
        <w:lang w:val="en-US" w:eastAsia="zh-CN" w:bidi="ar-SA"/>
      </w:rPr>
    </w:lvl>
    <w:lvl w:ilvl="6">
      <w:start w:val="0"/>
      <w:numFmt w:val="bullet"/>
      <w:lvlText w:val="•"/>
      <w:lvlJc w:val="left"/>
      <w:pPr>
        <w:ind w:left="6211" w:hanging="533"/>
      </w:pPr>
      <w:rPr>
        <w:rFonts w:hint="default"/>
        <w:lang w:val="en-US" w:eastAsia="zh-CN" w:bidi="ar-SA"/>
      </w:rPr>
    </w:lvl>
    <w:lvl w:ilvl="7">
      <w:start w:val="0"/>
      <w:numFmt w:val="bullet"/>
      <w:lvlText w:val="•"/>
      <w:lvlJc w:val="left"/>
      <w:pPr>
        <w:ind w:left="7180" w:hanging="533"/>
      </w:pPr>
      <w:rPr>
        <w:rFonts w:hint="default"/>
        <w:lang w:val="en-US" w:eastAsia="zh-CN" w:bidi="ar-SA"/>
      </w:rPr>
    </w:lvl>
    <w:lvl w:ilvl="8">
      <w:start w:val="0"/>
      <w:numFmt w:val="bullet"/>
      <w:lvlText w:val="•"/>
      <w:lvlJc w:val="left"/>
      <w:pPr>
        <w:ind w:left="8148" w:hanging="533"/>
      </w:pPr>
      <w:rPr>
        <w:rFonts w:hint="default"/>
        <w:lang w:val="en-US" w:eastAsia="zh-CN" w:bidi="ar-SA"/>
      </w:rPr>
    </w:lvl>
  </w:abstractNum>
  <w:abstractNum w:abstractNumId="18">
    <w:nsid w:val="2F47F3AA"/>
    <w:multiLevelType w:val="hybridMultilevel"/>
    <w:tmpl w:val="00000000"/>
    <w:lvl w:ilvl="0">
      <w:start w:val="3"/>
      <w:numFmt w:val="decimal"/>
      <w:lvlText w:val="(%1)"/>
      <w:lvlJc w:val="left"/>
      <w:pPr>
        <w:ind w:left="1358" w:hanging="48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232" w:hanging="480"/>
      </w:pPr>
      <w:rPr>
        <w:rFonts w:hint="default"/>
        <w:lang w:val="en-US" w:eastAsia="zh-CN" w:bidi="ar-SA"/>
      </w:rPr>
    </w:lvl>
    <w:lvl w:ilvl="2">
      <w:start w:val="0"/>
      <w:numFmt w:val="bullet"/>
      <w:lvlText w:val="•"/>
      <w:lvlJc w:val="left"/>
      <w:pPr>
        <w:ind w:left="3105" w:hanging="480"/>
      </w:pPr>
      <w:rPr>
        <w:rFonts w:hint="default"/>
        <w:lang w:val="en-US" w:eastAsia="zh-CN" w:bidi="ar-SA"/>
      </w:rPr>
    </w:lvl>
    <w:lvl w:ilvl="3">
      <w:start w:val="0"/>
      <w:numFmt w:val="bullet"/>
      <w:lvlText w:val="•"/>
      <w:lvlJc w:val="left"/>
      <w:pPr>
        <w:ind w:left="3977" w:hanging="480"/>
      </w:pPr>
      <w:rPr>
        <w:rFonts w:hint="default"/>
        <w:lang w:val="en-US" w:eastAsia="zh-CN" w:bidi="ar-SA"/>
      </w:rPr>
    </w:lvl>
    <w:lvl w:ilvl="4">
      <w:start w:val="0"/>
      <w:numFmt w:val="bullet"/>
      <w:lvlText w:val="•"/>
      <w:lvlJc w:val="left"/>
      <w:pPr>
        <w:ind w:left="4850" w:hanging="480"/>
      </w:pPr>
      <w:rPr>
        <w:rFonts w:hint="default"/>
        <w:lang w:val="en-US" w:eastAsia="zh-CN" w:bidi="ar-SA"/>
      </w:rPr>
    </w:lvl>
    <w:lvl w:ilvl="5">
      <w:start w:val="0"/>
      <w:numFmt w:val="bullet"/>
      <w:lvlText w:val="•"/>
      <w:lvlJc w:val="left"/>
      <w:pPr>
        <w:ind w:left="5723" w:hanging="480"/>
      </w:pPr>
      <w:rPr>
        <w:rFonts w:hint="default"/>
        <w:lang w:val="en-US" w:eastAsia="zh-CN" w:bidi="ar-SA"/>
      </w:rPr>
    </w:lvl>
    <w:lvl w:ilvl="6">
      <w:start w:val="0"/>
      <w:numFmt w:val="bullet"/>
      <w:lvlText w:val="•"/>
      <w:lvlJc w:val="left"/>
      <w:pPr>
        <w:ind w:left="6595" w:hanging="480"/>
      </w:pPr>
      <w:rPr>
        <w:rFonts w:hint="default"/>
        <w:lang w:val="en-US" w:eastAsia="zh-CN" w:bidi="ar-SA"/>
      </w:rPr>
    </w:lvl>
    <w:lvl w:ilvl="7">
      <w:start w:val="0"/>
      <w:numFmt w:val="bullet"/>
      <w:lvlText w:val="•"/>
      <w:lvlJc w:val="left"/>
      <w:pPr>
        <w:ind w:left="7468" w:hanging="480"/>
      </w:pPr>
      <w:rPr>
        <w:rFonts w:hint="default"/>
        <w:lang w:val="en-US" w:eastAsia="zh-CN" w:bidi="ar-SA"/>
      </w:rPr>
    </w:lvl>
    <w:lvl w:ilvl="8">
      <w:start w:val="0"/>
      <w:numFmt w:val="bullet"/>
      <w:lvlText w:val="•"/>
      <w:lvlJc w:val="left"/>
      <w:pPr>
        <w:ind w:left="8340" w:hanging="480"/>
      </w:pPr>
      <w:rPr>
        <w:rFonts w:hint="default"/>
        <w:lang w:val="en-US" w:eastAsia="zh-CN" w:bidi="ar-SA"/>
      </w:rPr>
    </w:lvl>
  </w:abstractNum>
  <w:abstractNum w:abstractNumId="19">
    <w:nsid w:val="2F7D21EA"/>
    <w:multiLevelType w:val="hybridMultilevel"/>
    <w:tmpl w:val="00000000"/>
    <w:lvl w:ilvl="0">
      <w:start w:val="16"/>
      <w:numFmt w:val="decimal"/>
      <w:lvlText w:val="%1"/>
      <w:lvlJc w:val="left"/>
      <w:pPr>
        <w:ind w:left="398" w:hanging="540"/>
        <w:jc w:val="left"/>
      </w:pPr>
      <w:rPr>
        <w:rFonts w:hint="default"/>
        <w:lang w:val="en-US" w:eastAsia="zh-CN" w:bidi="ar-SA"/>
      </w:rPr>
    </w:lvl>
    <w:lvl w:ilvl="1">
      <w:start w:val="1"/>
      <w:numFmt w:val="decimal"/>
      <w:lvlText w:val="%1.%2"/>
      <w:lvlJc w:val="left"/>
      <w:pPr>
        <w:ind w:left="398" w:hanging="54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398" w:hanging="78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3305" w:hanging="780"/>
      </w:pPr>
      <w:rPr>
        <w:rFonts w:hint="default"/>
        <w:lang w:val="en-US" w:eastAsia="zh-CN" w:bidi="ar-SA"/>
      </w:rPr>
    </w:lvl>
    <w:lvl w:ilvl="4">
      <w:start w:val="0"/>
      <w:numFmt w:val="bullet"/>
      <w:lvlText w:val="•"/>
      <w:lvlJc w:val="left"/>
      <w:pPr>
        <w:ind w:left="4274" w:hanging="780"/>
      </w:pPr>
      <w:rPr>
        <w:rFonts w:hint="default"/>
        <w:lang w:val="en-US" w:eastAsia="zh-CN" w:bidi="ar-SA"/>
      </w:rPr>
    </w:lvl>
    <w:lvl w:ilvl="5">
      <w:start w:val="0"/>
      <w:numFmt w:val="bullet"/>
      <w:lvlText w:val="•"/>
      <w:lvlJc w:val="left"/>
      <w:pPr>
        <w:ind w:left="5243" w:hanging="780"/>
      </w:pPr>
      <w:rPr>
        <w:rFonts w:hint="default"/>
        <w:lang w:val="en-US" w:eastAsia="zh-CN" w:bidi="ar-SA"/>
      </w:rPr>
    </w:lvl>
    <w:lvl w:ilvl="6">
      <w:start w:val="0"/>
      <w:numFmt w:val="bullet"/>
      <w:lvlText w:val="•"/>
      <w:lvlJc w:val="left"/>
      <w:pPr>
        <w:ind w:left="6211" w:hanging="780"/>
      </w:pPr>
      <w:rPr>
        <w:rFonts w:hint="default"/>
        <w:lang w:val="en-US" w:eastAsia="zh-CN" w:bidi="ar-SA"/>
      </w:rPr>
    </w:lvl>
    <w:lvl w:ilvl="7">
      <w:start w:val="0"/>
      <w:numFmt w:val="bullet"/>
      <w:lvlText w:val="•"/>
      <w:lvlJc w:val="left"/>
      <w:pPr>
        <w:ind w:left="7180" w:hanging="780"/>
      </w:pPr>
      <w:rPr>
        <w:rFonts w:hint="default"/>
        <w:lang w:val="en-US" w:eastAsia="zh-CN" w:bidi="ar-SA"/>
      </w:rPr>
    </w:lvl>
    <w:lvl w:ilvl="8">
      <w:start w:val="0"/>
      <w:numFmt w:val="bullet"/>
      <w:lvlText w:val="•"/>
      <w:lvlJc w:val="left"/>
      <w:pPr>
        <w:ind w:left="8148" w:hanging="780"/>
      </w:pPr>
      <w:rPr>
        <w:rFonts w:hint="default"/>
        <w:lang w:val="en-US" w:eastAsia="zh-CN" w:bidi="ar-SA"/>
      </w:rPr>
    </w:lvl>
  </w:abstractNum>
  <w:abstractNum w:abstractNumId="20">
    <w:nsid w:val="3D6CBAC0"/>
    <w:multiLevelType w:val="hybridMultilevel"/>
    <w:tmpl w:val="00000000"/>
    <w:lvl w:ilvl="0">
      <w:start w:val="1"/>
      <w:numFmt w:val="decimal"/>
      <w:lvlText w:val="(%1)"/>
      <w:lvlJc w:val="left"/>
      <w:pPr>
        <w:ind w:left="1242" w:hanging="363"/>
        <w:jc w:val="left"/>
      </w:pPr>
      <w:rPr>
        <w:rFonts w:hint="default"/>
        <w:w w:val="81"/>
        <w:lang w:val="en-US" w:eastAsia="zh-CN" w:bidi="ar-SA"/>
      </w:rPr>
    </w:lvl>
    <w:lvl w:ilvl="1">
      <w:start w:val="0"/>
      <w:numFmt w:val="bullet"/>
      <w:lvlText w:val="•"/>
      <w:lvlJc w:val="left"/>
      <w:pPr>
        <w:ind w:left="2124" w:hanging="363"/>
      </w:pPr>
      <w:rPr>
        <w:rFonts w:hint="default"/>
        <w:lang w:val="en-US" w:eastAsia="zh-CN" w:bidi="ar-SA"/>
      </w:rPr>
    </w:lvl>
    <w:lvl w:ilvl="2">
      <w:start w:val="0"/>
      <w:numFmt w:val="bullet"/>
      <w:lvlText w:val="•"/>
      <w:lvlJc w:val="left"/>
      <w:pPr>
        <w:ind w:left="3009" w:hanging="363"/>
      </w:pPr>
      <w:rPr>
        <w:rFonts w:hint="default"/>
        <w:lang w:val="en-US" w:eastAsia="zh-CN" w:bidi="ar-SA"/>
      </w:rPr>
    </w:lvl>
    <w:lvl w:ilvl="3">
      <w:start w:val="0"/>
      <w:numFmt w:val="bullet"/>
      <w:lvlText w:val="•"/>
      <w:lvlJc w:val="left"/>
      <w:pPr>
        <w:ind w:left="3893" w:hanging="363"/>
      </w:pPr>
      <w:rPr>
        <w:rFonts w:hint="default"/>
        <w:lang w:val="en-US" w:eastAsia="zh-CN" w:bidi="ar-SA"/>
      </w:rPr>
    </w:lvl>
    <w:lvl w:ilvl="4">
      <w:start w:val="0"/>
      <w:numFmt w:val="bullet"/>
      <w:lvlText w:val="•"/>
      <w:lvlJc w:val="left"/>
      <w:pPr>
        <w:ind w:left="4778" w:hanging="363"/>
      </w:pPr>
      <w:rPr>
        <w:rFonts w:hint="default"/>
        <w:lang w:val="en-US" w:eastAsia="zh-CN" w:bidi="ar-SA"/>
      </w:rPr>
    </w:lvl>
    <w:lvl w:ilvl="5">
      <w:start w:val="0"/>
      <w:numFmt w:val="bullet"/>
      <w:lvlText w:val="•"/>
      <w:lvlJc w:val="left"/>
      <w:pPr>
        <w:ind w:left="5663" w:hanging="363"/>
      </w:pPr>
      <w:rPr>
        <w:rFonts w:hint="default"/>
        <w:lang w:val="en-US" w:eastAsia="zh-CN" w:bidi="ar-SA"/>
      </w:rPr>
    </w:lvl>
    <w:lvl w:ilvl="6">
      <w:start w:val="0"/>
      <w:numFmt w:val="bullet"/>
      <w:lvlText w:val="•"/>
      <w:lvlJc w:val="left"/>
      <w:pPr>
        <w:ind w:left="6547" w:hanging="363"/>
      </w:pPr>
      <w:rPr>
        <w:rFonts w:hint="default"/>
        <w:lang w:val="en-US" w:eastAsia="zh-CN" w:bidi="ar-SA"/>
      </w:rPr>
    </w:lvl>
    <w:lvl w:ilvl="7">
      <w:start w:val="0"/>
      <w:numFmt w:val="bullet"/>
      <w:lvlText w:val="•"/>
      <w:lvlJc w:val="left"/>
      <w:pPr>
        <w:ind w:left="7432" w:hanging="363"/>
      </w:pPr>
      <w:rPr>
        <w:rFonts w:hint="default"/>
        <w:lang w:val="en-US" w:eastAsia="zh-CN" w:bidi="ar-SA"/>
      </w:rPr>
    </w:lvl>
    <w:lvl w:ilvl="8">
      <w:start w:val="0"/>
      <w:numFmt w:val="bullet"/>
      <w:lvlText w:val="•"/>
      <w:lvlJc w:val="left"/>
      <w:pPr>
        <w:ind w:left="8316" w:hanging="363"/>
      </w:pPr>
      <w:rPr>
        <w:rFonts w:hint="default"/>
        <w:lang w:val="en-US" w:eastAsia="zh-CN" w:bidi="ar-SA"/>
      </w:rPr>
    </w:lvl>
  </w:abstractNum>
  <w:abstractNum w:abstractNumId="21">
    <w:nsid w:val="423BB599"/>
    <w:multiLevelType w:val="hybridMultilevel"/>
    <w:tmpl w:val="00000000"/>
    <w:lvl w:ilvl="0">
      <w:start w:val="12"/>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22">
    <w:nsid w:val="432AAC66"/>
    <w:multiLevelType w:val="hybridMultilevel"/>
    <w:tmpl w:val="00000000"/>
    <w:lvl w:ilvl="0">
      <w:start w:val="9"/>
      <w:numFmt w:val="decimal"/>
      <w:lvlText w:val="%1"/>
      <w:lvlJc w:val="left"/>
      <w:pPr>
        <w:ind w:left="1358" w:hanging="480"/>
        <w:jc w:val="left"/>
      </w:pPr>
      <w:rPr>
        <w:rFonts w:hint="default"/>
        <w:lang w:val="en-US" w:eastAsia="zh-CN" w:bidi="ar-SA"/>
      </w:rPr>
    </w:lvl>
    <w:lvl w:ilvl="1">
      <w:start w:val="1"/>
      <w:numFmt w:val="decimal"/>
      <w:lvlText w:val="%1.%2"/>
      <w:lvlJc w:val="left"/>
      <w:pPr>
        <w:ind w:left="1358" w:hanging="48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105" w:hanging="480"/>
      </w:pPr>
      <w:rPr>
        <w:rFonts w:hint="default"/>
        <w:lang w:val="en-US" w:eastAsia="zh-CN" w:bidi="ar-SA"/>
      </w:rPr>
    </w:lvl>
    <w:lvl w:ilvl="3">
      <w:start w:val="0"/>
      <w:numFmt w:val="bullet"/>
      <w:lvlText w:val="•"/>
      <w:lvlJc w:val="left"/>
      <w:pPr>
        <w:ind w:left="3977" w:hanging="480"/>
      </w:pPr>
      <w:rPr>
        <w:rFonts w:hint="default"/>
        <w:lang w:val="en-US" w:eastAsia="zh-CN" w:bidi="ar-SA"/>
      </w:rPr>
    </w:lvl>
    <w:lvl w:ilvl="4">
      <w:start w:val="0"/>
      <w:numFmt w:val="bullet"/>
      <w:lvlText w:val="•"/>
      <w:lvlJc w:val="left"/>
      <w:pPr>
        <w:ind w:left="4850" w:hanging="480"/>
      </w:pPr>
      <w:rPr>
        <w:rFonts w:hint="default"/>
        <w:lang w:val="en-US" w:eastAsia="zh-CN" w:bidi="ar-SA"/>
      </w:rPr>
    </w:lvl>
    <w:lvl w:ilvl="5">
      <w:start w:val="0"/>
      <w:numFmt w:val="bullet"/>
      <w:lvlText w:val="•"/>
      <w:lvlJc w:val="left"/>
      <w:pPr>
        <w:ind w:left="5723" w:hanging="480"/>
      </w:pPr>
      <w:rPr>
        <w:rFonts w:hint="default"/>
        <w:lang w:val="en-US" w:eastAsia="zh-CN" w:bidi="ar-SA"/>
      </w:rPr>
    </w:lvl>
    <w:lvl w:ilvl="6">
      <w:start w:val="0"/>
      <w:numFmt w:val="bullet"/>
      <w:lvlText w:val="•"/>
      <w:lvlJc w:val="left"/>
      <w:pPr>
        <w:ind w:left="6595" w:hanging="480"/>
      </w:pPr>
      <w:rPr>
        <w:rFonts w:hint="default"/>
        <w:lang w:val="en-US" w:eastAsia="zh-CN" w:bidi="ar-SA"/>
      </w:rPr>
    </w:lvl>
    <w:lvl w:ilvl="7">
      <w:start w:val="0"/>
      <w:numFmt w:val="bullet"/>
      <w:lvlText w:val="•"/>
      <w:lvlJc w:val="left"/>
      <w:pPr>
        <w:ind w:left="7468" w:hanging="480"/>
      </w:pPr>
      <w:rPr>
        <w:rFonts w:hint="default"/>
        <w:lang w:val="en-US" w:eastAsia="zh-CN" w:bidi="ar-SA"/>
      </w:rPr>
    </w:lvl>
    <w:lvl w:ilvl="8">
      <w:start w:val="0"/>
      <w:numFmt w:val="bullet"/>
      <w:lvlText w:val="•"/>
      <w:lvlJc w:val="left"/>
      <w:pPr>
        <w:ind w:left="8340" w:hanging="480"/>
      </w:pPr>
      <w:rPr>
        <w:rFonts w:hint="default"/>
        <w:lang w:val="en-US" w:eastAsia="zh-CN" w:bidi="ar-SA"/>
      </w:rPr>
    </w:lvl>
  </w:abstractNum>
  <w:abstractNum w:abstractNumId="23">
    <w:nsid w:val="44B657F9"/>
    <w:multiLevelType w:val="hybridMultilevel"/>
    <w:tmpl w:val="00000000"/>
    <w:lvl w:ilvl="0">
      <w:start w:val="1"/>
      <w:numFmt w:val="decimal"/>
      <w:lvlText w:val="(%1)"/>
      <w:lvlJc w:val="left"/>
      <w:pPr>
        <w:ind w:left="123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24" w:hanging="361"/>
      </w:pPr>
      <w:rPr>
        <w:rFonts w:hint="default"/>
        <w:lang w:val="en-US" w:eastAsia="zh-CN" w:bidi="ar-SA"/>
      </w:rPr>
    </w:lvl>
    <w:lvl w:ilvl="2">
      <w:start w:val="0"/>
      <w:numFmt w:val="bullet"/>
      <w:lvlText w:val="•"/>
      <w:lvlJc w:val="left"/>
      <w:pPr>
        <w:ind w:left="3009" w:hanging="361"/>
      </w:pPr>
      <w:rPr>
        <w:rFonts w:hint="default"/>
        <w:lang w:val="en-US" w:eastAsia="zh-CN" w:bidi="ar-SA"/>
      </w:rPr>
    </w:lvl>
    <w:lvl w:ilvl="3">
      <w:start w:val="0"/>
      <w:numFmt w:val="bullet"/>
      <w:lvlText w:val="•"/>
      <w:lvlJc w:val="left"/>
      <w:pPr>
        <w:ind w:left="3893" w:hanging="361"/>
      </w:pPr>
      <w:rPr>
        <w:rFonts w:hint="default"/>
        <w:lang w:val="en-US" w:eastAsia="zh-CN" w:bidi="ar-SA"/>
      </w:rPr>
    </w:lvl>
    <w:lvl w:ilvl="4">
      <w:start w:val="0"/>
      <w:numFmt w:val="bullet"/>
      <w:lvlText w:val="•"/>
      <w:lvlJc w:val="left"/>
      <w:pPr>
        <w:ind w:left="4778" w:hanging="361"/>
      </w:pPr>
      <w:rPr>
        <w:rFonts w:hint="default"/>
        <w:lang w:val="en-US" w:eastAsia="zh-CN" w:bidi="ar-SA"/>
      </w:rPr>
    </w:lvl>
    <w:lvl w:ilvl="5">
      <w:start w:val="0"/>
      <w:numFmt w:val="bullet"/>
      <w:lvlText w:val="•"/>
      <w:lvlJc w:val="left"/>
      <w:pPr>
        <w:ind w:left="5663" w:hanging="361"/>
      </w:pPr>
      <w:rPr>
        <w:rFonts w:hint="default"/>
        <w:lang w:val="en-US" w:eastAsia="zh-CN" w:bidi="ar-SA"/>
      </w:rPr>
    </w:lvl>
    <w:lvl w:ilvl="6">
      <w:start w:val="0"/>
      <w:numFmt w:val="bullet"/>
      <w:lvlText w:val="•"/>
      <w:lvlJc w:val="left"/>
      <w:pPr>
        <w:ind w:left="6547" w:hanging="361"/>
      </w:pPr>
      <w:rPr>
        <w:rFonts w:hint="default"/>
        <w:lang w:val="en-US" w:eastAsia="zh-CN" w:bidi="ar-SA"/>
      </w:rPr>
    </w:lvl>
    <w:lvl w:ilvl="7">
      <w:start w:val="0"/>
      <w:numFmt w:val="bullet"/>
      <w:lvlText w:val="•"/>
      <w:lvlJc w:val="left"/>
      <w:pPr>
        <w:ind w:left="7432" w:hanging="361"/>
      </w:pPr>
      <w:rPr>
        <w:rFonts w:hint="default"/>
        <w:lang w:val="en-US" w:eastAsia="zh-CN" w:bidi="ar-SA"/>
      </w:rPr>
    </w:lvl>
    <w:lvl w:ilvl="8">
      <w:start w:val="0"/>
      <w:numFmt w:val="bullet"/>
      <w:lvlText w:val="•"/>
      <w:lvlJc w:val="left"/>
      <w:pPr>
        <w:ind w:left="8316" w:hanging="361"/>
      </w:pPr>
      <w:rPr>
        <w:rFonts w:hint="default"/>
        <w:lang w:val="en-US" w:eastAsia="zh-CN" w:bidi="ar-SA"/>
      </w:rPr>
    </w:lvl>
  </w:abstractNum>
  <w:abstractNum w:abstractNumId="24">
    <w:nsid w:val="458F246F"/>
    <w:multiLevelType w:val="hybridMultilevel"/>
    <w:tmpl w:val="00000000"/>
    <w:lvl w:ilvl="0">
      <w:start w:val="4"/>
      <w:numFmt w:val="decimal"/>
      <w:lvlText w:val="%1"/>
      <w:lvlJc w:val="left"/>
      <w:pPr>
        <w:ind w:left="1234" w:hanging="360"/>
        <w:jc w:val="left"/>
      </w:pPr>
      <w:rPr>
        <w:rFonts w:hint="default"/>
        <w:lang w:val="en-US" w:eastAsia="zh-CN" w:bidi="ar-SA"/>
      </w:rPr>
    </w:lvl>
    <w:lvl w:ilvl="1">
      <w:start w:val="1"/>
      <w:numFmt w:val="decimal"/>
      <w:lvlText w:val="%1.%2"/>
      <w:lvlJc w:val="left"/>
      <w:pPr>
        <w:ind w:left="1234" w:hanging="36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3009" w:hanging="360"/>
      </w:pPr>
      <w:rPr>
        <w:rFonts w:hint="default"/>
        <w:lang w:val="en-US" w:eastAsia="zh-CN" w:bidi="ar-SA"/>
      </w:rPr>
    </w:lvl>
    <w:lvl w:ilvl="3">
      <w:start w:val="0"/>
      <w:numFmt w:val="bullet"/>
      <w:lvlText w:val="•"/>
      <w:lvlJc w:val="left"/>
      <w:pPr>
        <w:ind w:left="3893" w:hanging="360"/>
      </w:pPr>
      <w:rPr>
        <w:rFonts w:hint="default"/>
        <w:lang w:val="en-US" w:eastAsia="zh-CN" w:bidi="ar-SA"/>
      </w:rPr>
    </w:lvl>
    <w:lvl w:ilvl="4">
      <w:start w:val="0"/>
      <w:numFmt w:val="bullet"/>
      <w:lvlText w:val="•"/>
      <w:lvlJc w:val="left"/>
      <w:pPr>
        <w:ind w:left="4778" w:hanging="360"/>
      </w:pPr>
      <w:rPr>
        <w:rFonts w:hint="default"/>
        <w:lang w:val="en-US" w:eastAsia="zh-CN" w:bidi="ar-SA"/>
      </w:rPr>
    </w:lvl>
    <w:lvl w:ilvl="5">
      <w:start w:val="0"/>
      <w:numFmt w:val="bullet"/>
      <w:lvlText w:val="•"/>
      <w:lvlJc w:val="left"/>
      <w:pPr>
        <w:ind w:left="5663" w:hanging="360"/>
      </w:pPr>
      <w:rPr>
        <w:rFonts w:hint="default"/>
        <w:lang w:val="en-US" w:eastAsia="zh-CN" w:bidi="ar-SA"/>
      </w:rPr>
    </w:lvl>
    <w:lvl w:ilvl="6">
      <w:start w:val="0"/>
      <w:numFmt w:val="bullet"/>
      <w:lvlText w:val="•"/>
      <w:lvlJc w:val="left"/>
      <w:pPr>
        <w:ind w:left="6547" w:hanging="360"/>
      </w:pPr>
      <w:rPr>
        <w:rFonts w:hint="default"/>
        <w:lang w:val="en-US" w:eastAsia="zh-CN" w:bidi="ar-SA"/>
      </w:rPr>
    </w:lvl>
    <w:lvl w:ilvl="7">
      <w:start w:val="0"/>
      <w:numFmt w:val="bullet"/>
      <w:lvlText w:val="•"/>
      <w:lvlJc w:val="left"/>
      <w:pPr>
        <w:ind w:left="7432" w:hanging="360"/>
      </w:pPr>
      <w:rPr>
        <w:rFonts w:hint="default"/>
        <w:lang w:val="en-US" w:eastAsia="zh-CN" w:bidi="ar-SA"/>
      </w:rPr>
    </w:lvl>
    <w:lvl w:ilvl="8">
      <w:start w:val="0"/>
      <w:numFmt w:val="bullet"/>
      <w:lvlText w:val="•"/>
      <w:lvlJc w:val="left"/>
      <w:pPr>
        <w:ind w:left="8316" w:hanging="360"/>
      </w:pPr>
      <w:rPr>
        <w:rFonts w:hint="default"/>
        <w:lang w:val="en-US" w:eastAsia="zh-CN" w:bidi="ar-SA"/>
      </w:rPr>
    </w:lvl>
  </w:abstractNum>
  <w:abstractNum w:abstractNumId="25">
    <w:nsid w:val="4F93CB40"/>
    <w:multiLevelType w:val="hybridMultilevel"/>
    <w:tmpl w:val="00000000"/>
    <w:lvl w:ilvl="0">
      <w:start w:val="22"/>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26">
    <w:nsid w:val="509FA347"/>
    <w:multiLevelType w:val="hybridMultilevel"/>
    <w:tmpl w:val="00000000"/>
    <w:lvl w:ilvl="0">
      <w:start w:val="21"/>
      <w:numFmt w:val="decimal"/>
      <w:lvlText w:val="%1"/>
      <w:lvlJc w:val="left"/>
      <w:pPr>
        <w:ind w:left="1598" w:hanging="720"/>
        <w:jc w:val="left"/>
      </w:pPr>
      <w:rPr>
        <w:rFonts w:hint="default"/>
        <w:lang w:val="en-US" w:eastAsia="zh-CN" w:bidi="ar-SA"/>
      </w:rPr>
    </w:lvl>
    <w:lvl w:ilvl="1">
      <w:start w:val="1"/>
      <w:numFmt w:val="decimal"/>
      <w:lvlText w:val="%1.%2"/>
      <w:lvlJc w:val="left"/>
      <w:pPr>
        <w:ind w:left="1598" w:hanging="720"/>
        <w:jc w:val="left"/>
      </w:pPr>
      <w:rPr>
        <w:rFonts w:hint="default"/>
        <w:w w:val="100"/>
        <w:lang w:val="en-US" w:eastAsia="zh-CN" w:bidi="ar-SA"/>
      </w:rPr>
    </w:lvl>
    <w:lvl w:ilvl="2">
      <w:start w:val="0"/>
      <w:numFmt w:val="bullet"/>
      <w:lvlText w:val="•"/>
      <w:lvlJc w:val="left"/>
      <w:pPr>
        <w:ind w:left="3297" w:hanging="720"/>
      </w:pPr>
      <w:rPr>
        <w:rFonts w:hint="default"/>
        <w:lang w:val="en-US" w:eastAsia="zh-CN" w:bidi="ar-SA"/>
      </w:rPr>
    </w:lvl>
    <w:lvl w:ilvl="3">
      <w:start w:val="0"/>
      <w:numFmt w:val="bullet"/>
      <w:lvlText w:val="•"/>
      <w:lvlJc w:val="left"/>
      <w:pPr>
        <w:ind w:left="4145" w:hanging="720"/>
      </w:pPr>
      <w:rPr>
        <w:rFonts w:hint="default"/>
        <w:lang w:val="en-US" w:eastAsia="zh-CN" w:bidi="ar-SA"/>
      </w:rPr>
    </w:lvl>
    <w:lvl w:ilvl="4">
      <w:start w:val="0"/>
      <w:numFmt w:val="bullet"/>
      <w:lvlText w:val="•"/>
      <w:lvlJc w:val="left"/>
      <w:pPr>
        <w:ind w:left="4994" w:hanging="720"/>
      </w:pPr>
      <w:rPr>
        <w:rFonts w:hint="default"/>
        <w:lang w:val="en-US" w:eastAsia="zh-CN" w:bidi="ar-SA"/>
      </w:rPr>
    </w:lvl>
    <w:lvl w:ilvl="5">
      <w:start w:val="0"/>
      <w:numFmt w:val="bullet"/>
      <w:lvlText w:val="•"/>
      <w:lvlJc w:val="left"/>
      <w:pPr>
        <w:ind w:left="5843" w:hanging="720"/>
      </w:pPr>
      <w:rPr>
        <w:rFonts w:hint="default"/>
        <w:lang w:val="en-US" w:eastAsia="zh-CN" w:bidi="ar-SA"/>
      </w:rPr>
    </w:lvl>
    <w:lvl w:ilvl="6">
      <w:start w:val="0"/>
      <w:numFmt w:val="bullet"/>
      <w:lvlText w:val="•"/>
      <w:lvlJc w:val="left"/>
      <w:pPr>
        <w:ind w:left="6691" w:hanging="720"/>
      </w:pPr>
      <w:rPr>
        <w:rFonts w:hint="default"/>
        <w:lang w:val="en-US" w:eastAsia="zh-CN" w:bidi="ar-SA"/>
      </w:rPr>
    </w:lvl>
    <w:lvl w:ilvl="7">
      <w:start w:val="0"/>
      <w:numFmt w:val="bullet"/>
      <w:lvlText w:val="•"/>
      <w:lvlJc w:val="left"/>
      <w:pPr>
        <w:ind w:left="7540" w:hanging="720"/>
      </w:pPr>
      <w:rPr>
        <w:rFonts w:hint="default"/>
        <w:lang w:val="en-US" w:eastAsia="zh-CN" w:bidi="ar-SA"/>
      </w:rPr>
    </w:lvl>
    <w:lvl w:ilvl="8">
      <w:start w:val="0"/>
      <w:numFmt w:val="bullet"/>
      <w:lvlText w:val="•"/>
      <w:lvlJc w:val="left"/>
      <w:pPr>
        <w:ind w:left="8388" w:hanging="720"/>
      </w:pPr>
      <w:rPr>
        <w:rFonts w:hint="default"/>
        <w:lang w:val="en-US" w:eastAsia="zh-CN" w:bidi="ar-SA"/>
      </w:rPr>
    </w:lvl>
  </w:abstractNum>
  <w:abstractNum w:abstractNumId="27">
    <w:nsid w:val="50CDAFD0"/>
    <w:multiLevelType w:val="hybridMultilevel"/>
    <w:tmpl w:val="00000000"/>
    <w:lvl w:ilvl="0">
      <w:start w:val="10"/>
      <w:numFmt w:val="decimal"/>
      <w:lvlText w:val="%1"/>
      <w:lvlJc w:val="left"/>
      <w:pPr>
        <w:ind w:left="1418" w:hanging="540"/>
        <w:jc w:val="left"/>
      </w:pPr>
      <w:rPr>
        <w:rFonts w:hint="default"/>
        <w:lang w:val="en-US" w:eastAsia="zh-CN" w:bidi="ar-SA"/>
      </w:rPr>
    </w:lvl>
    <w:lvl w:ilvl="1">
      <w:start w:val="1"/>
      <w:numFmt w:val="decimal"/>
      <w:lvlText w:val="%1.%2"/>
      <w:lvlJc w:val="left"/>
      <w:pPr>
        <w:ind w:left="1418" w:hanging="54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153" w:hanging="540"/>
      </w:pPr>
      <w:rPr>
        <w:rFonts w:hint="default"/>
        <w:lang w:val="en-US" w:eastAsia="zh-CN" w:bidi="ar-SA"/>
      </w:rPr>
    </w:lvl>
    <w:lvl w:ilvl="3">
      <w:start w:val="0"/>
      <w:numFmt w:val="bullet"/>
      <w:lvlText w:val="•"/>
      <w:lvlJc w:val="left"/>
      <w:pPr>
        <w:ind w:left="4019" w:hanging="540"/>
      </w:pPr>
      <w:rPr>
        <w:rFonts w:hint="default"/>
        <w:lang w:val="en-US" w:eastAsia="zh-CN" w:bidi="ar-SA"/>
      </w:rPr>
    </w:lvl>
    <w:lvl w:ilvl="4">
      <w:start w:val="0"/>
      <w:numFmt w:val="bullet"/>
      <w:lvlText w:val="•"/>
      <w:lvlJc w:val="left"/>
      <w:pPr>
        <w:ind w:left="4886" w:hanging="540"/>
      </w:pPr>
      <w:rPr>
        <w:rFonts w:hint="default"/>
        <w:lang w:val="en-US" w:eastAsia="zh-CN" w:bidi="ar-SA"/>
      </w:rPr>
    </w:lvl>
    <w:lvl w:ilvl="5">
      <w:start w:val="0"/>
      <w:numFmt w:val="bullet"/>
      <w:lvlText w:val="•"/>
      <w:lvlJc w:val="left"/>
      <w:pPr>
        <w:ind w:left="5753" w:hanging="540"/>
      </w:pPr>
      <w:rPr>
        <w:rFonts w:hint="default"/>
        <w:lang w:val="en-US" w:eastAsia="zh-CN" w:bidi="ar-SA"/>
      </w:rPr>
    </w:lvl>
    <w:lvl w:ilvl="6">
      <w:start w:val="0"/>
      <w:numFmt w:val="bullet"/>
      <w:lvlText w:val="•"/>
      <w:lvlJc w:val="left"/>
      <w:pPr>
        <w:ind w:left="6619" w:hanging="540"/>
      </w:pPr>
      <w:rPr>
        <w:rFonts w:hint="default"/>
        <w:lang w:val="en-US" w:eastAsia="zh-CN" w:bidi="ar-SA"/>
      </w:rPr>
    </w:lvl>
    <w:lvl w:ilvl="7">
      <w:start w:val="0"/>
      <w:numFmt w:val="bullet"/>
      <w:lvlText w:val="•"/>
      <w:lvlJc w:val="left"/>
      <w:pPr>
        <w:ind w:left="7486" w:hanging="540"/>
      </w:pPr>
      <w:rPr>
        <w:rFonts w:hint="default"/>
        <w:lang w:val="en-US" w:eastAsia="zh-CN" w:bidi="ar-SA"/>
      </w:rPr>
    </w:lvl>
    <w:lvl w:ilvl="8">
      <w:start w:val="0"/>
      <w:numFmt w:val="bullet"/>
      <w:lvlText w:val="•"/>
      <w:lvlJc w:val="left"/>
      <w:pPr>
        <w:ind w:left="8352" w:hanging="540"/>
      </w:pPr>
      <w:rPr>
        <w:rFonts w:hint="default"/>
        <w:lang w:val="en-US" w:eastAsia="zh-CN" w:bidi="ar-SA"/>
      </w:rPr>
    </w:lvl>
  </w:abstractNum>
  <w:abstractNum w:abstractNumId="28">
    <w:nsid w:val="516ADE95"/>
    <w:multiLevelType w:val="hybridMultilevel"/>
    <w:tmpl w:val="00000000"/>
    <w:lvl w:ilvl="0">
      <w:start w:val="10"/>
      <w:numFmt w:val="decimal"/>
      <w:lvlText w:val="%1"/>
      <w:lvlJc w:val="left"/>
      <w:pPr>
        <w:ind w:left="1418" w:hanging="540"/>
        <w:jc w:val="left"/>
      </w:pPr>
      <w:rPr>
        <w:rFonts w:hint="default"/>
        <w:lang w:val="en-US" w:eastAsia="zh-CN" w:bidi="ar-SA"/>
      </w:rPr>
    </w:lvl>
    <w:lvl w:ilvl="1">
      <w:start w:val="1"/>
      <w:numFmt w:val="decimal"/>
      <w:lvlText w:val="%1.%2"/>
      <w:lvlJc w:val="left"/>
      <w:pPr>
        <w:ind w:left="1418" w:hanging="54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153" w:hanging="540"/>
      </w:pPr>
      <w:rPr>
        <w:rFonts w:hint="default"/>
        <w:lang w:val="en-US" w:eastAsia="zh-CN" w:bidi="ar-SA"/>
      </w:rPr>
    </w:lvl>
    <w:lvl w:ilvl="3">
      <w:start w:val="0"/>
      <w:numFmt w:val="bullet"/>
      <w:lvlText w:val="•"/>
      <w:lvlJc w:val="left"/>
      <w:pPr>
        <w:ind w:left="4019" w:hanging="540"/>
      </w:pPr>
      <w:rPr>
        <w:rFonts w:hint="default"/>
        <w:lang w:val="en-US" w:eastAsia="zh-CN" w:bidi="ar-SA"/>
      </w:rPr>
    </w:lvl>
    <w:lvl w:ilvl="4">
      <w:start w:val="0"/>
      <w:numFmt w:val="bullet"/>
      <w:lvlText w:val="•"/>
      <w:lvlJc w:val="left"/>
      <w:pPr>
        <w:ind w:left="4886" w:hanging="540"/>
      </w:pPr>
      <w:rPr>
        <w:rFonts w:hint="default"/>
        <w:lang w:val="en-US" w:eastAsia="zh-CN" w:bidi="ar-SA"/>
      </w:rPr>
    </w:lvl>
    <w:lvl w:ilvl="5">
      <w:start w:val="0"/>
      <w:numFmt w:val="bullet"/>
      <w:lvlText w:val="•"/>
      <w:lvlJc w:val="left"/>
      <w:pPr>
        <w:ind w:left="5753" w:hanging="540"/>
      </w:pPr>
      <w:rPr>
        <w:rFonts w:hint="default"/>
        <w:lang w:val="en-US" w:eastAsia="zh-CN" w:bidi="ar-SA"/>
      </w:rPr>
    </w:lvl>
    <w:lvl w:ilvl="6">
      <w:start w:val="0"/>
      <w:numFmt w:val="bullet"/>
      <w:lvlText w:val="•"/>
      <w:lvlJc w:val="left"/>
      <w:pPr>
        <w:ind w:left="6619" w:hanging="540"/>
      </w:pPr>
      <w:rPr>
        <w:rFonts w:hint="default"/>
        <w:lang w:val="en-US" w:eastAsia="zh-CN" w:bidi="ar-SA"/>
      </w:rPr>
    </w:lvl>
    <w:lvl w:ilvl="7">
      <w:start w:val="0"/>
      <w:numFmt w:val="bullet"/>
      <w:lvlText w:val="•"/>
      <w:lvlJc w:val="left"/>
      <w:pPr>
        <w:ind w:left="7486" w:hanging="540"/>
      </w:pPr>
      <w:rPr>
        <w:rFonts w:hint="default"/>
        <w:lang w:val="en-US" w:eastAsia="zh-CN" w:bidi="ar-SA"/>
      </w:rPr>
    </w:lvl>
    <w:lvl w:ilvl="8">
      <w:start w:val="0"/>
      <w:numFmt w:val="bullet"/>
      <w:lvlText w:val="•"/>
      <w:lvlJc w:val="left"/>
      <w:pPr>
        <w:ind w:left="8352" w:hanging="540"/>
      </w:pPr>
      <w:rPr>
        <w:rFonts w:hint="default"/>
        <w:lang w:val="en-US" w:eastAsia="zh-CN" w:bidi="ar-SA"/>
      </w:rPr>
    </w:lvl>
  </w:abstractNum>
  <w:abstractNum w:abstractNumId="29">
    <w:nsid w:val="5575D26C"/>
    <w:multiLevelType w:val="hybridMultilevel"/>
    <w:tmpl w:val="00000000"/>
    <w:lvl w:ilvl="0">
      <w:start w:val="22"/>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30">
    <w:nsid w:val="59E70680"/>
    <w:multiLevelType w:val="hybridMultilevel"/>
    <w:tmpl w:val="00000000"/>
    <w:lvl w:ilvl="0">
      <w:start w:val="1"/>
      <w:numFmt w:val="decimal"/>
      <w:lvlText w:val="（%1）"/>
      <w:lvlJc w:val="left"/>
      <w:pPr>
        <w:ind w:left="1359" w:hanging="601"/>
        <w:jc w:val="righ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232" w:hanging="601"/>
      </w:pPr>
      <w:rPr>
        <w:rFonts w:hint="default"/>
        <w:lang w:val="en-US" w:eastAsia="zh-CN" w:bidi="ar-SA"/>
      </w:rPr>
    </w:lvl>
    <w:lvl w:ilvl="2">
      <w:start w:val="0"/>
      <w:numFmt w:val="bullet"/>
      <w:lvlText w:val="•"/>
      <w:lvlJc w:val="left"/>
      <w:pPr>
        <w:ind w:left="3105" w:hanging="601"/>
      </w:pPr>
      <w:rPr>
        <w:rFonts w:hint="default"/>
        <w:lang w:val="en-US" w:eastAsia="zh-CN" w:bidi="ar-SA"/>
      </w:rPr>
    </w:lvl>
    <w:lvl w:ilvl="3">
      <w:start w:val="0"/>
      <w:numFmt w:val="bullet"/>
      <w:lvlText w:val="•"/>
      <w:lvlJc w:val="left"/>
      <w:pPr>
        <w:ind w:left="3977" w:hanging="601"/>
      </w:pPr>
      <w:rPr>
        <w:rFonts w:hint="default"/>
        <w:lang w:val="en-US" w:eastAsia="zh-CN" w:bidi="ar-SA"/>
      </w:rPr>
    </w:lvl>
    <w:lvl w:ilvl="4">
      <w:start w:val="0"/>
      <w:numFmt w:val="bullet"/>
      <w:lvlText w:val="•"/>
      <w:lvlJc w:val="left"/>
      <w:pPr>
        <w:ind w:left="4850" w:hanging="601"/>
      </w:pPr>
      <w:rPr>
        <w:rFonts w:hint="default"/>
        <w:lang w:val="en-US" w:eastAsia="zh-CN" w:bidi="ar-SA"/>
      </w:rPr>
    </w:lvl>
    <w:lvl w:ilvl="5">
      <w:start w:val="0"/>
      <w:numFmt w:val="bullet"/>
      <w:lvlText w:val="•"/>
      <w:lvlJc w:val="left"/>
      <w:pPr>
        <w:ind w:left="5723" w:hanging="601"/>
      </w:pPr>
      <w:rPr>
        <w:rFonts w:hint="default"/>
        <w:lang w:val="en-US" w:eastAsia="zh-CN" w:bidi="ar-SA"/>
      </w:rPr>
    </w:lvl>
    <w:lvl w:ilvl="6">
      <w:start w:val="0"/>
      <w:numFmt w:val="bullet"/>
      <w:lvlText w:val="•"/>
      <w:lvlJc w:val="left"/>
      <w:pPr>
        <w:ind w:left="6595" w:hanging="601"/>
      </w:pPr>
      <w:rPr>
        <w:rFonts w:hint="default"/>
        <w:lang w:val="en-US" w:eastAsia="zh-CN" w:bidi="ar-SA"/>
      </w:rPr>
    </w:lvl>
    <w:lvl w:ilvl="7">
      <w:start w:val="0"/>
      <w:numFmt w:val="bullet"/>
      <w:lvlText w:val="•"/>
      <w:lvlJc w:val="left"/>
      <w:pPr>
        <w:ind w:left="7468" w:hanging="601"/>
      </w:pPr>
      <w:rPr>
        <w:rFonts w:hint="default"/>
        <w:lang w:val="en-US" w:eastAsia="zh-CN" w:bidi="ar-SA"/>
      </w:rPr>
    </w:lvl>
    <w:lvl w:ilvl="8">
      <w:start w:val="0"/>
      <w:numFmt w:val="bullet"/>
      <w:lvlText w:val="•"/>
      <w:lvlJc w:val="left"/>
      <w:pPr>
        <w:ind w:left="8340" w:hanging="601"/>
      </w:pPr>
      <w:rPr>
        <w:rFonts w:hint="default"/>
        <w:lang w:val="en-US" w:eastAsia="zh-CN" w:bidi="ar-SA"/>
      </w:rPr>
    </w:lvl>
  </w:abstractNum>
  <w:abstractNum w:abstractNumId="31">
    <w:nsid w:val="5A210103"/>
    <w:multiLevelType w:val="hybridMultilevel"/>
    <w:tmpl w:val="00000000"/>
    <w:lvl w:ilvl="0">
      <w:start w:val="14"/>
      <w:numFmt w:val="decimal"/>
      <w:lvlText w:val="%1"/>
      <w:lvlJc w:val="left"/>
      <w:pPr>
        <w:ind w:left="398" w:hanging="601"/>
        <w:jc w:val="left"/>
      </w:pPr>
      <w:rPr>
        <w:rFonts w:hint="default"/>
        <w:lang w:val="en-US" w:eastAsia="zh-CN" w:bidi="ar-SA"/>
      </w:rPr>
    </w:lvl>
    <w:lvl w:ilvl="1">
      <w:start w:val="1"/>
      <w:numFmt w:val="decimal"/>
      <w:lvlText w:val="%1.%2"/>
      <w:lvlJc w:val="left"/>
      <w:pPr>
        <w:ind w:left="398" w:hanging="601"/>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601"/>
      </w:pPr>
      <w:rPr>
        <w:rFonts w:hint="default"/>
        <w:lang w:val="en-US" w:eastAsia="zh-CN" w:bidi="ar-SA"/>
      </w:rPr>
    </w:lvl>
    <w:lvl w:ilvl="3">
      <w:start w:val="0"/>
      <w:numFmt w:val="bullet"/>
      <w:lvlText w:val="•"/>
      <w:lvlJc w:val="left"/>
      <w:pPr>
        <w:ind w:left="3305" w:hanging="601"/>
      </w:pPr>
      <w:rPr>
        <w:rFonts w:hint="default"/>
        <w:lang w:val="en-US" w:eastAsia="zh-CN" w:bidi="ar-SA"/>
      </w:rPr>
    </w:lvl>
    <w:lvl w:ilvl="4">
      <w:start w:val="0"/>
      <w:numFmt w:val="bullet"/>
      <w:lvlText w:val="•"/>
      <w:lvlJc w:val="left"/>
      <w:pPr>
        <w:ind w:left="4274" w:hanging="601"/>
      </w:pPr>
      <w:rPr>
        <w:rFonts w:hint="default"/>
        <w:lang w:val="en-US" w:eastAsia="zh-CN" w:bidi="ar-SA"/>
      </w:rPr>
    </w:lvl>
    <w:lvl w:ilvl="5">
      <w:start w:val="0"/>
      <w:numFmt w:val="bullet"/>
      <w:lvlText w:val="•"/>
      <w:lvlJc w:val="left"/>
      <w:pPr>
        <w:ind w:left="5243" w:hanging="601"/>
      </w:pPr>
      <w:rPr>
        <w:rFonts w:hint="default"/>
        <w:lang w:val="en-US" w:eastAsia="zh-CN" w:bidi="ar-SA"/>
      </w:rPr>
    </w:lvl>
    <w:lvl w:ilvl="6">
      <w:start w:val="0"/>
      <w:numFmt w:val="bullet"/>
      <w:lvlText w:val="•"/>
      <w:lvlJc w:val="left"/>
      <w:pPr>
        <w:ind w:left="6211" w:hanging="601"/>
      </w:pPr>
      <w:rPr>
        <w:rFonts w:hint="default"/>
        <w:lang w:val="en-US" w:eastAsia="zh-CN" w:bidi="ar-SA"/>
      </w:rPr>
    </w:lvl>
    <w:lvl w:ilvl="7">
      <w:start w:val="0"/>
      <w:numFmt w:val="bullet"/>
      <w:lvlText w:val="•"/>
      <w:lvlJc w:val="left"/>
      <w:pPr>
        <w:ind w:left="7180" w:hanging="601"/>
      </w:pPr>
      <w:rPr>
        <w:rFonts w:hint="default"/>
        <w:lang w:val="en-US" w:eastAsia="zh-CN" w:bidi="ar-SA"/>
      </w:rPr>
    </w:lvl>
    <w:lvl w:ilvl="8">
      <w:start w:val="0"/>
      <w:numFmt w:val="bullet"/>
      <w:lvlText w:val="•"/>
      <w:lvlJc w:val="left"/>
      <w:pPr>
        <w:ind w:left="8148" w:hanging="601"/>
      </w:pPr>
      <w:rPr>
        <w:rFonts w:hint="default"/>
        <w:lang w:val="en-US" w:eastAsia="zh-CN" w:bidi="ar-SA"/>
      </w:rPr>
    </w:lvl>
  </w:abstractNum>
  <w:abstractNum w:abstractNumId="32">
    <w:nsid w:val="66BE7D2C"/>
    <w:multiLevelType w:val="hybridMultilevel"/>
    <w:tmpl w:val="00000000"/>
    <w:lvl w:ilvl="0">
      <w:start w:val="17"/>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33">
    <w:nsid w:val="6ADC8A0E"/>
    <w:multiLevelType w:val="hybridMultilevel"/>
    <w:tmpl w:val="00000000"/>
    <w:lvl w:ilvl="0">
      <w:start w:val="1"/>
      <w:numFmt w:val="decimal"/>
      <w:lvlText w:val="（%1）"/>
      <w:lvlJc w:val="left"/>
      <w:pPr>
        <w:ind w:left="1480" w:hanging="603"/>
        <w:jc w:val="left"/>
      </w:pPr>
      <w:rPr>
        <w:rFonts w:ascii="微软雅黑" w:eastAsia="微软雅黑" w:hAnsi="微软雅黑" w:cs="微软雅黑" w:hint="default"/>
        <w:b/>
        <w:bCs/>
        <w:i w:val="0"/>
        <w:iCs w:val="0"/>
        <w:w w:val="81"/>
        <w:sz w:val="22"/>
        <w:szCs w:val="22"/>
        <w:lang w:val="en-US" w:eastAsia="zh-CN" w:bidi="ar-SA"/>
      </w:rPr>
    </w:lvl>
    <w:lvl w:ilvl="1">
      <w:start w:val="0"/>
      <w:numFmt w:val="bullet"/>
      <w:lvlText w:val="•"/>
      <w:lvlJc w:val="left"/>
      <w:pPr>
        <w:ind w:left="2340" w:hanging="603"/>
      </w:pPr>
      <w:rPr>
        <w:rFonts w:hint="default"/>
        <w:lang w:val="en-US" w:eastAsia="zh-CN" w:bidi="ar-SA"/>
      </w:rPr>
    </w:lvl>
    <w:lvl w:ilvl="2">
      <w:start w:val="0"/>
      <w:numFmt w:val="bullet"/>
      <w:lvlText w:val="•"/>
      <w:lvlJc w:val="left"/>
      <w:pPr>
        <w:ind w:left="3201" w:hanging="603"/>
      </w:pPr>
      <w:rPr>
        <w:rFonts w:hint="default"/>
        <w:lang w:val="en-US" w:eastAsia="zh-CN" w:bidi="ar-SA"/>
      </w:rPr>
    </w:lvl>
    <w:lvl w:ilvl="3">
      <w:start w:val="0"/>
      <w:numFmt w:val="bullet"/>
      <w:lvlText w:val="•"/>
      <w:lvlJc w:val="left"/>
      <w:pPr>
        <w:ind w:left="4061" w:hanging="603"/>
      </w:pPr>
      <w:rPr>
        <w:rFonts w:hint="default"/>
        <w:lang w:val="en-US" w:eastAsia="zh-CN" w:bidi="ar-SA"/>
      </w:rPr>
    </w:lvl>
    <w:lvl w:ilvl="4">
      <w:start w:val="0"/>
      <w:numFmt w:val="bullet"/>
      <w:lvlText w:val="•"/>
      <w:lvlJc w:val="left"/>
      <w:pPr>
        <w:ind w:left="4922" w:hanging="603"/>
      </w:pPr>
      <w:rPr>
        <w:rFonts w:hint="default"/>
        <w:lang w:val="en-US" w:eastAsia="zh-CN" w:bidi="ar-SA"/>
      </w:rPr>
    </w:lvl>
    <w:lvl w:ilvl="5">
      <w:start w:val="0"/>
      <w:numFmt w:val="bullet"/>
      <w:lvlText w:val="•"/>
      <w:lvlJc w:val="left"/>
      <w:pPr>
        <w:ind w:left="5783" w:hanging="603"/>
      </w:pPr>
      <w:rPr>
        <w:rFonts w:hint="default"/>
        <w:lang w:val="en-US" w:eastAsia="zh-CN" w:bidi="ar-SA"/>
      </w:rPr>
    </w:lvl>
    <w:lvl w:ilvl="6">
      <w:start w:val="0"/>
      <w:numFmt w:val="bullet"/>
      <w:lvlText w:val="•"/>
      <w:lvlJc w:val="left"/>
      <w:pPr>
        <w:ind w:left="6643" w:hanging="603"/>
      </w:pPr>
      <w:rPr>
        <w:rFonts w:hint="default"/>
        <w:lang w:val="en-US" w:eastAsia="zh-CN" w:bidi="ar-SA"/>
      </w:rPr>
    </w:lvl>
    <w:lvl w:ilvl="7">
      <w:start w:val="0"/>
      <w:numFmt w:val="bullet"/>
      <w:lvlText w:val="•"/>
      <w:lvlJc w:val="left"/>
      <w:pPr>
        <w:ind w:left="7504" w:hanging="603"/>
      </w:pPr>
      <w:rPr>
        <w:rFonts w:hint="default"/>
        <w:lang w:val="en-US" w:eastAsia="zh-CN" w:bidi="ar-SA"/>
      </w:rPr>
    </w:lvl>
    <w:lvl w:ilvl="8">
      <w:start w:val="0"/>
      <w:numFmt w:val="bullet"/>
      <w:lvlText w:val="•"/>
      <w:lvlJc w:val="left"/>
      <w:pPr>
        <w:ind w:left="8364" w:hanging="603"/>
      </w:pPr>
      <w:rPr>
        <w:rFonts w:hint="default"/>
        <w:lang w:val="en-US" w:eastAsia="zh-CN" w:bidi="ar-SA"/>
      </w:rPr>
    </w:lvl>
  </w:abstractNum>
  <w:abstractNum w:abstractNumId="34">
    <w:nsid w:val="6AE03202"/>
    <w:multiLevelType w:val="hybridMultilevel"/>
    <w:tmpl w:val="00000000"/>
    <w:lvl w:ilvl="0">
      <w:start w:val="25"/>
      <w:numFmt w:val="decimal"/>
      <w:lvlText w:val="%1"/>
      <w:lvlJc w:val="left"/>
      <w:pPr>
        <w:ind w:left="398" w:hanging="720"/>
        <w:jc w:val="left"/>
      </w:pPr>
      <w:rPr>
        <w:rFonts w:hint="default"/>
        <w:lang w:val="en-US" w:eastAsia="zh-CN" w:bidi="ar-SA"/>
      </w:rPr>
    </w:lvl>
    <w:lvl w:ilvl="1">
      <w:start w:val="1"/>
      <w:numFmt w:val="decimal"/>
      <w:lvlText w:val="%1.%2"/>
      <w:lvlJc w:val="left"/>
      <w:pPr>
        <w:ind w:left="3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0"/>
      </w:pPr>
      <w:rPr>
        <w:rFonts w:hint="default"/>
        <w:lang w:val="en-US" w:eastAsia="zh-CN" w:bidi="ar-SA"/>
      </w:rPr>
    </w:lvl>
    <w:lvl w:ilvl="3">
      <w:start w:val="0"/>
      <w:numFmt w:val="bullet"/>
      <w:lvlText w:val="•"/>
      <w:lvlJc w:val="left"/>
      <w:pPr>
        <w:ind w:left="3305" w:hanging="720"/>
      </w:pPr>
      <w:rPr>
        <w:rFonts w:hint="default"/>
        <w:lang w:val="en-US" w:eastAsia="zh-CN" w:bidi="ar-SA"/>
      </w:rPr>
    </w:lvl>
    <w:lvl w:ilvl="4">
      <w:start w:val="0"/>
      <w:numFmt w:val="bullet"/>
      <w:lvlText w:val="•"/>
      <w:lvlJc w:val="left"/>
      <w:pPr>
        <w:ind w:left="4274" w:hanging="720"/>
      </w:pPr>
      <w:rPr>
        <w:rFonts w:hint="default"/>
        <w:lang w:val="en-US" w:eastAsia="zh-CN" w:bidi="ar-SA"/>
      </w:rPr>
    </w:lvl>
    <w:lvl w:ilvl="5">
      <w:start w:val="0"/>
      <w:numFmt w:val="bullet"/>
      <w:lvlText w:val="•"/>
      <w:lvlJc w:val="left"/>
      <w:pPr>
        <w:ind w:left="5243" w:hanging="720"/>
      </w:pPr>
      <w:rPr>
        <w:rFonts w:hint="default"/>
        <w:lang w:val="en-US" w:eastAsia="zh-CN" w:bidi="ar-SA"/>
      </w:rPr>
    </w:lvl>
    <w:lvl w:ilvl="6">
      <w:start w:val="0"/>
      <w:numFmt w:val="bullet"/>
      <w:lvlText w:val="•"/>
      <w:lvlJc w:val="left"/>
      <w:pPr>
        <w:ind w:left="6211" w:hanging="720"/>
      </w:pPr>
      <w:rPr>
        <w:rFonts w:hint="default"/>
        <w:lang w:val="en-US" w:eastAsia="zh-CN" w:bidi="ar-SA"/>
      </w:rPr>
    </w:lvl>
    <w:lvl w:ilvl="7">
      <w:start w:val="0"/>
      <w:numFmt w:val="bullet"/>
      <w:lvlText w:val="•"/>
      <w:lvlJc w:val="left"/>
      <w:pPr>
        <w:ind w:left="7180" w:hanging="720"/>
      </w:pPr>
      <w:rPr>
        <w:rFonts w:hint="default"/>
        <w:lang w:val="en-US" w:eastAsia="zh-CN" w:bidi="ar-SA"/>
      </w:rPr>
    </w:lvl>
    <w:lvl w:ilvl="8">
      <w:start w:val="0"/>
      <w:numFmt w:val="bullet"/>
      <w:lvlText w:val="•"/>
      <w:lvlJc w:val="left"/>
      <w:pPr>
        <w:ind w:left="8148" w:hanging="720"/>
      </w:pPr>
      <w:rPr>
        <w:rFonts w:hint="default"/>
        <w:lang w:val="en-US" w:eastAsia="zh-CN" w:bidi="ar-SA"/>
      </w:rPr>
    </w:lvl>
  </w:abstractNum>
  <w:abstractNum w:abstractNumId="35">
    <w:nsid w:val="70B18573"/>
    <w:multiLevelType w:val="hybridMultilevel"/>
    <w:tmpl w:val="00000000"/>
    <w:lvl w:ilvl="0">
      <w:start w:val="13"/>
      <w:numFmt w:val="decimal"/>
      <w:lvlText w:val="%1"/>
      <w:lvlJc w:val="left"/>
      <w:pPr>
        <w:ind w:left="398" w:hanging="722"/>
        <w:jc w:val="left"/>
      </w:pPr>
      <w:rPr>
        <w:rFonts w:hint="default"/>
        <w:lang w:val="en-US" w:eastAsia="zh-CN" w:bidi="ar-SA"/>
      </w:rPr>
    </w:lvl>
    <w:lvl w:ilvl="1">
      <w:start w:val="1"/>
      <w:numFmt w:val="decimal"/>
      <w:lvlText w:val="%1.%2"/>
      <w:lvlJc w:val="left"/>
      <w:pPr>
        <w:ind w:left="398" w:hanging="722"/>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37" w:hanging="722"/>
      </w:pPr>
      <w:rPr>
        <w:rFonts w:hint="default"/>
        <w:lang w:val="en-US" w:eastAsia="zh-CN" w:bidi="ar-SA"/>
      </w:rPr>
    </w:lvl>
    <w:lvl w:ilvl="3">
      <w:start w:val="0"/>
      <w:numFmt w:val="bullet"/>
      <w:lvlText w:val="•"/>
      <w:lvlJc w:val="left"/>
      <w:pPr>
        <w:ind w:left="3305" w:hanging="722"/>
      </w:pPr>
      <w:rPr>
        <w:rFonts w:hint="default"/>
        <w:lang w:val="en-US" w:eastAsia="zh-CN" w:bidi="ar-SA"/>
      </w:rPr>
    </w:lvl>
    <w:lvl w:ilvl="4">
      <w:start w:val="0"/>
      <w:numFmt w:val="bullet"/>
      <w:lvlText w:val="•"/>
      <w:lvlJc w:val="left"/>
      <w:pPr>
        <w:ind w:left="4274" w:hanging="722"/>
      </w:pPr>
      <w:rPr>
        <w:rFonts w:hint="default"/>
        <w:lang w:val="en-US" w:eastAsia="zh-CN" w:bidi="ar-SA"/>
      </w:rPr>
    </w:lvl>
    <w:lvl w:ilvl="5">
      <w:start w:val="0"/>
      <w:numFmt w:val="bullet"/>
      <w:lvlText w:val="•"/>
      <w:lvlJc w:val="left"/>
      <w:pPr>
        <w:ind w:left="5243" w:hanging="722"/>
      </w:pPr>
      <w:rPr>
        <w:rFonts w:hint="default"/>
        <w:lang w:val="en-US" w:eastAsia="zh-CN" w:bidi="ar-SA"/>
      </w:rPr>
    </w:lvl>
    <w:lvl w:ilvl="6">
      <w:start w:val="0"/>
      <w:numFmt w:val="bullet"/>
      <w:lvlText w:val="•"/>
      <w:lvlJc w:val="left"/>
      <w:pPr>
        <w:ind w:left="6211" w:hanging="722"/>
      </w:pPr>
      <w:rPr>
        <w:rFonts w:hint="default"/>
        <w:lang w:val="en-US" w:eastAsia="zh-CN" w:bidi="ar-SA"/>
      </w:rPr>
    </w:lvl>
    <w:lvl w:ilvl="7">
      <w:start w:val="0"/>
      <w:numFmt w:val="bullet"/>
      <w:lvlText w:val="•"/>
      <w:lvlJc w:val="left"/>
      <w:pPr>
        <w:ind w:left="7180" w:hanging="722"/>
      </w:pPr>
      <w:rPr>
        <w:rFonts w:hint="default"/>
        <w:lang w:val="en-US" w:eastAsia="zh-CN" w:bidi="ar-SA"/>
      </w:rPr>
    </w:lvl>
    <w:lvl w:ilvl="8">
      <w:start w:val="0"/>
      <w:numFmt w:val="bullet"/>
      <w:lvlText w:val="•"/>
      <w:lvlJc w:val="left"/>
      <w:pPr>
        <w:ind w:left="8148" w:hanging="722"/>
      </w:pPr>
      <w:rPr>
        <w:rFonts w:hint="default"/>
        <w:lang w:val="en-US" w:eastAsia="zh-CN" w:bidi="ar-SA"/>
      </w:rPr>
    </w:lvl>
  </w:abstractNum>
  <w:abstractNum w:abstractNumId="36">
    <w:nsid w:val="7D61656A"/>
    <w:multiLevelType w:val="hybridMultilevel"/>
    <w:tmpl w:val="00000000"/>
    <w:lvl w:ilvl="0">
      <w:start w:val="10"/>
      <w:numFmt w:val="decimal"/>
      <w:lvlText w:val="%1"/>
      <w:lvlJc w:val="left"/>
      <w:pPr>
        <w:ind w:left="1598" w:hanging="720"/>
        <w:jc w:val="left"/>
      </w:pPr>
      <w:rPr>
        <w:rFonts w:hint="default"/>
        <w:lang w:val="en-US" w:eastAsia="zh-CN" w:bidi="ar-SA"/>
      </w:rPr>
    </w:lvl>
    <w:lvl w:ilvl="1">
      <w:start w:val="1"/>
      <w:numFmt w:val="decimal"/>
      <w:lvlText w:val="%1.%2"/>
      <w:lvlJc w:val="left"/>
      <w:pPr>
        <w:ind w:left="1598" w:hanging="7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297" w:hanging="720"/>
      </w:pPr>
      <w:rPr>
        <w:rFonts w:hint="default"/>
        <w:lang w:val="en-US" w:eastAsia="zh-CN" w:bidi="ar-SA"/>
      </w:rPr>
    </w:lvl>
    <w:lvl w:ilvl="3">
      <w:start w:val="0"/>
      <w:numFmt w:val="bullet"/>
      <w:lvlText w:val="•"/>
      <w:lvlJc w:val="left"/>
      <w:pPr>
        <w:ind w:left="4145" w:hanging="720"/>
      </w:pPr>
      <w:rPr>
        <w:rFonts w:hint="default"/>
        <w:lang w:val="en-US" w:eastAsia="zh-CN" w:bidi="ar-SA"/>
      </w:rPr>
    </w:lvl>
    <w:lvl w:ilvl="4">
      <w:start w:val="0"/>
      <w:numFmt w:val="bullet"/>
      <w:lvlText w:val="•"/>
      <w:lvlJc w:val="left"/>
      <w:pPr>
        <w:ind w:left="4994" w:hanging="720"/>
      </w:pPr>
      <w:rPr>
        <w:rFonts w:hint="default"/>
        <w:lang w:val="en-US" w:eastAsia="zh-CN" w:bidi="ar-SA"/>
      </w:rPr>
    </w:lvl>
    <w:lvl w:ilvl="5">
      <w:start w:val="0"/>
      <w:numFmt w:val="bullet"/>
      <w:lvlText w:val="•"/>
      <w:lvlJc w:val="left"/>
      <w:pPr>
        <w:ind w:left="5843" w:hanging="720"/>
      </w:pPr>
      <w:rPr>
        <w:rFonts w:hint="default"/>
        <w:lang w:val="en-US" w:eastAsia="zh-CN" w:bidi="ar-SA"/>
      </w:rPr>
    </w:lvl>
    <w:lvl w:ilvl="6">
      <w:start w:val="0"/>
      <w:numFmt w:val="bullet"/>
      <w:lvlText w:val="•"/>
      <w:lvlJc w:val="left"/>
      <w:pPr>
        <w:ind w:left="6691" w:hanging="720"/>
      </w:pPr>
      <w:rPr>
        <w:rFonts w:hint="default"/>
        <w:lang w:val="en-US" w:eastAsia="zh-CN" w:bidi="ar-SA"/>
      </w:rPr>
    </w:lvl>
    <w:lvl w:ilvl="7">
      <w:start w:val="0"/>
      <w:numFmt w:val="bullet"/>
      <w:lvlText w:val="•"/>
      <w:lvlJc w:val="left"/>
      <w:pPr>
        <w:ind w:left="7540" w:hanging="720"/>
      </w:pPr>
      <w:rPr>
        <w:rFonts w:hint="default"/>
        <w:lang w:val="en-US" w:eastAsia="zh-CN" w:bidi="ar-SA"/>
      </w:rPr>
    </w:lvl>
    <w:lvl w:ilvl="8">
      <w:start w:val="0"/>
      <w:numFmt w:val="bullet"/>
      <w:lvlText w:val="•"/>
      <w:lvlJc w:val="left"/>
      <w:pPr>
        <w:ind w:left="8388" w:hanging="720"/>
      </w:pPr>
      <w:rPr>
        <w:rFonts w:hint="default"/>
        <w:lang w:val="en-US" w:eastAsia="zh-CN" w:bidi="ar-SA"/>
      </w:rPr>
    </w:lvl>
  </w:abstractNum>
  <w:num w:numId="1">
    <w:abstractNumId w:val="23"/>
  </w:num>
  <w:num w:numId="2">
    <w:abstractNumId w:val="31"/>
  </w:num>
  <w:num w:numId="3">
    <w:abstractNumId w:val="2"/>
  </w:num>
  <w:num w:numId="4">
    <w:abstractNumId w:val="5"/>
  </w:num>
  <w:num w:numId="5">
    <w:abstractNumId w:val="0"/>
  </w:num>
  <w:num w:numId="6">
    <w:abstractNumId w:val="20"/>
  </w:num>
  <w:num w:numId="7">
    <w:abstractNumId w:val="25"/>
  </w:num>
  <w:num w:numId="8">
    <w:abstractNumId w:val="26"/>
  </w:num>
  <w:num w:numId="9">
    <w:abstractNumId w:val="13"/>
  </w:num>
  <w:num w:numId="10">
    <w:abstractNumId w:val="6"/>
  </w:num>
  <w:num w:numId="11">
    <w:abstractNumId w:val="32"/>
  </w:num>
  <w:num w:numId="12">
    <w:abstractNumId w:val="7"/>
  </w:num>
  <w:num w:numId="13">
    <w:abstractNumId w:val="19"/>
  </w:num>
  <w:num w:numId="14">
    <w:abstractNumId w:val="33"/>
  </w:num>
  <w:num w:numId="15">
    <w:abstractNumId w:val="12"/>
  </w:num>
  <w:num w:numId="16">
    <w:abstractNumId w:val="8"/>
  </w:num>
  <w:num w:numId="17">
    <w:abstractNumId w:val="35"/>
  </w:num>
  <w:num w:numId="18">
    <w:abstractNumId w:val="21"/>
  </w:num>
  <w:num w:numId="19">
    <w:abstractNumId w:val="17"/>
  </w:num>
  <w:num w:numId="20">
    <w:abstractNumId w:val="10"/>
  </w:num>
  <w:num w:numId="21">
    <w:abstractNumId w:val="36"/>
  </w:num>
  <w:num w:numId="22">
    <w:abstractNumId w:val="22"/>
  </w:num>
  <w:num w:numId="23">
    <w:abstractNumId w:val="18"/>
  </w:num>
  <w:num w:numId="24">
    <w:abstractNumId w:val="30"/>
  </w:num>
  <w:num w:numId="25">
    <w:abstractNumId w:val="16"/>
  </w:num>
  <w:num w:numId="26">
    <w:abstractNumId w:val="15"/>
  </w:num>
  <w:num w:numId="27">
    <w:abstractNumId w:val="1"/>
  </w:num>
  <w:num w:numId="28">
    <w:abstractNumId w:val="9"/>
  </w:num>
  <w:num w:numId="29">
    <w:abstractNumId w:val="3"/>
  </w:num>
  <w:num w:numId="30">
    <w:abstractNumId w:val="14"/>
  </w:num>
  <w:num w:numId="31">
    <w:abstractNumId w:val="11"/>
  </w:num>
  <w:num w:numId="32">
    <w:abstractNumId w:val="4"/>
  </w:num>
  <w:num w:numId="33">
    <w:abstractNumId w:val="27"/>
  </w:num>
  <w:num w:numId="34">
    <w:abstractNumId w:val="24"/>
  </w:num>
  <w:num w:numId="35">
    <w:abstractNumId w:val="28"/>
  </w:num>
  <w:num w:numId="36">
    <w:abstractNumId w:val="29"/>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50"/>
      <w:ind w:left="398"/>
      <w:outlineLvl w:val="0"/>
    </w:pPr>
    <w:rPr>
      <w:rFonts w:ascii="黑体" w:eastAsia="黑体" w:hAnsi="黑体" w:cs="黑体"/>
      <w:sz w:val="36"/>
      <w:szCs w:val="36"/>
      <w:lang w:val="en-US" w:eastAsia="zh-CN" w:bidi="ar-SA"/>
    </w:rPr>
  </w:style>
  <w:style w:type="paragraph" w:styleId="Heading2">
    <w:name w:val="heading 2"/>
    <w:basedOn w:val="Normal"/>
    <w:uiPriority w:val="1"/>
    <w:qFormat/>
    <w:pPr>
      <w:spacing w:line="517" w:lineRule="exact"/>
      <w:ind w:right="267"/>
      <w:jc w:val="center"/>
      <w:outlineLvl w:val="1"/>
    </w:pPr>
    <w:rPr>
      <w:rFonts w:ascii="Microsoft JhengHei" w:eastAsia="Microsoft JhengHei" w:hAnsi="Microsoft JhengHei" w:cs="Microsoft JhengHei"/>
      <w:b/>
      <w:bCs/>
      <w:sz w:val="32"/>
      <w:szCs w:val="32"/>
      <w:lang w:val="en-US" w:eastAsia="zh-CN" w:bidi="ar-SA"/>
    </w:rPr>
  </w:style>
  <w:style w:type="paragraph" w:styleId="Heading3">
    <w:name w:val="heading 3"/>
    <w:basedOn w:val="Normal"/>
    <w:uiPriority w:val="1"/>
    <w:qFormat/>
    <w:pPr>
      <w:jc w:val="center"/>
      <w:outlineLvl w:val="2"/>
    </w:pPr>
    <w:rPr>
      <w:rFonts w:ascii="Microsoft JhengHei" w:eastAsia="Microsoft JhengHei" w:hAnsi="Microsoft JhengHei" w:cs="Microsoft JhengHei"/>
      <w:b/>
      <w:bCs/>
      <w:sz w:val="28"/>
      <w:szCs w:val="28"/>
      <w:lang w:val="en-US" w:eastAsia="zh-CN" w:bidi="ar-SA"/>
    </w:rPr>
  </w:style>
  <w:style w:type="paragraph" w:styleId="Heading4">
    <w:name w:val="heading 4"/>
    <w:basedOn w:val="Normal"/>
    <w:uiPriority w:val="1"/>
    <w:qFormat/>
    <w:pPr>
      <w:ind w:left="398"/>
      <w:outlineLvl w:val="3"/>
    </w:pPr>
    <w:rPr>
      <w:rFonts w:ascii="宋体" w:eastAsia="宋体" w:hAnsi="宋体" w:cs="宋体"/>
      <w:sz w:val="28"/>
      <w:szCs w:val="28"/>
      <w:lang w:val="en-US" w:eastAsia="zh-CN" w:bidi="ar-SA"/>
    </w:rPr>
  </w:style>
  <w:style w:type="paragraph" w:styleId="Heading5">
    <w:name w:val="heading 5"/>
    <w:basedOn w:val="Normal"/>
    <w:uiPriority w:val="1"/>
    <w:qFormat/>
    <w:pPr>
      <w:ind w:left="398"/>
      <w:outlineLvl w:val="4"/>
    </w:pPr>
    <w:rPr>
      <w:rFonts w:ascii="微软雅黑" w:eastAsia="微软雅黑" w:hAnsi="微软雅黑" w:cs="微软雅黑"/>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79"/>
      <w:ind w:left="398"/>
    </w:pPr>
    <w:rPr>
      <w:rFonts w:ascii="宋体" w:eastAsia="宋体" w:hAnsi="宋体" w:cs="宋体"/>
      <w:sz w:val="24"/>
      <w:szCs w:val="24"/>
      <w:lang w:val="en-US" w:eastAsia="zh-CN" w:bidi="ar-SA"/>
    </w:rPr>
  </w:style>
  <w:style w:type="paragraph" w:styleId="TOC2">
    <w:name w:val="toc 2"/>
    <w:basedOn w:val="Normal"/>
    <w:uiPriority w:val="1"/>
    <w:qFormat/>
    <w:pPr>
      <w:spacing w:before="279"/>
      <w:ind w:left="398"/>
    </w:pPr>
    <w:rPr>
      <w:rFonts w:ascii="宋体" w:eastAsia="宋体" w:hAnsi="宋体" w:cs="宋体"/>
      <w:sz w:val="24"/>
      <w:szCs w:val="24"/>
      <w:lang w:val="en-US" w:eastAsia="zh-CN" w:bidi="ar-SA"/>
    </w:r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ListParagraph">
    <w:name w:val="List Paragraph"/>
    <w:basedOn w:val="Normal"/>
    <w:uiPriority w:val="1"/>
    <w:qFormat/>
    <w:pPr>
      <w:ind w:left="398" w:firstLine="48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hyperlink" Target="https://d.book118.com/937121052155006051" TargetMode="External" /><Relationship Id="rId23" Type="http://schemas.openxmlformats.org/officeDocument/2006/relationships/footer" Target="footer18.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www.kcggzy.com/" TargetMode="Externa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2024-03-04T13:42:56Z</dcterms:created>
  <dcterms:modified xsi:type="dcterms:W3CDTF">2024-03-04T13:42:56Z</dcterms:modified>
</cp:coreProperties>
</file>