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156" w:after="156"/>
        <w:jc w:val="both"/>
        <w:rPr>
          <w:color w:val="000000"/>
        </w:rPr>
      </w:pPr>
      <w:bookmarkStart w:id="0" w:name="_Toc13384"/>
      <w:bookmarkStart w:id="1" w:name="_Toc13355"/>
      <w:bookmarkStart w:id="2" w:name="_Toc32400"/>
    </w:p>
    <w:p>
      <w:pPr>
        <w:pStyle w:val="Heading1"/>
        <w:spacing w:before="156" w:after="156"/>
        <w:rPr>
          <w:color w:val="000000"/>
        </w:rPr>
      </w:pPr>
      <w:r>
        <w:rPr>
          <w:rFonts w:hint="eastAsia"/>
          <w:color w:val="000000"/>
        </w:rPr>
        <w:t>摘  要</w:t>
      </w:r>
      <w:bookmarkEnd w:id="0"/>
      <w:bookmarkEnd w:id="1"/>
      <w:bookmarkEnd w:id="2"/>
    </w:p>
    <w:p/>
    <w:p>
      <w:pPr>
        <w:spacing w:line="360" w:lineRule="atLeast"/>
        <w:ind w:firstLine="480" w:firstLineChars="200"/>
        <w:rPr>
          <w:szCs w:val="24"/>
        </w:rPr>
      </w:pPr>
      <w:r>
        <w:rPr>
          <w:szCs w:val="24"/>
        </w:rPr>
        <w:t>近年来，随着我国焊接工艺的不断发展，激光</w:t>
      </w:r>
      <w:r>
        <w:rPr>
          <w:rFonts w:hint="eastAsia"/>
          <w:szCs w:val="24"/>
        </w:rPr>
        <w:t>—</w:t>
      </w:r>
      <w:r>
        <w:rPr>
          <w:szCs w:val="24"/>
        </w:rPr>
        <w:t>MIG复合焊由于具有激光焊和电弧焊的双重优势</w:t>
      </w:r>
      <w:r>
        <w:rPr>
          <w:rFonts w:hint="eastAsia"/>
          <w:szCs w:val="24"/>
        </w:rPr>
        <w:t>，</w:t>
      </w:r>
      <w:r>
        <w:rPr>
          <w:szCs w:val="24"/>
        </w:rPr>
        <w:t>因此在铝合金焊接方面具有较高的应用价值。</w:t>
      </w:r>
    </w:p>
    <w:p>
      <w:pPr>
        <w:spacing w:line="360" w:lineRule="atLeast"/>
        <w:ind w:firstLine="480" w:firstLineChars="200"/>
        <w:rPr>
          <w:color w:val="0000FF"/>
          <w:szCs w:val="24"/>
        </w:rPr>
      </w:pPr>
      <w:r>
        <w:rPr>
          <w:szCs w:val="24"/>
        </w:rPr>
        <w:t>本文把5A06铝合金，ER5356</w:t>
      </w:r>
      <w:r>
        <w:rPr>
          <w:rFonts w:hint="eastAsia"/>
          <w:szCs w:val="24"/>
        </w:rPr>
        <w:t>、ER4047</w:t>
      </w:r>
      <w:r>
        <w:rPr>
          <w:szCs w:val="24"/>
        </w:rPr>
        <w:t>焊丝作为本次焊接试验的材料，充分考虑激光</w:t>
      </w:r>
      <w:r>
        <w:rPr>
          <w:rFonts w:hint="eastAsia"/>
          <w:szCs w:val="24"/>
        </w:rPr>
        <w:t>—</w:t>
      </w:r>
      <w:r>
        <w:rPr>
          <w:szCs w:val="24"/>
        </w:rPr>
        <w:t>MIG复合焊焊缝成形机理，总结焊缝的成形规律，最终找出后板铝合金在采用</w:t>
      </w:r>
      <w:bookmarkStart w:id="3" w:name="_GoBack"/>
      <w:r>
        <w:rPr>
          <w:szCs w:val="24"/>
        </w:rPr>
        <w:t>激光-MIG复合焊时的最优工艺</w:t>
      </w:r>
      <w:bookmarkEnd w:id="3"/>
      <w:r>
        <w:rPr>
          <w:szCs w:val="24"/>
        </w:rPr>
        <w:t>。在对比激光</w:t>
      </w:r>
      <w:r>
        <w:rPr>
          <w:rFonts w:hint="eastAsia"/>
          <w:szCs w:val="24"/>
        </w:rPr>
        <w:t>—</w:t>
      </w:r>
      <w:r>
        <w:rPr>
          <w:szCs w:val="24"/>
        </w:rPr>
        <w:t>MIG复合焊与</w:t>
      </w:r>
      <w:r>
        <w:rPr>
          <w:rFonts w:hint="eastAsia"/>
          <w:szCs w:val="24"/>
        </w:rPr>
        <w:t>激光—CMT复合</w:t>
      </w:r>
      <w:r>
        <w:rPr>
          <w:szCs w:val="24"/>
        </w:rPr>
        <w:t>焊接时，通过调节整激光功率、焊接电流以及焊接速度等进行相关实验。通过相关实验最终表明，激光</w:t>
      </w:r>
      <w:r>
        <w:rPr>
          <w:rFonts w:hint="eastAsia"/>
          <w:szCs w:val="24"/>
        </w:rPr>
        <w:t>—</w:t>
      </w:r>
      <w:r>
        <w:rPr>
          <w:szCs w:val="24"/>
        </w:rPr>
        <w:t>MIG复合焊焊缝成形较为美观，焊接过程稳定，在铝合金焊接方面具有较大优势。在对比激光-MIG复合焊与激光</w:t>
      </w:r>
      <w:r>
        <w:rPr>
          <w:rFonts w:hint="eastAsia"/>
          <w:szCs w:val="24"/>
        </w:rPr>
        <w:t>—</w:t>
      </w:r>
      <w:r>
        <w:rPr>
          <w:szCs w:val="24"/>
        </w:rPr>
        <w:t>CMT焊接两种焊接工艺时，系统对比了两种焊接工艺的焊缝质量，最终得出激光-MIG复合焊相较于激光</w:t>
      </w:r>
      <w:r>
        <w:rPr>
          <w:rFonts w:hint="eastAsia"/>
          <w:szCs w:val="24"/>
        </w:rPr>
        <w:t>—</w:t>
      </w:r>
      <w:r>
        <w:rPr>
          <w:szCs w:val="24"/>
        </w:rPr>
        <w:t>CMT焊具有更高的操作稳定性，并且焊缝接头所具有的抗拉强度高于</w:t>
      </w:r>
      <w:r>
        <w:rPr>
          <w:rFonts w:hint="eastAsia"/>
          <w:szCs w:val="24"/>
        </w:rPr>
        <w:t>激光—CMT复合</w:t>
      </w:r>
      <w:r>
        <w:rPr>
          <w:szCs w:val="24"/>
        </w:rPr>
        <w:t>焊接。</w:t>
      </w:r>
    </w:p>
    <w:p>
      <w:pPr>
        <w:spacing w:line="281" w:lineRule="auto"/>
        <w:jc w:val="left"/>
        <w:rPr>
          <w:rFonts w:eastAsia="黑体"/>
          <w:color w:val="000000"/>
          <w:szCs w:val="24"/>
        </w:rPr>
      </w:pPr>
    </w:p>
    <w:p>
      <w:pPr>
        <w:spacing w:line="281" w:lineRule="auto"/>
        <w:jc w:val="left"/>
        <w:rPr>
          <w:color w:val="000000"/>
          <w:highlight w:val="yellow"/>
        </w:rPr>
      </w:pPr>
      <w:r>
        <w:rPr>
          <w:rFonts w:eastAsia="黑体"/>
          <w:color w:val="000000"/>
          <w:szCs w:val="24"/>
        </w:rPr>
        <w:t>关键词：</w:t>
      </w:r>
      <w:r>
        <w:rPr>
          <w:color w:val="000000"/>
          <w:kern w:val="0"/>
          <w:szCs w:val="24"/>
        </w:rPr>
        <w:t>铝合金；激光</w:t>
      </w:r>
      <w:r>
        <w:rPr>
          <w:rFonts w:hint="eastAsia"/>
          <w:color w:val="000000"/>
          <w:kern w:val="0"/>
          <w:szCs w:val="24"/>
        </w:rPr>
        <w:t>—</w:t>
      </w:r>
      <w:r>
        <w:rPr>
          <w:color w:val="000000"/>
          <w:kern w:val="0"/>
          <w:szCs w:val="24"/>
        </w:rPr>
        <w:t>MIG复合焊</w:t>
      </w:r>
      <w:r>
        <w:rPr>
          <w:rFonts w:hint="eastAsia"/>
          <w:color w:val="000000"/>
          <w:kern w:val="0"/>
          <w:szCs w:val="24"/>
        </w:rPr>
        <w:t>；</w:t>
      </w:r>
      <w:r>
        <w:rPr>
          <w:color w:val="000000"/>
          <w:kern w:val="0"/>
          <w:szCs w:val="24"/>
        </w:rPr>
        <w:t>焊缝成形</w:t>
      </w:r>
    </w:p>
    <w:p>
      <w:pPr>
        <w:jc w:val="center"/>
        <w:rPr>
          <w:color w:val="000000"/>
        </w:rPr>
      </w:pPr>
    </w:p>
    <w:p>
      <w:pPr>
        <w:rPr>
          <w:color w:val="000000"/>
        </w:rPr>
        <w:sectPr>
          <w:headerReference w:type="default" r:id="rId5"/>
          <w:footerReference w:type="default" r:id="rId6"/>
          <w:pgSz w:w="11906" w:h="16838"/>
          <w:pgMar w:top="936" w:right="2276" w:bottom="2648" w:left="1650" w:header="1616" w:footer="2121" w:gutter="0"/>
          <w:pgNumType w:fmt="upperRoman" w:start="1"/>
          <w:cols w:num="1" w:space="720"/>
          <w:docGrid w:type="linesAndChars" w:linePitch="312" w:charSpace="157"/>
        </w:sectPr>
      </w:pPr>
      <w:bookmarkStart w:id="4" w:name="_Toc400"/>
      <w:bookmarkStart w:id="5" w:name="_Toc21288"/>
      <w:bookmarkStart w:id="6" w:name="_Toc17901"/>
    </w:p>
    <w:p>
      <w:pPr>
        <w:spacing w:before="156" w:beforeLines="50" w:after="156" w:afterLines="50" w:line="240" w:lineRule="auto"/>
        <w:jc w:val="center"/>
        <w:rPr>
          <w:b/>
          <w:color w:val="000000"/>
          <w:sz w:val="44"/>
          <w:szCs w:val="44"/>
        </w:rPr>
      </w:pPr>
      <w:r>
        <w:rPr>
          <w:b/>
          <w:color w:val="000000"/>
          <w:sz w:val="44"/>
          <w:szCs w:val="44"/>
        </w:rPr>
        <w:t>Abstract</w:t>
      </w:r>
      <w:bookmarkEnd w:id="4"/>
      <w:bookmarkEnd w:id="5"/>
      <w:bookmarkEnd w:id="6"/>
    </w:p>
    <w:p>
      <w:pPr>
        <w:pStyle w:val="BodyText"/>
      </w:pPr>
    </w:p>
    <w:p>
      <w:pPr>
        <w:ind w:firstLine="480" w:firstLineChars="200"/>
      </w:pPr>
      <w:r>
        <w:rPr>
          <w:rFonts w:hint="eastAsia"/>
        </w:rPr>
        <w:t>R</w:t>
      </w:r>
      <w:r>
        <w:t>ecently, with the continuous development of welding technology in china, laser- MIG composite welding has high application value in aluminum alloy welding due to its dual advantages of laser welding and arc welding.</w:t>
      </w:r>
    </w:p>
    <w:p>
      <w:pPr>
        <w:ind w:firstLine="480" w:firstLineChars="200"/>
      </w:pPr>
      <w:r>
        <w:rPr>
          <w:rFonts w:hint="eastAsia"/>
        </w:rPr>
        <w:t>The experiment, this paper takes 5 A06 aluminum alloy, ER5356、ER4047 wire as the material of this welding test, fully considers the forming mechanism of laser—MIG composite welding seam, summarizes the forming law of weld seam, and finally finds out the optimal process of rear plate aluminum alloy when using laser—MIG composite welding. When comparing laser—MIG composite welding with laser—CMT composite welding, the experiment is carried out by adjusting the whole laser power, welding current and welding speed. Finally, the results show that the weld forming of laser—MIG composite welding is beautiful, the welding process is stable, and it has the advantages of aluminum alloy welding Greater advantage. The weld quality of the two welding processes is compared between laser MIG composite welding and laser CMT welding. Finally, laser—MIG composite welding has higher operating stability than laser composite welding, and the tensile strength of weld joint is much higher than that of laser CMT composite welding.</w:t>
      </w:r>
    </w:p>
    <w:p/>
    <w:p>
      <w:r>
        <w:rPr>
          <w:b/>
          <w:bCs/>
        </w:rPr>
        <w:t>Keywords</w:t>
      </w:r>
      <w:r>
        <w:rPr>
          <w:rFonts w:hint="eastAsia"/>
          <w:b/>
          <w:bCs/>
        </w:rPr>
        <w:t>：</w:t>
      </w:r>
      <w:r>
        <w:rPr>
          <w:rFonts w:hint="eastAsia"/>
        </w:rPr>
        <w:t>Aluminum alloy; Laser—MIG composite welding; Melting speed; Weld forming</w:t>
      </w:r>
    </w:p>
    <w:p/>
    <w:p>
      <w:pPr>
        <w:pBdr>
          <w:top w:val="none" w:sz="0" w:space="1" w:color="auto"/>
          <w:left w:val="none" w:sz="0" w:space="4" w:color="auto"/>
          <w:bottom w:val="none" w:sz="0" w:space="1" w:color="auto"/>
          <w:right w:val="none" w:sz="0" w:space="4" w:color="auto"/>
        </w:pBdr>
        <w:spacing w:line="281" w:lineRule="auto"/>
        <w:jc w:val="center"/>
        <w:rPr>
          <w:rFonts w:ascii="黑体" w:eastAsia="黑体" w:hAnsi="黑体" w:cs="宋体"/>
          <w:color w:val="000000"/>
          <w:spacing w:val="4"/>
          <w:kern w:val="0"/>
          <w:szCs w:val="24"/>
          <w:highlight w:val="yellow"/>
        </w:rPr>
      </w:pPr>
    </w:p>
    <w:p>
      <w:pPr>
        <w:pBdr>
          <w:top w:val="none" w:sz="0" w:space="1" w:color="auto"/>
          <w:left w:val="none" w:sz="0" w:space="4" w:color="auto"/>
          <w:bottom w:val="none" w:sz="0" w:space="1" w:color="auto"/>
          <w:right w:val="none" w:sz="0" w:space="4" w:color="auto"/>
        </w:pBdr>
        <w:spacing w:line="281" w:lineRule="auto"/>
        <w:jc w:val="center"/>
        <w:rPr>
          <w:rFonts w:ascii="黑体" w:eastAsia="黑体" w:hAnsi="黑体" w:cs="宋体"/>
          <w:color w:val="000000"/>
          <w:spacing w:val="4"/>
          <w:kern w:val="0"/>
          <w:szCs w:val="24"/>
          <w:highlight w:val="yellow"/>
        </w:rPr>
      </w:pPr>
    </w:p>
    <w:p>
      <w:pPr>
        <w:pBdr>
          <w:top w:val="none" w:sz="0" w:space="1" w:color="auto"/>
          <w:left w:val="none" w:sz="0" w:space="4" w:color="auto"/>
          <w:bottom w:val="none" w:sz="0" w:space="1" w:color="auto"/>
          <w:right w:val="none" w:sz="0" w:space="4" w:color="auto"/>
        </w:pBdr>
        <w:spacing w:line="281" w:lineRule="auto"/>
        <w:jc w:val="center"/>
        <w:rPr>
          <w:rFonts w:ascii="黑体" w:eastAsia="黑体" w:hAnsi="黑体" w:cs="宋体"/>
          <w:color w:val="000000"/>
          <w:spacing w:val="4"/>
          <w:kern w:val="0"/>
          <w:szCs w:val="24"/>
          <w:highlight w:val="yellow"/>
        </w:rPr>
      </w:pPr>
    </w:p>
    <w:p>
      <w:pPr>
        <w:pBdr>
          <w:top w:val="none" w:sz="0" w:space="1" w:color="auto"/>
          <w:left w:val="none" w:sz="0" w:space="4" w:color="auto"/>
          <w:bottom w:val="none" w:sz="0" w:space="1" w:color="auto"/>
          <w:right w:val="none" w:sz="0" w:space="4" w:color="auto"/>
        </w:pBdr>
        <w:spacing w:line="281" w:lineRule="auto"/>
        <w:jc w:val="center"/>
        <w:rPr>
          <w:rFonts w:ascii="黑体" w:eastAsia="黑体" w:hAnsi="黑体" w:cs="宋体"/>
          <w:color w:val="000000"/>
          <w:spacing w:val="4"/>
          <w:kern w:val="0"/>
          <w:szCs w:val="24"/>
          <w:highlight w:val="yellow"/>
        </w:rPr>
      </w:pPr>
      <w:r>
        <w:rPr>
          <w:rFonts w:ascii="黑体" w:eastAsia="黑体" w:hAnsi="黑体" w:cs="宋体"/>
          <w:color w:val="000000"/>
          <w:spacing w:val="4"/>
          <w:kern w:val="0"/>
          <w:szCs w:val="24"/>
          <w:highlight w:val="yellow"/>
        </w:rPr>
        <w:br/>
      </w:r>
      <w:r>
        <w:rPr>
          <w:rFonts w:ascii="黑体" w:eastAsia="黑体" w:hAnsi="黑体" w:cs="宋体"/>
          <w:color w:val="000000"/>
          <w:spacing w:val="4"/>
          <w:kern w:val="0"/>
          <w:szCs w:val="24"/>
          <w:highlight w:val="yellow"/>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https://d.book118.com/937151022030006052</w:t>
        </w:r>
      </w:hyperlink>
    </w:p>
    <w:p>
      <w:pPr>
        <w:pBdr>
          <w:top w:val="none" w:sz="0" w:space="1" w:color="auto"/>
          <w:left w:val="none" w:sz="0" w:space="4" w:color="auto"/>
          <w:bottom w:val="none" w:sz="0" w:space="1" w:color="auto"/>
          <w:right w:val="none" w:sz="0" w:space="4" w:color="auto"/>
        </w:pBdr>
        <w:spacing w:line="281" w:lineRule="auto"/>
        <w:jc w:val="center"/>
        <w:rPr>
          <w:rFonts w:ascii="黑体" w:eastAsia="黑体" w:hAnsi="黑体" w:cs="宋体"/>
          <w:color w:val="000000"/>
          <w:spacing w:val="4"/>
          <w:kern w:val="0"/>
          <w:szCs w:val="24"/>
          <w:highlight w:val="yellow"/>
        </w:rPr>
      </w:pPr>
    </w:p>
    <w:sectPr>
      <w:headerReference w:type="default" r:id="rId8"/>
      <w:footerReference w:type="default" r:id="rId9"/>
      <w:type w:val="nextPage"/>
      <w:pgSz w:w="11906" w:h="16838"/>
      <w:pgMar w:top="936" w:right="2276" w:bottom="2648" w:left="1650" w:header="1616" w:footer="2121" w:gutter="0"/>
      <w:pgNumType w:fmt="upperRoman" w:start="2"/>
      <w:cols w:num="1" w:space="720"/>
      <w:titlePg w:val="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59264" behindDoc="0" locked="0" layoutInCell="1" allowOverlap="1">
              <wp:simplePos x="0" y="0"/>
              <wp:positionH relativeFrom="margin">
                <wp:posOffset>2369185</wp:posOffset>
              </wp:positionH>
              <wp:positionV relativeFrom="paragraph">
                <wp:posOffset>45720</wp:posOffset>
              </wp:positionV>
              <wp:extent cx="249555" cy="273050"/>
              <wp:effectExtent l="0" t="0" r="0" b="0"/>
              <wp:wrapNone/>
              <wp:docPr id="4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9555" cy="273050"/>
                      </a:xfrm>
                      <a:prstGeom prst="rect">
                        <a:avLst/>
                      </a:prstGeom>
                      <a:noFill/>
                      <a:ln>
                        <a:noFill/>
                      </a:ln>
                    </wps:spPr>
                    <wps:txbx>
                      <w:txbxContent>
                        <w:p>
                          <w:pPr>
                            <w:snapToGrid w:val="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41" o:spid="_x0000_s2050" type="#_x0000_t202" style="width:19.65pt;height:21.5pt;margin-top:3.6pt;margin-left:186.55pt;mso-position-horizontal-relative:margin;mso-wrap-distance-bottom:0;mso-wrap-distance-left:9pt;mso-wrap-distance-right:9pt;mso-wrap-distance-top:0;position:absolute;v-text-anchor:top;z-index:251658240" filled="f" fillcolor="this" stroked="f">
              <v:textbox inset="0,0,0,0">
                <w:txbxContent>
                  <w:p>
                    <w:pPr>
                      <w:snapToGrid w:val="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61312" behindDoc="0" locked="0" layoutInCell="1" allowOverlap="1">
              <wp:simplePos x="0" y="0"/>
              <wp:positionH relativeFrom="margin">
                <wp:posOffset>2369185</wp:posOffset>
              </wp:positionH>
              <wp:positionV relativeFrom="paragraph">
                <wp:posOffset>45720</wp:posOffset>
              </wp:positionV>
              <wp:extent cx="249555" cy="273050"/>
              <wp:effectExtent l="0" t="0" r="0" b="0"/>
              <wp:wrapNone/>
              <wp:docPr id="193673548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9555" cy="273050"/>
                      </a:xfrm>
                      <a:prstGeom prst="rect">
                        <a:avLst/>
                      </a:prstGeom>
                      <a:noFill/>
                      <a:ln>
                        <a:noFill/>
                      </a:ln>
                    </wps:spPr>
                    <wps:txbx>
                      <w:txbxContent>
                        <w:p>
                          <w:pPr>
                            <w:snapToGrid w:val="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41" o:spid="_x0000_s2052" type="#_x0000_t202" style="width:19.65pt;height:21.5pt;margin-top:3.6pt;margin-left:186.55pt;mso-position-horizontal-relative:margin;mso-wrap-distance-bottom:0;mso-wrap-distance-left:9pt;mso-wrap-distance-right:9pt;mso-wrap-distance-top:0;position:absolute;v-text-anchor:top;z-index:251660288" filled="f" fillcolor="this" stroked="f">
              <v:textbox inset="0,0,0,0">
                <w:txbxContent>
                  <w:p>
                    <w:pPr>
                      <w:snapToGrid w:val="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v:textbox>
              <w10:wrap anchorx="margin"/>
            </v:shape>
          </w:pict>
        </mc:Fallback>
      </mc:AlternateContent>
    </w:r>
  </w:p>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1.2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364193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1.2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5105161"/>
    <w:multiLevelType w:val="singleLevel"/>
    <w:tmpl w:val="A5105161"/>
    <w:lvl w:ilvl="0">
      <w:start w:val="1"/>
      <w:numFmt w:val="decimal"/>
      <w:suff w:val="space"/>
      <w:lvlText w:val="第%1章"/>
      <w:lvlJc w:val="left"/>
    </w:lvl>
  </w:abstractNum>
  <w:abstractNum w:abstractNumId="1">
    <w:nsid w:val="02CE207C"/>
    <w:multiLevelType w:val="singleLevel"/>
    <w:tmpl w:val="02CE207C"/>
    <w:lvl w:ilvl="0">
      <w:start w:val="1"/>
      <w:numFmt w:val="lowerLetter"/>
      <w:suff w:val="space"/>
      <w:lvlText w:val="(%1)"/>
      <w:lvlJc w:val="left"/>
      <w:pPr>
        <w:ind w:left="120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E00E4"/>
    <w:rsid w:val="005D4E06"/>
    <w:rsid w:val="00A21A29"/>
    <w:rsid w:val="1CCE00E4"/>
    <w:rsid w:val="76D651C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exact"/>
      <w:jc w:val="both"/>
    </w:pPr>
    <w:rPr>
      <w:rFonts w:ascii="Times New Roman" w:eastAsia="宋体" w:hAnsi="Times New Roman" w:cs="Times New Roman"/>
      <w:kern w:val="2"/>
      <w:sz w:val="24"/>
      <w:lang w:val="en-US" w:eastAsia="zh-CN" w:bidi="ar-SA"/>
    </w:rPr>
  </w:style>
  <w:style w:type="paragraph" w:styleId="Heading1">
    <w:name w:val="heading 1"/>
    <w:next w:val="Normal"/>
    <w:qFormat/>
    <w:pPr>
      <w:keepNext/>
      <w:keepLines/>
      <w:widowControl w:val="0"/>
      <w:spacing w:before="50" w:beforeLines="50" w:after="50" w:afterLines="50"/>
      <w:jc w:val="center"/>
      <w:outlineLvl w:val="0"/>
    </w:pPr>
    <w:rPr>
      <w:rFonts w:ascii="Times New Roman" w:eastAsia="黑体" w:hAnsi="Times New Roman" w:cs="Times New Roman"/>
      <w:bCs/>
      <w:kern w:val="44"/>
      <w:sz w:val="36"/>
      <w:szCs w:val="44"/>
      <w:lang w:val="en-US" w:eastAsia="zh-CN" w:bidi="ar-SA"/>
    </w:rPr>
  </w:style>
  <w:style w:type="paragraph" w:styleId="Heading2">
    <w:name w:val="heading 2"/>
    <w:next w:val="Normal"/>
    <w:link w:val="2"/>
    <w:qFormat/>
    <w:pPr>
      <w:keepNext/>
      <w:keepLines/>
      <w:widowControl w:val="0"/>
      <w:spacing w:before="50" w:beforeLines="50" w:after="50" w:afterLines="50"/>
      <w:jc w:val="both"/>
      <w:outlineLvl w:val="1"/>
    </w:pPr>
    <w:rPr>
      <w:rFonts w:ascii="Times New Roman" w:eastAsia="黑体" w:hAnsi="Times New Roman" w:cs="Times New Roman"/>
      <w:kern w:val="2"/>
      <w:sz w:val="30"/>
      <w:lang w:val="en-US" w:eastAsia="zh-CN" w:bidi="ar-SA"/>
    </w:rPr>
  </w:style>
  <w:style w:type="paragraph" w:styleId="Heading3">
    <w:name w:val="heading 3"/>
    <w:next w:val="Normal"/>
    <w:qFormat/>
    <w:pPr>
      <w:keepNext/>
      <w:keepLines/>
      <w:widowControl w:val="0"/>
      <w:spacing w:beforeLines="50" w:afterLines="50"/>
      <w:outlineLvl w:val="2"/>
    </w:pPr>
    <w:rPr>
      <w:rFonts w:ascii="Times New Roman" w:eastAsia="黑体" w:hAnsi="Times New Roman" w:cs="Times New Roman"/>
      <w:bCs/>
      <w:kern w:val="2"/>
      <w:sz w:val="28"/>
      <w:szCs w:val="3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qFormat/>
    <w:pPr>
      <w:widowControl w:val="0"/>
      <w:spacing w:after="120" w:line="360" w:lineRule="exact"/>
      <w:jc w:val="both"/>
    </w:pPr>
    <w:rPr>
      <w:rFonts w:ascii="Times New Roman" w:eastAsia="宋体" w:hAnsi="Times New Roman" w:cs="Times New Roman"/>
      <w:kern w:val="2"/>
      <w:sz w:val="24"/>
      <w:lang w:val="en-US" w:eastAsia="zh-CN" w:bidi="ar-SA"/>
    </w:rPr>
  </w:style>
  <w:style w:type="paragraph" w:styleId="Footer">
    <w:name w:val="footer"/>
    <w:qFormat/>
    <w:pPr>
      <w:widowControl w:val="0"/>
      <w:tabs>
        <w:tab w:val="center" w:pos="4153"/>
        <w:tab w:val="right" w:pos="8306"/>
      </w:tabs>
      <w:snapToGrid w:val="0"/>
      <w:spacing w:line="360" w:lineRule="exact"/>
    </w:pPr>
    <w:rPr>
      <w:rFonts w:ascii="Times New Roman" w:eastAsia="宋体" w:hAnsi="Times New Roman" w:cs="Times New Roman"/>
      <w:kern w:val="2"/>
      <w:sz w:val="18"/>
      <w:szCs w:val="18"/>
      <w:lang w:val="en-US" w:eastAsia="zh-CN" w:bidi="ar-SA"/>
    </w:rPr>
  </w:style>
  <w:style w:type="paragraph" w:styleId="Header">
    <w:name w:val="header"/>
    <w:qFormat/>
    <w:pPr>
      <w:widowControl w:val="0"/>
      <w:pBdr>
        <w:bottom w:val="single" w:sz="6" w:space="1" w:color="auto"/>
      </w:pBdr>
      <w:tabs>
        <w:tab w:val="center" w:pos="4153"/>
        <w:tab w:val="right" w:pos="8306"/>
      </w:tabs>
      <w:snapToGrid w:val="0"/>
      <w:spacing w:line="360" w:lineRule="exact"/>
      <w:jc w:val="center"/>
    </w:pPr>
    <w:rPr>
      <w:rFonts w:ascii="Times New Roman" w:eastAsia="宋体" w:hAnsi="Times New Roman" w:cs="Times New Roman"/>
      <w:kern w:val="2"/>
      <w:sz w:val="18"/>
      <w:szCs w:val="18"/>
      <w:lang w:val="en-US" w:eastAsia="zh-CN" w:bidi="ar-SA"/>
    </w:r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qFormat/>
  </w:style>
  <w:style w:type="paragraph" w:customStyle="1" w:styleId="WPSOffice1">
    <w:name w:val="WPSOffice手动目录 1"/>
    <w:rPr>
      <w:rFonts w:ascii="Times New Roman" w:eastAsia="宋体" w:hAnsi="Times New Roman" w:cs="Times New Roman"/>
      <w:lang w:val="en-US" w:eastAsia="zh-CN" w:bidi="ar-SA"/>
    </w:rPr>
  </w:style>
  <w:style w:type="paragraph" w:customStyle="1" w:styleId="WPSOffice2">
    <w:name w:val="WPSOffice手动目录 2"/>
    <w:pPr>
      <w:ind w:left="200" w:leftChars="200"/>
    </w:pPr>
    <w:rPr>
      <w:rFonts w:ascii="Times New Roman" w:eastAsia="宋体" w:hAnsi="Times New Roman" w:cs="Times New Roman"/>
      <w:lang w:val="en-US" w:eastAsia="zh-CN" w:bidi="ar-SA"/>
    </w:rPr>
  </w:style>
  <w:style w:type="paragraph" w:customStyle="1" w:styleId="WPSOffice3">
    <w:name w:val="WPSOffice手动目录 3"/>
    <w:pPr>
      <w:ind w:left="400" w:leftChars="400"/>
    </w:pPr>
    <w:rPr>
      <w:rFonts w:ascii="Times New Roman" w:eastAsia="宋体" w:hAnsi="Times New Roman" w:cs="Times New Roman"/>
      <w:lang w:val="en-US" w:eastAsia="zh-CN" w:bidi="ar-SA"/>
    </w:rPr>
  </w:style>
  <w:style w:type="character" w:customStyle="1" w:styleId="2">
    <w:name w:val="标题 2 字符"/>
    <w:link w:val="Heading2"/>
    <w:rPr>
      <w:rFonts w:ascii="Times New Roman" w:eastAsia="黑体" w:hAnsi="Times New Roman"/>
      <w:kern w:val="2"/>
      <w:sz w:val="30"/>
      <w:lang w:val="en-US" w:eastAsia="zh-CN" w:bidi="ar-SA"/>
    </w:rPr>
  </w:style>
  <w:style w:type="table" w:customStyle="1" w:styleId="31">
    <w:name w:val="无格式表格 31"/>
    <w:qFormat/>
    <w:rPr>
      <w:rFonts w:ascii="Calibri" w:hAnsi="Calibri"/>
    </w:rPr>
    <w:tblPr>
      <w:tblCellMar>
        <w:top w:w="0" w:type="dxa"/>
        <w:left w:w="0" w:type="dxa"/>
        <w:bottom w:w="0" w:type="dxa"/>
        <w:right w:w="0" w:type="dxa"/>
      </w:tblCellMar>
    </w:tblPr>
    <w:tblStylePr w:type="firstRow">
      <w:rPr>
        <w:b/>
        <w:bCs/>
        <w:caps/>
      </w:rPr>
      <w:tblPr/>
      <w:tcPr>
        <w:tcBorders>
          <w:top w:val="nil"/>
          <w:left w:val="nil"/>
          <w:bottom w:val="single" w:sz="4" w:space="0" w:color="7F7F7F"/>
          <w:right w:val="nil"/>
          <w:insideH w:val="nil"/>
          <w:insideV w:val="nil"/>
          <w:tl2br w:val="nil"/>
          <w:tr2bl w:val="nil"/>
        </w:tcBorders>
      </w:tcPr>
    </w:tblStylePr>
    <w:tblStylePr w:type="lastRow">
      <w:rPr>
        <w:b/>
        <w:bCs/>
        <w:caps/>
      </w:rPr>
      <w:tblPr/>
      <w:tcPr>
        <w:tcBorders>
          <w:top w:val="nil"/>
          <w:left w:val="nil"/>
          <w:bottom w:val="nil"/>
          <w:right w:val="nil"/>
          <w:insideH w:val="nil"/>
          <w:insideV w:val="nil"/>
          <w:tl2br w:val="nil"/>
          <w:tr2bl w:val="nil"/>
        </w:tcBorders>
      </w:tcPr>
    </w:tblStylePr>
    <w:tblStylePr w:type="firstCol">
      <w:rPr>
        <w:b/>
        <w:bCs/>
        <w:caps/>
      </w:rPr>
      <w:tblPr/>
      <w:tcPr>
        <w:tcBorders>
          <w:top w:val="nil"/>
          <w:left w:val="nil"/>
          <w:bottom w:val="nil"/>
          <w:right w:val="single" w:sz="4" w:space="0" w:color="7F7F7F"/>
          <w:insideH w:val="nil"/>
          <w:insideV w:val="nil"/>
          <w:tl2br w:val="nil"/>
          <w:tr2bl w:val="nil"/>
        </w:tcBorders>
      </w:tcPr>
    </w:tblStylePr>
    <w:tblStylePr w:type="lastCol">
      <w:rPr>
        <w:b/>
        <w:bCs/>
        <w:caps/>
      </w:rPr>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937151022030006052"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4337</Words>
  <Characters>24725</Characters>
  <Application>Microsoft Office Word</Application>
  <DocSecurity>0</DocSecurity>
  <Lines>206</Lines>
  <Paragraphs>58</Paragraphs>
  <ScaleCrop>false</ScaleCrop>
  <Company/>
  <LinksUpToDate>false</LinksUpToDate>
  <CharactersWithSpaces>29004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демон</dc:creator>
  <cp:lastModifiedBy>张老师</cp:lastModifiedBy>
  <cp:revision>2</cp:revision>
  <cp:lastPrinted>2021-05-23T12:46:00Z</cp:lastPrinted>
  <dcterms:created xsi:type="dcterms:W3CDTF">2020-04-02T17:44:00Z</dcterms:created>
  <dcterms:modified xsi:type="dcterms:W3CDTF">2024-03-12T12:24:29Z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9D0540EC402E4EB19BFD20474B66585D_12</vt:lpwstr>
  </property>
  <property fmtid="{D5CDD505-2E9C-101B-9397-08002B2CF9AE}" pid="3" name="KSOProductBuildVer">
    <vt:lpwstr>2052-12.1.0.16250</vt:lpwstr>
  </property>
</Properties>
</file>