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95" w:line="219" w:lineRule="auto"/>
        <w:ind w:left="20"/>
      </w:pPr>
      <w:r>
        <w:rPr>
          <w:spacing w:val="-4"/>
        </w:rPr>
        <w:t>2024驱动基因阴性晚期非小细胞肺癌一线</w:t>
      </w:r>
      <w:r>
        <w:rPr>
          <w:spacing w:val="-5"/>
        </w:rPr>
        <w:t>免疫治疗耐药评估及治疗策略</w:t>
      </w:r>
    </w:p>
    <w:p>
      <w:pPr>
        <w:pStyle w:val="BodyText"/>
        <w:spacing w:before="311" w:line="221" w:lineRule="auto"/>
        <w:ind w:left="2750"/>
      </w:pPr>
      <w:r>
        <w:rPr>
          <w:spacing w:val="9"/>
        </w:rPr>
        <w:t>中国专家共识(完整版)</w:t>
      </w: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88" w:line="222" w:lineRule="auto"/>
      </w:pPr>
      <w:r>
        <w:rPr>
          <w:spacing w:val="10"/>
        </w:rPr>
        <w:t>摘要</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8" w:line="424" w:lineRule="auto"/>
        <w:ind w:left="20"/>
      </w:pPr>
      <w:r>
        <w:rPr>
          <w:spacing w:val="-8"/>
        </w:rPr>
        <w:t>免疫治疗目前已成为驱动基因阴性晚期非小细胞肺癌</w:t>
      </w:r>
      <w:r>
        <w:rPr>
          <w:rFonts w:ascii="SimSun" w:eastAsia="SimSun" w:hAnsi="SimSun" w:cs="SimSun"/>
          <w:spacing w:val="-8"/>
        </w:rPr>
        <w:t>(NSCLC)</w:t>
      </w:r>
      <w:r>
        <w:rPr>
          <w:rFonts w:ascii="SimSun" w:eastAsia="SimSun" w:hAnsi="SimSun" w:cs="SimSun"/>
          <w:spacing w:val="31"/>
        </w:rPr>
        <w:t xml:space="preserve">  </w:t>
      </w:r>
      <w:r>
        <w:rPr>
          <w:spacing w:val="-8"/>
        </w:rPr>
        <w:t>一线</w:t>
      </w:r>
      <w:r>
        <w:rPr>
          <w:spacing w:val="-9"/>
        </w:rPr>
        <w:t>治疗</w:t>
      </w:r>
      <w:r>
        <w:t xml:space="preserve">   </w:t>
      </w:r>
      <w:r>
        <w:rPr>
          <w:spacing w:val="-11"/>
        </w:rPr>
        <w:t>的标准治疗方案，明显改善了患者预后。然而，对于一线免疫治疗耐药后</w:t>
      </w:r>
      <w:r>
        <w:rPr>
          <w:spacing w:val="9"/>
        </w:rPr>
        <w:t xml:space="preserve">  </w:t>
      </w:r>
      <w:r>
        <w:rPr>
          <w:spacing w:val="-11"/>
        </w:rPr>
        <w:t>的评估及治疗方案目前尚缺乏一致性的指南或共识。中国临床肿瘤学会非</w:t>
      </w:r>
      <w:r>
        <w:t xml:space="preserve">   </w:t>
      </w:r>
      <w:r>
        <w:rPr>
          <w:spacing w:val="-11"/>
        </w:rPr>
        <w:t>小细胞肺癌专业委员会组织了肿瘤内科、呼吸内科、胸外科、放疗科、影</w:t>
      </w:r>
      <w:r>
        <w:rPr>
          <w:spacing w:val="3"/>
        </w:rPr>
        <w:t xml:space="preserve">   </w:t>
      </w:r>
      <w:r>
        <w:rPr>
          <w:spacing w:val="6"/>
        </w:rPr>
        <w:t>像科等多学科专家，根据现有循证医学证据，针对驱动基因阴性晚期</w:t>
      </w:r>
      <w:r>
        <w:rPr>
          <w:spacing w:val="6"/>
        </w:rPr>
        <w:t xml:space="preserve">  </w:t>
      </w:r>
      <w:r>
        <w:rPr>
          <w:rFonts w:ascii="Times New Roman" w:eastAsia="Times New Roman" w:hAnsi="Times New Roman" w:cs="Times New Roman"/>
          <w:spacing w:val="-8"/>
        </w:rPr>
        <w:t xml:space="preserve">NSCLC  </w:t>
      </w:r>
      <w:r>
        <w:rPr>
          <w:spacing w:val="-8"/>
        </w:rPr>
        <w:t>患者一线免疫治疗耐药后的定义与分类、评估标准以</w:t>
      </w:r>
      <w:r>
        <w:rPr>
          <w:spacing w:val="-9"/>
        </w:rPr>
        <w:t>及后续治疗</w:t>
      </w:r>
      <w:r>
        <w:t xml:space="preserve">   </w:t>
      </w:r>
      <w:r>
        <w:rPr>
          <w:spacing w:val="-11"/>
        </w:rPr>
        <w:t>策略进行了深入讨论，就原发性和继发性耐药的判定、免疫治疗疗效评估</w:t>
      </w:r>
      <w:r>
        <w:rPr>
          <w:spacing w:val="8"/>
        </w:rPr>
        <w:t xml:space="preserve">  </w:t>
      </w:r>
      <w:r>
        <w:rPr>
          <w:spacing w:val="-11"/>
        </w:rPr>
        <w:t>标准的选择、寡进展的判定及治疗策略、广泛进展的治疗策略、免疫治疗</w:t>
      </w:r>
      <w:r>
        <w:rPr>
          <w:spacing w:val="4"/>
        </w:rPr>
        <w:t xml:space="preserve">   </w:t>
      </w:r>
      <w:r>
        <w:rPr>
          <w:spacing w:val="-11"/>
        </w:rPr>
        <w:t>再挑战及新型药物临床研究等问题形成相关推荐意见，经过共识会议形成</w:t>
      </w:r>
      <w:r>
        <w:rPr>
          <w:spacing w:val="3"/>
        </w:rPr>
        <w:t xml:space="preserve">   </w:t>
      </w:r>
      <w:r>
        <w:rPr>
          <w:spacing w:val="-9"/>
        </w:rPr>
        <w:t>了驱动基因阴性晚期</w:t>
      </w:r>
      <w:r>
        <w:rPr>
          <w:spacing w:val="-9"/>
        </w:rPr>
        <w:t xml:space="preserve"> </w:t>
      </w:r>
      <w:r>
        <w:rPr>
          <w:rFonts w:ascii="SimSun" w:eastAsia="SimSun" w:hAnsi="SimSun" w:cs="SimSun"/>
          <w:spacing w:val="-9"/>
        </w:rPr>
        <w:t>NSCLC</w:t>
      </w:r>
      <w:r>
        <w:rPr>
          <w:rFonts w:ascii="SimSun" w:eastAsia="SimSun" w:hAnsi="SimSun" w:cs="SimSun"/>
          <w:spacing w:val="94"/>
        </w:rPr>
        <w:t xml:space="preserve"> </w:t>
      </w:r>
      <w:r>
        <w:rPr>
          <w:spacing w:val="-9"/>
        </w:rPr>
        <w:t>一线免疫治疗耐药评估及治疗策略专家共识，</w:t>
      </w:r>
    </w:p>
    <w:p>
      <w:pPr>
        <w:pStyle w:val="BodyText"/>
        <w:spacing w:before="1" w:line="217" w:lineRule="auto"/>
        <w:ind w:left="20"/>
      </w:pPr>
      <w:r>
        <w:rPr>
          <w:spacing w:val="-14"/>
        </w:rPr>
        <w:t>旨在为临床实践提供规范化引导。</w:t>
      </w: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pStyle w:val="BodyText"/>
        <w:tabs>
          <w:tab w:val="left" w:pos="120"/>
        </w:tabs>
        <w:spacing w:before="88" w:line="430" w:lineRule="auto"/>
        <w:ind w:left="20" w:right="248"/>
        <w:jc w:val="both"/>
        <w:sectPr>
          <w:pgSz w:w="11910" w:h="16840"/>
          <w:pgMar w:top="1431" w:right="1555" w:bottom="0" w:left="1779" w:header="0" w:footer="0" w:gutter="0"/>
          <w:cols w:space="708"/>
        </w:sectPr>
      </w:pPr>
      <w:r>
        <w:rPr>
          <w:spacing w:val="12"/>
        </w:rPr>
        <w:t>肺癌是全球范围内发病率第2、死亡率第1</w:t>
      </w:r>
      <w:r>
        <w:rPr>
          <w:spacing w:val="-70"/>
        </w:rPr>
        <w:t xml:space="preserve"> </w:t>
      </w:r>
      <w:r>
        <w:rPr>
          <w:spacing w:val="12"/>
        </w:rPr>
        <w:t>的恶性肿瘤[1],我国20</w:t>
      </w:r>
      <w:r>
        <w:rPr>
          <w:spacing w:val="11"/>
        </w:rPr>
        <w:t>20</w:t>
      </w:r>
      <w:r>
        <w:t xml:space="preserve"> </w:t>
      </w:r>
      <w:r>
        <w:rPr>
          <w:spacing w:val="2"/>
        </w:rPr>
        <w:t>年新发肺癌病例约81.6万，死亡肺癌病例约71.5万[2]。非小细胞</w:t>
      </w:r>
      <w:r>
        <w:rPr>
          <w:spacing w:val="1"/>
        </w:rPr>
        <w:t>肺癌</w:t>
      </w:r>
      <w:r>
        <w:t xml:space="preserve"> </w:t>
      </w:r>
      <w:r>
        <w:rPr>
          <w:rFonts w:ascii="Times New Roman" w:eastAsia="Times New Roman" w:hAnsi="Times New Roman" w:cs="Times New Roman"/>
        </w:rPr>
        <w:tab/>
      </w:r>
      <w:r>
        <w:rPr>
          <w:rFonts w:ascii="Times New Roman" w:eastAsia="Times New Roman" w:hAnsi="Times New Roman" w:cs="Times New Roman"/>
        </w:rPr>
        <w:t xml:space="preserve">(non-small     cell      lung      </w:t>
      </w:r>
      <w:r>
        <w:rPr>
          <w:rFonts w:ascii="Times New Roman" w:eastAsia="Times New Roman" w:hAnsi="Times New Roman" w:cs="Times New Roman"/>
          <w:spacing w:val="-1"/>
        </w:rPr>
        <w:t>cancer,NSCLC)</w:t>
      </w:r>
      <w:r>
        <w:rPr>
          <w:rFonts w:ascii="Times New Roman" w:eastAsia="Times New Roman" w:hAnsi="Times New Roman" w:cs="Times New Roman"/>
          <w:spacing w:val="-19"/>
        </w:rPr>
        <w:t xml:space="preserve"> </w:t>
      </w:r>
      <w:r>
        <w:rPr>
          <w:spacing w:val="-1"/>
        </w:rPr>
        <w:t>是肺癌的主要病理类型，占</w:t>
      </w:r>
      <w:r>
        <w:t xml:space="preserve"> </w:t>
      </w:r>
      <w:r>
        <w:rPr>
          <w:spacing w:val="2"/>
        </w:rPr>
        <w:t>比&gt;80%[3]。对于晚期驱动基因阴性的</w:t>
      </w:r>
      <w:r>
        <w:rPr>
          <w:rFonts w:ascii="SimSun" w:eastAsia="SimSun" w:hAnsi="SimSun" w:cs="SimSun"/>
        </w:rPr>
        <w:t>NSCLC</w:t>
      </w:r>
      <w:r>
        <w:rPr>
          <w:rFonts w:ascii="SimSun" w:eastAsia="SimSun" w:hAnsi="SimSun" w:cs="SimSun"/>
          <w:spacing w:val="2"/>
        </w:rPr>
        <w:t>,</w:t>
      </w:r>
      <w:r>
        <w:rPr>
          <w:rFonts w:ascii="SimSun" w:eastAsia="SimSun" w:hAnsi="SimSun" w:cs="SimSun"/>
          <w:spacing w:val="131"/>
        </w:rPr>
        <w:t xml:space="preserve"> </w:t>
      </w:r>
      <w:r>
        <w:rPr>
          <w:spacing w:val="2"/>
        </w:rPr>
        <w:t>免疫治疗尤其是程序性</w:t>
      </w:r>
    </w:p>
    <w:p>
      <w:pPr>
        <w:pStyle w:val="BodyText"/>
        <w:spacing w:before="1" w:line="216" w:lineRule="auto"/>
        <w:ind w:left="20"/>
      </w:pPr>
      <w:r>
        <w:rPr>
          <w:spacing w:val="-1"/>
        </w:rPr>
        <w:t>细胞死亡受体1</w:t>
      </w:r>
      <w:r>
        <w:rPr>
          <w:rFonts w:ascii="SimSun" w:eastAsia="SimSun" w:hAnsi="SimSun" w:cs="SimSun"/>
          <w:spacing w:val="-1"/>
        </w:rPr>
        <w:t>(programmed</w:t>
      </w:r>
      <w:r>
        <w:rPr>
          <w:rFonts w:ascii="SimSun" w:eastAsia="SimSun" w:hAnsi="SimSun" w:cs="SimSun"/>
          <w:spacing w:val="129"/>
        </w:rPr>
        <w:t xml:space="preserve"> </w:t>
      </w:r>
      <w:r>
        <w:rPr>
          <w:rFonts w:ascii="SimSun" w:eastAsia="SimSun" w:hAnsi="SimSun" w:cs="SimSun"/>
          <w:spacing w:val="-1"/>
        </w:rPr>
        <w:t>cell</w:t>
      </w:r>
      <w:r>
        <w:rPr>
          <w:rFonts w:ascii="SimSun" w:eastAsia="SimSun" w:hAnsi="SimSun" w:cs="SimSun"/>
          <w:spacing w:val="128"/>
        </w:rPr>
        <w:t xml:space="preserve"> </w:t>
      </w:r>
      <w:r>
        <w:rPr>
          <w:rFonts w:ascii="SimSun" w:eastAsia="SimSun" w:hAnsi="SimSun" w:cs="SimSun"/>
          <w:spacing w:val="-1"/>
        </w:rPr>
        <w:t>death</w:t>
      </w:r>
      <w:r>
        <w:rPr>
          <w:rFonts w:ascii="SimSun" w:eastAsia="SimSun" w:hAnsi="SimSun" w:cs="SimSun"/>
          <w:spacing w:val="122"/>
        </w:rPr>
        <w:t xml:space="preserve"> </w:t>
      </w:r>
      <w:r>
        <w:rPr>
          <w:rFonts w:ascii="SimSun" w:eastAsia="SimSun" w:hAnsi="SimSun" w:cs="SimSun"/>
          <w:spacing w:val="-1"/>
        </w:rPr>
        <w:t>receptor  1,PD-1)</w:t>
      </w:r>
      <w:r>
        <w:rPr>
          <w:spacing w:val="-2"/>
        </w:rPr>
        <w:t>和程序</w:t>
      </w:r>
    </w:p>
    <w:p>
      <w:pPr>
        <w:spacing w:line="216" w:lineRule="auto"/>
        <w:sectPr>
          <w:type w:val="nextPage"/>
          <w:pgSz w:w="11910" w:h="16840"/>
          <w:pgMar w:top="1431" w:right="1555" w:bottom="0" w:left="1779" w:header="0" w:footer="0" w:gutter="0"/>
          <w:pgNumType w:start="2"/>
          <w:cols w:space="708"/>
          <w:titlePg w:val="0"/>
        </w:sectPr>
      </w:pPr>
    </w:p>
    <w:p>
      <w:pPr>
        <w:pStyle w:val="BodyText"/>
        <w:spacing w:before="192" w:line="424" w:lineRule="auto"/>
        <w:ind w:left="13" w:right="14"/>
        <w:jc w:val="both"/>
      </w:pPr>
      <w:r>
        <w:rPr>
          <w:spacing w:val="-2"/>
        </w:rPr>
        <w:t>性细胞死亡配体1</w:t>
      </w:r>
      <w:r>
        <w:rPr>
          <w:rFonts w:ascii="SimSun" w:eastAsia="SimSun" w:hAnsi="SimSun" w:cs="SimSun"/>
          <w:spacing w:val="-2"/>
        </w:rPr>
        <w:t>(programmed</w:t>
      </w:r>
      <w:r>
        <w:rPr>
          <w:rFonts w:ascii="SimSun" w:eastAsia="SimSun" w:hAnsi="SimSun" w:cs="SimSun"/>
          <w:spacing w:val="100"/>
        </w:rPr>
        <w:t xml:space="preserve"> </w:t>
      </w:r>
      <w:r>
        <w:rPr>
          <w:rFonts w:ascii="SimSun" w:eastAsia="SimSun" w:hAnsi="SimSun" w:cs="SimSun"/>
          <w:spacing w:val="-2"/>
        </w:rPr>
        <w:t>cell</w:t>
      </w:r>
      <w:r>
        <w:rPr>
          <w:rFonts w:ascii="SimSun" w:eastAsia="SimSun" w:hAnsi="SimSun" w:cs="SimSun"/>
          <w:spacing w:val="101"/>
        </w:rPr>
        <w:t xml:space="preserve"> </w:t>
      </w:r>
      <w:r>
        <w:rPr>
          <w:rFonts w:ascii="SimSun" w:eastAsia="SimSun" w:hAnsi="SimSun" w:cs="SimSun"/>
          <w:spacing w:val="-2"/>
        </w:rPr>
        <w:t>death</w:t>
      </w:r>
      <w:r>
        <w:rPr>
          <w:rFonts w:ascii="SimSun" w:eastAsia="SimSun" w:hAnsi="SimSun" w:cs="SimSun"/>
          <w:spacing w:val="110"/>
        </w:rPr>
        <w:t xml:space="preserve"> </w:t>
      </w:r>
      <w:r>
        <w:rPr>
          <w:rFonts w:ascii="SimSun" w:eastAsia="SimSun" w:hAnsi="SimSun" w:cs="SimSun"/>
          <w:spacing w:val="-2"/>
        </w:rPr>
        <w:t>ligan</w:t>
      </w:r>
      <w:r>
        <w:rPr>
          <w:rFonts w:ascii="SimSun" w:eastAsia="SimSun" w:hAnsi="SimSun" w:cs="SimSun"/>
          <w:spacing w:val="-3"/>
        </w:rPr>
        <w:t>d</w:t>
      </w:r>
      <w:r>
        <w:rPr>
          <w:rFonts w:ascii="SimSun" w:eastAsia="SimSun" w:hAnsi="SimSun" w:cs="SimSun"/>
          <w:spacing w:val="115"/>
        </w:rPr>
        <w:t xml:space="preserve"> </w:t>
      </w:r>
      <w:r>
        <w:rPr>
          <w:rFonts w:ascii="SimSun" w:eastAsia="SimSun" w:hAnsi="SimSun" w:cs="SimSun"/>
          <w:spacing w:val="-3"/>
        </w:rPr>
        <w:t>1,PD-L1)</w:t>
      </w:r>
      <w:r>
        <w:rPr>
          <w:spacing w:val="-3"/>
        </w:rPr>
        <w:t>抑制剂</w:t>
      </w:r>
      <w:r>
        <w:t xml:space="preserve"> </w:t>
      </w:r>
      <w:r>
        <w:rPr>
          <w:spacing w:val="1"/>
        </w:rPr>
        <w:t>明显改善了患者预后，5年总生存率达到20%,</w:t>
      </w:r>
      <w:r>
        <w:rPr>
          <w:rFonts w:ascii="Times New Roman" w:eastAsia="Times New Roman" w:hAnsi="Times New Roman" w:cs="Times New Roman"/>
        </w:rPr>
        <w:t>PD</w:t>
      </w:r>
      <w:r>
        <w:rPr>
          <w:rFonts w:ascii="Times New Roman" w:eastAsia="Times New Roman" w:hAnsi="Times New Roman" w:cs="Times New Roman"/>
          <w:spacing w:val="1"/>
        </w:rPr>
        <w:t>-L1</w:t>
      </w:r>
      <w:r>
        <w:rPr>
          <w:rFonts w:ascii="Times New Roman" w:eastAsia="Times New Roman" w:hAnsi="Times New Roman" w:cs="Times New Roman"/>
          <w:spacing w:val="32"/>
          <w:w w:val="101"/>
        </w:rPr>
        <w:t xml:space="preserve"> </w:t>
      </w:r>
      <w:r>
        <w:rPr>
          <w:spacing w:val="1"/>
        </w:rPr>
        <w:t>高</w:t>
      </w:r>
      <w:r>
        <w:t>表达患者中甚至</w:t>
      </w:r>
      <w:r>
        <w:t xml:space="preserve"> </w:t>
      </w:r>
      <w:r>
        <w:rPr>
          <w:spacing w:val="12"/>
        </w:rPr>
        <w:t>达40%[4],因此免疫治疗已经成为美国国立综合癌症网络</w:t>
      </w:r>
      <w:r>
        <w:rPr>
          <w:rFonts w:ascii="SimSun" w:eastAsia="SimSun" w:hAnsi="SimSun" w:cs="SimSun"/>
          <w:spacing w:val="12"/>
        </w:rPr>
        <w:t>(</w:t>
      </w:r>
      <w:r>
        <w:rPr>
          <w:rFonts w:ascii="SimSun" w:eastAsia="SimSun" w:hAnsi="SimSun" w:cs="SimSun"/>
        </w:rPr>
        <w:t>National</w:t>
      </w:r>
      <w:r>
        <w:rPr>
          <w:rFonts w:ascii="SimSun" w:eastAsia="SimSun" w:hAnsi="SimSun" w:cs="SimSun"/>
          <w:spacing w:val="3"/>
        </w:rPr>
        <w:t xml:space="preserve">  </w:t>
      </w:r>
      <w:r>
        <w:rPr>
          <w:rFonts w:ascii="Times New Roman" w:eastAsia="Times New Roman" w:hAnsi="Times New Roman" w:cs="Times New Roman"/>
        </w:rPr>
        <w:t>Comprehensive</w:t>
      </w:r>
      <w:r>
        <w:rPr>
          <w:rFonts w:ascii="Times New Roman" w:eastAsia="Times New Roman" w:hAnsi="Times New Roman" w:cs="Times New Roman"/>
          <w:spacing w:val="11"/>
        </w:rPr>
        <w:t xml:space="preserve">        </w:t>
      </w:r>
      <w:r>
        <w:rPr>
          <w:rFonts w:ascii="Times New Roman" w:eastAsia="Times New Roman" w:hAnsi="Times New Roman" w:cs="Times New Roman"/>
        </w:rPr>
        <w:t>Cancer</w:t>
      </w:r>
      <w:r>
        <w:rPr>
          <w:rFonts w:ascii="Times New Roman" w:eastAsia="Times New Roman" w:hAnsi="Times New Roman" w:cs="Times New Roman"/>
          <w:spacing w:val="11"/>
        </w:rPr>
        <w:t xml:space="preserve">         </w:t>
      </w:r>
      <w:r>
        <w:rPr>
          <w:rFonts w:ascii="Times New Roman" w:eastAsia="Times New Roman" w:hAnsi="Times New Roman" w:cs="Times New Roman"/>
        </w:rPr>
        <w:t>Network</w:t>
      </w:r>
      <w:r>
        <w:rPr>
          <w:rFonts w:ascii="Times New Roman" w:eastAsia="Times New Roman" w:hAnsi="Times New Roman" w:cs="Times New Roman"/>
          <w:spacing w:val="11"/>
        </w:rPr>
        <w:t>,</w:t>
      </w:r>
      <w:r>
        <w:rPr>
          <w:rFonts w:ascii="Times New Roman" w:eastAsia="Times New Roman" w:hAnsi="Times New Roman" w:cs="Times New Roman"/>
        </w:rPr>
        <w:t>NCCN</w:t>
      </w:r>
      <w:r>
        <w:rPr>
          <w:rFonts w:ascii="Times New Roman" w:eastAsia="Times New Roman" w:hAnsi="Times New Roman" w:cs="Times New Roman"/>
          <w:spacing w:val="11"/>
        </w:rPr>
        <w:t>)</w:t>
      </w:r>
      <w:r>
        <w:rPr>
          <w:rFonts w:ascii="Times New Roman" w:eastAsia="Times New Roman" w:hAnsi="Times New Roman" w:cs="Times New Roman"/>
          <w:spacing w:val="22"/>
        </w:rPr>
        <w:t xml:space="preserve"> </w:t>
      </w:r>
      <w:r>
        <w:rPr>
          <w:spacing w:val="11"/>
        </w:rPr>
        <w:t>和中国</w:t>
      </w:r>
      <w:r>
        <w:rPr>
          <w:spacing w:val="10"/>
        </w:rPr>
        <w:t>临床肿瘤学会</w:t>
      </w:r>
      <w:r>
        <w:t xml:space="preserve"> </w:t>
      </w:r>
      <w:r>
        <w:rPr>
          <w:rFonts w:ascii="SimSun" w:eastAsia="SimSun" w:hAnsi="SimSun" w:cs="SimSun"/>
        </w:rPr>
        <w:t>(Chinese Society of</w:t>
      </w:r>
      <w:r>
        <w:rPr>
          <w:rFonts w:ascii="SimSun" w:eastAsia="SimSun" w:hAnsi="SimSun" w:cs="SimSun"/>
          <w:spacing w:val="29"/>
        </w:rPr>
        <w:t xml:space="preserve"> </w:t>
      </w:r>
      <w:r>
        <w:rPr>
          <w:rFonts w:ascii="SimSun" w:eastAsia="SimSun" w:hAnsi="SimSun" w:cs="SimSun"/>
        </w:rPr>
        <w:t>Clinical</w:t>
      </w:r>
      <w:r>
        <w:rPr>
          <w:rFonts w:ascii="SimSun" w:eastAsia="SimSun" w:hAnsi="SimSun" w:cs="SimSun"/>
          <w:spacing w:val="30"/>
        </w:rPr>
        <w:t xml:space="preserve"> </w:t>
      </w:r>
      <w:r>
        <w:rPr>
          <w:rFonts w:ascii="SimSun" w:eastAsia="SimSun" w:hAnsi="SimSun" w:cs="SimSun"/>
        </w:rPr>
        <w:t>Oncology,CSCO)</w:t>
      </w:r>
      <w:r>
        <w:t>指南推荐的驱动基因</w:t>
      </w:r>
      <w:r>
        <w:t xml:space="preserve"> </w:t>
      </w:r>
      <w:r>
        <w:rPr>
          <w:spacing w:val="-13"/>
        </w:rPr>
        <w:t>阴性晚期</w:t>
      </w:r>
      <w:r>
        <w:rPr>
          <w:spacing w:val="-13"/>
        </w:rPr>
        <w:t xml:space="preserve"> </w:t>
      </w:r>
      <w:r>
        <w:rPr>
          <w:rFonts w:ascii="Arial" w:eastAsia="Arial" w:hAnsi="Arial" w:cs="Arial"/>
          <w:spacing w:val="-13"/>
        </w:rPr>
        <w:t>NSCLC</w:t>
      </w:r>
      <w:r>
        <w:rPr>
          <w:rFonts w:ascii="Arial" w:eastAsia="Arial" w:hAnsi="Arial" w:cs="Arial"/>
          <w:spacing w:val="25"/>
          <w:w w:val="101"/>
        </w:rPr>
        <w:t xml:space="preserve"> </w:t>
      </w:r>
      <w:r>
        <w:rPr>
          <w:spacing w:val="-13"/>
        </w:rPr>
        <w:t>一线治疗的标准治疗方案之一，并且在临床实践中成为</w:t>
      </w:r>
      <w:r>
        <w:t xml:space="preserve"> </w:t>
      </w:r>
      <w:r>
        <w:rPr>
          <w:spacing w:val="-11"/>
        </w:rPr>
        <w:t>主流的治疗选择。尽管如此，免疫治疗的多数患者最终仍会出现耐药，然</w:t>
      </w:r>
      <w:r>
        <w:rPr>
          <w:spacing w:val="12"/>
        </w:rPr>
        <w:t xml:space="preserve"> </w:t>
      </w:r>
      <w:r>
        <w:rPr>
          <w:spacing w:val="-3"/>
        </w:rPr>
        <w:t>而，目前对于免疫治疗耐药(以下简称免疫耐药)的机制、评估标准以及</w:t>
      </w:r>
      <w:r>
        <w:rPr>
          <w:spacing w:val="5"/>
        </w:rPr>
        <w:t xml:space="preserve"> </w:t>
      </w:r>
      <w:r>
        <w:rPr>
          <w:spacing w:val="-11"/>
        </w:rPr>
        <w:t>一线免疫耐药后治疗方案的选择尚缺乏一致性的指南</w:t>
      </w:r>
      <w:r>
        <w:rPr>
          <w:spacing w:val="-12"/>
        </w:rPr>
        <w:t>或共识，亟需规范化</w:t>
      </w:r>
      <w:r>
        <w:t xml:space="preserve"> </w:t>
      </w:r>
      <w:r>
        <w:rPr>
          <w:spacing w:val="-11"/>
        </w:rPr>
        <w:t>的引导。在此背景下，中国临床肿瘤学会非小细胞肺</w:t>
      </w:r>
      <w:r>
        <w:rPr>
          <w:spacing w:val="-12"/>
        </w:rPr>
        <w:t>癌专委会组织多学科</w:t>
      </w:r>
      <w:r>
        <w:t xml:space="preserve"> </w:t>
      </w:r>
      <w:r>
        <w:rPr>
          <w:spacing w:val="-9"/>
        </w:rPr>
        <w:t>专家针对驱动基因阴性晚期</w:t>
      </w:r>
      <w:r>
        <w:rPr>
          <w:spacing w:val="-33"/>
        </w:rPr>
        <w:t xml:space="preserve"> </w:t>
      </w:r>
      <w:r>
        <w:rPr>
          <w:rFonts w:ascii="SimSun" w:eastAsia="SimSun" w:hAnsi="SimSun" w:cs="SimSun"/>
          <w:spacing w:val="-9"/>
        </w:rPr>
        <w:t>NSCLC</w:t>
      </w:r>
      <w:r>
        <w:rPr>
          <w:rFonts w:ascii="SimSun" w:eastAsia="SimSun" w:hAnsi="SimSun" w:cs="SimSun"/>
          <w:spacing w:val="112"/>
        </w:rPr>
        <w:t xml:space="preserve"> </w:t>
      </w:r>
      <w:r>
        <w:rPr>
          <w:spacing w:val="-9"/>
        </w:rPr>
        <w:t>一线免疫耐药后的定义与分类、</w:t>
      </w:r>
      <w:r>
        <w:rPr>
          <w:spacing w:val="-10"/>
        </w:rPr>
        <w:t>评估</w:t>
      </w:r>
      <w:r>
        <w:t xml:space="preserve"> </w:t>
      </w:r>
      <w:r>
        <w:rPr>
          <w:spacing w:val="-10"/>
        </w:rPr>
        <w:t>标准以及后续治疗策略进行了深入讨论，形</w:t>
      </w:r>
      <w:r>
        <w:rPr>
          <w:spacing w:val="-11"/>
        </w:rPr>
        <w:t>成本专家共识，旨在更好地引</w:t>
      </w:r>
    </w:p>
    <w:p>
      <w:pPr>
        <w:pStyle w:val="BodyText"/>
        <w:spacing w:before="1" w:line="217" w:lineRule="auto"/>
        <w:ind w:left="13"/>
      </w:pPr>
      <w:r>
        <w:rPr>
          <w:spacing w:val="-14"/>
        </w:rPr>
        <w:t>导临床实践。</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BodyText"/>
        <w:spacing w:before="87" w:line="221" w:lineRule="auto"/>
        <w:ind w:left="13"/>
      </w:pPr>
      <w:r>
        <w:rPr>
          <w:spacing w:val="-8"/>
        </w:rPr>
        <w:t>第一部分：方法学</w:t>
      </w: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BodyText"/>
        <w:spacing w:before="88" w:line="424" w:lineRule="auto"/>
        <w:ind w:left="13" w:right="14"/>
        <w:jc w:val="both"/>
      </w:pPr>
      <w:r>
        <w:rPr>
          <w:spacing w:val="-11"/>
        </w:rPr>
        <w:t>本共识由中国临床肿瘤学会非小细胞肺癌专委会发起和组织撰写，参加制</w:t>
      </w:r>
      <w:r>
        <w:rPr>
          <w:spacing w:val="2"/>
        </w:rPr>
        <w:t xml:space="preserve"> </w:t>
      </w:r>
      <w:r>
        <w:rPr>
          <w:spacing w:val="-11"/>
        </w:rPr>
        <w:t>订本共识的专家组成员包括了肿瘤内科、呼吸内科、</w:t>
      </w:r>
      <w:r>
        <w:rPr>
          <w:spacing w:val="-12"/>
        </w:rPr>
        <w:t>胸外科、放疗科、影</w:t>
      </w:r>
      <w:r>
        <w:t xml:space="preserve"> </w:t>
      </w:r>
      <w:r>
        <w:rPr>
          <w:spacing w:val="10"/>
        </w:rPr>
        <w:t>像科、病理科等多学科的31位专家，2023年4月15日成立专家组并召</w:t>
      </w:r>
      <w:r>
        <w:rPr>
          <w:spacing w:val="3"/>
        </w:rPr>
        <w:t xml:space="preserve"> </w:t>
      </w:r>
      <w:r>
        <w:rPr>
          <w:spacing w:val="-3"/>
        </w:rPr>
        <w:t>开专家共识启动会。专家组组长与执笔作者讨论汇总驱动基因阴性晚期</w:t>
      </w:r>
      <w:r>
        <w:rPr>
          <w:spacing w:val="10"/>
        </w:rPr>
        <w:t xml:space="preserve"> </w:t>
      </w:r>
      <w:r>
        <w:rPr>
          <w:rFonts w:ascii="SimSun" w:eastAsia="SimSun" w:hAnsi="SimSun" w:cs="SimSun"/>
          <w:spacing w:val="-6"/>
        </w:rPr>
        <w:t>NSCLC</w:t>
      </w:r>
      <w:r>
        <w:rPr>
          <w:rFonts w:ascii="SimSun" w:eastAsia="SimSun" w:hAnsi="SimSun" w:cs="SimSun"/>
          <w:spacing w:val="122"/>
        </w:rPr>
        <w:t xml:space="preserve"> </w:t>
      </w:r>
      <w:r>
        <w:rPr>
          <w:spacing w:val="-6"/>
        </w:rPr>
        <w:t>患者一线免疫治疗临床实践中面临的重要</w:t>
      </w:r>
      <w:r>
        <w:rPr>
          <w:spacing w:val="-7"/>
        </w:rPr>
        <w:t>问题，进行全面的文献</w:t>
      </w:r>
    </w:p>
    <w:p>
      <w:pPr>
        <w:pStyle w:val="BodyText"/>
        <w:spacing w:before="1" w:line="212" w:lineRule="auto"/>
        <w:ind w:left="13"/>
      </w:pPr>
      <w:r>
        <w:rPr>
          <w:spacing w:val="-11"/>
        </w:rPr>
        <w:t>检索并梳理已发表的临床研究证据，通过专家组成员讨论会议对临床问题</w:t>
      </w:r>
    </w:p>
    <w:p>
      <w:pPr>
        <w:spacing w:line="212" w:lineRule="auto"/>
        <w:sectPr>
          <w:pgSz w:w="11910" w:h="16840"/>
          <w:pgMar w:top="1431" w:right="1786" w:bottom="0" w:left="1786" w:header="0" w:footer="0" w:gutter="0"/>
          <w:pgNumType w:start="3"/>
          <w:cols w:space="708"/>
        </w:sectPr>
      </w:pPr>
    </w:p>
    <w:p>
      <w:pPr>
        <w:pStyle w:val="BodyText"/>
        <w:spacing w:before="185" w:line="624" w:lineRule="exact"/>
        <w:ind w:left="134"/>
      </w:pPr>
      <w:r>
        <w:rPr>
          <w:spacing w:val="-10"/>
          <w:position w:val="27"/>
        </w:rPr>
        <w:t>进行充分讨论，对于关键问题进行投票，汇总专家意见</w:t>
      </w:r>
      <w:r>
        <w:rPr>
          <w:spacing w:val="-11"/>
          <w:position w:val="27"/>
        </w:rPr>
        <w:t>及投票结果，最终</w:t>
      </w:r>
    </w:p>
    <w:p>
      <w:pPr>
        <w:pStyle w:val="BodyText"/>
        <w:spacing w:line="222" w:lineRule="auto"/>
        <w:ind w:left="134"/>
      </w:pPr>
      <w:r>
        <w:rPr>
          <w:spacing w:val="-16"/>
        </w:rPr>
        <w:t>形成共识推荐内容。</w:t>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BodyText"/>
        <w:spacing w:before="88" w:line="221" w:lineRule="auto"/>
        <w:ind w:left="134"/>
      </w:pPr>
      <w:r>
        <w:rPr>
          <w:spacing w:val="-7"/>
        </w:rPr>
        <w:t>本共识的文献检索数据库包括</w:t>
      </w:r>
      <w:r>
        <w:rPr>
          <w:spacing w:val="-66"/>
        </w:rPr>
        <w:t xml:space="preserve"> </w:t>
      </w:r>
      <w:r>
        <w:rPr>
          <w:rFonts w:ascii="Times New Roman" w:eastAsia="Times New Roman" w:hAnsi="Times New Roman" w:cs="Times New Roman"/>
          <w:spacing w:val="-7"/>
        </w:rPr>
        <w:t>Pubmed</w:t>
      </w:r>
      <w:r>
        <w:rPr>
          <w:rFonts w:ascii="Times New Roman" w:eastAsia="Times New Roman" w:hAnsi="Times New Roman" w:cs="Times New Roman"/>
          <w:spacing w:val="-38"/>
        </w:rPr>
        <w:t xml:space="preserve"> </w:t>
      </w:r>
      <w:r>
        <w:rPr>
          <w:rFonts w:ascii="SimSun" w:eastAsia="SimSun" w:hAnsi="SimSun" w:cs="SimSun"/>
          <w:spacing w:val="-7"/>
        </w:rPr>
        <w:t>、</w:t>
      </w:r>
      <w:r>
        <w:rPr>
          <w:rFonts w:ascii="Times New Roman" w:eastAsia="Times New Roman" w:hAnsi="Times New Roman" w:cs="Times New Roman"/>
          <w:spacing w:val="-7"/>
        </w:rPr>
        <w:t>Embase</w:t>
      </w:r>
      <w:r>
        <w:rPr>
          <w:rFonts w:ascii="Times New Roman" w:eastAsia="Times New Roman" w:hAnsi="Times New Roman" w:cs="Times New Roman"/>
          <w:spacing w:val="-39"/>
        </w:rPr>
        <w:t xml:space="preserve"> </w:t>
      </w:r>
      <w:r>
        <w:rPr>
          <w:rFonts w:ascii="SimSun" w:eastAsia="SimSun" w:hAnsi="SimSun" w:cs="SimSun"/>
          <w:spacing w:val="-7"/>
        </w:rPr>
        <w:t>、</w:t>
      </w:r>
      <w:r>
        <w:rPr>
          <w:rFonts w:ascii="SimSun" w:eastAsia="SimSun" w:hAnsi="SimSun" w:cs="SimSun"/>
          <w:spacing w:val="82"/>
        </w:rPr>
        <w:t xml:space="preserve"> </w:t>
      </w:r>
      <w:r>
        <w:rPr>
          <w:spacing w:val="-7"/>
        </w:rPr>
        <w:t>中国知网、万</w:t>
      </w:r>
      <w:r>
        <w:rPr>
          <w:spacing w:val="-8"/>
        </w:rPr>
        <w:t>方数据</w:t>
      </w:r>
    </w:p>
    <w:p>
      <w:pPr>
        <w:spacing w:line="235" w:lineRule="exact"/>
      </w:pPr>
    </w:p>
    <w:p>
      <w:pPr>
        <w:spacing w:line="235" w:lineRule="exact"/>
        <w:sectPr>
          <w:pgSz w:w="11910" w:h="16840"/>
          <w:pgMar w:top="1431" w:right="1676" w:bottom="0" w:left="1664" w:header="0" w:footer="0" w:gutter="0"/>
          <w:pgNumType w:start="4"/>
          <w:cols w:num="1" w:space="708" w:equalWidth="0">
            <w:col w:w="8569" w:space="0"/>
          </w:cols>
        </w:sectPr>
      </w:pPr>
    </w:p>
    <w:p>
      <w:pPr>
        <w:pStyle w:val="BodyText"/>
        <w:spacing w:before="55" w:line="550" w:lineRule="exact"/>
        <w:ind w:left="104"/>
        <w:rPr>
          <w:rFonts w:ascii="SimSun" w:eastAsia="SimSun" w:hAnsi="SimSun" w:cs="SimSun"/>
        </w:rPr>
      </w:pPr>
      <w:r>
        <w:rPr>
          <w:spacing w:val="11"/>
          <w:position w:val="21"/>
        </w:rPr>
        <w:t>和中国生物医学</w:t>
      </w:r>
      <w:r>
        <w:rPr>
          <w:spacing w:val="11"/>
          <w:position w:val="21"/>
        </w:rPr>
        <w:t xml:space="preserve"> </w:t>
      </w:r>
      <w:r>
        <w:rPr>
          <w:rFonts w:ascii="SimSun" w:eastAsia="SimSun" w:hAnsi="SimSun" w:cs="SimSun"/>
          <w:position w:val="21"/>
        </w:rPr>
        <w:t>Simomed</w:t>
      </w:r>
      <w:r>
        <w:rPr>
          <w:rFonts w:ascii="SimSun" w:eastAsia="SimSun" w:hAnsi="SimSun" w:cs="SimSun"/>
          <w:spacing w:val="11"/>
          <w:position w:val="21"/>
        </w:rPr>
        <w:t>,</w:t>
      </w:r>
    </w:p>
    <w:p>
      <w:pPr>
        <w:spacing w:line="368" w:lineRule="exact"/>
        <w:ind w:left="134"/>
        <w:rPr>
          <w:rFonts w:ascii="Arial" w:eastAsia="Arial" w:hAnsi="Arial" w:cs="Arial"/>
          <w:sz w:val="27"/>
          <w:szCs w:val="27"/>
        </w:rPr>
      </w:pPr>
      <w:r>
        <w:rPr>
          <w:rFonts w:ascii="Arial" w:eastAsia="Arial" w:hAnsi="Arial" w:cs="Arial"/>
          <w:spacing w:val="-1"/>
          <w:position w:val="4"/>
          <w:sz w:val="27"/>
          <w:szCs w:val="27"/>
        </w:rPr>
        <w:t>cancer““immunotherapy</w:t>
      </w:r>
    </w:p>
    <w:p>
      <w:pPr>
        <w:spacing w:before="252" w:line="368" w:lineRule="exact"/>
        <w:ind w:left="134"/>
        <w:rPr>
          <w:rFonts w:ascii="Arial" w:eastAsia="Arial" w:hAnsi="Arial" w:cs="Arial"/>
          <w:sz w:val="27"/>
          <w:szCs w:val="27"/>
        </w:rPr>
      </w:pPr>
      <w:r>
        <w:rPr>
          <w:rFonts w:ascii="Arial" w:eastAsia="Arial" w:hAnsi="Arial" w:cs="Arial"/>
          <w:spacing w:val="-1"/>
          <w:position w:val="4"/>
          <w:sz w:val="27"/>
          <w:szCs w:val="27"/>
        </w:rPr>
        <w:t>immunotherapy"“immune</w:t>
      </w:r>
    </w:p>
    <w:p>
      <w:pPr>
        <w:spacing w:line="14" w:lineRule="auto"/>
        <w:rPr>
          <w:rFonts w:ascii="Arial"/>
          <w:sz w:val="2"/>
        </w:rPr>
      </w:pPr>
      <w:r>
        <w:rPr>
          <w:rFonts w:ascii="Arial" w:eastAsia="Arial" w:hAnsi="Arial" w:cs="Arial"/>
          <w:sz w:val="2"/>
          <w:szCs w:val="2"/>
        </w:rPr>
        <w:br w:type="column"/>
      </w:r>
    </w:p>
    <w:p>
      <w:pPr>
        <w:pStyle w:val="BodyText"/>
        <w:spacing w:before="53" w:line="551" w:lineRule="exact"/>
        <w:ind w:left="12"/>
        <w:rPr>
          <w:rFonts w:ascii="SimSun" w:eastAsia="SimSun" w:hAnsi="SimSun" w:cs="SimSun"/>
        </w:rPr>
      </w:pPr>
      <w:r>
        <w:rPr>
          <w:spacing w:val="-2"/>
          <w:position w:val="21"/>
        </w:rPr>
        <w:t>英文检索词包括</w:t>
      </w:r>
      <w:r>
        <w:rPr>
          <w:rFonts w:ascii="SimSun" w:eastAsia="SimSun" w:hAnsi="SimSun" w:cs="SimSun"/>
          <w:spacing w:val="-2"/>
          <w:position w:val="21"/>
        </w:rPr>
        <w:t>“Non-small cell</w:t>
      </w:r>
      <w:r>
        <w:rPr>
          <w:rFonts w:ascii="SimSun" w:eastAsia="SimSun" w:hAnsi="SimSun" w:cs="SimSun"/>
          <w:spacing w:val="25"/>
          <w:position w:val="21"/>
        </w:rPr>
        <w:t xml:space="preserve"> </w:t>
      </w:r>
      <w:r>
        <w:rPr>
          <w:rFonts w:ascii="SimSun" w:eastAsia="SimSun" w:hAnsi="SimSun" w:cs="SimSun"/>
          <w:spacing w:val="-2"/>
          <w:position w:val="21"/>
        </w:rPr>
        <w:t>l</w:t>
      </w:r>
      <w:r>
        <w:rPr>
          <w:rFonts w:ascii="SimSun" w:eastAsia="SimSun" w:hAnsi="SimSun" w:cs="SimSun"/>
          <w:spacing w:val="-3"/>
          <w:position w:val="21"/>
        </w:rPr>
        <w:t>ung</w:t>
      </w:r>
    </w:p>
    <w:p>
      <w:pPr>
        <w:spacing w:line="368" w:lineRule="exact"/>
        <w:ind w:left="492"/>
        <w:rPr>
          <w:rFonts w:ascii="Arial" w:eastAsia="Arial" w:hAnsi="Arial" w:cs="Arial"/>
          <w:sz w:val="27"/>
          <w:szCs w:val="27"/>
        </w:rPr>
      </w:pPr>
      <w:r>
        <w:rPr>
          <w:rFonts w:ascii="Arial" w:eastAsia="Arial" w:hAnsi="Arial" w:cs="Arial"/>
          <w:position w:val="4"/>
          <w:sz w:val="27"/>
          <w:szCs w:val="27"/>
        </w:rPr>
        <w:t>resistance”“progression                of</w:t>
      </w:r>
    </w:p>
    <w:p>
      <w:pPr>
        <w:spacing w:before="252" w:line="368" w:lineRule="exact"/>
        <w:rPr>
          <w:rFonts w:ascii="Arial" w:eastAsia="Arial" w:hAnsi="Arial" w:cs="Arial"/>
          <w:sz w:val="27"/>
          <w:szCs w:val="27"/>
        </w:rPr>
      </w:pPr>
      <w:r>
        <w:rPr>
          <w:rFonts w:ascii="Arial" w:eastAsia="Arial" w:hAnsi="Arial" w:cs="Arial"/>
          <w:spacing w:val="-1"/>
          <w:position w:val="4"/>
          <w:sz w:val="27"/>
          <w:szCs w:val="27"/>
        </w:rPr>
        <w:t>checkpoint        inhibitor        res</w:t>
      </w:r>
      <w:r>
        <w:rPr>
          <w:rFonts w:ascii="Arial" w:eastAsia="Arial" w:hAnsi="Arial" w:cs="Arial"/>
          <w:spacing w:val="-2"/>
          <w:position w:val="4"/>
          <w:sz w:val="27"/>
          <w:szCs w:val="27"/>
        </w:rPr>
        <w:t>istance“</w:t>
      </w:r>
    </w:p>
    <w:p>
      <w:pPr>
        <w:spacing w:line="368" w:lineRule="exact"/>
        <w:rPr>
          <w:rFonts w:ascii="Arial" w:eastAsia="Arial" w:hAnsi="Arial" w:cs="Arial"/>
          <w:sz w:val="27"/>
          <w:szCs w:val="27"/>
        </w:rPr>
        <w:sectPr>
          <w:type w:val="continuous"/>
          <w:pgSz w:w="11910" w:h="16840"/>
          <w:pgMar w:top="1431" w:right="1676" w:bottom="0" w:left="1664" w:header="0" w:footer="0" w:gutter="0"/>
          <w:pgNumType w:start="5"/>
          <w:cols w:num="2" w:space="708" w:equalWidth="0">
            <w:col w:w="3613" w:space="100"/>
            <w:col w:w="4857" w:space="0"/>
          </w:cols>
        </w:sectPr>
      </w:pPr>
    </w:p>
    <w:p>
      <w:pPr>
        <w:pStyle w:val="BodyText"/>
        <w:spacing w:before="321" w:line="628" w:lineRule="exact"/>
        <w:ind w:left="134"/>
      </w:pPr>
      <w:r>
        <w:rPr>
          <w:rFonts w:ascii="SimSun" w:eastAsia="SimSun" w:hAnsi="SimSun" w:cs="SimSun"/>
          <w:spacing w:val="-21"/>
          <w:position w:val="27"/>
        </w:rPr>
        <w:t>"negative driver gene”;</w:t>
      </w:r>
      <w:r>
        <w:rPr>
          <w:spacing w:val="-21"/>
          <w:position w:val="27"/>
        </w:rPr>
        <w:t>中文检索词以”非小细胞肺癌"</w:t>
      </w:r>
      <w:r>
        <w:rPr>
          <w:spacing w:val="-22"/>
          <w:position w:val="27"/>
        </w:rPr>
        <w:t>“驱动基因阴性”和</w:t>
      </w:r>
    </w:p>
    <w:p>
      <w:pPr>
        <w:pStyle w:val="BodyText"/>
        <w:spacing w:before="1" w:line="221" w:lineRule="auto"/>
      </w:pPr>
      <w:r>
        <w:rPr>
          <w:spacing w:val="-29"/>
        </w:rPr>
        <w:t>“免疫治疗耐药“为主。</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8" w:line="621" w:lineRule="exact"/>
        <w:ind w:left="135"/>
      </w:pPr>
      <w:r>
        <w:rPr>
          <w:spacing w:val="-10"/>
          <w:position w:val="26"/>
        </w:rPr>
        <w:t>第二部分：免疫耐药的定义与分类</w:t>
      </w:r>
    </w:p>
    <w:p>
      <w:pPr>
        <w:pStyle w:val="BodyText"/>
        <w:spacing w:before="1" w:line="221" w:lineRule="auto"/>
        <w:ind w:left="134"/>
      </w:pPr>
      <w:r>
        <w:rPr>
          <w:spacing w:val="-9"/>
        </w:rPr>
        <w:t>一、免疫单药治疗耐药</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pStyle w:val="BodyText"/>
        <w:spacing w:before="88" w:line="213" w:lineRule="auto"/>
        <w:ind w:left="134"/>
      </w:pPr>
      <w:r>
        <w:rPr>
          <w:spacing w:val="-2"/>
        </w:rPr>
        <w:t>制定免疫治疗耐药后的处理策略首先需要对免疫耐药的</w:t>
      </w:r>
      <w:r>
        <w:rPr>
          <w:spacing w:val="-3"/>
        </w:rPr>
        <w:t>类型进行区分，</w:t>
      </w:r>
    </w:p>
    <w:p>
      <w:pPr>
        <w:pStyle w:val="BodyText"/>
        <w:spacing w:before="303" w:line="433" w:lineRule="auto"/>
        <w:ind w:left="134" w:right="127"/>
      </w:pPr>
      <w:r>
        <w:rPr>
          <w:spacing w:val="4"/>
        </w:rPr>
        <w:t>2020年癌症免疫治疗学会</w:t>
      </w:r>
      <w:r>
        <w:rPr>
          <w:rFonts w:ascii="Times New Roman" w:eastAsia="Times New Roman" w:hAnsi="Times New Roman" w:cs="Times New Roman"/>
          <w:spacing w:val="4"/>
        </w:rPr>
        <w:t>(</w:t>
      </w:r>
      <w:r>
        <w:rPr>
          <w:rFonts w:ascii="Times New Roman" w:eastAsia="Times New Roman" w:hAnsi="Times New Roman" w:cs="Times New Roman"/>
        </w:rPr>
        <w:t>Society</w:t>
      </w:r>
      <w:r>
        <w:rPr>
          <w:rFonts w:ascii="Times New Roman" w:eastAsia="Times New Roman" w:hAnsi="Times New Roman" w:cs="Times New Roman"/>
          <w:spacing w:val="4"/>
        </w:rPr>
        <w:t xml:space="preserve">    </w:t>
      </w:r>
      <w:r>
        <w:rPr>
          <w:rFonts w:ascii="Times New Roman" w:eastAsia="Times New Roman" w:hAnsi="Times New Roman" w:cs="Times New Roman"/>
        </w:rPr>
        <w:t>for</w:t>
      </w:r>
      <w:r>
        <w:rPr>
          <w:rFonts w:ascii="Times New Roman" w:eastAsia="Times New Roman" w:hAnsi="Times New Roman" w:cs="Times New Roman"/>
          <w:spacing w:val="4"/>
        </w:rPr>
        <w:t xml:space="preserve">    </w:t>
      </w:r>
      <w:r>
        <w:rPr>
          <w:rFonts w:ascii="Times New Roman" w:eastAsia="Times New Roman" w:hAnsi="Times New Roman" w:cs="Times New Roman"/>
        </w:rPr>
        <w:t>Immunotherapy</w:t>
      </w:r>
      <w:r>
        <w:rPr>
          <w:rFonts w:ascii="Times New Roman" w:eastAsia="Times New Roman" w:hAnsi="Times New Roman" w:cs="Times New Roman"/>
          <w:spacing w:val="4"/>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Cancer</w:t>
      </w:r>
      <w:r>
        <w:rPr>
          <w:rFonts w:ascii="Times New Roman" w:eastAsia="Times New Roman" w:hAnsi="Times New Roman" w:cs="Times New Roman"/>
          <w:spacing w:val="4"/>
        </w:rPr>
        <w:t xml:space="preserve">,  </w:t>
      </w:r>
      <w:r>
        <w:rPr>
          <w:rFonts w:ascii="Arial" w:eastAsia="Arial" w:hAnsi="Arial" w:cs="Arial"/>
          <w:spacing w:val="-6"/>
        </w:rPr>
        <w:t>SITC)</w:t>
      </w:r>
      <w:r>
        <w:rPr>
          <w:spacing w:val="-6"/>
        </w:rPr>
        <w:t>免疫耐药工作组制定了抗</w:t>
      </w:r>
      <w:r>
        <w:rPr>
          <w:spacing w:val="-49"/>
        </w:rPr>
        <w:t xml:space="preserve"> </w:t>
      </w:r>
      <w:r>
        <w:rPr>
          <w:rFonts w:ascii="Arial" w:eastAsia="Arial" w:hAnsi="Arial" w:cs="Arial"/>
          <w:spacing w:val="-6"/>
        </w:rPr>
        <w:t xml:space="preserve">PD-1/PD-L1 </w:t>
      </w:r>
      <w:r>
        <w:rPr>
          <w:spacing w:val="-6"/>
        </w:rPr>
        <w:t>治疗耐药的定义，将耐药分</w:t>
      </w:r>
      <w:r>
        <w:t xml:space="preserve"> </w:t>
      </w:r>
      <w:r>
        <w:rPr>
          <w:spacing w:val="2"/>
        </w:rPr>
        <w:t>为3种类型：原发性耐药，继发性耐药和治疗中断后的进展[5],原发性</w:t>
      </w:r>
      <w:r>
        <w:rPr>
          <w:spacing w:val="4"/>
        </w:rPr>
        <w:t xml:space="preserve"> </w:t>
      </w:r>
      <w:r>
        <w:rPr>
          <w:spacing w:val="-2"/>
        </w:rPr>
        <w:t>耐药指接受≥6周的治疗，对初始治疗缺乏有效反应(疗效评</w:t>
      </w:r>
      <w:r>
        <w:rPr>
          <w:spacing w:val="-3"/>
        </w:rPr>
        <w:t>估为进展或</w:t>
      </w:r>
      <w:r>
        <w:t xml:space="preserve"> </w:t>
      </w:r>
      <w:r>
        <w:rPr>
          <w:spacing w:val="7"/>
        </w:rPr>
        <w:t>稳定),6个月内即出现疾病进展</w:t>
      </w:r>
      <w:r>
        <w:rPr>
          <w:rFonts w:ascii="Arial" w:eastAsia="Arial" w:hAnsi="Arial" w:cs="Arial"/>
          <w:spacing w:val="7"/>
        </w:rPr>
        <w:t>(</w:t>
      </w:r>
      <w:r>
        <w:rPr>
          <w:rFonts w:ascii="Arial" w:eastAsia="Arial" w:hAnsi="Arial" w:cs="Arial"/>
        </w:rPr>
        <w:t>progressive</w:t>
      </w:r>
      <w:r>
        <w:rPr>
          <w:rFonts w:ascii="Arial" w:eastAsia="Arial" w:hAnsi="Arial" w:cs="Arial"/>
          <w:spacing w:val="2"/>
        </w:rPr>
        <w:t xml:space="preserve">        </w:t>
      </w:r>
      <w:r>
        <w:rPr>
          <w:rFonts w:ascii="Arial" w:eastAsia="Arial" w:hAnsi="Arial" w:cs="Arial"/>
        </w:rPr>
        <w:t>disease</w:t>
      </w:r>
      <w:r>
        <w:rPr>
          <w:rFonts w:ascii="Arial" w:eastAsia="Arial" w:hAnsi="Arial" w:cs="Arial"/>
          <w:spacing w:val="7"/>
        </w:rPr>
        <w:t>,</w:t>
      </w:r>
      <w:r>
        <w:rPr>
          <w:rFonts w:ascii="Arial" w:eastAsia="Arial" w:hAnsi="Arial" w:cs="Arial"/>
        </w:rPr>
        <w:t>PD</w:t>
      </w:r>
      <w:r>
        <w:rPr>
          <w:rFonts w:ascii="Arial" w:eastAsia="Arial" w:hAnsi="Arial" w:cs="Arial"/>
          <w:spacing w:val="7"/>
        </w:rPr>
        <w:t>);</w:t>
      </w:r>
      <w:r>
        <w:rPr>
          <w:rFonts w:ascii="Arial" w:eastAsia="Arial" w:hAnsi="Arial" w:cs="Arial"/>
          <w:spacing w:val="-39"/>
        </w:rPr>
        <w:t xml:space="preserve"> </w:t>
      </w:r>
      <w:r>
        <w:rPr>
          <w:spacing w:val="7"/>
        </w:rPr>
        <w:t>继发性</w:t>
      </w:r>
    </w:p>
    <w:p>
      <w:pPr>
        <w:pStyle w:val="BodyText"/>
        <w:spacing w:before="1" w:line="212" w:lineRule="auto"/>
        <w:ind w:left="134"/>
        <w:rPr>
          <w:rFonts w:ascii="SimSun" w:eastAsia="SimSun" w:hAnsi="SimSun" w:cs="SimSun"/>
        </w:rPr>
        <w:sectPr>
          <w:type w:val="continuous"/>
          <w:pgSz w:w="11910" w:h="16840"/>
          <w:pgMar w:top="1431" w:right="1676" w:bottom="0" w:left="1664" w:header="0" w:footer="0" w:gutter="0"/>
          <w:pgNumType w:start="6"/>
          <w:cols w:num="1" w:space="708" w:equalWidth="0">
            <w:col w:w="8569" w:space="0"/>
          </w:cols>
        </w:sectPr>
      </w:pPr>
      <w:r>
        <w:rPr>
          <w:spacing w:val="10"/>
        </w:rPr>
        <w:t>耐药是指药物暴露时间超过6个月，疗效评估为完</w:t>
      </w:r>
      <w:r>
        <w:rPr>
          <w:spacing w:val="9"/>
        </w:rPr>
        <w:t>全缓解</w:t>
      </w:r>
      <w:r>
        <w:rPr>
          <w:rFonts w:ascii="SimSun" w:eastAsia="SimSun" w:hAnsi="SimSun" w:cs="SimSun"/>
          <w:spacing w:val="9"/>
        </w:rPr>
        <w:t>(</w:t>
      </w:r>
      <w:r>
        <w:rPr>
          <w:rFonts w:ascii="SimSun" w:eastAsia="SimSun" w:hAnsi="SimSun" w:cs="SimSun"/>
        </w:rPr>
        <w:t>complete</w:t>
      </w:r>
    </w:p>
    <w:p>
      <w:pPr>
        <w:pStyle w:val="BodyText"/>
        <w:spacing w:before="254" w:line="639" w:lineRule="exact"/>
        <w:jc w:val="right"/>
        <w:rPr>
          <w:rFonts w:ascii="Arial" w:eastAsia="Arial" w:hAnsi="Arial" w:cs="Arial"/>
        </w:rPr>
      </w:pPr>
      <w:r>
        <w:rPr>
          <w:rFonts w:ascii="Arial" w:eastAsia="Arial" w:hAnsi="Arial" w:cs="Arial"/>
          <w:spacing w:val="-4"/>
          <w:position w:val="24"/>
        </w:rPr>
        <w:t>response,CR)</w:t>
      </w:r>
      <w:r>
        <w:rPr>
          <w:rFonts w:ascii="SimSun" w:eastAsia="SimSun" w:hAnsi="SimSun" w:cs="SimSun"/>
          <w:spacing w:val="-4"/>
          <w:position w:val="24"/>
        </w:rPr>
        <w:t>、</w:t>
      </w:r>
      <w:r>
        <w:rPr>
          <w:spacing w:val="-4"/>
          <w:position w:val="24"/>
        </w:rPr>
        <w:t>部分缓解</w:t>
      </w:r>
      <w:r>
        <w:rPr>
          <w:rFonts w:ascii="Arial" w:eastAsia="Arial" w:hAnsi="Arial" w:cs="Arial"/>
          <w:spacing w:val="-4"/>
          <w:position w:val="24"/>
        </w:rPr>
        <w:t xml:space="preserve">(partial   response,PR </w:t>
      </w:r>
      <w:r>
        <w:rPr>
          <w:spacing w:val="-4"/>
          <w:position w:val="24"/>
        </w:rPr>
        <w:t>或稳定</w:t>
      </w:r>
      <w:r>
        <w:rPr>
          <w:rFonts w:ascii="Arial" w:eastAsia="Arial" w:hAnsi="Arial" w:cs="Arial"/>
          <w:spacing w:val="-4"/>
          <w:position w:val="24"/>
        </w:rPr>
        <w:t>(</w:t>
      </w:r>
      <w:r>
        <w:rPr>
          <w:rFonts w:ascii="Arial" w:eastAsia="Arial" w:hAnsi="Arial" w:cs="Arial"/>
          <w:spacing w:val="-5"/>
          <w:position w:val="24"/>
        </w:rPr>
        <w:t>stable     disease,</w:t>
      </w:r>
    </w:p>
    <w:p>
      <w:pPr>
        <w:pStyle w:val="BodyText"/>
        <w:spacing w:line="197" w:lineRule="auto"/>
        <w:ind w:left="134"/>
      </w:pPr>
      <w:r>
        <w:rPr>
          <w:rFonts w:ascii="Arial" w:eastAsia="Arial" w:hAnsi="Arial" w:cs="Arial"/>
          <w:spacing w:val="-7"/>
        </w:rPr>
        <w:t>SD),6</w:t>
      </w:r>
      <w:r>
        <w:rPr>
          <w:rFonts w:ascii="Arial" w:eastAsia="Arial" w:hAnsi="Arial" w:cs="Arial"/>
          <w:spacing w:val="23"/>
        </w:rPr>
        <w:t xml:space="preserve">  </w:t>
      </w:r>
      <w:r>
        <w:rPr>
          <w:spacing w:val="-7"/>
        </w:rPr>
        <w:t>个月后出现的</w:t>
      </w:r>
      <w:r>
        <w:rPr>
          <w:rFonts w:ascii="Arial" w:eastAsia="Arial" w:hAnsi="Arial" w:cs="Arial"/>
          <w:spacing w:val="-7"/>
        </w:rPr>
        <w:t>PD</w:t>
      </w:r>
      <w:r>
        <w:rPr>
          <w:rFonts w:ascii="SimSun" w:eastAsia="SimSun" w:hAnsi="SimSun" w:cs="SimSun"/>
          <w:spacing w:val="-7"/>
        </w:rPr>
        <w:t>。</w:t>
      </w:r>
      <w:r>
        <w:rPr>
          <w:spacing w:val="-7"/>
        </w:rPr>
        <w:t>对于原发性耐药和继发性耐药均要求首次评估</w:t>
      </w:r>
    </w:p>
    <w:p>
      <w:pPr>
        <w:spacing w:line="197" w:lineRule="auto"/>
        <w:sectPr>
          <w:type w:val="nextPage"/>
          <w:pgSz w:w="11910" w:h="16840"/>
          <w:pgMar w:top="1431" w:right="1676" w:bottom="0" w:left="1664" w:header="0" w:footer="0" w:gutter="0"/>
          <w:pgNumType w:start="7"/>
          <w:cols w:num="1" w:space="708" w:equalWidth="0">
            <w:col w:w="8569" w:space="0"/>
          </w:cols>
          <w:titlePg w:val="0"/>
        </w:sectPr>
      </w:pPr>
    </w:p>
    <w:p>
      <w:pPr>
        <w:pStyle w:val="BodyText"/>
        <w:spacing w:before="150" w:line="425" w:lineRule="auto"/>
        <w:ind w:left="13"/>
        <w:rPr>
          <w:rFonts w:ascii="Times New Roman" w:eastAsia="Times New Roman" w:hAnsi="Times New Roman" w:cs="Times New Roman"/>
        </w:rPr>
      </w:pPr>
      <w:r>
        <w:rPr>
          <w:spacing w:val="-4"/>
        </w:rPr>
        <w:t>进展至少4周后再次确认，除非肿瘤生长非常迅速或患者临床状况</w:t>
      </w:r>
      <w:r>
        <w:rPr>
          <w:spacing w:val="-5"/>
        </w:rPr>
        <w:t>恶化。</w:t>
      </w:r>
      <w:r>
        <w:t xml:space="preserve">  </w:t>
      </w:r>
      <w:r>
        <w:rPr>
          <w:spacing w:val="-9"/>
        </w:rPr>
        <w:t>对于转移性患者免疫治疗中断后出现的</w:t>
      </w:r>
      <w:r>
        <w:rPr>
          <w:spacing w:val="-9"/>
        </w:rPr>
        <w:t xml:space="preserve"> </w:t>
      </w:r>
      <w:r>
        <w:rPr>
          <w:rFonts w:ascii="SimSun" w:eastAsia="SimSun" w:hAnsi="SimSun" w:cs="SimSun"/>
          <w:spacing w:val="-9"/>
        </w:rPr>
        <w:t>PD</w:t>
      </w:r>
      <w:r>
        <w:rPr>
          <w:rFonts w:ascii="SimSun" w:eastAsia="SimSun" w:hAnsi="SimSun" w:cs="SimSun"/>
          <w:spacing w:val="71"/>
        </w:rPr>
        <w:t xml:space="preserve"> </w:t>
      </w:r>
      <w:r>
        <w:rPr>
          <w:spacing w:val="-10"/>
        </w:rPr>
        <w:t>分</w:t>
      </w:r>
      <w:r>
        <w:rPr>
          <w:spacing w:val="-50"/>
        </w:rPr>
        <w:t xml:space="preserve"> </w:t>
      </w:r>
      <w:r>
        <w:rPr>
          <w:spacing w:val="-10"/>
        </w:rPr>
        <w:t>为</w:t>
      </w:r>
      <w:r>
        <w:rPr>
          <w:spacing w:val="-56"/>
        </w:rPr>
        <w:t xml:space="preserve"> </w:t>
      </w:r>
      <w:r>
        <w:rPr>
          <w:spacing w:val="-10"/>
        </w:rPr>
        <w:t>3</w:t>
      </w:r>
      <w:r>
        <w:rPr>
          <w:spacing w:val="-10"/>
        </w:rPr>
        <w:t xml:space="preserve"> </w:t>
      </w:r>
      <w:r>
        <w:rPr>
          <w:spacing w:val="-10"/>
        </w:rPr>
        <w:t>种类型，如果患者在</w:t>
      </w:r>
      <w:r>
        <w:t xml:space="preserve">   </w:t>
      </w:r>
      <w:r>
        <w:rPr>
          <w:rFonts w:ascii="SimSun" w:eastAsia="SimSun" w:hAnsi="SimSun" w:cs="SimSun"/>
          <w:spacing w:val="-1"/>
        </w:rPr>
        <w:t>PD-1/PD-L1</w:t>
      </w:r>
      <w:r>
        <w:rPr>
          <w:rFonts w:ascii="SimSun" w:eastAsia="SimSun" w:hAnsi="SimSun" w:cs="SimSun"/>
          <w:spacing w:val="72"/>
        </w:rPr>
        <w:t xml:space="preserve"> </w:t>
      </w:r>
      <w:r>
        <w:rPr>
          <w:spacing w:val="-1"/>
        </w:rPr>
        <w:t>抑制剂治疗期间没有任何临床获益(非</w:t>
      </w:r>
      <w:r>
        <w:rPr>
          <w:spacing w:val="-40"/>
        </w:rPr>
        <w:t xml:space="preserve"> </w:t>
      </w:r>
      <w:r>
        <w:rPr>
          <w:rFonts w:ascii="SimSun" w:eastAsia="SimSun" w:hAnsi="SimSun" w:cs="SimSun"/>
          <w:spacing w:val="-1"/>
        </w:rPr>
        <w:t>CR/PR),</w:t>
      </w:r>
      <w:r>
        <w:rPr>
          <w:rFonts w:ascii="SimSun" w:eastAsia="SimSun" w:hAnsi="SimSun" w:cs="SimSun"/>
          <w:spacing w:val="58"/>
        </w:rPr>
        <w:t xml:space="preserve"> </w:t>
      </w:r>
      <w:r>
        <w:rPr>
          <w:spacing w:val="-1"/>
        </w:rPr>
        <w:t>工作组认</w:t>
      </w:r>
      <w:r>
        <w:t xml:space="preserve">   </w:t>
      </w:r>
      <w:r>
        <w:rPr>
          <w:spacing w:val="-12"/>
        </w:rPr>
        <w:t>为这些患者应该定义为原发性耐药，并且认为在该人群中进行疗效确认是</w:t>
      </w:r>
      <w:r>
        <w:rPr>
          <w:spacing w:val="3"/>
        </w:rPr>
        <w:t xml:space="preserve">   </w:t>
      </w:r>
      <w:r>
        <w:rPr>
          <w:spacing w:val="-6"/>
        </w:rPr>
        <w:t>不必要的。对于曾取得临床获益</w:t>
      </w:r>
      <w:r>
        <w:rPr>
          <w:rFonts w:ascii="Times New Roman" w:eastAsia="Times New Roman" w:hAnsi="Times New Roman" w:cs="Times New Roman"/>
          <w:spacing w:val="-6"/>
        </w:rPr>
        <w:t xml:space="preserve">(PR/CR)    </w:t>
      </w:r>
      <w:r>
        <w:rPr>
          <w:spacing w:val="-6"/>
        </w:rPr>
        <w:t>的患者，可以根据最后一次给</w:t>
      </w:r>
      <w:r>
        <w:rPr>
          <w:spacing w:val="3"/>
        </w:rPr>
        <w:t xml:space="preserve">   </w:t>
      </w:r>
      <w:r>
        <w:rPr>
          <w:spacing w:val="-6"/>
        </w:rPr>
        <w:t>药到</w:t>
      </w:r>
      <w:r>
        <w:rPr>
          <w:rFonts w:ascii="Arial" w:eastAsia="Arial" w:hAnsi="Arial" w:cs="Arial"/>
          <w:spacing w:val="-6"/>
        </w:rPr>
        <w:t xml:space="preserve">PD </w:t>
      </w:r>
      <w:r>
        <w:rPr>
          <w:spacing w:val="-6"/>
        </w:rPr>
        <w:t>的间隔时间划分，在最后一次给药后≤12周内出现的</w:t>
      </w:r>
      <w:r>
        <w:rPr>
          <w:spacing w:val="-62"/>
        </w:rPr>
        <w:t xml:space="preserve"> </w:t>
      </w:r>
      <w:r>
        <w:rPr>
          <w:rFonts w:ascii="Arial" w:eastAsia="Arial" w:hAnsi="Arial" w:cs="Arial"/>
          <w:spacing w:val="-6"/>
        </w:rPr>
        <w:t>PD</w:t>
      </w:r>
      <w:r>
        <w:rPr>
          <w:rFonts w:ascii="Arial" w:eastAsia="Arial" w:hAnsi="Arial" w:cs="Arial"/>
          <w:spacing w:val="-29"/>
        </w:rPr>
        <w:t xml:space="preserve"> </w:t>
      </w:r>
      <w:r>
        <w:rPr>
          <w:spacing w:val="-6"/>
        </w:rPr>
        <w:t>被定义</w:t>
      </w:r>
      <w:r>
        <w:t xml:space="preserve">   </w:t>
      </w:r>
      <w:r>
        <w:rPr>
          <w:spacing w:val="-3"/>
        </w:rPr>
        <w:t>为继发性耐药，并建议进行影像学确认；对于停止治疗12周后</w:t>
      </w:r>
      <w:r>
        <w:rPr>
          <w:spacing w:val="-22"/>
        </w:rPr>
        <w:t xml:space="preserve"> </w:t>
      </w:r>
      <w:r>
        <w:rPr>
          <w:rFonts w:ascii="SimSun" w:eastAsia="SimSun" w:hAnsi="SimSun" w:cs="SimSun"/>
          <w:spacing w:val="-3"/>
        </w:rPr>
        <w:t>PD</w:t>
      </w:r>
      <w:r>
        <w:rPr>
          <w:rFonts w:ascii="SimSun" w:eastAsia="SimSun" w:hAnsi="SimSun" w:cs="SimSun"/>
          <w:spacing w:val="41"/>
        </w:rPr>
        <w:t xml:space="preserve"> </w:t>
      </w:r>
      <w:r>
        <w:rPr>
          <w:spacing w:val="-3"/>
        </w:rPr>
        <w:t>的患</w:t>
      </w:r>
      <w:r>
        <w:t xml:space="preserve">   </w:t>
      </w:r>
      <w:r>
        <w:rPr>
          <w:spacing w:val="-7"/>
        </w:rPr>
        <w:t>者，工作组认为再次使用</w:t>
      </w:r>
      <w:r>
        <w:rPr>
          <w:rFonts w:ascii="SimSun" w:eastAsia="SimSun" w:hAnsi="SimSun" w:cs="SimSun"/>
          <w:spacing w:val="-7"/>
        </w:rPr>
        <w:t>PD-1/PD-L1</w:t>
      </w:r>
      <w:r>
        <w:rPr>
          <w:rFonts w:ascii="SimSun" w:eastAsia="SimSun" w:hAnsi="SimSun" w:cs="SimSun"/>
          <w:spacing w:val="52"/>
        </w:rPr>
        <w:t xml:space="preserve"> </w:t>
      </w:r>
      <w:r>
        <w:rPr>
          <w:spacing w:val="-7"/>
        </w:rPr>
        <w:t>抑制</w:t>
      </w:r>
      <w:r>
        <w:rPr>
          <w:spacing w:val="-8"/>
        </w:rPr>
        <w:t>剂可能会产生潜在的临床获益，</w:t>
      </w:r>
      <w:r>
        <w:t xml:space="preserve"> </w:t>
      </w:r>
      <w:r>
        <w:rPr>
          <w:spacing w:val="-11"/>
        </w:rPr>
        <w:t>因此，此类患者应属于后期进展而非继发性耐药，需要进行免疫重新挑战</w:t>
      </w:r>
      <w:r>
        <w:t xml:space="preserve">   </w:t>
      </w:r>
      <w:r>
        <w:rPr>
          <w:spacing w:val="-2"/>
        </w:rPr>
        <w:t>才能判断是否耐药。然而，对于治疗连续性的要求存在不同观点，2021</w:t>
      </w:r>
      <w:r>
        <w:rPr>
          <w:spacing w:val="-2"/>
        </w:rPr>
        <w:t xml:space="preserve">  </w:t>
      </w:r>
      <w:r>
        <w:rPr>
          <w:spacing w:val="-2"/>
        </w:rPr>
        <w:t>年欧洲肿瘤内科学会</w:t>
      </w:r>
      <w:r>
        <w:rPr>
          <w:rFonts w:ascii="Times New Roman" w:eastAsia="Times New Roman" w:hAnsi="Times New Roman" w:cs="Times New Roman"/>
          <w:spacing w:val="-2"/>
        </w:rPr>
        <w:t>(European   Soci</w:t>
      </w:r>
      <w:r>
        <w:rPr>
          <w:rFonts w:ascii="Times New Roman" w:eastAsia="Times New Roman" w:hAnsi="Times New Roman" w:cs="Times New Roman"/>
          <w:spacing w:val="-3"/>
        </w:rPr>
        <w:t>ety   for</w:t>
      </w:r>
      <w:r>
        <w:rPr>
          <w:rFonts w:ascii="Times New Roman" w:eastAsia="Times New Roman" w:hAnsi="Times New Roman" w:cs="Times New Roman"/>
          <w:spacing w:val="4"/>
        </w:rPr>
        <w:t xml:space="preserve">   </w:t>
      </w:r>
      <w:r>
        <w:rPr>
          <w:rFonts w:ascii="Times New Roman" w:eastAsia="Times New Roman" w:hAnsi="Times New Roman" w:cs="Times New Roman"/>
          <w:spacing w:val="-3"/>
        </w:rPr>
        <w:t>Medical    Oncology   ,ESMO)</w:t>
      </w:r>
    </w:p>
    <w:p>
      <w:pPr>
        <w:pStyle w:val="BodyText"/>
        <w:spacing w:before="1" w:line="220" w:lineRule="auto"/>
        <w:ind w:left="13"/>
        <w:rPr>
          <w:rFonts w:ascii="SimSun" w:eastAsia="SimSun" w:hAnsi="SimSun" w:cs="SimSun"/>
        </w:rPr>
      </w:pPr>
      <w:r>
        <w:rPr>
          <w:spacing w:val="-2"/>
        </w:rPr>
        <w:t>对于继发性耐药的定义中要求末次抗</w:t>
      </w:r>
      <w:r>
        <w:rPr>
          <w:spacing w:val="-75"/>
        </w:rPr>
        <w:t xml:space="preserve"> </w:t>
      </w:r>
      <w:r>
        <w:rPr>
          <w:rFonts w:ascii="SimSun" w:eastAsia="SimSun" w:hAnsi="SimSun" w:cs="SimSun"/>
          <w:spacing w:val="-2"/>
        </w:rPr>
        <w:t>PD-1/PD-L1</w:t>
      </w:r>
      <w:r>
        <w:rPr>
          <w:rFonts w:ascii="SimSun" w:eastAsia="SimSun" w:hAnsi="SimSun" w:cs="SimSun"/>
          <w:spacing w:val="61"/>
        </w:rPr>
        <w:t xml:space="preserve"> </w:t>
      </w:r>
      <w:r>
        <w:rPr>
          <w:spacing w:val="-2"/>
        </w:rPr>
        <w:t>治疗后超过</w:t>
      </w:r>
      <w:r>
        <w:rPr>
          <w:spacing w:val="-3"/>
        </w:rPr>
        <w:t>6个月</w:t>
      </w:r>
      <w:r>
        <w:rPr>
          <w:spacing w:val="-54"/>
        </w:rPr>
        <w:t xml:space="preserve"> </w:t>
      </w:r>
      <w:r>
        <w:rPr>
          <w:rFonts w:ascii="SimSun" w:eastAsia="SimSun" w:hAnsi="SimSun" w:cs="SimSun"/>
          <w:spacing w:val="-3"/>
        </w:rPr>
        <w:t>PD</w:t>
      </w:r>
    </w:p>
    <w:p>
      <w:pPr>
        <w:pStyle w:val="BodyText"/>
        <w:spacing w:before="283" w:line="427" w:lineRule="auto"/>
        <w:ind w:left="13" w:right="261"/>
      </w:pPr>
      <w:r>
        <w:rPr>
          <w:spacing w:val="-5"/>
        </w:rPr>
        <w:t>的患者，需要有再次抗</w:t>
      </w:r>
      <w:r>
        <w:rPr>
          <w:spacing w:val="-5"/>
        </w:rPr>
        <w:t xml:space="preserve"> </w:t>
      </w:r>
      <w:r>
        <w:rPr>
          <w:rFonts w:ascii="SimSun" w:eastAsia="SimSun" w:hAnsi="SimSun" w:cs="SimSun"/>
          <w:spacing w:val="-5"/>
        </w:rPr>
        <w:t xml:space="preserve">PD-1/PD-L1  </w:t>
      </w:r>
      <w:r>
        <w:rPr>
          <w:spacing w:val="-5"/>
        </w:rPr>
        <w:t>治</w:t>
      </w:r>
      <w:r>
        <w:rPr>
          <w:spacing w:val="-6"/>
        </w:rPr>
        <w:t>疗史[6</w:t>
      </w:r>
      <w:r>
        <w:rPr>
          <w:spacing w:val="-6"/>
        </w:rPr>
        <w:t xml:space="preserve"> </w:t>
      </w:r>
      <w:r>
        <w:rPr>
          <w:spacing w:val="-6"/>
        </w:rPr>
        <w:t>]。然而以上定义仅针对</w:t>
      </w:r>
      <w:r>
        <w:t xml:space="preserve"> </w:t>
      </w:r>
      <w:r>
        <w:rPr>
          <w:rFonts w:ascii="SimSun" w:eastAsia="SimSun" w:hAnsi="SimSun" w:cs="SimSun"/>
          <w:spacing w:val="-7"/>
        </w:rPr>
        <w:t>PD-1/PD-L1</w:t>
      </w:r>
      <w:r>
        <w:rPr>
          <w:rFonts w:ascii="SimSun" w:eastAsia="SimSun" w:hAnsi="SimSun" w:cs="SimSun"/>
          <w:spacing w:val="42"/>
        </w:rPr>
        <w:t xml:space="preserve"> </w:t>
      </w:r>
      <w:r>
        <w:rPr>
          <w:spacing w:val="-7"/>
        </w:rPr>
        <w:t>免疫单药治疗的患者，目前，以免疫为基</w:t>
      </w:r>
      <w:r>
        <w:rPr>
          <w:spacing w:val="-8"/>
        </w:rPr>
        <w:t>础的联合治疗广泛</w:t>
      </w:r>
      <w:r>
        <w:t xml:space="preserve"> </w:t>
      </w:r>
      <w:r>
        <w:rPr>
          <w:spacing w:val="-14"/>
        </w:rPr>
        <w:t>应用,包括免疫与化疗联合、免疫与免疫联合以及免疫与靶向的联合。2023</w:t>
      </w:r>
    </w:p>
    <w:p>
      <w:pPr>
        <w:pStyle w:val="BodyText"/>
        <w:spacing w:before="1" w:line="220" w:lineRule="auto"/>
        <w:ind w:left="13"/>
      </w:pPr>
      <w:r>
        <w:rPr>
          <w:spacing w:val="7"/>
        </w:rPr>
        <w:t>年</w:t>
      </w:r>
      <w:r>
        <w:rPr>
          <w:spacing w:val="-68"/>
        </w:rPr>
        <w:t xml:space="preserve"> </w:t>
      </w:r>
      <w:r>
        <w:rPr>
          <w:rFonts w:ascii="SimSun" w:eastAsia="SimSun" w:hAnsi="SimSun" w:cs="SimSun"/>
        </w:rPr>
        <w:t>SITC</w:t>
      </w:r>
      <w:r>
        <w:rPr>
          <w:spacing w:val="7"/>
        </w:rPr>
        <w:t>分别发布了以上免疫联合治疗耐药的定义[7,8,9]</w:t>
      </w:r>
    </w:p>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BodyText"/>
        <w:spacing w:before="88" w:line="222" w:lineRule="auto"/>
        <w:ind w:left="13"/>
      </w:pPr>
      <w:r>
        <w:rPr>
          <w:spacing w:val="-11"/>
        </w:rPr>
        <w:t>二、免疫治疗联合化疗耐药</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431" w:lineRule="auto"/>
        <w:ind w:left="13" w:right="167"/>
        <w:jc w:val="both"/>
      </w:pPr>
      <w:r>
        <w:rPr>
          <w:spacing w:val="-4"/>
        </w:rPr>
        <w:t>免疫联合化疗的耐药同样分为原发性耐药和继发性耐药(或迟发性耐药),</w:t>
      </w:r>
      <w:r>
        <w:rPr>
          <w:spacing w:val="13"/>
        </w:rPr>
        <w:t xml:space="preserve"> </w:t>
      </w:r>
      <w:r>
        <w:rPr>
          <w:spacing w:val="19"/>
        </w:rPr>
        <w:t>原发性耐药是指接受6~8周(或2个周期)的治疗(快</w:t>
      </w:r>
      <w:r>
        <w:rPr>
          <w:spacing w:val="18"/>
        </w:rPr>
        <w:t>速进展的患者不</w:t>
      </w:r>
    </w:p>
    <w:p>
      <w:pPr>
        <w:pStyle w:val="BodyText"/>
        <w:spacing w:before="1" w:line="220" w:lineRule="auto"/>
        <w:ind w:left="13"/>
      </w:pPr>
      <w:r>
        <w:rPr>
          <w:spacing w:val="2"/>
        </w:rPr>
        <w:t>要求暴露时间)并在6个月内出现的</w:t>
      </w:r>
      <w:r>
        <w:rPr>
          <w:spacing w:val="-49"/>
        </w:rPr>
        <w:t xml:space="preserve"> </w:t>
      </w:r>
      <w:r>
        <w:rPr>
          <w:rFonts w:ascii="SimSun" w:eastAsia="SimSun" w:hAnsi="SimSun" w:cs="SimSun"/>
        </w:rPr>
        <w:t>PD</w:t>
      </w:r>
      <w:r>
        <w:rPr>
          <w:rFonts w:ascii="SimSun" w:eastAsia="SimSun" w:hAnsi="SimSun" w:cs="SimSun"/>
          <w:spacing w:val="2"/>
        </w:rPr>
        <w:t>;</w:t>
      </w:r>
      <w:r>
        <w:rPr>
          <w:rFonts w:ascii="SimSun" w:eastAsia="SimSun" w:hAnsi="SimSun" w:cs="SimSun"/>
          <w:spacing w:val="56"/>
        </w:rPr>
        <w:t xml:space="preserve"> </w:t>
      </w:r>
      <w:r>
        <w:rPr>
          <w:spacing w:val="2"/>
        </w:rPr>
        <w:t>继发性耐药或迟发性耐药是指</w:t>
      </w:r>
    </w:p>
    <w:p>
      <w:pPr>
        <w:spacing w:line="220" w:lineRule="auto"/>
        <w:sectPr>
          <w:pgSz w:w="11910" w:h="16840"/>
          <w:pgMar w:top="1431" w:right="1555" w:bottom="0" w:left="1786" w:header="0" w:footer="0" w:gutter="0"/>
          <w:pgNumType w:start="8"/>
          <w:cols w:space="708"/>
        </w:sectPr>
      </w:pPr>
    </w:p>
    <w:p>
      <w:pPr>
        <w:pStyle w:val="BodyText"/>
        <w:spacing w:before="172" w:line="426" w:lineRule="auto"/>
        <w:ind w:left="30" w:right="18"/>
        <w:jc w:val="both"/>
      </w:pPr>
      <w:r>
        <w:rPr>
          <w:spacing w:val="-4"/>
        </w:rPr>
        <w:t>初始治疗6个月以上出现的</w:t>
      </w:r>
      <w:r>
        <w:rPr>
          <w:spacing w:val="-39"/>
        </w:rPr>
        <w:t xml:space="preserve"> </w:t>
      </w:r>
      <w:r>
        <w:rPr>
          <w:rFonts w:ascii="Arial" w:eastAsia="Arial" w:hAnsi="Arial" w:cs="Arial"/>
          <w:spacing w:val="-4"/>
        </w:rPr>
        <w:t>PD</w:t>
      </w:r>
      <w:r>
        <w:rPr>
          <w:rFonts w:ascii="SimSun" w:eastAsia="SimSun" w:hAnsi="SimSun" w:cs="SimSun"/>
          <w:spacing w:val="-4"/>
        </w:rPr>
        <w:t>。</w:t>
      </w:r>
      <w:r>
        <w:rPr>
          <w:spacing w:val="-4"/>
        </w:rPr>
        <w:t>由于细胞毒性化疗的假进展</w:t>
      </w:r>
      <w:r>
        <w:rPr>
          <w:spacing w:val="-5"/>
        </w:rPr>
        <w:t>相对罕见，</w:t>
      </w:r>
      <w:r>
        <w:t xml:space="preserve"> </w:t>
      </w:r>
      <w:r>
        <w:rPr>
          <w:spacing w:val="-11"/>
        </w:rPr>
        <w:t>且为了在后续临床试验中避免不必要的复杂入组标准，因此，免疫联合化</w:t>
      </w:r>
      <w:r>
        <w:rPr>
          <w:spacing w:val="1"/>
        </w:rPr>
        <w:t xml:space="preserve"> </w:t>
      </w:r>
      <w:r>
        <w:rPr>
          <w:spacing w:val="-15"/>
        </w:rPr>
        <w:t>疗进展后不需要再次确认。对于转移性患者停止免疫-化疗联合治疗后的耐</w:t>
      </w:r>
      <w:r>
        <w:rPr>
          <w:spacing w:val="10"/>
        </w:rPr>
        <w:t xml:space="preserve"> </w:t>
      </w:r>
      <w:r>
        <w:rPr>
          <w:spacing w:val="-15"/>
        </w:rPr>
        <w:t>药</w:t>
      </w:r>
      <w:r>
        <w:rPr>
          <w:spacing w:val="-57"/>
        </w:rPr>
        <w:t xml:space="preserve"> </w:t>
      </w:r>
      <w:r>
        <w:rPr>
          <w:spacing w:val="-15"/>
        </w:rPr>
        <w:t>，</w:t>
      </w:r>
      <w:r>
        <w:rPr>
          <w:rFonts w:ascii="SimSun" w:eastAsia="SimSun" w:hAnsi="SimSun" w:cs="SimSun"/>
          <w:spacing w:val="-15"/>
        </w:rPr>
        <w:t>SITC</w:t>
      </w:r>
      <w:r>
        <w:rPr>
          <w:rFonts w:ascii="SimSun" w:eastAsia="SimSun" w:hAnsi="SimSun" w:cs="SimSun"/>
          <w:spacing w:val="-43"/>
        </w:rPr>
        <w:t xml:space="preserve"> </w:t>
      </w:r>
      <w:r>
        <w:rPr>
          <w:spacing w:val="-15"/>
        </w:rPr>
        <w:t>工作组认为因治疗毒性而停止治疗不应包括在耐</w:t>
      </w:r>
      <w:r>
        <w:rPr>
          <w:spacing w:val="-16"/>
        </w:rPr>
        <w:t>药定义中，对于</w:t>
      </w:r>
      <w:r>
        <w:t xml:space="preserve"> </w:t>
      </w:r>
      <w:r>
        <w:rPr>
          <w:spacing w:val="-11"/>
        </w:rPr>
        <w:t>除外毒性原因而停止治疗后出现复发的患者，没有确立统一的适用于各种</w:t>
      </w:r>
    </w:p>
    <w:p>
      <w:pPr>
        <w:pStyle w:val="BodyText"/>
        <w:spacing w:before="1" w:line="220" w:lineRule="auto"/>
      </w:pPr>
      <w:r>
        <w:rPr>
          <w:spacing w:val="-4"/>
        </w:rPr>
        <w:t>疾病状态的耐药定义[7</w:t>
      </w:r>
      <w:r>
        <w:rPr>
          <w:spacing w:val="-4"/>
        </w:rPr>
        <w:t xml:space="preserve"> </w:t>
      </w:r>
      <w:r>
        <w:rPr>
          <w:spacing w:val="-4"/>
        </w:rPr>
        <w:t>]。</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BodyText"/>
        <w:spacing w:before="88" w:line="222" w:lineRule="auto"/>
        <w:ind w:left="30"/>
      </w:pPr>
      <w:r>
        <w:rPr>
          <w:spacing w:val="-11"/>
        </w:rPr>
        <w:t>三、免疫-免疫联合治疗耐药</w:t>
      </w: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88" w:line="424" w:lineRule="auto"/>
        <w:ind w:left="30" w:right="6"/>
        <w:jc w:val="both"/>
      </w:pPr>
      <w:r>
        <w:rPr>
          <w:spacing w:val="-10"/>
        </w:rPr>
        <w:t>对于免疫-免疫联合治疗的耐药，</w:t>
      </w:r>
      <w:r>
        <w:rPr>
          <w:rFonts w:ascii="SimSun" w:eastAsia="SimSun" w:hAnsi="SimSun" w:cs="SimSun"/>
          <w:spacing w:val="-10"/>
        </w:rPr>
        <w:t xml:space="preserve">SITC </w:t>
      </w:r>
      <w:r>
        <w:rPr>
          <w:spacing w:val="-10"/>
        </w:rPr>
        <w:t>工作组同样划分为原发性耐药、继</w:t>
      </w:r>
      <w:r>
        <w:t xml:space="preserve"> </w:t>
      </w:r>
      <w:r>
        <w:rPr>
          <w:spacing w:val="-8"/>
        </w:rPr>
        <w:t>发性耐药和中断治疗后</w:t>
      </w:r>
      <w:r>
        <w:rPr>
          <w:spacing w:val="-73"/>
        </w:rPr>
        <w:t xml:space="preserve"> </w:t>
      </w:r>
      <w:r>
        <w:rPr>
          <w:rFonts w:ascii="SimSun" w:eastAsia="SimSun" w:hAnsi="SimSun" w:cs="SimSun"/>
          <w:spacing w:val="-8"/>
        </w:rPr>
        <w:t>PD。</w:t>
      </w:r>
      <w:r>
        <w:rPr>
          <w:spacing w:val="-8"/>
        </w:rPr>
        <w:t>免疫联合治疗的原发性耐</w:t>
      </w:r>
      <w:r>
        <w:rPr>
          <w:spacing w:val="-9"/>
        </w:rPr>
        <w:t>药定义为接受至少2</w:t>
      </w:r>
      <w:r>
        <w:t xml:space="preserve"> </w:t>
      </w:r>
      <w:r>
        <w:rPr>
          <w:spacing w:val="12"/>
        </w:rPr>
        <w:t>周期(或6~12周)的联合治疗，对初始治疗缺乏应答(疗效评估为</w:t>
      </w:r>
      <w:r>
        <w:rPr>
          <w:spacing w:val="-13"/>
        </w:rPr>
        <w:t xml:space="preserve"> </w:t>
      </w:r>
      <w:r>
        <w:rPr>
          <w:rFonts w:ascii="SimSun" w:eastAsia="SimSun" w:hAnsi="SimSun" w:cs="SimSun"/>
        </w:rPr>
        <w:t>PD</w:t>
      </w:r>
      <w:r>
        <w:rPr>
          <w:rFonts w:ascii="SimSun" w:eastAsia="SimSun" w:hAnsi="SimSun" w:cs="SimSun"/>
          <w:spacing w:val="12"/>
        </w:rPr>
        <w:t xml:space="preserve"> </w:t>
      </w:r>
      <w:r>
        <w:t>或</w:t>
      </w:r>
      <w:r>
        <w:rPr>
          <w:spacing w:val="-49"/>
        </w:rPr>
        <w:t xml:space="preserve"> </w:t>
      </w:r>
      <w:r>
        <w:rPr>
          <w:rFonts w:ascii="Arial" w:eastAsia="Arial" w:hAnsi="Arial" w:cs="Arial"/>
        </w:rPr>
        <w:t xml:space="preserve">SD),6   </w:t>
      </w:r>
      <w:r>
        <w:t>个月内出现的</w:t>
      </w:r>
      <w:r>
        <w:rPr>
          <w:spacing w:val="-54"/>
        </w:rPr>
        <w:t xml:space="preserve"> </w:t>
      </w:r>
      <w:r>
        <w:rPr>
          <w:rFonts w:ascii="Arial" w:eastAsia="Arial" w:hAnsi="Arial" w:cs="Arial"/>
        </w:rPr>
        <w:t xml:space="preserve">PD;  </w:t>
      </w:r>
      <w:r>
        <w:t>继发性耐药定义为联合</w:t>
      </w:r>
      <w:r>
        <w:rPr>
          <w:spacing w:val="-1"/>
        </w:rPr>
        <w:t>治疗时间超过6个</w:t>
      </w:r>
      <w:r>
        <w:t xml:space="preserve"> </w:t>
      </w:r>
      <w:r>
        <w:rPr>
          <w:spacing w:val="-8"/>
        </w:rPr>
        <w:t>月，疗效评估为</w:t>
      </w:r>
      <w:r>
        <w:rPr>
          <w:spacing w:val="-32"/>
        </w:rPr>
        <w:t xml:space="preserve"> </w:t>
      </w:r>
      <w:r>
        <w:rPr>
          <w:rFonts w:ascii="SimSun" w:eastAsia="SimSun" w:hAnsi="SimSun" w:cs="SimSun"/>
          <w:spacing w:val="-8"/>
        </w:rPr>
        <w:t xml:space="preserve">CR/PR/SD,6   </w:t>
      </w:r>
      <w:r>
        <w:rPr>
          <w:spacing w:val="-8"/>
        </w:rPr>
        <w:t>个月后出现的</w:t>
      </w:r>
      <w:r>
        <w:rPr>
          <w:spacing w:val="-8"/>
        </w:rPr>
        <w:t xml:space="preserve"> </w:t>
      </w:r>
      <w:r>
        <w:rPr>
          <w:rFonts w:ascii="SimSun" w:eastAsia="SimSun" w:hAnsi="SimSun" w:cs="SimSun"/>
          <w:spacing w:val="-8"/>
        </w:rPr>
        <w:t xml:space="preserve">PD。 </w:t>
      </w:r>
      <w:r>
        <w:rPr>
          <w:spacing w:val="-8"/>
        </w:rPr>
        <w:t>如果患者临床状况稳</w:t>
      </w:r>
      <w:r>
        <w:t xml:space="preserve"> </w:t>
      </w:r>
      <w:r>
        <w:rPr>
          <w:spacing w:val="-7"/>
        </w:rPr>
        <w:t>定，均要求在至少4周后进行再次影像确认。对于转移性疾病中断治疗后</w:t>
      </w:r>
      <w:r>
        <w:rPr>
          <w:spacing w:val="15"/>
        </w:rPr>
        <w:t xml:space="preserve"> </w:t>
      </w:r>
      <w:r>
        <w:rPr>
          <w:spacing w:val="-9"/>
        </w:rPr>
        <w:t>出现的</w:t>
      </w:r>
      <w:r>
        <w:rPr>
          <w:spacing w:val="-20"/>
        </w:rPr>
        <w:t xml:space="preserve"> </w:t>
      </w:r>
      <w:r>
        <w:rPr>
          <w:rFonts w:ascii="SimSun" w:eastAsia="SimSun" w:hAnsi="SimSun" w:cs="SimSun"/>
          <w:spacing w:val="-9"/>
        </w:rPr>
        <w:t>PD,</w:t>
      </w:r>
      <w:r>
        <w:rPr>
          <w:rFonts w:ascii="SimSun" w:eastAsia="SimSun" w:hAnsi="SimSun" w:cs="SimSun"/>
          <w:spacing w:val="76"/>
        </w:rPr>
        <w:t xml:space="preserve"> </w:t>
      </w:r>
      <w:r>
        <w:rPr>
          <w:spacing w:val="-9"/>
        </w:rPr>
        <w:t>耐药的定义取决于停止治疗后的进展时间。如果患者具备足</w:t>
      </w:r>
      <w:r>
        <w:t xml:space="preserve"> </w:t>
      </w:r>
      <w:r>
        <w:rPr>
          <w:spacing w:val="10"/>
        </w:rPr>
        <w:t>够的药物暴露时间(即2个周期或6~12周)且在最后一次给药后≤12周</w:t>
      </w:r>
      <w:r>
        <w:rPr>
          <w:spacing w:val="7"/>
        </w:rPr>
        <w:t xml:space="preserve"> </w:t>
      </w:r>
      <w:r>
        <w:rPr>
          <w:spacing w:val="-15"/>
        </w:rPr>
        <w:t>出现肿瘤进展，定义为原发性耐药。对于连续给药的免疫检查点抑制剂(双</w:t>
      </w:r>
      <w:r>
        <w:rPr>
          <w:spacing w:val="6"/>
        </w:rPr>
        <w:t xml:space="preserve"> </w:t>
      </w:r>
      <w:r>
        <w:rPr>
          <w:spacing w:val="-2"/>
        </w:rPr>
        <w:t>免疫检查点抑制剂),在两种药物最后一次给药后≤12周的</w:t>
      </w:r>
      <w:r>
        <w:rPr>
          <w:spacing w:val="-38"/>
        </w:rPr>
        <w:t xml:space="preserve"> </w:t>
      </w:r>
      <w:r>
        <w:rPr>
          <w:rFonts w:ascii="Times New Roman" w:eastAsia="Times New Roman" w:hAnsi="Times New Roman" w:cs="Times New Roman"/>
          <w:spacing w:val="-2"/>
        </w:rPr>
        <w:t>PD</w:t>
      </w:r>
      <w:r>
        <w:rPr>
          <w:rFonts w:ascii="Times New Roman" w:eastAsia="Times New Roman" w:hAnsi="Times New Roman" w:cs="Times New Roman"/>
          <w:spacing w:val="42"/>
          <w:w w:val="101"/>
        </w:rPr>
        <w:t xml:space="preserve"> </w:t>
      </w:r>
      <w:r>
        <w:rPr>
          <w:spacing w:val="-2"/>
        </w:rPr>
        <w:t>应被视为</w:t>
      </w:r>
      <w:r>
        <w:t xml:space="preserve"> </w:t>
      </w:r>
      <w:r>
        <w:rPr>
          <w:spacing w:val="-7"/>
        </w:rPr>
        <w:t>对联合用药的耐药。对于诱导方案(即一种药物给药数周期后然后给予单</w:t>
      </w:r>
      <w:r>
        <w:rPr>
          <w:spacing w:val="14"/>
        </w:rPr>
        <w:t xml:space="preserve"> </w:t>
      </w:r>
      <w:r>
        <w:rPr>
          <w:spacing w:val="-2"/>
        </w:rPr>
        <w:t>药维持治疗),在最后一次给药后≤12周的</w:t>
      </w:r>
      <w:r>
        <w:rPr>
          <w:spacing w:val="-45"/>
        </w:rPr>
        <w:t xml:space="preserve"> </w:t>
      </w:r>
      <w:r>
        <w:rPr>
          <w:rFonts w:ascii="SimSun" w:eastAsia="SimSun" w:hAnsi="SimSun" w:cs="SimSun"/>
          <w:spacing w:val="-2"/>
        </w:rPr>
        <w:t>PD</w:t>
      </w:r>
      <w:r>
        <w:rPr>
          <w:rFonts w:ascii="SimSun" w:eastAsia="SimSun" w:hAnsi="SimSun" w:cs="SimSun"/>
          <w:spacing w:val="51"/>
        </w:rPr>
        <w:t xml:space="preserve"> </w:t>
      </w:r>
      <w:r>
        <w:rPr>
          <w:spacing w:val="-2"/>
        </w:rPr>
        <w:t>应定义为对单药治疗的耐</w:t>
      </w:r>
    </w:p>
    <w:p>
      <w:pPr>
        <w:pStyle w:val="BodyText"/>
        <w:spacing w:before="1" w:line="214" w:lineRule="auto"/>
        <w:ind w:left="30"/>
      </w:pPr>
      <w:r>
        <w:t>药。如果达到</w:t>
      </w:r>
      <w:r>
        <w:rPr>
          <w:rFonts w:ascii="Arial" w:eastAsia="Arial" w:hAnsi="Arial" w:cs="Arial"/>
        </w:rPr>
        <w:t>CR</w:t>
      </w:r>
      <w:r>
        <w:t>或</w:t>
      </w:r>
      <w:r>
        <w:rPr>
          <w:spacing w:val="-29"/>
        </w:rPr>
        <w:t xml:space="preserve"> </w:t>
      </w:r>
      <w:r>
        <w:rPr>
          <w:rFonts w:ascii="Arial" w:eastAsia="Arial" w:hAnsi="Arial" w:cs="Arial"/>
        </w:rPr>
        <w:t>PR</w:t>
      </w:r>
      <w:r>
        <w:t>且停药12周后出现</w:t>
      </w:r>
      <w:r>
        <w:rPr>
          <w:spacing w:val="-54"/>
        </w:rPr>
        <w:t xml:space="preserve"> </w:t>
      </w:r>
      <w:r>
        <w:rPr>
          <w:rFonts w:ascii="Arial" w:eastAsia="Arial" w:hAnsi="Arial" w:cs="Arial"/>
        </w:rPr>
        <w:t xml:space="preserve">PD,  </w:t>
      </w:r>
      <w:r>
        <w:t>则需要根据再次挑</w:t>
      </w:r>
      <w:r>
        <w:rPr>
          <w:spacing w:val="-1"/>
        </w:rPr>
        <w:t>战来</w:t>
      </w:r>
    </w:p>
    <w:p>
      <w:pPr>
        <w:spacing w:line="214" w:lineRule="auto"/>
        <w:sectPr>
          <w:pgSz w:w="11910" w:h="16840"/>
          <w:pgMar w:top="1431" w:right="1786" w:bottom="0" w:left="1769" w:header="0" w:footer="0" w:gutter="0"/>
          <w:pgNumType w:start="9"/>
          <w:cols w:space="708"/>
        </w:sectPr>
      </w:pPr>
    </w:p>
    <w:p>
      <w:pPr>
        <w:pStyle w:val="BodyText"/>
        <w:spacing w:before="207" w:line="221" w:lineRule="auto"/>
      </w:pPr>
      <w:r>
        <w:rPr>
          <w:spacing w:val="1"/>
        </w:rPr>
        <w:t>评估耐药类型[8</w:t>
      </w:r>
      <w:r>
        <w:rPr>
          <w:spacing w:val="1"/>
        </w:rPr>
        <w:t xml:space="preserve"> </w:t>
      </w:r>
      <w:r>
        <w:rPr>
          <w:spacing w:val="1"/>
        </w:rPr>
        <w:t>].</w:t>
      </w:r>
    </w:p>
    <w:p>
      <w:pPr>
        <w:pStyle w:val="BodyText"/>
        <w:spacing w:before="277" w:line="222" w:lineRule="auto"/>
      </w:pPr>
      <w:r>
        <w:rPr>
          <w:spacing w:val="-18"/>
        </w:rPr>
        <w:t>四</w:t>
      </w:r>
      <w:r>
        <w:rPr>
          <w:spacing w:val="-58"/>
        </w:rPr>
        <w:t xml:space="preserve"> </w:t>
      </w:r>
      <w:r>
        <w:rPr>
          <w:spacing w:val="-18"/>
        </w:rPr>
        <w:t>、免疫联合靶向治疗耐药</w:t>
      </w: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BodyText"/>
        <w:spacing w:before="88" w:line="424" w:lineRule="auto"/>
        <w:ind w:right="113"/>
      </w:pPr>
      <w:r>
        <w:rPr>
          <w:rFonts w:ascii="Arial" w:eastAsia="Arial" w:hAnsi="Arial" w:cs="Arial"/>
          <w:spacing w:val="-9"/>
        </w:rPr>
        <w:t>SITC</w:t>
      </w:r>
      <w:r>
        <w:rPr>
          <w:rFonts w:ascii="Arial" w:eastAsia="Arial" w:hAnsi="Arial" w:cs="Arial"/>
          <w:spacing w:val="56"/>
        </w:rPr>
        <w:t xml:space="preserve"> </w:t>
      </w:r>
      <w:r>
        <w:rPr>
          <w:spacing w:val="-9"/>
        </w:rPr>
        <w:t>免疫耐药工作组同样制定了免疫联合靶向治疗</w:t>
      </w:r>
      <w:r>
        <w:rPr>
          <w:spacing w:val="-10"/>
        </w:rPr>
        <w:t>原发耐药和继发耐药</w:t>
      </w:r>
      <w:r>
        <w:t xml:space="preserve"> </w:t>
      </w:r>
      <w:r>
        <w:rPr>
          <w:spacing w:val="-7"/>
        </w:rPr>
        <w:t>的定义，这种联合治疗模式包括已获批用于恶性黑色</w:t>
      </w:r>
      <w:r>
        <w:rPr>
          <w:spacing w:val="-8"/>
        </w:rPr>
        <w:t>素瘤的</w:t>
      </w:r>
      <w:r>
        <w:rPr>
          <w:spacing w:val="-8"/>
        </w:rPr>
        <w:t xml:space="preserve"> </w:t>
      </w:r>
      <w:r>
        <w:rPr>
          <w:rFonts w:ascii="Times New Roman" w:eastAsia="Times New Roman" w:hAnsi="Times New Roman" w:cs="Times New Roman"/>
          <w:spacing w:val="-8"/>
        </w:rPr>
        <w:t>BRAF/MEK</w:t>
      </w:r>
      <w:r>
        <w:rPr>
          <w:rFonts w:ascii="Times New Roman" w:eastAsia="Times New Roman" w:hAnsi="Times New Roman" w:cs="Times New Roman"/>
        </w:rPr>
        <w:t xml:space="preserve"> </w:t>
      </w:r>
      <w:r>
        <w:rPr>
          <w:spacing w:val="-11"/>
        </w:rPr>
        <w:t>抑制剂与免疫检查点抑制剂的联合、用于肾癌和子宫内膜癌的血管内皮生</w:t>
      </w:r>
      <w:r>
        <w:rPr>
          <w:spacing w:val="12"/>
        </w:rPr>
        <w:t xml:space="preserve"> </w:t>
      </w:r>
      <w:r>
        <w:rPr>
          <w:spacing w:val="5"/>
        </w:rPr>
        <w:t>长因子</w:t>
      </w:r>
      <w:r>
        <w:rPr>
          <w:rFonts w:ascii="Arial" w:eastAsia="Arial" w:hAnsi="Arial" w:cs="Arial"/>
          <w:spacing w:val="5"/>
        </w:rPr>
        <w:t>(</w:t>
      </w:r>
      <w:r>
        <w:rPr>
          <w:rFonts w:ascii="Arial" w:eastAsia="Arial" w:hAnsi="Arial" w:cs="Arial"/>
        </w:rPr>
        <w:t>vascular</w:t>
      </w:r>
      <w:r>
        <w:rPr>
          <w:rFonts w:ascii="Arial" w:eastAsia="Arial" w:hAnsi="Arial" w:cs="Arial"/>
          <w:spacing w:val="5"/>
        </w:rPr>
        <w:t xml:space="preserve">   </w:t>
      </w:r>
      <w:r>
        <w:rPr>
          <w:rFonts w:ascii="Arial" w:eastAsia="Arial" w:hAnsi="Arial" w:cs="Arial"/>
        </w:rPr>
        <w:t>endothelial</w:t>
      </w:r>
      <w:r>
        <w:rPr>
          <w:rFonts w:ascii="Arial" w:eastAsia="Arial" w:hAnsi="Arial" w:cs="Arial"/>
          <w:spacing w:val="13"/>
        </w:rPr>
        <w:t xml:space="preserve">   </w:t>
      </w:r>
      <w:r>
        <w:rPr>
          <w:rFonts w:ascii="Arial" w:eastAsia="Arial" w:hAnsi="Arial" w:cs="Arial"/>
        </w:rPr>
        <w:t>growth</w:t>
      </w:r>
      <w:r>
        <w:rPr>
          <w:rFonts w:ascii="Arial" w:eastAsia="Arial" w:hAnsi="Arial" w:cs="Arial"/>
          <w:spacing w:val="5"/>
        </w:rPr>
        <w:t xml:space="preserve">   </w:t>
      </w:r>
      <w:r>
        <w:rPr>
          <w:rFonts w:ascii="Arial" w:eastAsia="Arial" w:hAnsi="Arial" w:cs="Arial"/>
        </w:rPr>
        <w:t>factor</w:t>
      </w:r>
      <w:r>
        <w:rPr>
          <w:rFonts w:ascii="Arial" w:eastAsia="Arial" w:hAnsi="Arial" w:cs="Arial"/>
          <w:spacing w:val="5"/>
        </w:rPr>
        <w:t>,</w:t>
      </w:r>
      <w:r>
        <w:rPr>
          <w:rFonts w:ascii="Arial" w:eastAsia="Arial" w:hAnsi="Arial" w:cs="Arial"/>
        </w:rPr>
        <w:t>VEGF</w:t>
      </w:r>
      <w:r>
        <w:rPr>
          <w:rFonts w:ascii="Arial" w:eastAsia="Arial" w:hAnsi="Arial" w:cs="Arial"/>
          <w:spacing w:val="5"/>
        </w:rPr>
        <w:t>)</w:t>
      </w:r>
      <w:r>
        <w:rPr>
          <w:rFonts w:ascii="Arial" w:eastAsia="Arial" w:hAnsi="Arial" w:cs="Arial"/>
          <w:spacing w:val="-15"/>
        </w:rPr>
        <w:t xml:space="preserve"> </w:t>
      </w:r>
      <w:r>
        <w:rPr>
          <w:spacing w:val="5"/>
        </w:rPr>
        <w:t>受体1</w:t>
      </w:r>
      <w:r>
        <w:rPr>
          <w:spacing w:val="-70"/>
        </w:rPr>
        <w:t xml:space="preserve"> </w:t>
      </w:r>
      <w:r>
        <w:rPr>
          <w:spacing w:val="5"/>
        </w:rPr>
        <w:t>酪氨酸激</w:t>
      </w:r>
      <w:r>
        <w:t xml:space="preserve"> </w:t>
      </w:r>
      <w:r>
        <w:rPr>
          <w:spacing w:val="-11"/>
        </w:rPr>
        <w:t>酶抑制剂与免疫检查点抑制剂的联合，以及肝癌中获批的抗血管生成药物</w:t>
      </w:r>
      <w:r>
        <w:rPr>
          <w:spacing w:val="4"/>
        </w:rPr>
        <w:t xml:space="preserve"> </w:t>
      </w:r>
      <w:r>
        <w:rPr>
          <w:spacing w:val="-9"/>
        </w:rPr>
        <w:t>贝伐珠单抗与免疫检查点抑制剂的联合。该定义中对药物暴露时间和</w:t>
      </w:r>
      <w:r>
        <w:rPr>
          <w:spacing w:val="-9"/>
        </w:rPr>
        <w:t xml:space="preserve"> </w:t>
      </w:r>
      <w:r>
        <w:rPr>
          <w:rFonts w:ascii="Times New Roman" w:eastAsia="Times New Roman" w:hAnsi="Times New Roman" w:cs="Times New Roman"/>
          <w:spacing w:val="-9"/>
        </w:rPr>
        <w:t>PD</w:t>
      </w:r>
      <w:r>
        <w:rPr>
          <w:rFonts w:ascii="Times New Roman" w:eastAsia="Times New Roman" w:hAnsi="Times New Roman" w:cs="Times New Roman"/>
          <w:spacing w:val="6"/>
        </w:rPr>
        <w:t xml:space="preserve"> </w:t>
      </w:r>
      <w:r>
        <w:rPr>
          <w:spacing w:val="-15"/>
        </w:rPr>
        <w:t>时间的限定与免疫-免疫联合治疗基本一致，不一致的地方在于，免疫联合</w:t>
      </w:r>
      <w:r>
        <w:rPr>
          <w:spacing w:val="11"/>
        </w:rPr>
        <w:t xml:space="preserve"> </w:t>
      </w:r>
      <w:r>
        <w:rPr>
          <w:spacing w:val="-8"/>
        </w:rPr>
        <w:t>靶向治疗的患者罕见假进展，因此在按照实体瘤疗效评价标准</w:t>
      </w:r>
      <w:r>
        <w:rPr>
          <w:rFonts w:ascii="Times New Roman" w:eastAsia="Times New Roman" w:hAnsi="Times New Roman" w:cs="Times New Roman"/>
          <w:spacing w:val="-8"/>
        </w:rPr>
        <w:t>(response</w:t>
      </w:r>
      <w:r>
        <w:rPr>
          <w:rFonts w:ascii="Times New Roman" w:eastAsia="Times New Roman" w:hAnsi="Times New Roman" w:cs="Times New Roman"/>
          <w:spacing w:val="3"/>
        </w:rPr>
        <w:t xml:space="preserve">    </w:t>
      </w:r>
      <w:r>
        <w:rPr>
          <w:rFonts w:ascii="SimSun" w:eastAsia="SimSun" w:hAnsi="SimSun" w:cs="SimSun"/>
          <w:spacing w:val="-8"/>
        </w:rPr>
        <w:t>evaluation criteria in solid</w:t>
      </w:r>
      <w:r>
        <w:rPr>
          <w:rFonts w:ascii="SimSun" w:eastAsia="SimSun" w:hAnsi="SimSun" w:cs="SimSun"/>
          <w:spacing w:val="9"/>
        </w:rPr>
        <w:t xml:space="preserve"> </w:t>
      </w:r>
      <w:r>
        <w:rPr>
          <w:rFonts w:ascii="SimSun" w:eastAsia="SimSun" w:hAnsi="SimSun" w:cs="SimSun"/>
          <w:spacing w:val="-8"/>
        </w:rPr>
        <w:t>tumors,RECI</w:t>
      </w:r>
      <w:r>
        <w:rPr>
          <w:rFonts w:ascii="SimSun" w:eastAsia="SimSun" w:hAnsi="SimSun" w:cs="SimSun"/>
          <w:spacing w:val="-9"/>
        </w:rPr>
        <w:t>ST)1.1</w:t>
      </w:r>
      <w:r>
        <w:rPr>
          <w:rFonts w:ascii="SimSun" w:eastAsia="SimSun" w:hAnsi="SimSun" w:cs="SimSun"/>
          <w:spacing w:val="-41"/>
        </w:rPr>
        <w:t xml:space="preserve"> </w:t>
      </w:r>
      <w:r>
        <w:rPr>
          <w:spacing w:val="-9"/>
        </w:rPr>
        <w:t>疾病评估进展后不需</w:t>
      </w:r>
      <w:r>
        <w:t xml:space="preserve"> </w:t>
      </w:r>
      <w:r>
        <w:rPr>
          <w:spacing w:val="-2"/>
        </w:rPr>
        <w:t>要再次确认[9]。对于驱动基因阴性晚期</w:t>
      </w:r>
      <w:r>
        <w:rPr>
          <w:spacing w:val="-2"/>
        </w:rPr>
        <w:t xml:space="preserve"> </w:t>
      </w:r>
      <w:r>
        <w:rPr>
          <w:rFonts w:ascii="SimSun" w:eastAsia="SimSun" w:hAnsi="SimSun" w:cs="SimSun"/>
          <w:spacing w:val="-2"/>
        </w:rPr>
        <w:t>NSCLC,</w:t>
      </w:r>
      <w:r>
        <w:rPr>
          <w:rFonts w:ascii="SimSun" w:eastAsia="SimSun" w:hAnsi="SimSun" w:cs="SimSun"/>
          <w:spacing w:val="107"/>
        </w:rPr>
        <w:t xml:space="preserve"> </w:t>
      </w:r>
      <w:r>
        <w:rPr>
          <w:spacing w:val="-2"/>
        </w:rPr>
        <w:t>尽管免疫联合抗</w:t>
      </w:r>
      <w:r>
        <w:rPr>
          <w:spacing w:val="-3"/>
        </w:rPr>
        <w:t>血管</w:t>
      </w:r>
      <w:r>
        <w:t xml:space="preserve"> </w:t>
      </w:r>
      <w:r>
        <w:rPr>
          <w:spacing w:val="-11"/>
        </w:rPr>
        <w:t>生成治疗目前并非指南中推荐的一线标准治疗方案，然而真实世界中这种</w:t>
      </w:r>
      <w:r>
        <w:rPr>
          <w:spacing w:val="7"/>
        </w:rPr>
        <w:t xml:space="preserve"> </w:t>
      </w:r>
      <w:r>
        <w:rPr>
          <w:spacing w:val="-11"/>
        </w:rPr>
        <w:t>去化疗的治疗方案对于化疗无法耐受的患者常会应用。因此，该定义对于</w:t>
      </w:r>
    </w:p>
    <w:p>
      <w:pPr>
        <w:pStyle w:val="BodyText"/>
        <w:spacing w:before="1" w:line="220" w:lineRule="auto"/>
      </w:pPr>
      <w:r>
        <w:rPr>
          <w:rFonts w:ascii="SimSun" w:eastAsia="SimSun" w:hAnsi="SimSun" w:cs="SimSun"/>
          <w:spacing w:val="-10"/>
        </w:rPr>
        <w:t>NSCLC</w:t>
      </w:r>
      <w:r>
        <w:rPr>
          <w:rFonts w:ascii="SimSun" w:eastAsia="SimSun" w:hAnsi="SimSun" w:cs="SimSun"/>
          <w:spacing w:val="76"/>
        </w:rPr>
        <w:t xml:space="preserve"> </w:t>
      </w:r>
      <w:r>
        <w:rPr>
          <w:spacing w:val="-10"/>
        </w:rPr>
        <w:t>免疫联合抗血管生成治疗耐药的判定同样具有借鉴意义。</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BodyText"/>
        <w:spacing w:before="88" w:line="424" w:lineRule="auto"/>
        <w:ind w:right="100"/>
        <w:jc w:val="both"/>
      </w:pPr>
      <w:r>
        <w:rPr>
          <w:spacing w:val="-11"/>
        </w:rPr>
        <w:t>区分免疫原发耐药和继发耐药关系着耐药后的治疗决策，目前临床实践中</w:t>
      </w:r>
      <w:r>
        <w:rPr>
          <w:spacing w:val="2"/>
        </w:rPr>
        <w:t xml:space="preserve"> </w:t>
      </w:r>
      <w:r>
        <w:rPr>
          <w:spacing w:val="-5"/>
        </w:rPr>
        <w:t>对于继发性耐药的判定尚存在争议，2021年</w:t>
      </w:r>
      <w:r>
        <w:rPr>
          <w:spacing w:val="-35"/>
        </w:rPr>
        <w:t xml:space="preserve"> </w:t>
      </w:r>
      <w:r>
        <w:rPr>
          <w:rFonts w:ascii="SimSun" w:eastAsia="SimSun" w:hAnsi="SimSun" w:cs="SimSun"/>
          <w:spacing w:val="-5"/>
        </w:rPr>
        <w:t xml:space="preserve">ESMO  </w:t>
      </w:r>
      <w:r>
        <w:rPr>
          <w:spacing w:val="-5"/>
        </w:rPr>
        <w:t>对于免疫获得性耐药</w:t>
      </w:r>
      <w:r>
        <w:t xml:space="preserve"> </w:t>
      </w:r>
      <w:r>
        <w:rPr>
          <w:spacing w:val="-8"/>
        </w:rPr>
        <w:t>的定义中排除了疗效评估为</w:t>
      </w:r>
      <w:r>
        <w:rPr>
          <w:spacing w:val="-57"/>
        </w:rPr>
        <w:t xml:space="preserve"> </w:t>
      </w:r>
      <w:r>
        <w:rPr>
          <w:rFonts w:ascii="SimSun" w:eastAsia="SimSun" w:hAnsi="SimSun" w:cs="SimSun"/>
          <w:spacing w:val="-8"/>
        </w:rPr>
        <w:t xml:space="preserve">SD </w:t>
      </w:r>
      <w:r>
        <w:rPr>
          <w:spacing w:val="-8"/>
        </w:rPr>
        <w:t>的患者，同时对缓解持续时间</w:t>
      </w:r>
      <w:r>
        <w:rPr>
          <w:spacing w:val="-9"/>
        </w:rPr>
        <w:t>不做要求，</w:t>
      </w:r>
      <w:r>
        <w:t xml:space="preserve"> </w:t>
      </w:r>
      <w:r>
        <w:rPr>
          <w:spacing w:val="-2"/>
        </w:rPr>
        <w:t>并且提出应答后出现的进展无需再次影像学确认[6],此外，在免疫耐药</w:t>
      </w:r>
    </w:p>
    <w:p>
      <w:pPr>
        <w:pStyle w:val="BodyText"/>
        <w:spacing w:before="1" w:line="212" w:lineRule="auto"/>
        <w:jc w:val="right"/>
      </w:pPr>
      <w:r>
        <w:rPr>
          <w:spacing w:val="-7"/>
        </w:rPr>
        <w:t>后的临床研究中入组的继发性耐药患者也包含了不同免疫治疗暴露时</w:t>
      </w:r>
      <w:r>
        <w:rPr>
          <w:spacing w:val="-8"/>
        </w:rPr>
        <w:t>长，</w:t>
      </w:r>
    </w:p>
    <w:p>
      <w:pPr>
        <w:spacing w:line="212" w:lineRule="auto"/>
        <w:sectPr>
          <w:pgSz w:w="11910" w:h="16840"/>
          <w:pgMar w:top="1431" w:right="1715" w:bottom="0" w:left="1779" w:header="0" w:footer="0" w:gutter="0"/>
          <w:pgNumType w:start="10"/>
          <w:cols w:space="708"/>
        </w:sectPr>
      </w:pPr>
    </w:p>
    <w:p>
      <w:pPr>
        <w:pStyle w:val="BodyText"/>
        <w:spacing w:before="165" w:line="428" w:lineRule="auto"/>
        <w:ind w:left="13" w:right="150"/>
        <w:jc w:val="both"/>
      </w:pPr>
      <w:r>
        <w:rPr>
          <w:spacing w:val="-2"/>
        </w:rPr>
        <w:t>如3个月、2个治疗周期等。因此，对于免疫治疗原发和继发性耐</w:t>
      </w:r>
      <w:r>
        <w:rPr>
          <w:spacing w:val="-3"/>
        </w:rPr>
        <w:t>药的定</w:t>
      </w:r>
      <w:r>
        <w:t xml:space="preserve"> </w:t>
      </w:r>
      <w:r>
        <w:rPr>
          <w:spacing w:val="-11"/>
        </w:rPr>
        <w:t>义进行统一有利于临床研究入组人群的一致性和临床实践工作的开展，经</w:t>
      </w:r>
    </w:p>
    <w:p>
      <w:pPr>
        <w:pStyle w:val="BodyText"/>
        <w:spacing w:before="1" w:line="220" w:lineRule="auto"/>
        <w:ind w:left="13"/>
      </w:pPr>
      <w:r>
        <w:rPr>
          <w:spacing w:val="-14"/>
        </w:rPr>
        <w:t>专家组讨论后形成以下共识。</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88" w:line="430" w:lineRule="auto"/>
        <w:ind w:left="13"/>
        <w:jc w:val="both"/>
      </w:pPr>
      <w:r>
        <w:rPr>
          <w:spacing w:val="3"/>
        </w:rPr>
        <w:t>推荐意见1:对于一线免疫治疗获得缓解(按照</w:t>
      </w:r>
      <w:r>
        <w:rPr>
          <w:spacing w:val="-60"/>
        </w:rPr>
        <w:t xml:space="preserve"> </w:t>
      </w:r>
      <w:r>
        <w:rPr>
          <w:rFonts w:ascii="Times New Roman" w:eastAsia="Times New Roman" w:hAnsi="Times New Roman" w:cs="Times New Roman"/>
        </w:rPr>
        <w:t>RECIST</w:t>
      </w:r>
      <w:r>
        <w:rPr>
          <w:rFonts w:ascii="Times New Roman" w:eastAsia="Times New Roman" w:hAnsi="Times New Roman" w:cs="Times New Roman"/>
          <w:spacing w:val="3"/>
        </w:rPr>
        <w:t xml:space="preserve">  1.1)</w:t>
      </w:r>
      <w:r>
        <w:rPr>
          <w:spacing w:val="3"/>
        </w:rPr>
        <w:t>的患者，继</w:t>
      </w:r>
      <w:r>
        <w:t xml:space="preserve">  </w:t>
      </w:r>
      <w:r>
        <w:rPr>
          <w:spacing w:val="-6"/>
        </w:rPr>
        <w:t>发性耐药的药物暴露时间推荐设为至少2个周期,且无缓解持续时间要求；</w:t>
      </w:r>
      <w:r>
        <w:rPr>
          <w:spacing w:val="12"/>
        </w:rPr>
        <w:t xml:space="preserve"> </w:t>
      </w:r>
      <w:r>
        <w:rPr>
          <w:spacing w:val="-9"/>
        </w:rPr>
        <w:t>对于一线免疫治疗疗效评估为</w:t>
      </w:r>
      <w:r>
        <w:rPr>
          <w:spacing w:val="-35"/>
        </w:rPr>
        <w:t xml:space="preserve"> </w:t>
      </w:r>
      <w:r>
        <w:rPr>
          <w:rFonts w:ascii="SimSun" w:eastAsia="SimSun" w:hAnsi="SimSun" w:cs="SimSun"/>
          <w:spacing w:val="-9"/>
        </w:rPr>
        <w:t xml:space="preserve">SD </w:t>
      </w:r>
      <w:r>
        <w:rPr>
          <w:spacing w:val="-9"/>
        </w:rPr>
        <w:t>的患者，继发性耐药的药物暴露时间及</w:t>
      </w:r>
    </w:p>
    <w:p>
      <w:pPr>
        <w:pStyle w:val="BodyText"/>
        <w:spacing w:before="1" w:line="220" w:lineRule="auto"/>
        <w:ind w:left="13"/>
      </w:pPr>
      <w:r>
        <w:rPr>
          <w:spacing w:val="-13"/>
        </w:rPr>
        <w:t>病情稳定持续时间推荐设为≥6个月。(推荐等级：</w:t>
      </w:r>
      <w:r>
        <w:rPr>
          <w:spacing w:val="-13"/>
        </w:rPr>
        <w:t xml:space="preserve"> </w:t>
      </w:r>
      <w:r>
        <w:rPr>
          <w:rFonts w:ascii="SimSun" w:eastAsia="SimSun" w:hAnsi="SimSun" w:cs="SimSun"/>
          <w:spacing w:val="-13"/>
        </w:rPr>
        <w:t>I</w:t>
      </w:r>
      <w:r>
        <w:rPr>
          <w:rFonts w:ascii="SimSun" w:eastAsia="SimSun" w:hAnsi="SimSun" w:cs="SimSun"/>
          <w:spacing w:val="-42"/>
        </w:rPr>
        <w:t xml:space="preserve"> </w:t>
      </w:r>
      <w:r>
        <w:rPr>
          <w:spacing w:val="-13"/>
        </w:rPr>
        <w:t>级</w:t>
      </w:r>
      <w:r>
        <w:rPr>
          <w:spacing w:val="-13"/>
        </w:rPr>
        <w:t xml:space="preserve"> </w:t>
      </w:r>
      <w:r>
        <w:rPr>
          <w:spacing w:val="-13"/>
        </w:rPr>
        <w:t>)</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BodyText"/>
        <w:spacing w:before="88" w:line="222" w:lineRule="auto"/>
        <w:ind w:left="13"/>
      </w:pPr>
      <w:r>
        <w:rPr>
          <w:spacing w:val="-10"/>
        </w:rPr>
        <w:t>第三部分：免疫耐药的机制</w:t>
      </w: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88" w:line="431" w:lineRule="auto"/>
        <w:ind w:left="13" w:right="143"/>
        <w:jc w:val="both"/>
      </w:pPr>
      <w:r>
        <w:rPr>
          <w:spacing w:val="-11"/>
        </w:rPr>
        <w:t>免疫耐药的机制涉及肿瘤自身和肿瘤外的多方面因素，目前主要将免疫耐</w:t>
      </w:r>
      <w:r>
        <w:rPr>
          <w:spacing w:val="12"/>
        </w:rPr>
        <w:t xml:space="preserve"> </w:t>
      </w:r>
      <w:r>
        <w:rPr>
          <w:spacing w:val="-2"/>
        </w:rPr>
        <w:t>药机制分为三方面：肿瘤内源性机制、肿瘤外源性机制和宿主相关机制</w:t>
      </w:r>
      <w:r>
        <w:rPr>
          <w:spacing w:val="3"/>
        </w:rPr>
        <w:t xml:space="preserve"> </w:t>
      </w:r>
      <w:r>
        <w:rPr>
          <w:spacing w:val="2"/>
        </w:rPr>
        <w:t>[10],充分了解免疫治疗耐药的主要机制和关键因素有助于预测患者从</w:t>
      </w:r>
    </w:p>
    <w:p>
      <w:pPr>
        <w:pStyle w:val="BodyText"/>
        <w:spacing w:before="1" w:line="212" w:lineRule="auto"/>
        <w:ind w:left="13"/>
      </w:pPr>
      <w:r>
        <w:rPr>
          <w:spacing w:val="-8"/>
        </w:rPr>
        <w:t>免疫治疗中获益的潜在可能性大小，判断是否需</w:t>
      </w:r>
      <w:r>
        <w:rPr>
          <w:spacing w:val="-9"/>
        </w:rPr>
        <w:t>要停止免疫治疗[11</w:t>
      </w:r>
      <w:r>
        <w:rPr>
          <w:spacing w:val="-9"/>
        </w:rPr>
        <w:t xml:space="preserve"> </w:t>
      </w:r>
      <w:r>
        <w:rPr>
          <w:spacing w:val="-9"/>
        </w:rPr>
        <w:t>]。</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BodyText"/>
        <w:spacing w:before="88" w:line="221" w:lineRule="auto"/>
        <w:ind w:left="13"/>
      </w:pPr>
      <w:r>
        <w:rPr>
          <w:spacing w:val="-8"/>
        </w:rPr>
        <w:t>一、内源性机制</w:t>
      </w:r>
    </w:p>
    <w:p>
      <w:pPr>
        <w:spacing w:line="274" w:lineRule="auto"/>
        <w:rPr>
          <w:rFonts w:ascii="Arial"/>
          <w:sz w:val="21"/>
        </w:rPr>
      </w:pPr>
    </w:p>
    <w:p>
      <w:pPr>
        <w:spacing w:line="274" w:lineRule="auto"/>
        <w:rPr>
          <w:rFonts w:ascii="Arial"/>
          <w:sz w:val="21"/>
        </w:rPr>
      </w:pPr>
    </w:p>
    <w:p>
      <w:pPr>
        <w:spacing w:line="274" w:lineRule="auto"/>
        <w:rPr>
          <w:rFonts w:ascii="Arial"/>
          <w:sz w:val="21"/>
        </w:rPr>
        <w:sectPr>
          <w:pgSz w:w="11910" w:h="16840"/>
          <w:pgMar w:top="1431" w:right="1654" w:bottom="0" w:left="1786" w:header="0" w:footer="0" w:gutter="0"/>
          <w:pgNumType w:start="11"/>
          <w:cols w:space="708"/>
        </w:sectPr>
      </w:pPr>
    </w:p>
    <w:p>
      <w:pPr>
        <w:pStyle w:val="BodyText"/>
        <w:spacing w:before="88" w:line="418" w:lineRule="auto"/>
        <w:ind w:left="13" w:right="30"/>
        <w:jc w:val="both"/>
      </w:pPr>
      <w:r>
        <w:rPr>
          <w:spacing w:val="-7"/>
        </w:rPr>
        <w:t>肿瘤内源性机制主要是具有免疫调节功能的基因出现原发或获得性突变，</w:t>
      </w:r>
      <w:r>
        <w:rPr>
          <w:spacing w:val="8"/>
        </w:rPr>
        <w:t xml:space="preserve"> </w:t>
      </w:r>
      <w:r>
        <w:t>如</w:t>
      </w:r>
      <w:r>
        <w:rPr>
          <w:rFonts w:ascii="Arial" w:eastAsia="Arial" w:hAnsi="Arial" w:cs="Arial"/>
        </w:rPr>
        <w:t>Janus</w:t>
      </w:r>
      <w:r>
        <w:rPr>
          <w:rFonts w:ascii="Arial" w:eastAsia="Arial" w:hAnsi="Arial" w:cs="Arial"/>
          <w:spacing w:val="-2"/>
        </w:rPr>
        <w:t xml:space="preserve"> </w:t>
      </w:r>
      <w:r>
        <w:t>激酶</w:t>
      </w:r>
      <w:r>
        <w:rPr>
          <w:spacing w:val="-66"/>
        </w:rPr>
        <w:t xml:space="preserve"> </w:t>
      </w:r>
      <w:r>
        <w:rPr>
          <w:rFonts w:ascii="Arial" w:eastAsia="Arial" w:hAnsi="Arial" w:cs="Arial"/>
        </w:rPr>
        <w:t>(recombinant</w:t>
      </w:r>
      <w:r>
        <w:rPr>
          <w:rFonts w:ascii="Arial" w:eastAsia="Arial" w:hAnsi="Arial" w:cs="Arial"/>
          <w:spacing w:val="17"/>
        </w:rPr>
        <w:t xml:space="preserve">    </w:t>
      </w:r>
      <w:r>
        <w:rPr>
          <w:rFonts w:ascii="Arial" w:eastAsia="Arial" w:hAnsi="Arial" w:cs="Arial"/>
        </w:rPr>
        <w:t>janus     kinase,JAK)1</w:t>
      </w:r>
      <w:r>
        <w:t>和</w:t>
      </w:r>
      <w:r>
        <w:rPr>
          <w:spacing w:val="-61"/>
        </w:rPr>
        <w:t xml:space="preserve"> </w:t>
      </w:r>
      <w:r>
        <w:rPr>
          <w:rFonts w:ascii="Arial" w:eastAsia="Arial" w:hAnsi="Arial" w:cs="Arial"/>
        </w:rPr>
        <w:t>JAK2</w:t>
      </w:r>
      <w:r>
        <w:t>突变，磷</w:t>
      </w:r>
    </w:p>
    <w:p>
      <w:pPr>
        <w:pStyle w:val="BodyText"/>
        <w:spacing w:line="212" w:lineRule="auto"/>
        <w:ind w:left="13"/>
        <w:rPr>
          <w:rFonts w:ascii="Times New Roman" w:eastAsia="Times New Roman" w:hAnsi="Times New Roman" w:cs="Times New Roman"/>
        </w:rPr>
      </w:pPr>
      <w:r>
        <w:rPr>
          <w:spacing w:val="-3"/>
        </w:rPr>
        <w:t>酸</w:t>
      </w:r>
      <w:r>
        <w:rPr>
          <w:spacing w:val="-56"/>
        </w:rPr>
        <w:t xml:space="preserve"> </w:t>
      </w:r>
      <w:r>
        <w:rPr>
          <w:spacing w:val="-3"/>
        </w:rPr>
        <w:t>酶</w:t>
      </w:r>
      <w:r>
        <w:rPr>
          <w:spacing w:val="-63"/>
        </w:rPr>
        <w:t xml:space="preserve"> </w:t>
      </w:r>
      <w:r>
        <w:rPr>
          <w:spacing w:val="-3"/>
        </w:rPr>
        <w:t>-</w:t>
      </w:r>
      <w:r>
        <w:rPr>
          <w:spacing w:val="-49"/>
        </w:rPr>
        <w:t xml:space="preserve"> </w:t>
      </w:r>
      <w:r>
        <w:rPr>
          <w:spacing w:val="-3"/>
        </w:rPr>
        <w:t>张</w:t>
      </w:r>
      <w:r>
        <w:rPr>
          <w:spacing w:val="-50"/>
        </w:rPr>
        <w:t xml:space="preserve"> </w:t>
      </w:r>
      <w:r>
        <w:rPr>
          <w:spacing w:val="-3"/>
        </w:rPr>
        <w:t>力</w:t>
      </w:r>
      <w:r>
        <w:rPr>
          <w:spacing w:val="-58"/>
        </w:rPr>
        <w:t xml:space="preserve"> </w:t>
      </w:r>
      <w:r>
        <w:rPr>
          <w:spacing w:val="-3"/>
        </w:rPr>
        <w:t>蛋</w:t>
      </w:r>
      <w:r>
        <w:rPr>
          <w:spacing w:val="-29"/>
        </w:rPr>
        <w:t xml:space="preserve"> </w:t>
      </w:r>
      <w:r>
        <w:rPr>
          <w:spacing w:val="-3"/>
        </w:rPr>
        <w:t>白</w:t>
      </w:r>
      <w:r>
        <w:rPr>
          <w:spacing w:val="-57"/>
        </w:rPr>
        <w:t xml:space="preserve"> </w:t>
      </w:r>
      <w:r>
        <w:rPr>
          <w:spacing w:val="-3"/>
        </w:rPr>
        <w:t>基</w:t>
      </w:r>
      <w:r>
        <w:rPr>
          <w:spacing w:val="-41"/>
        </w:rPr>
        <w:t xml:space="preserve"> </w:t>
      </w:r>
      <w:r>
        <w:rPr>
          <w:spacing w:val="-3"/>
        </w:rPr>
        <w:t>因</w:t>
      </w:r>
      <w:r>
        <w:rPr>
          <w:spacing w:val="-31"/>
        </w:rPr>
        <w:t xml:space="preserve"> </w:t>
      </w:r>
      <w:r>
        <w:rPr>
          <w:rFonts w:ascii="Times New Roman" w:eastAsia="Times New Roman" w:hAnsi="Times New Roman" w:cs="Times New Roman"/>
          <w:spacing w:val="-3"/>
        </w:rPr>
        <w:t xml:space="preserve">(phosphatase      and       tensin      </w:t>
      </w:r>
      <w:r>
        <w:rPr>
          <w:rFonts w:ascii="Times New Roman" w:eastAsia="Times New Roman" w:hAnsi="Times New Roman" w:cs="Times New Roman"/>
          <w:spacing w:val="-4"/>
        </w:rPr>
        <w:t>homolog       on</w:t>
      </w:r>
    </w:p>
    <w:p>
      <w:pPr>
        <w:spacing w:line="247" w:lineRule="auto"/>
        <w:rPr>
          <w:rFonts w:ascii="Arial"/>
          <w:sz w:val="21"/>
        </w:rPr>
      </w:pPr>
    </w:p>
    <w:p>
      <w:pPr>
        <w:pStyle w:val="BodyText"/>
        <w:spacing w:before="89" w:line="219" w:lineRule="auto"/>
        <w:ind w:left="13"/>
      </w:pPr>
      <w:r>
        <w:rPr>
          <w:rFonts w:ascii="SimSun" w:eastAsia="SimSun" w:hAnsi="SimSun" w:cs="SimSun"/>
        </w:rPr>
        <w:t>chromosome</w:t>
      </w:r>
      <w:r>
        <w:rPr>
          <w:rFonts w:ascii="SimSun" w:eastAsia="SimSun" w:hAnsi="SimSun" w:cs="SimSun"/>
          <w:spacing w:val="30"/>
        </w:rPr>
        <w:t xml:space="preserve">       10,</w:t>
      </w:r>
      <w:r>
        <w:rPr>
          <w:rFonts w:ascii="SimSun" w:eastAsia="SimSun" w:hAnsi="SimSun" w:cs="SimSun"/>
        </w:rPr>
        <w:t>PTEN</w:t>
      </w:r>
      <w:r>
        <w:rPr>
          <w:rFonts w:ascii="SimSun" w:eastAsia="SimSun" w:hAnsi="SimSun" w:cs="SimSun"/>
          <w:spacing w:val="30"/>
        </w:rPr>
        <w:t>)</w:t>
      </w:r>
      <w:r>
        <w:rPr>
          <w:rFonts w:ascii="SimSun" w:eastAsia="SimSun" w:hAnsi="SimSun" w:cs="SimSun"/>
          <w:spacing w:val="-71"/>
        </w:rPr>
        <w:t xml:space="preserve"> </w:t>
      </w:r>
      <w:r>
        <w:rPr>
          <w:spacing w:val="30"/>
        </w:rPr>
        <w:t>缺失介导的胞内磷脂酰肌醇3</w:t>
      </w:r>
      <w:r>
        <w:rPr>
          <w:spacing w:val="30"/>
        </w:rPr>
        <w:t xml:space="preserve"> </w:t>
      </w:r>
      <w:r>
        <w:rPr>
          <w:spacing w:val="30"/>
        </w:rPr>
        <w:t>激酶</w:t>
      </w:r>
    </w:p>
    <w:p>
      <w:pPr>
        <w:spacing w:line="219" w:lineRule="auto"/>
        <w:sectPr>
          <w:type w:val="nextPage"/>
          <w:pgSz w:w="11910" w:h="16840"/>
          <w:pgMar w:top="1431" w:right="1654" w:bottom="0" w:left="1786" w:header="0" w:footer="0" w:gutter="0"/>
          <w:pgNumType w:start="12"/>
          <w:cols w:space="708"/>
          <w:titlePg w:val="0"/>
        </w:sectPr>
      </w:pPr>
    </w:p>
    <w:p>
      <w:pPr>
        <w:pStyle w:val="BodyText"/>
        <w:tabs>
          <w:tab w:val="left" w:pos="103"/>
        </w:tabs>
        <w:spacing w:before="178" w:line="426" w:lineRule="auto"/>
        <w:ind w:left="3" w:firstLine="100"/>
        <w:jc w:val="both"/>
      </w:pPr>
      <w:r>
        <w:rPr>
          <w:rFonts w:ascii="SimSun" w:eastAsia="SimSun" w:hAnsi="SimSun" w:cs="SimSun"/>
          <w:spacing w:val="10"/>
        </w:rPr>
        <w:t>(</w:t>
      </w:r>
      <w:r>
        <w:rPr>
          <w:rFonts w:ascii="SimSun" w:eastAsia="SimSun" w:hAnsi="SimSun" w:cs="SimSun"/>
        </w:rPr>
        <w:t>phosphoinositide</w:t>
      </w:r>
      <w:r>
        <w:rPr>
          <w:rFonts w:ascii="SimSun" w:eastAsia="SimSun" w:hAnsi="SimSun" w:cs="SimSun"/>
          <w:spacing w:val="10"/>
        </w:rPr>
        <w:t xml:space="preserve">    3-</w:t>
      </w:r>
      <w:r>
        <w:rPr>
          <w:rFonts w:ascii="SimSun" w:eastAsia="SimSun" w:hAnsi="SimSun" w:cs="SimSun"/>
        </w:rPr>
        <w:t>kinase</w:t>
      </w:r>
      <w:r>
        <w:rPr>
          <w:rFonts w:ascii="SimSun" w:eastAsia="SimSun" w:hAnsi="SimSun" w:cs="SimSun"/>
          <w:spacing w:val="10"/>
        </w:rPr>
        <w:t>,</w:t>
      </w:r>
      <w:r>
        <w:rPr>
          <w:rFonts w:ascii="SimSun" w:eastAsia="SimSun" w:hAnsi="SimSun" w:cs="SimSun"/>
        </w:rPr>
        <w:t>PI</w:t>
      </w:r>
      <w:r>
        <w:rPr>
          <w:rFonts w:ascii="SimSun" w:eastAsia="SimSun" w:hAnsi="SimSun" w:cs="SimSun"/>
          <w:spacing w:val="10"/>
        </w:rPr>
        <w:t>3K)</w:t>
      </w:r>
      <w:r>
        <w:rPr>
          <w:spacing w:val="10"/>
        </w:rPr>
        <w:t>激活，丝裂原激活蛋白激酶</w:t>
      </w:r>
      <w:r>
        <w:rPr>
          <w:spacing w:val="4"/>
        </w:rPr>
        <w:t xml:space="preserve"> </w:t>
      </w:r>
      <w:r>
        <w:rPr>
          <w:rFonts w:ascii="Times New Roman" w:eastAsia="Times New Roman" w:hAnsi="Times New Roman" w:cs="Times New Roman"/>
        </w:rPr>
        <w:tab/>
      </w:r>
      <w:r>
        <w:rPr>
          <w:rFonts w:ascii="Times New Roman" w:eastAsia="Times New Roman" w:hAnsi="Times New Roman" w:cs="Times New Roman"/>
        </w:rPr>
        <w:t>(mitogen-activated        protein        kinase,MAPK)</w:t>
      </w:r>
      <w:r>
        <w:t>通路的改变通过调节干</w:t>
      </w:r>
      <w:r>
        <w:rPr>
          <w:spacing w:val="14"/>
        </w:rPr>
        <w:t xml:space="preserve"> </w:t>
      </w:r>
      <w:r>
        <w:rPr>
          <w:spacing w:val="-9"/>
        </w:rPr>
        <w:t>扰素反应和抗原递呈途径导致新抗原的表达、识别减少以及</w:t>
      </w:r>
      <w:r>
        <w:rPr>
          <w:rFonts w:ascii="SimSun" w:eastAsia="SimSun" w:hAnsi="SimSun" w:cs="SimSun"/>
          <w:spacing w:val="-9"/>
        </w:rPr>
        <w:t>T</w:t>
      </w:r>
      <w:r>
        <w:rPr>
          <w:rFonts w:ascii="SimSun" w:eastAsia="SimSun" w:hAnsi="SimSun" w:cs="SimSun"/>
          <w:spacing w:val="-37"/>
        </w:rPr>
        <w:t xml:space="preserve"> </w:t>
      </w:r>
      <w:r>
        <w:rPr>
          <w:spacing w:val="-9"/>
        </w:rPr>
        <w:t>细胞活化抑</w:t>
      </w:r>
      <w:r>
        <w:t xml:space="preserve"> </w:t>
      </w:r>
      <w:r>
        <w:rPr>
          <w:spacing w:val="5"/>
        </w:rPr>
        <w:t>制[12-18],β-连环蛋白(β-</w:t>
      </w:r>
      <w:r>
        <w:rPr>
          <w:rFonts w:ascii="Arial" w:eastAsia="Arial" w:hAnsi="Arial" w:cs="Arial"/>
        </w:rPr>
        <w:t>catenin</w:t>
      </w:r>
      <w:r>
        <w:rPr>
          <w:rFonts w:ascii="Arial" w:eastAsia="Arial" w:hAnsi="Arial" w:cs="Arial"/>
          <w:spacing w:val="5"/>
        </w:rPr>
        <w:t>)</w:t>
      </w:r>
      <w:r>
        <w:rPr>
          <w:rFonts w:ascii="SimSun" w:eastAsia="SimSun" w:hAnsi="SimSun" w:cs="SimSun"/>
          <w:spacing w:val="5"/>
        </w:rPr>
        <w:t>、</w:t>
      </w:r>
      <w:r>
        <w:rPr>
          <w:spacing w:val="5"/>
        </w:rPr>
        <w:t>肿瘤蛋白</w:t>
      </w:r>
      <w:r>
        <w:rPr>
          <w:rFonts w:ascii="Arial" w:eastAsia="Arial" w:hAnsi="Arial" w:cs="Arial"/>
          <w:spacing w:val="5"/>
        </w:rPr>
        <w:t>P53(</w:t>
      </w:r>
      <w:r>
        <w:rPr>
          <w:rFonts w:ascii="Arial" w:eastAsia="Arial" w:hAnsi="Arial" w:cs="Arial"/>
        </w:rPr>
        <w:t>tumor</w:t>
      </w:r>
      <w:r>
        <w:rPr>
          <w:rFonts w:ascii="Arial" w:eastAsia="Arial" w:hAnsi="Arial" w:cs="Arial"/>
          <w:spacing w:val="5"/>
        </w:rPr>
        <w:t xml:space="preserve"> </w:t>
      </w:r>
      <w:r>
        <w:rPr>
          <w:rFonts w:ascii="Arial" w:eastAsia="Arial" w:hAnsi="Arial" w:cs="Arial"/>
          <w:spacing w:val="4"/>
        </w:rPr>
        <w:t xml:space="preserve">    </w:t>
      </w:r>
      <w:r>
        <w:rPr>
          <w:rFonts w:ascii="Arial" w:eastAsia="Arial" w:hAnsi="Arial" w:cs="Arial"/>
        </w:rPr>
        <w:t xml:space="preserve">protein </w:t>
      </w:r>
      <w:r>
        <w:t>53,TP53)</w:t>
      </w:r>
      <w:r>
        <w:t xml:space="preserve">   </w:t>
      </w:r>
      <w:r>
        <w:t>肝激酶</w:t>
      </w:r>
      <w:r>
        <w:rPr>
          <w:rFonts w:ascii="Arial" w:eastAsia="Arial" w:hAnsi="Arial" w:cs="Arial"/>
        </w:rPr>
        <w:t xml:space="preserve">B1(liver     kinase </w:t>
      </w:r>
      <w:r>
        <w:rPr>
          <w:rFonts w:ascii="Arial" w:eastAsia="Arial" w:hAnsi="Arial" w:cs="Arial"/>
          <w:spacing w:val="-1"/>
        </w:rPr>
        <w:t xml:space="preserve">   B1,LKB1) </w:t>
      </w:r>
      <w:r>
        <w:rPr>
          <w:spacing w:val="-1"/>
        </w:rPr>
        <w:t>和髓细胞组织增生致</w:t>
      </w:r>
      <w:r>
        <w:t xml:space="preserve"> </w:t>
      </w:r>
      <w:r>
        <w:rPr>
          <w:spacing w:val="-1"/>
        </w:rPr>
        <w:t>癌基因</w:t>
      </w:r>
      <w:r>
        <w:rPr>
          <w:rFonts w:ascii="Arial" w:eastAsia="Arial" w:hAnsi="Arial" w:cs="Arial"/>
          <w:spacing w:val="-1"/>
        </w:rPr>
        <w:t>(myelocytomatosis        oncogene,MYC)</w:t>
      </w:r>
      <w:r>
        <w:rPr>
          <w:rFonts w:ascii="Arial" w:eastAsia="Arial" w:hAnsi="Arial" w:cs="Arial"/>
          <w:spacing w:val="-15"/>
        </w:rPr>
        <w:t xml:space="preserve"> </w:t>
      </w:r>
      <w:r>
        <w:rPr>
          <w:spacing w:val="-1"/>
        </w:rPr>
        <w:t>扩增可能会产生免疫抑</w:t>
      </w:r>
      <w:r>
        <w:t xml:space="preserve"> </w:t>
      </w:r>
      <w:r>
        <w:rPr>
          <w:rFonts w:ascii="SimSun" w:eastAsia="SimSun" w:hAnsi="SimSun" w:cs="SimSun"/>
          <w:spacing w:val="-1"/>
        </w:rPr>
        <w:t>制性肿瘤微环境(tumor   microenvironment,TME)</w:t>
      </w:r>
      <w:r>
        <w:rPr>
          <w:rFonts w:ascii="SimSun" w:eastAsia="SimSun" w:hAnsi="SimSun" w:cs="SimSun"/>
          <w:spacing w:val="-2"/>
        </w:rPr>
        <w:t>[19   ],有研究显示</w:t>
      </w:r>
      <w:r>
        <w:rPr>
          <w:rFonts w:ascii="SimSun" w:eastAsia="SimSun" w:hAnsi="SimSun" w:cs="SimSun"/>
        </w:rPr>
        <w:t xml:space="preserve"> </w:t>
      </w:r>
      <w:r>
        <w:rPr>
          <w:spacing w:val="-4"/>
        </w:rPr>
        <w:t>表皮生长因子受体</w:t>
      </w:r>
      <w:r>
        <w:rPr>
          <w:rFonts w:ascii="SimSun" w:eastAsia="SimSun" w:hAnsi="SimSun" w:cs="SimSun"/>
          <w:spacing w:val="-4"/>
        </w:rPr>
        <w:t>(epidermal</w:t>
      </w:r>
      <w:r>
        <w:rPr>
          <w:rFonts w:ascii="SimSun" w:eastAsia="SimSun" w:hAnsi="SimSun" w:cs="SimSun"/>
          <w:spacing w:val="82"/>
        </w:rPr>
        <w:t xml:space="preserve"> </w:t>
      </w:r>
      <w:r>
        <w:rPr>
          <w:rFonts w:ascii="SimSun" w:eastAsia="SimSun" w:hAnsi="SimSun" w:cs="SimSun"/>
          <w:spacing w:val="-4"/>
        </w:rPr>
        <w:t>growth</w:t>
      </w:r>
      <w:r>
        <w:rPr>
          <w:rFonts w:ascii="SimSun" w:eastAsia="SimSun" w:hAnsi="SimSun" w:cs="SimSun"/>
          <w:spacing w:val="82"/>
        </w:rPr>
        <w:t xml:space="preserve"> </w:t>
      </w:r>
      <w:r>
        <w:rPr>
          <w:rFonts w:ascii="SimSun" w:eastAsia="SimSun" w:hAnsi="SimSun" w:cs="SimSun"/>
          <w:spacing w:val="-4"/>
        </w:rPr>
        <w:t>factor</w:t>
      </w:r>
      <w:r>
        <w:rPr>
          <w:rFonts w:ascii="SimSun" w:eastAsia="SimSun" w:hAnsi="SimSun" w:cs="SimSun"/>
          <w:spacing w:val="76"/>
        </w:rPr>
        <w:t xml:space="preserve"> </w:t>
      </w:r>
      <w:r>
        <w:rPr>
          <w:rFonts w:ascii="SimSun" w:eastAsia="SimSun" w:hAnsi="SimSun" w:cs="SimSun"/>
          <w:spacing w:val="-4"/>
        </w:rPr>
        <w:t>receptor,EGFR)</w:t>
      </w:r>
      <w:r>
        <w:rPr>
          <w:spacing w:val="-4"/>
        </w:rPr>
        <w:t>突变可</w:t>
      </w:r>
      <w:r>
        <w:t xml:space="preserve"> </w:t>
      </w:r>
      <w:r>
        <w:rPr>
          <w:spacing w:val="-7"/>
        </w:rPr>
        <w:t>通过上调</w:t>
      </w:r>
      <w:r>
        <w:rPr>
          <w:spacing w:val="-62"/>
        </w:rPr>
        <w:t xml:space="preserve"> </w:t>
      </w:r>
      <w:r>
        <w:rPr>
          <w:rFonts w:ascii="Arial" w:eastAsia="Arial" w:hAnsi="Arial" w:cs="Arial"/>
          <w:spacing w:val="-7"/>
        </w:rPr>
        <w:t>PD-L1</w:t>
      </w:r>
      <w:r>
        <w:rPr>
          <w:rFonts w:ascii="Arial" w:eastAsia="Arial" w:hAnsi="Arial" w:cs="Arial"/>
          <w:spacing w:val="-29"/>
        </w:rPr>
        <w:t xml:space="preserve"> </w:t>
      </w:r>
      <w:r>
        <w:rPr>
          <w:spacing w:val="-7"/>
        </w:rPr>
        <w:t>表达、导致免疫抑制性</w:t>
      </w:r>
      <w:r>
        <w:rPr>
          <w:rFonts w:ascii="Arial" w:eastAsia="Arial" w:hAnsi="Arial" w:cs="Arial"/>
          <w:spacing w:val="-7"/>
        </w:rPr>
        <w:t xml:space="preserve">TME </w:t>
      </w:r>
      <w:r>
        <w:rPr>
          <w:spacing w:val="-7"/>
        </w:rPr>
        <w:t>及抑制抗原呈递导致原发性</w:t>
      </w:r>
      <w:r>
        <w:t xml:space="preserve"> </w:t>
      </w:r>
      <w:r>
        <w:rPr>
          <w:spacing w:val="2"/>
        </w:rPr>
        <w:t>免疫耐药[20-21],而丝/苏氨酸激酶11</w:t>
      </w:r>
      <w:r>
        <w:rPr>
          <w:rFonts w:ascii="Arial" w:eastAsia="Arial" w:hAnsi="Arial" w:cs="Arial"/>
          <w:spacing w:val="2"/>
        </w:rPr>
        <w:t>(</w:t>
      </w:r>
      <w:r>
        <w:rPr>
          <w:rFonts w:ascii="Arial" w:eastAsia="Arial" w:hAnsi="Arial" w:cs="Arial"/>
        </w:rPr>
        <w:t>serine</w:t>
      </w:r>
      <w:r>
        <w:rPr>
          <w:rFonts w:ascii="Arial" w:eastAsia="Arial" w:hAnsi="Arial" w:cs="Arial"/>
          <w:spacing w:val="2"/>
        </w:rPr>
        <w:t>/</w:t>
      </w:r>
      <w:r>
        <w:rPr>
          <w:rFonts w:ascii="Arial" w:eastAsia="Arial" w:hAnsi="Arial" w:cs="Arial"/>
        </w:rPr>
        <w:t>threonine</w:t>
      </w:r>
      <w:r>
        <w:rPr>
          <w:rFonts w:ascii="Arial" w:eastAsia="Arial" w:hAnsi="Arial" w:cs="Arial"/>
          <w:spacing w:val="2"/>
        </w:rPr>
        <w:t xml:space="preserve">   </w:t>
      </w:r>
      <w:r>
        <w:rPr>
          <w:rFonts w:ascii="Arial" w:eastAsia="Arial" w:hAnsi="Arial" w:cs="Arial"/>
        </w:rPr>
        <w:t>kinase</w:t>
      </w:r>
      <w:r>
        <w:rPr>
          <w:rFonts w:ascii="Arial" w:eastAsia="Arial" w:hAnsi="Arial" w:cs="Arial"/>
          <w:spacing w:val="18"/>
        </w:rPr>
        <w:t xml:space="preserve">   </w:t>
      </w:r>
      <w:r>
        <w:rPr>
          <w:rFonts w:ascii="Arial" w:eastAsia="Arial" w:hAnsi="Arial" w:cs="Arial"/>
          <w:spacing w:val="2"/>
        </w:rPr>
        <w:t>11,</w:t>
      </w:r>
      <w:r>
        <w:rPr>
          <w:rFonts w:ascii="Arial" w:eastAsia="Arial" w:hAnsi="Arial" w:cs="Arial"/>
        </w:rPr>
        <w:t xml:space="preserve">   </w:t>
      </w:r>
      <w:r>
        <w:rPr>
          <w:rFonts w:ascii="SimSun" w:eastAsia="SimSun" w:hAnsi="SimSun" w:cs="SimSun"/>
          <w:spacing w:val="-13"/>
        </w:rPr>
        <w:t>STK1</w:t>
      </w:r>
      <w:r>
        <w:rPr>
          <w:rFonts w:ascii="SimSun" w:eastAsia="SimSun" w:hAnsi="SimSun" w:cs="SimSun"/>
          <w:spacing w:val="-12"/>
        </w:rPr>
        <w:t>1</w:t>
      </w:r>
      <w:r>
        <w:rPr>
          <w:rFonts w:ascii="SimSun" w:eastAsia="SimSun" w:hAnsi="SimSun" w:cs="SimSun"/>
          <w:spacing w:val="54"/>
        </w:rPr>
        <w:t xml:space="preserve">  </w:t>
      </w:r>
      <w:r>
        <w:rPr>
          <w:rFonts w:ascii="SimSun" w:eastAsia="SimSun" w:hAnsi="SimSun" w:cs="SimSun"/>
          <w:spacing w:val="-12"/>
        </w:rPr>
        <w:t>突变通过负调控哺乳动物雷帕霉素靶蛋白(mammalian</w:t>
      </w:r>
      <w:r>
        <w:rPr>
          <w:rFonts w:ascii="SimSun" w:eastAsia="SimSun" w:hAnsi="SimSun" w:cs="SimSun"/>
          <w:spacing w:val="109"/>
        </w:rPr>
        <w:t xml:space="preserve"> </w:t>
      </w:r>
      <w:r>
        <w:rPr>
          <w:rFonts w:ascii="SimSun" w:eastAsia="SimSun" w:hAnsi="SimSun" w:cs="SimSun"/>
          <w:spacing w:val="-12"/>
        </w:rPr>
        <w:t>target</w:t>
      </w:r>
      <w:r>
        <w:rPr>
          <w:rFonts w:ascii="SimSun" w:eastAsia="SimSun" w:hAnsi="SimSun" w:cs="SimSun"/>
          <w:spacing w:val="106"/>
        </w:rPr>
        <w:t xml:space="preserve"> </w:t>
      </w:r>
      <w:r>
        <w:rPr>
          <w:rFonts w:ascii="SimSun" w:eastAsia="SimSun" w:hAnsi="SimSun" w:cs="SimSun"/>
          <w:spacing w:val="-12"/>
        </w:rPr>
        <w:t>o</w:t>
      </w:r>
      <w:r>
        <w:rPr>
          <w:rFonts w:ascii="SimSun" w:eastAsia="SimSun" w:hAnsi="SimSun" w:cs="SimSun"/>
          <w:spacing w:val="-8"/>
        </w:rPr>
        <w:t>f</w:t>
      </w:r>
      <w:r>
        <w:rPr>
          <w:rFonts w:ascii="SimSun" w:eastAsia="SimSun" w:hAnsi="SimSun" w:cs="SimSun"/>
        </w:rPr>
        <w:t xml:space="preserve"> </w:t>
      </w:r>
      <w:r>
        <w:rPr>
          <w:rFonts w:ascii="Times New Roman" w:eastAsia="Times New Roman" w:hAnsi="Times New Roman" w:cs="Times New Roman"/>
          <w:spacing w:val="-2"/>
        </w:rPr>
        <w:t xml:space="preserve">rapamycin,mTOR)       </w:t>
      </w:r>
      <w:r>
        <w:rPr>
          <w:spacing w:val="-2"/>
        </w:rPr>
        <w:t>通路并使细胞毒性</w:t>
      </w:r>
      <w:r>
        <w:rPr>
          <w:spacing w:val="-77"/>
        </w:rPr>
        <w:t xml:space="preserve"> </w:t>
      </w:r>
      <w:r>
        <w:rPr>
          <w:rFonts w:ascii="Times New Roman" w:eastAsia="Times New Roman" w:hAnsi="Times New Roman" w:cs="Times New Roman"/>
          <w:spacing w:val="-2"/>
        </w:rPr>
        <w:t xml:space="preserve">CD8+T  </w:t>
      </w:r>
      <w:r>
        <w:rPr>
          <w:spacing w:val="-2"/>
        </w:rPr>
        <w:t>淋巴细胞浸润减少导致</w:t>
      </w:r>
      <w:r>
        <w:t xml:space="preserve"> </w:t>
      </w:r>
      <w:r>
        <w:rPr>
          <w:spacing w:val="-2"/>
        </w:rPr>
        <w:t>免疫抑制性</w:t>
      </w:r>
      <w:r>
        <w:rPr>
          <w:rFonts w:ascii="Arial" w:eastAsia="Arial" w:hAnsi="Arial" w:cs="Arial"/>
          <w:spacing w:val="-2"/>
        </w:rPr>
        <w:t xml:space="preserve">TME[22],     </w:t>
      </w:r>
      <w:r>
        <w:rPr>
          <w:spacing w:val="-2"/>
        </w:rPr>
        <w:t>有数据显示</w:t>
      </w:r>
      <w:r>
        <w:rPr>
          <w:rFonts w:ascii="Arial" w:eastAsia="Arial" w:hAnsi="Arial" w:cs="Arial"/>
          <w:spacing w:val="-2"/>
        </w:rPr>
        <w:t xml:space="preserve">STK11 </w:t>
      </w:r>
      <w:r>
        <w:rPr>
          <w:spacing w:val="-2"/>
        </w:rPr>
        <w:t>突变与</w:t>
      </w:r>
      <w:r>
        <w:rPr>
          <w:spacing w:val="-63"/>
        </w:rPr>
        <w:t xml:space="preserve"> </w:t>
      </w:r>
      <w:r>
        <w:rPr>
          <w:rFonts w:ascii="Arial" w:eastAsia="Arial" w:hAnsi="Arial" w:cs="Arial"/>
          <w:spacing w:val="-2"/>
        </w:rPr>
        <w:t>PD-L1</w:t>
      </w:r>
      <w:r>
        <w:rPr>
          <w:rFonts w:ascii="Arial" w:eastAsia="Arial" w:hAnsi="Arial" w:cs="Arial"/>
          <w:spacing w:val="-19"/>
        </w:rPr>
        <w:t xml:space="preserve"> </w:t>
      </w:r>
      <w:r>
        <w:rPr>
          <w:spacing w:val="-3"/>
        </w:rPr>
        <w:t>抑制剂度伐利</w:t>
      </w:r>
    </w:p>
    <w:p>
      <w:pPr>
        <w:pStyle w:val="BodyText"/>
        <w:spacing w:before="1" w:line="220" w:lineRule="auto"/>
        <w:ind w:left="3"/>
      </w:pPr>
      <w:r>
        <w:rPr>
          <w:spacing w:val="15"/>
        </w:rPr>
        <w:t>尤单抗的耐药性相关[23]</w:t>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88" w:line="221" w:lineRule="auto"/>
        <w:ind w:left="3"/>
      </w:pPr>
      <w:r>
        <w:rPr>
          <w:spacing w:val="-10"/>
        </w:rPr>
        <w:t>二、外源性机制</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8" w:line="424" w:lineRule="auto"/>
        <w:ind w:left="3" w:right="34"/>
        <w:rPr>
          <w:rFonts w:ascii="SimSun" w:eastAsia="SimSun" w:hAnsi="SimSun" w:cs="SimSun"/>
        </w:rPr>
      </w:pPr>
      <w:r>
        <w:rPr>
          <w:spacing w:val="-16"/>
        </w:rPr>
        <w:t>免疫耐药的肿瘤外源性因素与</w:t>
      </w:r>
      <w:r>
        <w:rPr>
          <w:rFonts w:ascii="SimSun" w:eastAsia="SimSun" w:hAnsi="SimSun" w:cs="SimSun"/>
          <w:spacing w:val="-16"/>
        </w:rPr>
        <w:t>TME</w:t>
      </w:r>
      <w:r>
        <w:rPr>
          <w:rFonts w:ascii="SimSun" w:eastAsia="SimSun" w:hAnsi="SimSun" w:cs="SimSun"/>
          <w:spacing w:val="60"/>
        </w:rPr>
        <w:t xml:space="preserve"> </w:t>
      </w:r>
      <w:r>
        <w:rPr>
          <w:spacing w:val="-16"/>
        </w:rPr>
        <w:t>有关。</w:t>
      </w:r>
      <w:r>
        <w:rPr>
          <w:rFonts w:ascii="SimSun" w:eastAsia="SimSun" w:hAnsi="SimSun" w:cs="SimSun"/>
          <w:spacing w:val="-16"/>
        </w:rPr>
        <w:t>TME</w:t>
      </w:r>
      <w:r>
        <w:rPr>
          <w:rFonts w:ascii="SimSun" w:eastAsia="SimSun" w:hAnsi="SimSun" w:cs="SimSun"/>
          <w:spacing w:val="87"/>
        </w:rPr>
        <w:t xml:space="preserve"> </w:t>
      </w:r>
      <w:r>
        <w:rPr>
          <w:spacing w:val="-16"/>
        </w:rPr>
        <w:t>是指免疫细胞、基质细胞、</w:t>
      </w:r>
      <w:r>
        <w:t xml:space="preserve"> </w:t>
      </w:r>
      <w:r>
        <w:rPr>
          <w:spacing w:val="-12"/>
        </w:rPr>
        <w:t>内皮细胞和其他非细胞成分组成的高度复杂和动态的局部环境[24</w:t>
      </w:r>
      <w:r>
        <w:rPr>
          <w:spacing w:val="-12"/>
        </w:rPr>
        <w:t xml:space="preserve"> </w:t>
      </w:r>
      <w:r>
        <w:rPr>
          <w:spacing w:val="-12"/>
        </w:rPr>
        <w:t>],</w:t>
      </w:r>
      <w:r>
        <w:rPr>
          <w:rFonts w:ascii="SimSun" w:eastAsia="SimSun" w:hAnsi="SimSun" w:cs="SimSun"/>
          <w:spacing w:val="-12"/>
        </w:rPr>
        <w:t xml:space="preserve">TME  </w:t>
      </w:r>
      <w:r>
        <w:rPr>
          <w:spacing w:val="-2"/>
        </w:rPr>
        <w:t>的动态变化常会通过破坏免疫抑制和促炎细胞因子或介</w:t>
      </w:r>
      <w:r>
        <w:rPr>
          <w:spacing w:val="-3"/>
        </w:rPr>
        <w:t>质之间的稳态导</w:t>
      </w:r>
      <w:r>
        <w:t xml:space="preserve"> </w:t>
      </w:r>
      <w:r>
        <w:rPr>
          <w:spacing w:val="-3"/>
        </w:rPr>
        <w:t>致髓系来源抑制细胞</w:t>
      </w:r>
      <w:r>
        <w:rPr>
          <w:rFonts w:ascii="SimSun" w:eastAsia="SimSun" w:hAnsi="SimSun" w:cs="SimSun"/>
          <w:spacing w:val="-3"/>
        </w:rPr>
        <w:t>(myeloid-derived</w:t>
      </w:r>
      <w:r>
        <w:rPr>
          <w:rFonts w:ascii="SimSun" w:eastAsia="SimSun" w:hAnsi="SimSun" w:cs="SimSun"/>
          <w:spacing w:val="57"/>
        </w:rPr>
        <w:t xml:space="preserve">  </w:t>
      </w:r>
      <w:r>
        <w:rPr>
          <w:rFonts w:ascii="SimSun" w:eastAsia="SimSun" w:hAnsi="SimSun" w:cs="SimSun"/>
          <w:spacing w:val="-3"/>
        </w:rPr>
        <w:t>suppressor</w:t>
      </w:r>
      <w:r>
        <w:rPr>
          <w:rFonts w:ascii="SimSun" w:eastAsia="SimSun" w:hAnsi="SimSun" w:cs="SimSun"/>
          <w:spacing w:val="47"/>
        </w:rPr>
        <w:t xml:space="preserve">  </w:t>
      </w:r>
      <w:r>
        <w:rPr>
          <w:rFonts w:ascii="SimSun" w:eastAsia="SimSun" w:hAnsi="SimSun" w:cs="SimSun"/>
          <w:spacing w:val="-3"/>
        </w:rPr>
        <w:t>cells,MDSCs)</w:t>
      </w:r>
    </w:p>
    <w:p>
      <w:pPr>
        <w:pStyle w:val="BodyText"/>
        <w:spacing w:before="1" w:line="220" w:lineRule="auto"/>
        <w:ind w:left="3"/>
      </w:pPr>
      <w:r>
        <w:rPr>
          <w:spacing w:val="-13"/>
        </w:rPr>
        <w:t>肿瘤相关巨噬细胞、</w:t>
      </w:r>
      <w:r>
        <w:rPr>
          <w:spacing w:val="36"/>
        </w:rPr>
        <w:t xml:space="preserve"> </w:t>
      </w:r>
      <w:r>
        <w:rPr>
          <w:rFonts w:ascii="SimSun" w:eastAsia="SimSun" w:hAnsi="SimSun" w:cs="SimSun"/>
          <w:spacing w:val="-13"/>
        </w:rPr>
        <w:t>M2</w:t>
      </w:r>
      <w:r>
        <w:rPr>
          <w:rFonts w:ascii="SimSun" w:eastAsia="SimSun" w:hAnsi="SimSun" w:cs="SimSun"/>
          <w:spacing w:val="87"/>
        </w:rPr>
        <w:t xml:space="preserve"> </w:t>
      </w:r>
      <w:r>
        <w:rPr>
          <w:spacing w:val="-13"/>
        </w:rPr>
        <w:t>巨噬细胞和调节性</w:t>
      </w:r>
      <w:r>
        <w:rPr>
          <w:rFonts w:ascii="SimSun" w:eastAsia="SimSun" w:hAnsi="SimSun" w:cs="SimSun"/>
          <w:spacing w:val="-13"/>
        </w:rPr>
        <w:t>T</w:t>
      </w:r>
      <w:r>
        <w:rPr>
          <w:rFonts w:ascii="SimSun" w:eastAsia="SimSun" w:hAnsi="SimSun" w:cs="SimSun"/>
          <w:spacing w:val="-33"/>
        </w:rPr>
        <w:t xml:space="preserve"> </w:t>
      </w:r>
      <w:r>
        <w:rPr>
          <w:spacing w:val="-13"/>
        </w:rPr>
        <w:t>细胞等免疫抑制细胞的</w:t>
      </w:r>
      <w:r>
        <w:rPr>
          <w:spacing w:val="-14"/>
        </w:rPr>
        <w:t>浸润</w:t>
      </w:r>
    </w:p>
    <w:p>
      <w:pPr>
        <w:spacing w:line="220" w:lineRule="auto"/>
        <w:sectPr>
          <w:pgSz w:w="11910" w:h="16840"/>
          <w:pgMar w:top="1431" w:right="1782" w:bottom="0" w:left="1786" w:header="0" w:footer="0" w:gutter="0"/>
          <w:pgNumType w:start="13"/>
          <w:cols w:space="708"/>
        </w:sectPr>
      </w:pPr>
    </w:p>
    <w:p>
      <w:pPr>
        <w:pStyle w:val="BodyText"/>
        <w:spacing w:before="154" w:line="434" w:lineRule="auto"/>
        <w:ind w:left="13" w:right="18"/>
        <w:jc w:val="both"/>
      </w:pPr>
      <w:r>
        <w:rPr>
          <w:spacing w:val="6"/>
        </w:rPr>
        <w:t>增加[25-27],比如，肿瘤缺氧诱导的</w:t>
      </w:r>
      <w:r>
        <w:rPr>
          <w:rFonts w:ascii="SimSun" w:eastAsia="SimSun" w:hAnsi="SimSun" w:cs="SimSun"/>
        </w:rPr>
        <w:t>VEGF</w:t>
      </w:r>
      <w:r>
        <w:rPr>
          <w:rFonts w:ascii="SimSun" w:eastAsia="SimSun" w:hAnsi="SimSun" w:cs="SimSun"/>
          <w:spacing w:val="6"/>
        </w:rPr>
        <w:t xml:space="preserve"> </w:t>
      </w:r>
      <w:r>
        <w:rPr>
          <w:spacing w:val="6"/>
        </w:rPr>
        <w:t>即会诱导</w:t>
      </w:r>
      <w:r>
        <w:rPr>
          <w:rFonts w:ascii="SimSun" w:eastAsia="SimSun" w:hAnsi="SimSun" w:cs="SimSun"/>
        </w:rPr>
        <w:t>MDSCs</w:t>
      </w:r>
      <w:r>
        <w:rPr>
          <w:rFonts w:ascii="SimSun" w:eastAsia="SimSun" w:hAnsi="SimSun" w:cs="SimSun"/>
          <w:spacing w:val="6"/>
        </w:rPr>
        <w:t xml:space="preserve">  </w:t>
      </w:r>
      <w:r>
        <w:rPr>
          <w:spacing w:val="6"/>
        </w:rPr>
        <w:t>的动员和</w:t>
      </w:r>
      <w:r>
        <w:rPr>
          <w:spacing w:val="17"/>
        </w:rPr>
        <w:t xml:space="preserve"> </w:t>
      </w:r>
      <w:r>
        <w:t>在肿瘤部位的浸润[28],</w:t>
      </w:r>
      <w:r>
        <w:rPr>
          <w:rFonts w:ascii="SimSun" w:eastAsia="SimSun" w:hAnsi="SimSun" w:cs="SimSun"/>
        </w:rPr>
        <w:t>TME</w:t>
      </w:r>
      <w:r>
        <w:rPr>
          <w:rFonts w:ascii="SimSun" w:eastAsia="SimSun" w:hAnsi="SimSun" w:cs="SimSun"/>
          <w:spacing w:val="106"/>
        </w:rPr>
        <w:t xml:space="preserve"> </w:t>
      </w:r>
      <w:r>
        <w:t>中的免疫效应细胞包括细胞毒性</w:t>
      </w:r>
      <w:r>
        <w:rPr>
          <w:rFonts w:ascii="SimSun" w:eastAsia="SimSun" w:hAnsi="SimSun" w:cs="SimSun"/>
        </w:rPr>
        <w:t>T</w:t>
      </w:r>
      <w:r>
        <w:rPr>
          <w:rFonts w:ascii="SimSun" w:eastAsia="SimSun" w:hAnsi="SimSun" w:cs="SimSun"/>
          <w:spacing w:val="-53"/>
        </w:rPr>
        <w:t xml:space="preserve"> </w:t>
      </w:r>
      <w:r>
        <w:t>淋巴细</w:t>
      </w:r>
      <w:r>
        <w:t xml:space="preserve"> </w:t>
      </w:r>
      <w:r>
        <w:rPr>
          <w:spacing w:val="-5"/>
        </w:rPr>
        <w:t>胞、自然杀伤</w:t>
      </w:r>
      <w:r>
        <w:rPr>
          <w:rFonts w:ascii="SimSun" w:eastAsia="SimSun" w:hAnsi="SimSun" w:cs="SimSun"/>
          <w:spacing w:val="-5"/>
        </w:rPr>
        <w:t>(NK)</w:t>
      </w:r>
      <w:r>
        <w:rPr>
          <w:rFonts w:ascii="SimSun" w:eastAsia="SimSun" w:hAnsi="SimSun" w:cs="SimSun"/>
          <w:spacing w:val="43"/>
        </w:rPr>
        <w:t xml:space="preserve">  </w:t>
      </w:r>
      <w:r>
        <w:rPr>
          <w:spacing w:val="-5"/>
        </w:rPr>
        <w:t>细胞、树突状细胞的浸润减少和耗竭同样会导致免</w:t>
      </w:r>
    </w:p>
    <w:p>
      <w:pPr>
        <w:pStyle w:val="BodyText"/>
        <w:spacing w:line="221" w:lineRule="auto"/>
        <w:ind w:left="13"/>
      </w:pPr>
      <w:r>
        <w:rPr>
          <w:spacing w:val="-5"/>
        </w:rPr>
        <w:t>疫抑制和免疫逃逸[29-30</w:t>
      </w:r>
      <w:r>
        <w:rPr>
          <w:spacing w:val="-5"/>
        </w:rPr>
        <w:t xml:space="preserve"> </w:t>
      </w:r>
      <w:r>
        <w:rPr>
          <w:spacing w:val="-5"/>
        </w:rPr>
        <w:t>]。</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8" w:line="223" w:lineRule="auto"/>
        <w:ind w:left="13"/>
      </w:pPr>
      <w:r>
        <w:rPr>
          <w:spacing w:val="-11"/>
        </w:rPr>
        <w:t>三、宿主相关机制</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87" w:line="426" w:lineRule="auto"/>
        <w:ind w:left="13" w:right="2"/>
        <w:jc w:val="both"/>
      </w:pPr>
      <w:r>
        <w:rPr>
          <w:spacing w:val="-11"/>
        </w:rPr>
        <w:t>宿主相关机制是免疫耐药的另一部分因素，研究显示，吸烟史、性别、肥</w:t>
      </w:r>
      <w:r>
        <w:rPr>
          <w:spacing w:val="2"/>
        </w:rPr>
        <w:t xml:space="preserve"> </w:t>
      </w:r>
      <w:r>
        <w:rPr>
          <w:spacing w:val="-4"/>
        </w:rPr>
        <w:t>胖与</w:t>
      </w:r>
      <w:r>
        <w:rPr>
          <w:rFonts w:ascii="Arial" w:eastAsia="Arial" w:hAnsi="Arial" w:cs="Arial"/>
          <w:spacing w:val="-4"/>
        </w:rPr>
        <w:t>NSCLC</w:t>
      </w:r>
      <w:r>
        <w:rPr>
          <w:spacing w:val="-4"/>
        </w:rPr>
        <w:t>患者免疫治疗疗效相关[31-33</w:t>
      </w:r>
      <w:r>
        <w:rPr>
          <w:spacing w:val="-4"/>
        </w:rPr>
        <w:t xml:space="preserve"> </w:t>
      </w:r>
      <w:r>
        <w:rPr>
          <w:spacing w:val="-4"/>
        </w:rPr>
        <w:t>]。此外，多</w:t>
      </w:r>
      <w:r>
        <w:rPr>
          <w:spacing w:val="-5"/>
        </w:rPr>
        <w:t>项研究显示肠道</w:t>
      </w:r>
      <w:r>
        <w:t xml:space="preserve"> </w:t>
      </w:r>
      <w:r>
        <w:rPr>
          <w:spacing w:val="-6"/>
        </w:rPr>
        <w:t>菌群在患者免疫应答中具有重要作用[34-36</w:t>
      </w:r>
      <w:r>
        <w:rPr>
          <w:spacing w:val="-6"/>
        </w:rPr>
        <w:t xml:space="preserve"> </w:t>
      </w:r>
      <w:r>
        <w:rPr>
          <w:spacing w:val="-7"/>
        </w:rPr>
        <w:t>],目前已有相关研究通过调</w:t>
      </w:r>
      <w:r>
        <w:t xml:space="preserve"> </w:t>
      </w:r>
      <w:r>
        <w:rPr>
          <w:spacing w:val="-7"/>
        </w:rPr>
        <w:t>整肠道微生物群来克服免疫耐药[37</w:t>
      </w:r>
      <w:r>
        <w:rPr>
          <w:spacing w:val="-7"/>
        </w:rPr>
        <w:t xml:space="preserve"> </w:t>
      </w:r>
      <w:r>
        <w:rPr>
          <w:spacing w:val="-7"/>
        </w:rPr>
        <w:t>],有望为</w:t>
      </w:r>
      <w:r>
        <w:rPr>
          <w:spacing w:val="-75"/>
        </w:rPr>
        <w:t xml:space="preserve"> </w:t>
      </w:r>
      <w:r>
        <w:rPr>
          <w:rFonts w:ascii="Times New Roman" w:eastAsia="Times New Roman" w:hAnsi="Times New Roman" w:cs="Times New Roman"/>
          <w:spacing w:val="-7"/>
        </w:rPr>
        <w:t xml:space="preserve">NSCLC </w:t>
      </w:r>
      <w:r>
        <w:rPr>
          <w:spacing w:val="-7"/>
        </w:rPr>
        <w:t>患者克服免疫耐药</w:t>
      </w:r>
    </w:p>
    <w:p>
      <w:pPr>
        <w:pStyle w:val="BodyText"/>
        <w:spacing w:before="1" w:line="220" w:lineRule="auto"/>
        <w:ind w:left="13"/>
      </w:pPr>
      <w:r>
        <w:rPr>
          <w:spacing w:val="-13"/>
        </w:rPr>
        <w:t>带来新的手段。</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BodyText"/>
        <w:spacing w:before="88" w:line="428" w:lineRule="auto"/>
        <w:ind w:left="13" w:right="28"/>
        <w:jc w:val="both"/>
      </w:pPr>
      <w:r>
        <w:rPr>
          <w:spacing w:val="-11"/>
        </w:rPr>
        <w:t>综上所述，免疫治疗耐药的机制非常复杂，且不同患者的耐药机制存在差</w:t>
      </w:r>
      <w:r>
        <w:rPr>
          <w:spacing w:val="6"/>
        </w:rPr>
        <w:t xml:space="preserve"> </w:t>
      </w:r>
      <w:r>
        <w:rPr>
          <w:spacing w:val="-11"/>
        </w:rPr>
        <w:t>异，因此在免疫治疗进展后再次行组织学活检有助于明确其耐药机制并探</w:t>
      </w:r>
    </w:p>
    <w:p>
      <w:pPr>
        <w:pStyle w:val="BodyText"/>
        <w:spacing w:before="2" w:line="220" w:lineRule="auto"/>
        <w:ind w:left="13"/>
      </w:pPr>
      <w:r>
        <w:rPr>
          <w:spacing w:val="-14"/>
        </w:rPr>
        <w:t>索针对性的处理方案。</w:t>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88" w:line="221" w:lineRule="auto"/>
        <w:ind w:left="13"/>
      </w:pPr>
      <w:r>
        <w:rPr>
          <w:spacing w:val="-10"/>
        </w:rPr>
        <w:t>第四部分：免疫治疗疗效评价</w:t>
      </w:r>
    </w:p>
    <w:p>
      <w:pPr>
        <w:spacing w:line="282" w:lineRule="auto"/>
        <w:rPr>
          <w:rFonts w:ascii="Arial"/>
          <w:sz w:val="21"/>
        </w:rPr>
      </w:pPr>
    </w:p>
    <w:p>
      <w:pPr>
        <w:spacing w:line="282" w:lineRule="auto"/>
        <w:rPr>
          <w:rFonts w:ascii="Arial"/>
          <w:sz w:val="21"/>
        </w:rPr>
      </w:pPr>
    </w:p>
    <w:p>
      <w:pPr>
        <w:spacing w:line="282" w:lineRule="auto"/>
        <w:rPr>
          <w:rFonts w:ascii="Arial"/>
          <w:sz w:val="21"/>
        </w:rPr>
        <w:sectPr>
          <w:pgSz w:w="11910" w:h="16840"/>
          <w:pgMar w:top="1431" w:right="1786" w:bottom="0" w:left="1786" w:header="0" w:footer="0" w:gutter="0"/>
          <w:pgNumType w:start="14"/>
          <w:cols w:space="708"/>
        </w:sectPr>
      </w:pPr>
    </w:p>
    <w:p>
      <w:pPr>
        <w:pStyle w:val="BodyText"/>
        <w:spacing w:before="89" w:line="217" w:lineRule="auto"/>
        <w:ind w:left="13"/>
        <w:rPr>
          <w:rFonts w:ascii="SimSun" w:eastAsia="SimSun" w:hAnsi="SimSun" w:cs="SimSun"/>
        </w:rPr>
      </w:pPr>
      <w:r>
        <w:rPr>
          <w:spacing w:val="-3"/>
        </w:rPr>
        <w:t>一、假进展与超进展</w:t>
      </w:r>
      <w:r>
        <w:rPr>
          <w:rFonts w:ascii="SimSun" w:eastAsia="SimSun" w:hAnsi="SimSun" w:cs="SimSun"/>
          <w:spacing w:val="-3"/>
        </w:rPr>
        <w:t>(hyperprogressive</w:t>
      </w:r>
      <w:r>
        <w:rPr>
          <w:rFonts w:ascii="SimSun" w:eastAsia="SimSun" w:hAnsi="SimSun" w:cs="SimSun"/>
          <w:spacing w:val="44"/>
        </w:rPr>
        <w:t xml:space="preserve">   </w:t>
      </w:r>
      <w:r>
        <w:rPr>
          <w:rFonts w:ascii="SimSun" w:eastAsia="SimSun" w:hAnsi="SimSun" w:cs="SimSun"/>
          <w:spacing w:val="-3"/>
        </w:rPr>
        <w:t>disease,HPD)</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BodyText"/>
        <w:spacing w:before="88" w:line="213" w:lineRule="auto"/>
        <w:ind w:left="13"/>
      </w:pPr>
      <w:r>
        <w:rPr>
          <w:spacing w:val="-11"/>
        </w:rPr>
        <w:t>判断免疫治疗耐药首先需要明确的疗效评估标准，然而免疫治疗的疗效评</w:t>
      </w:r>
    </w:p>
    <w:p>
      <w:pPr>
        <w:spacing w:line="213" w:lineRule="auto"/>
        <w:sectPr>
          <w:type w:val="nextPage"/>
          <w:pgSz w:w="11910" w:h="16840"/>
          <w:pgMar w:top="1431" w:right="1786" w:bottom="0" w:left="1786" w:header="0" w:footer="0" w:gutter="0"/>
          <w:pgNumType w:start="15"/>
          <w:cols w:space="708"/>
          <w:titlePg w:val="0"/>
        </w:sectPr>
      </w:pPr>
    </w:p>
    <w:p>
      <w:pPr>
        <w:pStyle w:val="BodyText"/>
        <w:spacing w:before="184" w:line="424" w:lineRule="auto"/>
        <w:ind w:left="13"/>
        <w:jc w:val="both"/>
      </w:pPr>
      <w:r>
        <w:rPr>
          <w:spacing w:val="-12"/>
        </w:rPr>
        <w:t>估与传统的疗效评估标准存在明显区别。传统的抗</w:t>
      </w:r>
      <w:r>
        <w:rPr>
          <w:spacing w:val="-13"/>
        </w:rPr>
        <w:t>肿瘤治疗手段如放化疗、</w:t>
      </w:r>
      <w:r>
        <w:t xml:space="preserve"> </w:t>
      </w:r>
      <w:r>
        <w:rPr>
          <w:spacing w:val="-11"/>
        </w:rPr>
        <w:t>靶向治疗通常可以通过影像学上肿瘤大小的变化</w:t>
      </w:r>
      <w:r>
        <w:rPr>
          <w:spacing w:val="-12"/>
        </w:rPr>
        <w:t>直接判断其疗效，目前应</w:t>
      </w:r>
      <w:r>
        <w:rPr>
          <w:spacing w:val="-12"/>
        </w:rPr>
        <w:t xml:space="preserve">  </w:t>
      </w:r>
      <w:r>
        <w:rPr>
          <w:spacing w:val="-8"/>
        </w:rPr>
        <w:t>用最广泛的是</w:t>
      </w:r>
      <w:r>
        <w:rPr>
          <w:spacing w:val="-54"/>
        </w:rPr>
        <w:t xml:space="preserve"> </w:t>
      </w:r>
      <w:r>
        <w:rPr>
          <w:rFonts w:ascii="SimSun" w:eastAsia="SimSun" w:hAnsi="SimSun" w:cs="SimSun"/>
          <w:spacing w:val="-8"/>
        </w:rPr>
        <w:t>RECIST 1.1</w:t>
      </w:r>
      <w:r>
        <w:rPr>
          <w:spacing w:val="-8"/>
        </w:rPr>
        <w:t>版[38</w:t>
      </w:r>
      <w:r>
        <w:rPr>
          <w:spacing w:val="-8"/>
        </w:rPr>
        <w:t xml:space="preserve"> </w:t>
      </w:r>
      <w:r>
        <w:rPr>
          <w:spacing w:val="-8"/>
        </w:rPr>
        <w:t>]。然而，免疫治疗的应答模式与</w:t>
      </w:r>
      <w:r>
        <w:rPr>
          <w:spacing w:val="-9"/>
        </w:rPr>
        <w:t>传统细</w:t>
      </w:r>
      <w:r>
        <w:rPr>
          <w:spacing w:val="-9"/>
        </w:rPr>
        <w:t xml:space="preserve">  </w:t>
      </w:r>
      <w:r>
        <w:rPr>
          <w:spacing w:val="-13"/>
        </w:rPr>
        <w:t>胞毒性治疗不同，可能会表现出假进展或</w:t>
      </w:r>
      <w:r>
        <w:rPr>
          <w:spacing w:val="-54"/>
        </w:rPr>
        <w:t xml:space="preserve"> </w:t>
      </w:r>
      <w:r>
        <w:rPr>
          <w:rFonts w:ascii="SimSun" w:eastAsia="SimSun" w:hAnsi="SimSun" w:cs="SimSun"/>
          <w:spacing w:val="-13"/>
        </w:rPr>
        <w:t xml:space="preserve">HPD。 </w:t>
      </w:r>
      <w:r>
        <w:rPr>
          <w:spacing w:val="-13"/>
        </w:rPr>
        <w:t>假进展最初是在应用细胞</w:t>
      </w:r>
      <w:r>
        <w:rPr>
          <w:spacing w:val="-13"/>
        </w:rPr>
        <w:t xml:space="preserve">  </w:t>
      </w:r>
      <w:r>
        <w:rPr>
          <w:spacing w:val="-1"/>
        </w:rPr>
        <w:t>毒</w:t>
      </w:r>
      <w:r>
        <w:rPr>
          <w:rFonts w:ascii="Arial" w:eastAsia="Arial" w:hAnsi="Arial" w:cs="Arial"/>
          <w:spacing w:val="-1"/>
        </w:rPr>
        <w:t>T</w:t>
      </w:r>
      <w:r>
        <w:rPr>
          <w:rFonts w:ascii="Arial" w:eastAsia="Arial" w:hAnsi="Arial" w:cs="Arial"/>
          <w:spacing w:val="-24"/>
        </w:rPr>
        <w:t xml:space="preserve"> </w:t>
      </w:r>
      <w:r>
        <w:rPr>
          <w:spacing w:val="-1"/>
        </w:rPr>
        <w:t>淋巴细胞相关抗原4</w:t>
      </w:r>
      <w:r>
        <w:rPr>
          <w:rFonts w:ascii="Arial" w:eastAsia="Arial" w:hAnsi="Arial" w:cs="Arial"/>
          <w:spacing w:val="-1"/>
        </w:rPr>
        <w:t>(cytotoxic</w:t>
      </w:r>
      <w:r>
        <w:rPr>
          <w:rFonts w:ascii="Arial" w:eastAsia="Arial" w:hAnsi="Arial" w:cs="Arial"/>
          <w:spacing w:val="68"/>
          <w:w w:val="101"/>
        </w:rPr>
        <w:t xml:space="preserve"> </w:t>
      </w:r>
      <w:r>
        <w:rPr>
          <w:rFonts w:ascii="Arial" w:eastAsia="Arial" w:hAnsi="Arial" w:cs="Arial"/>
          <w:spacing w:val="-1"/>
        </w:rPr>
        <w:t>T-Lymphocyte</w:t>
      </w:r>
      <w:r>
        <w:rPr>
          <w:rFonts w:ascii="Arial" w:eastAsia="Arial" w:hAnsi="Arial" w:cs="Arial"/>
          <w:spacing w:val="61"/>
          <w:w w:val="101"/>
        </w:rPr>
        <w:t xml:space="preserve"> </w:t>
      </w:r>
      <w:r>
        <w:rPr>
          <w:rFonts w:ascii="Arial" w:eastAsia="Arial" w:hAnsi="Arial" w:cs="Arial"/>
          <w:spacing w:val="-1"/>
        </w:rPr>
        <w:t>Antigen</w:t>
      </w:r>
      <w:r>
        <w:rPr>
          <w:rFonts w:ascii="Arial" w:eastAsia="Arial" w:hAnsi="Arial" w:cs="Arial"/>
          <w:spacing w:val="65"/>
        </w:rPr>
        <w:t xml:space="preserve"> </w:t>
      </w:r>
      <w:r>
        <w:rPr>
          <w:rFonts w:ascii="Arial" w:eastAsia="Arial" w:hAnsi="Arial" w:cs="Arial"/>
          <w:spacing w:val="-1"/>
        </w:rPr>
        <w:t xml:space="preserve">4  </w:t>
      </w:r>
      <w:r>
        <w:rPr>
          <w:rFonts w:ascii="Arial" w:eastAsia="Arial" w:hAnsi="Arial" w:cs="Arial"/>
          <w:spacing w:val="-2"/>
        </w:rPr>
        <w:t xml:space="preserve">,CTLA-4)   </w:t>
      </w:r>
      <w:r>
        <w:t>单抗治疗黑色素瘤的研究中证实[39],是指接受免疫治疗期间由于淋巴</w:t>
      </w:r>
      <w:r>
        <w:t xml:space="preserve">  </w:t>
      </w:r>
      <w:r>
        <w:rPr>
          <w:spacing w:val="-11"/>
        </w:rPr>
        <w:t>细胞浸润、水肿和坏死导致肿瘤体积增大或者产</w:t>
      </w:r>
      <w:r>
        <w:rPr>
          <w:spacing w:val="-12"/>
        </w:rPr>
        <w:t>生新病灶，并不是真正的</w:t>
      </w:r>
      <w:r>
        <w:rPr>
          <w:spacing w:val="-12"/>
        </w:rPr>
        <w:t xml:space="preserve">  </w:t>
      </w:r>
      <w:r>
        <w:rPr>
          <w:spacing w:val="-11"/>
        </w:rPr>
        <w:t>肿瘤细胞增殖，因此通过组织活检可以判断是否</w:t>
      </w:r>
      <w:r>
        <w:rPr>
          <w:spacing w:val="-12"/>
        </w:rPr>
        <w:t>假进展，然而临床实践中</w:t>
      </w:r>
      <w:r>
        <w:rPr>
          <w:spacing w:val="-12"/>
        </w:rPr>
        <w:t xml:space="preserve">  </w:t>
      </w:r>
      <w:r>
        <w:rPr>
          <w:spacing w:val="-9"/>
        </w:rPr>
        <w:t>并非所有进展病灶都能够进行组织活检。</w:t>
      </w:r>
      <w:r>
        <w:rPr>
          <w:spacing w:val="54"/>
        </w:rPr>
        <w:t xml:space="preserve"> </w:t>
      </w:r>
      <w:r>
        <w:rPr>
          <w:spacing w:val="-9"/>
        </w:rPr>
        <w:t>一项荟萃分析结果提示，在17</w:t>
      </w:r>
      <w:r>
        <w:rPr>
          <w:spacing w:val="-9"/>
        </w:rPr>
        <w:t xml:space="preserve">  </w:t>
      </w:r>
      <w:r>
        <w:rPr>
          <w:spacing w:val="8"/>
        </w:rPr>
        <w:t>项研究中的3402例接受免疫治疗的患者中，假进展的发生率为6.0%,</w:t>
      </w:r>
      <w:r>
        <w:rPr>
          <w:spacing w:val="8"/>
        </w:rPr>
        <w:t xml:space="preserve">  </w:t>
      </w:r>
      <w:r>
        <w:rPr>
          <w:spacing w:val="-1"/>
        </w:rPr>
        <w:t>其中</w:t>
      </w:r>
      <w:r>
        <w:rPr>
          <w:rFonts w:ascii="Arial" w:eastAsia="Arial" w:hAnsi="Arial" w:cs="Arial"/>
          <w:spacing w:val="-1"/>
        </w:rPr>
        <w:t>NSCLC</w:t>
      </w:r>
      <w:r>
        <w:rPr>
          <w:spacing w:val="-1"/>
        </w:rPr>
        <w:t>免疫治疗假进展的发生率为5.0%[4</w:t>
      </w:r>
      <w:r>
        <w:rPr>
          <w:spacing w:val="-2"/>
        </w:rPr>
        <w:t>0</w:t>
      </w:r>
      <w:r>
        <w:rPr>
          <w:spacing w:val="-2"/>
        </w:rPr>
        <w:t xml:space="preserve"> </w:t>
      </w:r>
      <w:r>
        <w:rPr>
          <w:spacing w:val="-2"/>
        </w:rPr>
        <w:t>],</w:t>
      </w:r>
      <w:r>
        <w:rPr>
          <w:rFonts w:ascii="Arial" w:eastAsia="Arial" w:hAnsi="Arial" w:cs="Arial"/>
          <w:spacing w:val="-2"/>
        </w:rPr>
        <w:t xml:space="preserve">HPD </w:t>
      </w:r>
      <w:r>
        <w:rPr>
          <w:spacing w:val="-2"/>
        </w:rPr>
        <w:t>是指接受免疫</w:t>
      </w:r>
      <w:r>
        <w:rPr>
          <w:spacing w:val="-2"/>
        </w:rPr>
        <w:t xml:space="preserve">  </w:t>
      </w:r>
      <w:r>
        <w:rPr>
          <w:spacing w:val="-10"/>
        </w:rPr>
        <w:t>治疗的患者出现肿瘤负荷快速增加、病情迅</w:t>
      </w:r>
      <w:r>
        <w:rPr>
          <w:spacing w:val="-11"/>
        </w:rPr>
        <w:t>速恶化的现象，目前</w:t>
      </w:r>
      <w:r>
        <w:rPr>
          <w:spacing w:val="-11"/>
        </w:rPr>
        <w:t xml:space="preserve"> </w:t>
      </w:r>
      <w:r>
        <w:rPr>
          <w:rFonts w:ascii="SimSun" w:eastAsia="SimSun" w:hAnsi="SimSun" w:cs="SimSun"/>
          <w:spacing w:val="-11"/>
        </w:rPr>
        <w:t>HPD</w:t>
      </w:r>
      <w:r>
        <w:rPr>
          <w:rFonts w:ascii="SimSun" w:eastAsia="SimSun" w:hAnsi="SimSun" w:cs="SimSun"/>
          <w:spacing w:val="114"/>
        </w:rPr>
        <w:t xml:space="preserve"> </w:t>
      </w:r>
      <w:r>
        <w:rPr>
          <w:spacing w:val="-11"/>
        </w:rPr>
        <w:t>报</w:t>
      </w:r>
      <w:r>
        <w:rPr>
          <w:spacing w:val="-11"/>
        </w:rPr>
        <w:t xml:space="preserve">  </w:t>
      </w:r>
      <w:r>
        <w:rPr>
          <w:spacing w:val="14"/>
        </w:rPr>
        <w:t>道的发生率为4%~29%[41-43</w:t>
      </w:r>
      <w:r>
        <w:rPr>
          <w:spacing w:val="66"/>
        </w:rPr>
        <w:t xml:space="preserve"> </w:t>
      </w:r>
      <w:r>
        <w:rPr>
          <w:spacing w:val="14"/>
        </w:rPr>
        <w:t>],</w:t>
      </w:r>
      <w:r>
        <w:rPr>
          <w:rFonts w:ascii="Times New Roman" w:eastAsia="Times New Roman" w:hAnsi="Times New Roman" w:cs="Times New Roman"/>
        </w:rPr>
        <w:t>Champiat</w:t>
      </w:r>
      <w:r>
        <w:rPr>
          <w:rFonts w:ascii="Times New Roman" w:eastAsia="Times New Roman" w:hAnsi="Times New Roman" w:cs="Times New Roman"/>
          <w:spacing w:val="14"/>
        </w:rPr>
        <w:t xml:space="preserve">   </w:t>
      </w:r>
      <w:r>
        <w:rPr>
          <w:spacing w:val="14"/>
        </w:rPr>
        <w:t>等[42</w:t>
      </w:r>
      <w:r>
        <w:rPr>
          <w:spacing w:val="14"/>
        </w:rPr>
        <w:t xml:space="preserve"> </w:t>
      </w:r>
      <w:r>
        <w:rPr>
          <w:spacing w:val="14"/>
        </w:rPr>
        <w:t>]团队明确提出了</w:t>
      </w:r>
      <w:r>
        <w:t xml:space="preserve">  </w:t>
      </w:r>
      <w:r>
        <w:rPr>
          <w:rFonts w:ascii="SimSun" w:eastAsia="SimSun" w:hAnsi="SimSun" w:cs="SimSun"/>
          <w:spacing w:val="-6"/>
        </w:rPr>
        <w:t>HPD</w:t>
      </w:r>
      <w:r>
        <w:rPr>
          <w:rFonts w:ascii="SimSun" w:eastAsia="SimSun" w:hAnsi="SimSun" w:cs="SimSun"/>
          <w:spacing w:val="45"/>
        </w:rPr>
        <w:t xml:space="preserve"> </w:t>
      </w:r>
      <w:r>
        <w:rPr>
          <w:spacing w:val="-6"/>
        </w:rPr>
        <w:t>的概念，后续许多研究进一步补充和</w:t>
      </w:r>
      <w:r>
        <w:rPr>
          <w:spacing w:val="-7"/>
        </w:rPr>
        <w:t>完善了</w:t>
      </w:r>
      <w:r>
        <w:rPr>
          <w:rFonts w:ascii="SimSun" w:eastAsia="SimSun" w:hAnsi="SimSun" w:cs="SimSun"/>
          <w:spacing w:val="-7"/>
        </w:rPr>
        <w:t>HPD</w:t>
      </w:r>
      <w:r>
        <w:rPr>
          <w:rFonts w:ascii="SimSun" w:eastAsia="SimSun" w:hAnsi="SimSun" w:cs="SimSun"/>
          <w:spacing w:val="84"/>
        </w:rPr>
        <w:t xml:space="preserve"> </w:t>
      </w:r>
      <w:r>
        <w:rPr>
          <w:spacing w:val="-7"/>
        </w:rPr>
        <w:t>的定义，目前比较</w:t>
      </w:r>
    </w:p>
    <w:p>
      <w:pPr>
        <w:pStyle w:val="BodyText"/>
        <w:spacing w:before="1" w:line="212" w:lineRule="auto"/>
        <w:ind w:left="13"/>
      </w:pPr>
      <w:r>
        <w:rPr>
          <w:spacing w:val="-3"/>
        </w:rPr>
        <w:t>全面的</w:t>
      </w:r>
      <w:r>
        <w:rPr>
          <w:spacing w:val="-60"/>
        </w:rPr>
        <w:t xml:space="preserve"> </w:t>
      </w:r>
      <w:r>
        <w:rPr>
          <w:rFonts w:ascii="Arial" w:eastAsia="Arial" w:hAnsi="Arial" w:cs="Arial"/>
          <w:spacing w:val="-3"/>
        </w:rPr>
        <w:t>HPD</w:t>
      </w:r>
      <w:r>
        <w:rPr>
          <w:rFonts w:ascii="Arial" w:eastAsia="Arial" w:hAnsi="Arial" w:cs="Arial"/>
          <w:spacing w:val="-33"/>
        </w:rPr>
        <w:t xml:space="preserve"> </w:t>
      </w:r>
      <w:r>
        <w:rPr>
          <w:spacing w:val="-3"/>
        </w:rPr>
        <w:t>定义包括三个条件：(1)在免疫治疗中，肿瘤进展时间&lt;2个</w:t>
      </w:r>
    </w:p>
    <w:p>
      <w:pPr>
        <w:spacing w:line="278" w:lineRule="auto"/>
        <w:rPr>
          <w:rFonts w:ascii="Arial"/>
          <w:sz w:val="21"/>
        </w:rPr>
      </w:pPr>
    </w:p>
    <w:p>
      <w:pPr>
        <w:pStyle w:val="BodyText"/>
        <w:spacing w:before="88" w:line="424" w:lineRule="auto"/>
        <w:ind w:left="13" w:right="211"/>
        <w:jc w:val="both"/>
      </w:pPr>
      <w:r>
        <w:rPr>
          <w:spacing w:val="14"/>
        </w:rPr>
        <w:t>月；(2)肿瘤负荷相比于基线期增长超过</w:t>
      </w:r>
      <w:r>
        <w:rPr>
          <w:spacing w:val="13"/>
        </w:rPr>
        <w:t>50%;(3)免疫治疗后肿瘤生</w:t>
      </w:r>
      <w:r>
        <w:t xml:space="preserve"> </w:t>
      </w:r>
      <w:r>
        <w:rPr>
          <w:spacing w:val="-4"/>
        </w:rPr>
        <w:t>长速度超过之前速度2倍以上。目前</w:t>
      </w:r>
      <w:r>
        <w:rPr>
          <w:spacing w:val="-31"/>
        </w:rPr>
        <w:t xml:space="preserve"> </w:t>
      </w:r>
      <w:r>
        <w:rPr>
          <w:rFonts w:ascii="SimSun" w:eastAsia="SimSun" w:hAnsi="SimSun" w:cs="SimSun"/>
          <w:spacing w:val="-4"/>
        </w:rPr>
        <w:t>HPD</w:t>
      </w:r>
      <w:r>
        <w:rPr>
          <w:rFonts w:ascii="SimSun" w:eastAsia="SimSun" w:hAnsi="SimSun" w:cs="SimSun"/>
          <w:spacing w:val="74"/>
        </w:rPr>
        <w:t xml:space="preserve"> </w:t>
      </w:r>
      <w:r>
        <w:rPr>
          <w:spacing w:val="-4"/>
        </w:rPr>
        <w:t>的发生机制尚不明确，并且关</w:t>
      </w:r>
      <w:r>
        <w:t xml:space="preserve"> </w:t>
      </w:r>
      <w:r>
        <w:rPr>
          <w:spacing w:val="-10"/>
        </w:rPr>
        <w:t>于</w:t>
      </w:r>
      <w:r>
        <w:rPr>
          <w:spacing w:val="-10"/>
        </w:rPr>
        <w:t xml:space="preserve"> </w:t>
      </w:r>
      <w:r>
        <w:rPr>
          <w:rFonts w:ascii="Times New Roman" w:eastAsia="Times New Roman" w:hAnsi="Times New Roman" w:cs="Times New Roman"/>
          <w:spacing w:val="-10"/>
        </w:rPr>
        <w:t>HPD</w:t>
      </w:r>
      <w:r>
        <w:rPr>
          <w:rFonts w:ascii="Times New Roman" w:eastAsia="Times New Roman" w:hAnsi="Times New Roman" w:cs="Times New Roman"/>
          <w:spacing w:val="41"/>
          <w:w w:val="101"/>
        </w:rPr>
        <w:t xml:space="preserve"> </w:t>
      </w:r>
      <w:r>
        <w:rPr>
          <w:spacing w:val="-10"/>
        </w:rPr>
        <w:t>是否是一种真实的现象，是与免疫治疗相关还是仅是肿瘤生长动</w:t>
      </w:r>
      <w:r>
        <w:t xml:space="preserve"> </w:t>
      </w:r>
      <w:r>
        <w:rPr>
          <w:spacing w:val="2"/>
        </w:rPr>
        <w:t>力学的正常变化，仍然存在相当大的争论[44-4</w:t>
      </w:r>
      <w:r>
        <w:rPr>
          <w:spacing w:val="1"/>
        </w:rPr>
        <w:t>5]由于免疫治疗独特的</w:t>
      </w:r>
      <w:r>
        <w:t xml:space="preserve"> </w:t>
      </w:r>
      <w:r>
        <w:rPr>
          <w:spacing w:val="-9"/>
        </w:rPr>
        <w:t>应答模式，导致传统的</w:t>
      </w:r>
      <w:r>
        <w:rPr>
          <w:spacing w:val="-34"/>
        </w:rPr>
        <w:t xml:space="preserve"> </w:t>
      </w:r>
      <w:r>
        <w:rPr>
          <w:rFonts w:ascii="SimSun" w:eastAsia="SimSun" w:hAnsi="SimSun" w:cs="SimSun"/>
          <w:spacing w:val="-9"/>
        </w:rPr>
        <w:t xml:space="preserve">RECIST </w:t>
      </w:r>
      <w:r>
        <w:rPr>
          <w:spacing w:val="-9"/>
        </w:rPr>
        <w:t>有时不能准确评价接受免疫治疗患者的疗</w:t>
      </w:r>
    </w:p>
    <w:p>
      <w:pPr>
        <w:pStyle w:val="BodyText"/>
        <w:spacing w:before="1" w:line="212" w:lineRule="auto"/>
        <w:ind w:left="13"/>
      </w:pPr>
      <w:r>
        <w:rPr>
          <w:spacing w:val="-12"/>
        </w:rPr>
        <w:t>效和生存获益情况，需要制定出针对免疫治疗的疗效评估标准。</w:t>
      </w:r>
    </w:p>
    <w:p>
      <w:pPr>
        <w:spacing w:line="212" w:lineRule="auto"/>
        <w:sectPr>
          <w:pgSz w:w="11910" w:h="16840"/>
          <w:pgMar w:top="1431" w:right="1605" w:bottom="0" w:left="1786" w:header="0" w:footer="0" w:gutter="0"/>
          <w:pgNumType w:start="16"/>
          <w:cols w:space="708"/>
        </w:sectPr>
      </w:pPr>
    </w:p>
    <w:p>
      <w:pPr>
        <w:pStyle w:val="BodyText"/>
        <w:spacing w:before="187" w:line="221" w:lineRule="auto"/>
      </w:pPr>
      <w:r>
        <w:rPr>
          <w:spacing w:val="-11"/>
        </w:rPr>
        <w:t>二、免疫治疗疗效评价标准的发展</w:t>
      </w:r>
    </w:p>
    <w:p>
      <w:pPr>
        <w:pStyle w:val="BodyText"/>
        <w:spacing w:before="305" w:line="619" w:lineRule="exact"/>
        <w:rPr>
          <w:rFonts w:ascii="SimSun" w:eastAsia="SimSun" w:hAnsi="SimSun" w:cs="SimSun"/>
        </w:rPr>
      </w:pPr>
      <w:r>
        <w:rPr>
          <w:spacing w:val="-6"/>
          <w:position w:val="27"/>
        </w:rPr>
        <w:t>目前，已先后出现了免疫相关疗效评估标准</w:t>
      </w:r>
      <w:r>
        <w:rPr>
          <w:rFonts w:ascii="SimSun" w:eastAsia="SimSun" w:hAnsi="SimSun" w:cs="SimSun"/>
          <w:spacing w:val="-6"/>
          <w:position w:val="27"/>
        </w:rPr>
        <w:t>(immune-</w:t>
      </w:r>
      <w:r>
        <w:rPr>
          <w:rFonts w:ascii="SimSun" w:eastAsia="SimSun" w:hAnsi="SimSun" w:cs="SimSun"/>
          <w:spacing w:val="-7"/>
          <w:position w:val="27"/>
        </w:rPr>
        <w:t>related</w:t>
      </w:r>
      <w:r>
        <w:rPr>
          <w:rFonts w:ascii="SimSun" w:eastAsia="SimSun" w:hAnsi="SimSun" w:cs="SimSun"/>
          <w:spacing w:val="34"/>
          <w:position w:val="27"/>
        </w:rPr>
        <w:t xml:space="preserve">  </w:t>
      </w:r>
      <w:r>
        <w:rPr>
          <w:rFonts w:ascii="SimSun" w:eastAsia="SimSun" w:hAnsi="SimSun" w:cs="SimSun"/>
          <w:spacing w:val="-7"/>
          <w:position w:val="27"/>
        </w:rPr>
        <w:t>response</w:t>
      </w:r>
    </w:p>
    <w:p>
      <w:pPr>
        <w:pStyle w:val="BodyText"/>
        <w:spacing w:line="219" w:lineRule="auto"/>
        <w:rPr>
          <w:rFonts w:ascii="SimSun" w:eastAsia="SimSun" w:hAnsi="SimSun" w:cs="SimSun"/>
        </w:rPr>
      </w:pPr>
      <w:r>
        <w:rPr>
          <w:rFonts w:ascii="SimSun" w:eastAsia="SimSun" w:hAnsi="SimSun" w:cs="SimSun"/>
          <w:spacing w:val="-3"/>
        </w:rPr>
        <w:t>criteria,irRC)[46]、</w:t>
      </w:r>
      <w:r>
        <w:rPr>
          <w:spacing w:val="-4"/>
        </w:rPr>
        <w:t>实体瘤免疫相关疗效评估标准</w:t>
      </w:r>
      <w:r>
        <w:rPr>
          <w:rFonts w:ascii="SimSun" w:eastAsia="SimSun" w:hAnsi="SimSun" w:cs="SimSun"/>
          <w:spacing w:val="-4"/>
        </w:rPr>
        <w:t>(immune-related</w:t>
      </w:r>
    </w:p>
    <w:p>
      <w:pPr>
        <w:pStyle w:val="BodyText"/>
        <w:tabs>
          <w:tab w:val="left" w:pos="130"/>
        </w:tabs>
        <w:spacing w:before="264" w:line="428" w:lineRule="auto"/>
      </w:pPr>
      <w:r>
        <w:rPr>
          <w:rFonts w:ascii="Times New Roman" w:eastAsia="Times New Roman" w:hAnsi="Times New Roman" w:cs="Times New Roman"/>
        </w:rPr>
        <w:t>response   evaluation   criteria   in</w:t>
      </w:r>
      <w:r>
        <w:rPr>
          <w:rFonts w:ascii="Times New Roman" w:eastAsia="Times New Roman" w:hAnsi="Times New Roman" w:cs="Times New Roman"/>
          <w:spacing w:val="-1"/>
        </w:rPr>
        <w:t xml:space="preserve">    solid   tumors,irRECIST   )[47</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w:t>
      </w:r>
      <w:r>
        <w:rPr>
          <w:rFonts w:ascii="SimSun" w:eastAsia="SimSun" w:hAnsi="SimSun" w:cs="SimSun"/>
          <w:spacing w:val="-1"/>
        </w:rPr>
        <w:t>、</w:t>
      </w:r>
      <w:r>
        <w:rPr>
          <w:spacing w:val="-1"/>
        </w:rPr>
        <w:t>实体</w:t>
      </w:r>
      <w:r>
        <w:rPr>
          <w:spacing w:val="1"/>
        </w:rPr>
        <w:t xml:space="preserve"> </w:t>
      </w:r>
      <w:r>
        <w:rPr>
          <w:spacing w:val="-1"/>
        </w:rPr>
        <w:t>瘤免疫治疗疗效评估标准</w:t>
      </w:r>
      <w:r>
        <w:rPr>
          <w:rFonts w:ascii="SimSun" w:eastAsia="SimSun" w:hAnsi="SimSun" w:cs="SimSun"/>
          <w:spacing w:val="-1"/>
        </w:rPr>
        <w:t>(immune response</w:t>
      </w:r>
      <w:r>
        <w:rPr>
          <w:rFonts w:ascii="SimSun" w:eastAsia="SimSun" w:hAnsi="SimSun" w:cs="SimSun"/>
          <w:spacing w:val="35"/>
        </w:rPr>
        <w:t xml:space="preserve"> </w:t>
      </w:r>
      <w:r>
        <w:rPr>
          <w:rFonts w:ascii="SimSun" w:eastAsia="SimSun" w:hAnsi="SimSun" w:cs="SimSun"/>
          <w:spacing w:val="-1"/>
        </w:rPr>
        <w:t>evaluation</w:t>
      </w:r>
      <w:r>
        <w:rPr>
          <w:rFonts w:ascii="SimSun" w:eastAsia="SimSun" w:hAnsi="SimSun" w:cs="SimSun"/>
          <w:spacing w:val="34"/>
        </w:rPr>
        <w:t xml:space="preserve"> </w:t>
      </w:r>
      <w:r>
        <w:rPr>
          <w:rFonts w:ascii="SimSun" w:eastAsia="SimSun" w:hAnsi="SimSun" w:cs="SimSun"/>
          <w:spacing w:val="-1"/>
        </w:rPr>
        <w:t>crit</w:t>
      </w:r>
      <w:r>
        <w:rPr>
          <w:rFonts w:ascii="SimSun" w:eastAsia="SimSun" w:hAnsi="SimSun" w:cs="SimSun"/>
          <w:spacing w:val="-2"/>
        </w:rPr>
        <w:t>eria</w:t>
      </w:r>
      <w:r>
        <w:rPr>
          <w:rFonts w:ascii="SimSun" w:eastAsia="SimSun" w:hAnsi="SimSun" w:cs="SimSun"/>
          <w:spacing w:val="46"/>
        </w:rPr>
        <w:t xml:space="preserve"> </w:t>
      </w:r>
      <w:r>
        <w:rPr>
          <w:rFonts w:ascii="SimSun" w:eastAsia="SimSun" w:hAnsi="SimSun" w:cs="SimSun"/>
          <w:spacing w:val="-2"/>
        </w:rPr>
        <w:t>in</w:t>
      </w:r>
      <w:r>
        <w:rPr>
          <w:rFonts w:ascii="SimSun" w:eastAsia="SimSun" w:hAnsi="SimSun" w:cs="SimSun"/>
        </w:rPr>
        <w:t xml:space="preserve"> </w:t>
      </w:r>
      <w:r>
        <w:rPr>
          <w:rFonts w:ascii="SimSun" w:eastAsia="SimSun" w:hAnsi="SimSun" w:cs="SimSun"/>
        </w:rPr>
        <w:t>solid</w:t>
      </w:r>
      <w:r>
        <w:rPr>
          <w:rFonts w:ascii="SimSun" w:eastAsia="SimSun" w:hAnsi="SimSun" w:cs="SimSun"/>
          <w:spacing w:val="6"/>
        </w:rPr>
        <w:t xml:space="preserve">  </w:t>
      </w:r>
      <w:r>
        <w:rPr>
          <w:rFonts w:ascii="SimSun" w:eastAsia="SimSun" w:hAnsi="SimSun" w:cs="SimSun"/>
        </w:rPr>
        <w:t>tumors</w:t>
      </w:r>
      <w:r>
        <w:rPr>
          <w:rFonts w:ascii="SimSun" w:eastAsia="SimSun" w:hAnsi="SimSun" w:cs="SimSun"/>
          <w:spacing w:val="6"/>
        </w:rPr>
        <w:t>,</w:t>
      </w:r>
      <w:r>
        <w:rPr>
          <w:rFonts w:ascii="SimSun" w:eastAsia="SimSun" w:hAnsi="SimSun" w:cs="SimSun"/>
        </w:rPr>
        <w:t>iRECIST</w:t>
      </w:r>
      <w:r>
        <w:rPr>
          <w:rFonts w:ascii="SimSun" w:eastAsia="SimSun" w:hAnsi="SimSun" w:cs="SimSun"/>
          <w:spacing w:val="6"/>
        </w:rPr>
        <w:t>)[48</w:t>
      </w:r>
      <w:r>
        <w:rPr>
          <w:rFonts w:ascii="SimSun" w:eastAsia="SimSun" w:hAnsi="SimSun" w:cs="SimSun"/>
          <w:spacing w:val="29"/>
        </w:rPr>
        <w:t xml:space="preserve">  </w:t>
      </w:r>
      <w:r>
        <w:rPr>
          <w:rFonts w:ascii="SimSun" w:eastAsia="SimSun" w:hAnsi="SimSun" w:cs="SimSun"/>
          <w:spacing w:val="6"/>
        </w:rPr>
        <w:t>]、</w:t>
      </w:r>
      <w:r>
        <w:rPr>
          <w:spacing w:val="6"/>
        </w:rPr>
        <w:t>实体瘤免疫治疗修订疗效评估标准</w:t>
      </w:r>
      <w:r>
        <w:rPr>
          <w:spacing w:val="1"/>
        </w:rPr>
        <w:t xml:space="preserve"> </w:t>
      </w:r>
      <w:r>
        <w:rPr>
          <w:rFonts w:ascii="Arial" w:eastAsia="Arial" w:hAnsi="Arial" w:cs="Arial"/>
        </w:rPr>
        <w:tab/>
      </w:r>
      <w:r>
        <w:rPr>
          <w:rFonts w:ascii="Arial" w:eastAsia="Arial" w:hAnsi="Arial" w:cs="Arial"/>
          <w:spacing w:val="-1"/>
        </w:rPr>
        <w:t>(immune-modified</w:t>
      </w:r>
      <w:r>
        <w:rPr>
          <w:rFonts w:ascii="Arial" w:eastAsia="Arial" w:hAnsi="Arial" w:cs="Arial"/>
          <w:spacing w:val="30"/>
        </w:rPr>
        <w:t xml:space="preserve">  </w:t>
      </w:r>
      <w:r>
        <w:rPr>
          <w:rFonts w:ascii="Arial" w:eastAsia="Arial" w:hAnsi="Arial" w:cs="Arial"/>
          <w:spacing w:val="-1"/>
        </w:rPr>
        <w:t>respon</w:t>
      </w:r>
      <w:r>
        <w:rPr>
          <w:rFonts w:ascii="Arial" w:eastAsia="Arial" w:hAnsi="Arial" w:cs="Arial"/>
          <w:spacing w:val="-2"/>
        </w:rPr>
        <w:t>se</w:t>
      </w:r>
      <w:r>
        <w:rPr>
          <w:rFonts w:ascii="Arial" w:eastAsia="Arial" w:hAnsi="Arial" w:cs="Arial"/>
          <w:spacing w:val="26"/>
        </w:rPr>
        <w:t xml:space="preserve">  </w:t>
      </w:r>
      <w:r>
        <w:rPr>
          <w:rFonts w:ascii="Arial" w:eastAsia="Arial" w:hAnsi="Arial" w:cs="Arial"/>
          <w:spacing w:val="-2"/>
        </w:rPr>
        <w:t>evaluation</w:t>
      </w:r>
      <w:r>
        <w:rPr>
          <w:rFonts w:ascii="Arial" w:eastAsia="Arial" w:hAnsi="Arial" w:cs="Arial"/>
          <w:spacing w:val="27"/>
        </w:rPr>
        <w:t xml:space="preserve">  </w:t>
      </w:r>
      <w:r>
        <w:rPr>
          <w:rFonts w:ascii="Arial" w:eastAsia="Arial" w:hAnsi="Arial" w:cs="Arial"/>
          <w:spacing w:val="-2"/>
        </w:rPr>
        <w:t>criteria</w:t>
      </w:r>
      <w:r>
        <w:rPr>
          <w:rFonts w:ascii="Arial" w:eastAsia="Arial" w:hAnsi="Arial" w:cs="Arial"/>
          <w:spacing w:val="30"/>
        </w:rPr>
        <w:t xml:space="preserve">  </w:t>
      </w:r>
      <w:r>
        <w:rPr>
          <w:rFonts w:ascii="Arial" w:eastAsia="Arial" w:hAnsi="Arial" w:cs="Arial"/>
          <w:spacing w:val="-2"/>
        </w:rPr>
        <w:t>in</w:t>
      </w:r>
      <w:r>
        <w:rPr>
          <w:rFonts w:ascii="Arial" w:eastAsia="Arial" w:hAnsi="Arial" w:cs="Arial"/>
          <w:spacing w:val="25"/>
        </w:rPr>
        <w:t xml:space="preserve">  </w:t>
      </w:r>
      <w:r>
        <w:rPr>
          <w:rFonts w:ascii="Arial" w:eastAsia="Arial" w:hAnsi="Arial" w:cs="Arial"/>
          <w:spacing w:val="-2"/>
        </w:rPr>
        <w:t>solid</w:t>
      </w:r>
      <w:r>
        <w:rPr>
          <w:rFonts w:ascii="Arial" w:eastAsia="Arial" w:hAnsi="Arial" w:cs="Arial"/>
          <w:spacing w:val="24"/>
        </w:rPr>
        <w:t xml:space="preserve">  </w:t>
      </w:r>
      <w:r>
        <w:rPr>
          <w:rFonts w:ascii="Arial" w:eastAsia="Arial" w:hAnsi="Arial" w:cs="Arial"/>
          <w:spacing w:val="-2"/>
        </w:rPr>
        <w:t>tumors,</w:t>
      </w:r>
      <w:r>
        <w:rPr>
          <w:rFonts w:ascii="Arial" w:eastAsia="Arial" w:hAnsi="Arial" w:cs="Arial"/>
        </w:rPr>
        <w:t xml:space="preserve">   </w:t>
      </w:r>
      <w:r>
        <w:rPr>
          <w:rFonts w:ascii="SimSun" w:eastAsia="SimSun" w:hAnsi="SimSun" w:cs="SimSun"/>
          <w:spacing w:val="-4"/>
        </w:rPr>
        <w:t>imRECIST</w:t>
      </w:r>
      <w:r>
        <w:rPr>
          <w:rFonts w:ascii="SimSun" w:eastAsia="SimSun" w:hAnsi="SimSun" w:cs="SimSun"/>
          <w:spacing w:val="55"/>
        </w:rPr>
        <w:t xml:space="preserve"> </w:t>
      </w:r>
      <w:r>
        <w:rPr>
          <w:rFonts w:ascii="SimSun" w:eastAsia="SimSun" w:hAnsi="SimSun" w:cs="SimSun"/>
          <w:spacing w:val="-4"/>
        </w:rPr>
        <w:t>)[49</w:t>
      </w:r>
      <w:r>
        <w:rPr>
          <w:rFonts w:ascii="SimSun" w:eastAsia="SimSun" w:hAnsi="SimSun" w:cs="SimSun"/>
          <w:spacing w:val="47"/>
        </w:rPr>
        <w:t xml:space="preserve"> </w:t>
      </w:r>
      <w:r>
        <w:rPr>
          <w:rFonts w:ascii="SimSun" w:eastAsia="SimSun" w:hAnsi="SimSun" w:cs="SimSun"/>
          <w:spacing w:val="-4"/>
        </w:rPr>
        <w:t>]</w:t>
      </w:r>
      <w:r>
        <w:rPr>
          <w:spacing w:val="-4"/>
        </w:rPr>
        <w:t>等多个免疫治疗疗效评估标准。其中，2017年</w:t>
      </w:r>
      <w:r>
        <w:rPr>
          <w:spacing w:val="-68"/>
        </w:rPr>
        <w:t xml:space="preserve"> </w:t>
      </w:r>
      <w:r>
        <w:rPr>
          <w:rFonts w:ascii="SimSun" w:eastAsia="SimSun" w:hAnsi="SimSun" w:cs="SimSun"/>
          <w:spacing w:val="-4"/>
        </w:rPr>
        <w:t>RECIST</w:t>
      </w:r>
      <w:r>
        <w:rPr>
          <w:rFonts w:ascii="SimSun" w:eastAsia="SimSun" w:hAnsi="SimSun" w:cs="SimSun"/>
        </w:rPr>
        <w:t xml:space="preserve">  </w:t>
      </w:r>
      <w:r>
        <w:rPr>
          <w:spacing w:val="-9"/>
        </w:rPr>
        <w:t>工作组发布的</w:t>
      </w:r>
      <w:r>
        <w:rPr>
          <w:rFonts w:ascii="Arial" w:eastAsia="Arial" w:hAnsi="Arial" w:cs="Arial"/>
          <w:spacing w:val="-9"/>
        </w:rPr>
        <w:t>iRECIST</w:t>
      </w:r>
      <w:r>
        <w:rPr>
          <w:spacing w:val="-9"/>
        </w:rPr>
        <w:t>最为广泛接受，目前在免疫药物临床研究中常作为</w:t>
      </w:r>
      <w:r>
        <w:rPr>
          <w:spacing w:val="16"/>
        </w:rPr>
        <w:t xml:space="preserve"> </w:t>
      </w:r>
      <w:r>
        <w:rPr>
          <w:spacing w:val="-7"/>
        </w:rPr>
        <w:t>探索性疗效评估标准。</w:t>
      </w:r>
      <w:r>
        <w:rPr>
          <w:rFonts w:ascii="SimSun" w:eastAsia="SimSun" w:hAnsi="SimSun" w:cs="SimSun"/>
          <w:spacing w:val="-7"/>
        </w:rPr>
        <w:t>iRECIST</w:t>
      </w:r>
      <w:r>
        <w:rPr>
          <w:rFonts w:ascii="SimSun" w:eastAsia="SimSun" w:hAnsi="SimSun" w:cs="SimSun"/>
          <w:spacing w:val="-61"/>
        </w:rPr>
        <w:t xml:space="preserve"> </w:t>
      </w:r>
      <w:r>
        <w:rPr>
          <w:spacing w:val="-7"/>
        </w:rPr>
        <w:t>标准最突出的改变在于将按照</w:t>
      </w:r>
      <w:r>
        <w:rPr>
          <w:spacing w:val="-71"/>
        </w:rPr>
        <w:t xml:space="preserve"> </w:t>
      </w:r>
      <w:r>
        <w:rPr>
          <w:rFonts w:ascii="SimSun" w:eastAsia="SimSun" w:hAnsi="SimSun" w:cs="SimSun"/>
          <w:spacing w:val="-7"/>
        </w:rPr>
        <w:t>RECIST1.1</w:t>
      </w:r>
      <w:r>
        <w:rPr>
          <w:rFonts w:ascii="SimSun" w:eastAsia="SimSun" w:hAnsi="SimSun" w:cs="SimSun"/>
        </w:rPr>
        <w:t xml:space="preserve">  </w:t>
      </w:r>
      <w:r>
        <w:rPr>
          <w:spacing w:val="11"/>
        </w:rPr>
        <w:t>标准初次评定的</w:t>
      </w:r>
      <w:r>
        <w:rPr>
          <w:spacing w:val="11"/>
        </w:rPr>
        <w:t xml:space="preserve"> </w:t>
      </w:r>
      <w:r>
        <w:rPr>
          <w:rFonts w:ascii="SimSun" w:eastAsia="SimSun" w:hAnsi="SimSun" w:cs="SimSun"/>
        </w:rPr>
        <w:t>PD</w:t>
      </w:r>
      <w:r>
        <w:rPr>
          <w:rFonts w:ascii="SimSun" w:eastAsia="SimSun" w:hAnsi="SimSun" w:cs="SimSun"/>
          <w:spacing w:val="114"/>
        </w:rPr>
        <w:t xml:space="preserve"> </w:t>
      </w:r>
      <w:r>
        <w:rPr>
          <w:spacing w:val="11"/>
        </w:rPr>
        <w:t>视为待证实的</w:t>
      </w:r>
      <w:r>
        <w:rPr>
          <w:spacing w:val="11"/>
        </w:rPr>
        <w:t xml:space="preserve"> </w:t>
      </w:r>
      <w:r>
        <w:rPr>
          <w:rFonts w:ascii="SimSun" w:eastAsia="SimSun" w:hAnsi="SimSun" w:cs="SimSun"/>
        </w:rPr>
        <w:t>PD</w:t>
      </w:r>
      <w:r>
        <w:rPr>
          <w:rFonts w:ascii="SimSun" w:eastAsia="SimSun" w:hAnsi="SimSun" w:cs="SimSun"/>
          <w:spacing w:val="11"/>
        </w:rPr>
        <w:t>(</w:t>
      </w:r>
      <w:r>
        <w:rPr>
          <w:rFonts w:ascii="SimSun" w:eastAsia="SimSun" w:hAnsi="SimSun" w:cs="SimSun"/>
        </w:rPr>
        <w:t>unconfirmed</w:t>
      </w:r>
      <w:r>
        <w:rPr>
          <w:rFonts w:ascii="SimSun" w:eastAsia="SimSun" w:hAnsi="SimSun" w:cs="SimSun"/>
          <w:spacing w:val="23"/>
        </w:rPr>
        <w:t xml:space="preserve">   </w:t>
      </w:r>
      <w:r>
        <w:rPr>
          <w:rFonts w:ascii="SimSun" w:eastAsia="SimSun" w:hAnsi="SimSun" w:cs="SimSun"/>
        </w:rPr>
        <w:t>progressive</w:t>
      </w:r>
      <w:r>
        <w:rPr>
          <w:rFonts w:ascii="SimSun" w:eastAsia="SimSun" w:hAnsi="SimSun" w:cs="SimSun"/>
          <w:spacing w:val="1"/>
        </w:rPr>
        <w:t xml:space="preserve"> </w:t>
      </w:r>
      <w:r>
        <w:rPr>
          <w:rFonts w:ascii="Arial" w:eastAsia="Arial" w:hAnsi="Arial" w:cs="Arial"/>
        </w:rPr>
        <w:t>disease</w:t>
      </w:r>
      <w:r>
        <w:rPr>
          <w:rFonts w:ascii="Arial" w:eastAsia="Arial" w:hAnsi="Arial" w:cs="Arial"/>
          <w:spacing w:val="4"/>
        </w:rPr>
        <w:t>,</w:t>
      </w:r>
      <w:r>
        <w:rPr>
          <w:rFonts w:ascii="Arial" w:eastAsia="Arial" w:hAnsi="Arial" w:cs="Arial"/>
        </w:rPr>
        <w:t>iUPD</w:t>
      </w:r>
      <w:r>
        <w:rPr>
          <w:rFonts w:ascii="Arial" w:eastAsia="Arial" w:hAnsi="Arial" w:cs="Arial"/>
          <w:spacing w:val="4"/>
        </w:rPr>
        <w:t xml:space="preserve">),    </w:t>
      </w:r>
      <w:r>
        <w:rPr>
          <w:spacing w:val="4"/>
        </w:rPr>
        <w:t>依据患者的临床情况综合判断是否继续用药</w:t>
      </w:r>
      <w:r>
        <w:rPr>
          <w:spacing w:val="3"/>
        </w:rPr>
        <w:t>，在4~6</w:t>
      </w:r>
      <w:r>
        <w:t xml:space="preserve"> </w:t>
      </w:r>
      <w:r>
        <w:rPr>
          <w:spacing w:val="16"/>
        </w:rPr>
        <w:t>周后再次评价以确认是否为已证实的</w:t>
      </w:r>
      <w:r>
        <w:rPr>
          <w:spacing w:val="16"/>
        </w:rPr>
        <w:t xml:space="preserve"> </w:t>
      </w:r>
      <w:r>
        <w:rPr>
          <w:rFonts w:ascii="SimSun" w:eastAsia="SimSun" w:hAnsi="SimSun" w:cs="SimSun"/>
        </w:rPr>
        <w:t>PD</w:t>
      </w:r>
      <w:r>
        <w:rPr>
          <w:rFonts w:ascii="SimSun" w:eastAsia="SimSun" w:hAnsi="SimSun" w:cs="SimSun"/>
          <w:spacing w:val="16"/>
        </w:rPr>
        <w:t>(</w:t>
      </w:r>
      <w:r>
        <w:rPr>
          <w:rFonts w:ascii="SimSun" w:eastAsia="SimSun" w:hAnsi="SimSun" w:cs="SimSun"/>
        </w:rPr>
        <w:t>confirmed</w:t>
      </w:r>
      <w:r>
        <w:rPr>
          <w:rFonts w:ascii="SimSun" w:eastAsia="SimSun" w:hAnsi="SimSun" w:cs="SimSun"/>
          <w:spacing w:val="16"/>
        </w:rPr>
        <w:t xml:space="preserve">   </w:t>
      </w:r>
      <w:r>
        <w:rPr>
          <w:rFonts w:ascii="SimSun" w:eastAsia="SimSun" w:hAnsi="SimSun" w:cs="SimSun"/>
        </w:rPr>
        <w:t>progressive</w:t>
      </w:r>
      <w:r>
        <w:rPr>
          <w:rFonts w:ascii="SimSun" w:eastAsia="SimSun" w:hAnsi="SimSun" w:cs="SimSun"/>
          <w:spacing w:val="4"/>
        </w:rPr>
        <w:t xml:space="preserve"> </w:t>
      </w:r>
      <w:r>
        <w:rPr>
          <w:rFonts w:ascii="Times New Roman" w:eastAsia="Times New Roman" w:hAnsi="Times New Roman" w:cs="Times New Roman"/>
          <w:spacing w:val="-4"/>
        </w:rPr>
        <w:t>disease,iCPD)</w:t>
      </w:r>
      <w:r>
        <w:rPr>
          <w:rFonts w:ascii="Times New Roman" w:eastAsia="Times New Roman" w:hAnsi="Times New Roman" w:cs="Times New Roman"/>
          <w:spacing w:val="-22"/>
        </w:rPr>
        <w:t xml:space="preserve"> </w:t>
      </w:r>
      <w:r>
        <w:rPr>
          <w:rFonts w:ascii="SimSun" w:eastAsia="SimSun" w:hAnsi="SimSun" w:cs="SimSun"/>
          <w:spacing w:val="-4"/>
        </w:rPr>
        <w:t xml:space="preserve">。  </w:t>
      </w:r>
      <w:r>
        <w:rPr>
          <w:spacing w:val="-4"/>
        </w:rPr>
        <w:t>总体上在首次评定</w:t>
      </w:r>
      <w:r>
        <w:rPr>
          <w:rFonts w:ascii="Times New Roman" w:eastAsia="Times New Roman" w:hAnsi="Times New Roman" w:cs="Times New Roman"/>
          <w:spacing w:val="-4"/>
        </w:rPr>
        <w:t xml:space="preserve">iUPD </w:t>
      </w:r>
      <w:r>
        <w:rPr>
          <w:spacing w:val="-4"/>
        </w:rPr>
        <w:t>后进行确认的条件有两个：原</w:t>
      </w:r>
      <w:r>
        <w:t xml:space="preserve"> </w:t>
      </w:r>
      <w:r>
        <w:rPr>
          <w:rFonts w:ascii="Times New Roman" w:eastAsia="Times New Roman" w:hAnsi="Times New Roman" w:cs="Times New Roman"/>
          <w:spacing w:val="-6"/>
        </w:rPr>
        <w:t>iUPD</w:t>
      </w:r>
      <w:r>
        <w:rPr>
          <w:rFonts w:ascii="Times New Roman" w:eastAsia="Times New Roman" w:hAnsi="Times New Roman" w:cs="Times New Roman"/>
          <w:spacing w:val="57"/>
        </w:rPr>
        <w:t xml:space="preserve"> </w:t>
      </w:r>
      <w:r>
        <w:rPr>
          <w:spacing w:val="-6"/>
        </w:rPr>
        <w:t>病灶进一步恶化或未</w:t>
      </w:r>
      <w:r>
        <w:rPr>
          <w:spacing w:val="-64"/>
        </w:rPr>
        <w:t xml:space="preserve"> </w:t>
      </w:r>
      <w:r>
        <w:rPr>
          <w:rFonts w:ascii="Times New Roman" w:eastAsia="Times New Roman" w:hAnsi="Times New Roman" w:cs="Times New Roman"/>
          <w:spacing w:val="-6"/>
        </w:rPr>
        <w:t>iUPD</w:t>
      </w:r>
      <w:r>
        <w:rPr>
          <w:rFonts w:ascii="Times New Roman" w:eastAsia="Times New Roman" w:hAnsi="Times New Roman" w:cs="Times New Roman"/>
          <w:spacing w:val="-25"/>
        </w:rPr>
        <w:t xml:space="preserve"> </w:t>
      </w:r>
      <w:r>
        <w:rPr>
          <w:spacing w:val="-6"/>
        </w:rPr>
        <w:t>病灶出现符合</w:t>
      </w:r>
      <w:r>
        <w:rPr>
          <w:spacing w:val="-77"/>
        </w:rPr>
        <w:t xml:space="preserve"> </w:t>
      </w:r>
      <w:r>
        <w:rPr>
          <w:rFonts w:ascii="Times New Roman" w:eastAsia="Times New Roman" w:hAnsi="Times New Roman" w:cs="Times New Roman"/>
          <w:spacing w:val="-6"/>
        </w:rPr>
        <w:t>RECIST1.1</w:t>
      </w:r>
      <w:r>
        <w:rPr>
          <w:rFonts w:ascii="Times New Roman" w:eastAsia="Times New Roman" w:hAnsi="Times New Roman" w:cs="Times New Roman"/>
          <w:spacing w:val="50"/>
        </w:rPr>
        <w:t xml:space="preserve"> </w:t>
      </w:r>
      <w:r>
        <w:rPr>
          <w:spacing w:val="-6"/>
        </w:rPr>
        <w:t>标准的进展。</w:t>
      </w:r>
      <w:r>
        <w:t xml:space="preserve"> </w:t>
      </w:r>
      <w:r>
        <w:rPr>
          <w:spacing w:val="-6"/>
        </w:rPr>
        <w:t>对于靶病灶，当符合</w:t>
      </w:r>
      <w:r>
        <w:rPr>
          <w:spacing w:val="-48"/>
        </w:rPr>
        <w:t xml:space="preserve"> </w:t>
      </w:r>
      <w:r>
        <w:rPr>
          <w:rFonts w:ascii="Times New Roman" w:eastAsia="Times New Roman" w:hAnsi="Times New Roman" w:cs="Times New Roman"/>
          <w:spacing w:val="-6"/>
        </w:rPr>
        <w:t xml:space="preserve">RECIST1.1 </w:t>
      </w:r>
      <w:r>
        <w:rPr>
          <w:spacing w:val="-6"/>
        </w:rPr>
        <w:t>标准</w:t>
      </w:r>
      <w:r>
        <w:rPr>
          <w:spacing w:val="-49"/>
        </w:rPr>
        <w:t xml:space="preserve"> </w:t>
      </w:r>
      <w:r>
        <w:rPr>
          <w:rFonts w:ascii="Times New Roman" w:eastAsia="Times New Roman" w:hAnsi="Times New Roman" w:cs="Times New Roman"/>
          <w:spacing w:val="-6"/>
        </w:rPr>
        <w:t xml:space="preserve">PD </w:t>
      </w:r>
      <w:r>
        <w:rPr>
          <w:spacing w:val="-6"/>
        </w:rPr>
        <w:t>时可将其评定为</w:t>
      </w:r>
      <w:r>
        <w:rPr>
          <w:spacing w:val="-48"/>
        </w:rPr>
        <w:t xml:space="preserve"> </w:t>
      </w:r>
      <w:r>
        <w:rPr>
          <w:rFonts w:ascii="Times New Roman" w:eastAsia="Times New Roman" w:hAnsi="Times New Roman" w:cs="Times New Roman"/>
          <w:spacing w:val="-6"/>
        </w:rPr>
        <w:t>iUPD,</w:t>
      </w:r>
      <w:r>
        <w:rPr>
          <w:rFonts w:ascii="Times New Roman" w:eastAsia="Times New Roman" w:hAnsi="Times New Roman" w:cs="Times New Roman"/>
          <w:spacing w:val="20"/>
        </w:rPr>
        <w:t xml:space="preserve">  </w:t>
      </w:r>
      <w:r>
        <w:rPr>
          <w:spacing w:val="-7"/>
        </w:rPr>
        <w:t>再次评</w:t>
      </w:r>
      <w:r>
        <w:rPr>
          <w:spacing w:val="1"/>
        </w:rPr>
        <w:t xml:space="preserve"> </w:t>
      </w:r>
      <w:r>
        <w:rPr>
          <w:spacing w:val="-4"/>
        </w:rPr>
        <w:t>价时靶病灶增加≥5</w:t>
      </w:r>
      <w:r>
        <w:rPr>
          <w:rFonts w:ascii="SimSun" w:eastAsia="SimSun" w:hAnsi="SimSun" w:cs="SimSun"/>
          <w:spacing w:val="-4"/>
        </w:rPr>
        <w:t xml:space="preserve">mm  </w:t>
      </w:r>
      <w:r>
        <w:rPr>
          <w:spacing w:val="-4"/>
        </w:rPr>
        <w:t>则可确认</w:t>
      </w:r>
      <w:r>
        <w:rPr>
          <w:rFonts w:ascii="SimSun" w:eastAsia="SimSun" w:hAnsi="SimSun" w:cs="SimSun"/>
          <w:spacing w:val="-4"/>
        </w:rPr>
        <w:t>iCPD</w:t>
      </w:r>
      <w:r>
        <w:rPr>
          <w:rFonts w:ascii="SimSun" w:eastAsia="SimSun" w:hAnsi="SimSun" w:cs="SimSun"/>
          <w:spacing w:val="-5"/>
        </w:rPr>
        <w:t>,</w:t>
      </w:r>
      <w:r>
        <w:rPr>
          <w:rFonts w:ascii="SimSun" w:eastAsia="SimSun" w:hAnsi="SimSun" w:cs="SimSun"/>
          <w:spacing w:val="38"/>
        </w:rPr>
        <w:t xml:space="preserve"> </w:t>
      </w:r>
      <w:r>
        <w:rPr>
          <w:spacing w:val="-5"/>
        </w:rPr>
        <w:t>即原</w:t>
      </w:r>
      <w:r>
        <w:rPr>
          <w:rFonts w:ascii="SimSun" w:eastAsia="SimSun" w:hAnsi="SimSun" w:cs="SimSun"/>
          <w:spacing w:val="-5"/>
        </w:rPr>
        <w:t>iUPD</w:t>
      </w:r>
      <w:r>
        <w:rPr>
          <w:rFonts w:ascii="SimSun" w:eastAsia="SimSun" w:hAnsi="SimSun" w:cs="SimSun"/>
          <w:spacing w:val="34"/>
        </w:rPr>
        <w:t xml:space="preserve"> </w:t>
      </w:r>
      <w:r>
        <w:rPr>
          <w:spacing w:val="-5"/>
        </w:rPr>
        <w:t>病灶进一步恶化；再</w:t>
      </w:r>
      <w:r>
        <w:rPr>
          <w:spacing w:val="-5"/>
        </w:rPr>
        <w:t xml:space="preserve"> </w:t>
      </w:r>
      <w:r>
        <w:rPr>
          <w:spacing w:val="-4"/>
        </w:rPr>
        <w:t>次评价时非靶病灶或新病灶出现明确进展</w:t>
      </w:r>
      <w:r>
        <w:rPr>
          <w:rFonts w:ascii="SimSun" w:eastAsia="SimSun" w:hAnsi="SimSun" w:cs="SimSun"/>
          <w:spacing w:val="-4"/>
        </w:rPr>
        <w:t>(RECIST</w:t>
      </w:r>
      <w:r>
        <w:rPr>
          <w:rFonts w:ascii="SimSun" w:eastAsia="SimSun" w:hAnsi="SimSun" w:cs="SimSun"/>
          <w:spacing w:val="124"/>
        </w:rPr>
        <w:t xml:space="preserve"> </w:t>
      </w:r>
      <w:r>
        <w:rPr>
          <w:rFonts w:ascii="SimSun" w:eastAsia="SimSun" w:hAnsi="SimSun" w:cs="SimSun"/>
          <w:spacing w:val="-4"/>
        </w:rPr>
        <w:t>1.1</w:t>
      </w:r>
      <w:r>
        <w:rPr>
          <w:rFonts w:ascii="SimSun" w:eastAsia="SimSun" w:hAnsi="SimSun" w:cs="SimSun"/>
          <w:spacing w:val="-52"/>
        </w:rPr>
        <w:t xml:space="preserve"> </w:t>
      </w:r>
      <w:r>
        <w:rPr>
          <w:spacing w:val="-4"/>
        </w:rPr>
        <w:t>标准),或又出现</w:t>
      </w:r>
      <w:r>
        <w:t xml:space="preserve"> </w:t>
      </w:r>
      <w:r>
        <w:rPr>
          <w:spacing w:val="-5"/>
        </w:rPr>
        <w:t>其他新病灶则也可确认</w:t>
      </w:r>
      <w:r>
        <w:rPr>
          <w:rFonts w:ascii="SimSun" w:eastAsia="SimSun" w:hAnsi="SimSun" w:cs="SimSun"/>
          <w:spacing w:val="-5"/>
        </w:rPr>
        <w:t>iCPD,</w:t>
      </w:r>
      <w:r>
        <w:rPr>
          <w:rFonts w:ascii="SimSun" w:eastAsia="SimSun" w:hAnsi="SimSun" w:cs="SimSun"/>
          <w:spacing w:val="90"/>
        </w:rPr>
        <w:t xml:space="preserve"> </w:t>
      </w:r>
      <w:r>
        <w:rPr>
          <w:spacing w:val="-5"/>
        </w:rPr>
        <w:t>即未</w:t>
      </w:r>
      <w:r>
        <w:rPr>
          <w:spacing w:val="-46"/>
        </w:rPr>
        <w:t xml:space="preserve"> </w:t>
      </w:r>
      <w:r>
        <w:rPr>
          <w:rFonts w:ascii="SimSun" w:eastAsia="SimSun" w:hAnsi="SimSun" w:cs="SimSun"/>
          <w:spacing w:val="-5"/>
        </w:rPr>
        <w:t>iUPD</w:t>
      </w:r>
      <w:r>
        <w:rPr>
          <w:rFonts w:ascii="SimSun" w:eastAsia="SimSun" w:hAnsi="SimSun" w:cs="SimSun"/>
          <w:spacing w:val="53"/>
        </w:rPr>
        <w:t xml:space="preserve"> </w:t>
      </w:r>
      <w:r>
        <w:rPr>
          <w:spacing w:val="-5"/>
        </w:rPr>
        <w:t>病灶出现符合</w:t>
      </w:r>
      <w:r>
        <w:rPr>
          <w:spacing w:val="-57"/>
        </w:rPr>
        <w:t xml:space="preserve"> </w:t>
      </w:r>
      <w:r>
        <w:rPr>
          <w:rFonts w:ascii="SimSun" w:eastAsia="SimSun" w:hAnsi="SimSun" w:cs="SimSun"/>
          <w:spacing w:val="-5"/>
        </w:rPr>
        <w:t>RECIST1.1</w:t>
      </w:r>
      <w:r>
        <w:rPr>
          <w:rFonts w:ascii="SimSun" w:eastAsia="SimSun" w:hAnsi="SimSun" w:cs="SimSun"/>
          <w:spacing w:val="-52"/>
        </w:rPr>
        <w:t xml:space="preserve"> </w:t>
      </w:r>
      <w:r>
        <w:rPr>
          <w:spacing w:val="-5"/>
        </w:rPr>
        <w:t>标准</w:t>
      </w:r>
      <w:r>
        <w:t xml:space="preserve"> </w:t>
      </w:r>
      <w:r>
        <w:rPr>
          <w:spacing w:val="-12"/>
        </w:rPr>
        <w:t>的进展。对于新病灶，首次评价时只要出现就可评定</w:t>
      </w:r>
      <w:r>
        <w:rPr>
          <w:rFonts w:ascii="Times New Roman" w:eastAsia="Times New Roman" w:hAnsi="Times New Roman" w:cs="Times New Roman"/>
          <w:spacing w:val="-12"/>
        </w:rPr>
        <w:t>iUPD</w:t>
      </w:r>
      <w:r>
        <w:rPr>
          <w:rFonts w:ascii="SimSun" w:eastAsia="SimSun" w:hAnsi="SimSun" w:cs="SimSun"/>
          <w:spacing w:val="-12"/>
        </w:rPr>
        <w:t>。</w:t>
      </w:r>
      <w:r>
        <w:rPr>
          <w:spacing w:val="-12"/>
        </w:rPr>
        <w:t>再次</w:t>
      </w:r>
      <w:r>
        <w:rPr>
          <w:spacing w:val="-13"/>
        </w:rPr>
        <w:t>评价时，</w:t>
      </w:r>
      <w:r>
        <w:t xml:space="preserve"> </w:t>
      </w:r>
      <w:r>
        <w:rPr>
          <w:spacing w:val="-7"/>
        </w:rPr>
        <w:t>新病灶大小的增加(新靶病灶总和增加≥5</w:t>
      </w:r>
      <w:r>
        <w:rPr>
          <w:spacing w:val="-7"/>
        </w:rPr>
        <w:t xml:space="preserve"> </w:t>
      </w:r>
      <w:r>
        <w:rPr>
          <w:rFonts w:ascii="SimSun" w:eastAsia="SimSun" w:hAnsi="SimSun" w:cs="SimSun"/>
          <w:spacing w:val="-7"/>
        </w:rPr>
        <w:t xml:space="preserve">mm  </w:t>
      </w:r>
      <w:r>
        <w:rPr>
          <w:spacing w:val="-7"/>
        </w:rPr>
        <w:t>或新非靶病灶的任何增加)</w:t>
      </w:r>
    </w:p>
    <w:p>
      <w:pPr>
        <w:pStyle w:val="BodyText"/>
        <w:spacing w:line="219" w:lineRule="auto"/>
      </w:pPr>
      <w:r>
        <w:rPr>
          <w:spacing w:val="-9"/>
        </w:rPr>
        <w:t>或出现其他新病灶即可确认</w:t>
      </w:r>
      <w:r>
        <w:rPr>
          <w:rFonts w:ascii="SimSun" w:eastAsia="SimSun" w:hAnsi="SimSun" w:cs="SimSun"/>
          <w:spacing w:val="-9"/>
        </w:rPr>
        <w:t>iCPD。</w:t>
      </w:r>
      <w:r>
        <w:rPr>
          <w:spacing w:val="-9"/>
        </w:rPr>
        <w:t>当</w:t>
      </w:r>
      <w:r>
        <w:rPr>
          <w:rFonts w:ascii="SimSun" w:eastAsia="SimSun" w:hAnsi="SimSun" w:cs="SimSun"/>
          <w:spacing w:val="-9"/>
        </w:rPr>
        <w:t>iUPD</w:t>
      </w:r>
      <w:r>
        <w:rPr>
          <w:rFonts w:ascii="SimSun" w:eastAsia="SimSun" w:hAnsi="SimSun" w:cs="SimSun"/>
          <w:spacing w:val="128"/>
        </w:rPr>
        <w:t xml:space="preserve"> </w:t>
      </w:r>
      <w:r>
        <w:rPr>
          <w:spacing w:val="-9"/>
        </w:rPr>
        <w:t>再次评价时肿瘤与基线比发生</w:t>
      </w:r>
    </w:p>
    <w:p>
      <w:pPr>
        <w:spacing w:line="219" w:lineRule="auto"/>
        <w:sectPr>
          <w:pgSz w:w="11910" w:h="16840"/>
          <w:pgMar w:top="1431" w:right="1750" w:bottom="0" w:left="1769" w:header="0" w:footer="0" w:gutter="0"/>
          <w:pgNumType w:start="17"/>
          <w:cols w:space="708"/>
        </w:sectPr>
      </w:pPr>
    </w:p>
    <w:p>
      <w:pPr>
        <w:pStyle w:val="BodyText"/>
        <w:spacing w:before="173" w:line="425" w:lineRule="auto"/>
        <w:ind w:left="13"/>
        <w:jc w:val="both"/>
      </w:pPr>
      <w:r>
        <w:rPr>
          <w:spacing w:val="-5"/>
        </w:rPr>
        <w:t>缩小并达到相应标准,则根据缩小程度评估为免疫</w:t>
      </w:r>
      <w:r>
        <w:rPr>
          <w:rFonts w:ascii="SimSun" w:eastAsia="SimSun" w:hAnsi="SimSun" w:cs="SimSun"/>
          <w:spacing w:val="-5"/>
        </w:rPr>
        <w:t xml:space="preserve">CR(iCR), </w:t>
      </w:r>
      <w:r>
        <w:rPr>
          <w:spacing w:val="-5"/>
        </w:rPr>
        <w:t>免疫</w:t>
      </w:r>
      <w:r>
        <w:rPr>
          <w:spacing w:val="-60"/>
        </w:rPr>
        <w:t xml:space="preserve"> </w:t>
      </w:r>
      <w:r>
        <w:rPr>
          <w:rFonts w:ascii="SimSun" w:eastAsia="SimSun" w:hAnsi="SimSun" w:cs="SimSun"/>
          <w:spacing w:val="-5"/>
        </w:rPr>
        <w:t>PR(i</w:t>
      </w:r>
      <w:r>
        <w:rPr>
          <w:rFonts w:ascii="SimSun" w:eastAsia="SimSun" w:hAnsi="SimSun" w:cs="SimSun"/>
          <w:spacing w:val="-6"/>
        </w:rPr>
        <w:t>PR)</w:t>
      </w:r>
      <w:r>
        <w:rPr>
          <w:rFonts w:ascii="SimSun" w:eastAsia="SimSun" w:hAnsi="SimSun" w:cs="SimSun"/>
        </w:rPr>
        <w:t xml:space="preserve"> </w:t>
      </w:r>
      <w:r>
        <w:rPr>
          <w:spacing w:val="-8"/>
        </w:rPr>
        <w:t>或免疫疾病稳定</w:t>
      </w:r>
      <w:r>
        <w:rPr>
          <w:rFonts w:ascii="SimSun" w:eastAsia="SimSun" w:hAnsi="SimSun" w:cs="SimSun"/>
          <w:spacing w:val="-8"/>
        </w:rPr>
        <w:t>(iSD);</w:t>
      </w:r>
      <w:r>
        <w:rPr>
          <w:rFonts w:ascii="SimSun" w:eastAsia="SimSun" w:hAnsi="SimSun" w:cs="SimSun"/>
          <w:spacing w:val="68"/>
        </w:rPr>
        <w:t xml:space="preserve"> </w:t>
      </w:r>
      <w:r>
        <w:rPr>
          <w:spacing w:val="-8"/>
        </w:rPr>
        <w:t>如果肿瘤大小或范围基本没有变化则继续评估为</w:t>
      </w:r>
      <w:r>
        <w:t xml:space="preserve"> </w:t>
      </w:r>
      <w:r>
        <w:rPr>
          <w:rFonts w:ascii="SimSun" w:eastAsia="SimSun" w:hAnsi="SimSun" w:cs="SimSun"/>
          <w:spacing w:val="-5"/>
        </w:rPr>
        <w:t>iUPD。iRECIST</w:t>
      </w:r>
      <w:r>
        <w:rPr>
          <w:rFonts w:ascii="SimSun" w:eastAsia="SimSun" w:hAnsi="SimSun" w:cs="SimSun"/>
          <w:spacing w:val="-31"/>
        </w:rPr>
        <w:t xml:space="preserve"> </w:t>
      </w:r>
      <w:r>
        <w:rPr>
          <w:spacing w:val="-5"/>
        </w:rPr>
        <w:t>标准创新性地提出</w:t>
      </w:r>
      <w:r>
        <w:rPr>
          <w:rFonts w:ascii="SimSun" w:eastAsia="SimSun" w:hAnsi="SimSun" w:cs="SimSun"/>
          <w:spacing w:val="-5"/>
        </w:rPr>
        <w:t>iUPD</w:t>
      </w:r>
      <w:r>
        <w:rPr>
          <w:rFonts w:ascii="SimSun" w:eastAsia="SimSun" w:hAnsi="SimSun" w:cs="SimSun"/>
          <w:spacing w:val="33"/>
        </w:rPr>
        <w:t xml:space="preserve"> </w:t>
      </w:r>
      <w:r>
        <w:rPr>
          <w:spacing w:val="-6"/>
        </w:rPr>
        <w:t>概念，在一定程度上可减少患者</w:t>
      </w:r>
    </w:p>
    <w:p>
      <w:pPr>
        <w:pStyle w:val="BodyText"/>
        <w:spacing w:line="221" w:lineRule="auto"/>
        <w:ind w:left="13"/>
      </w:pPr>
      <w:r>
        <w:rPr>
          <w:spacing w:val="-14"/>
        </w:rPr>
        <w:t>因假性进展而无法继续从免疫治疗中获益的情况。</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8" w:line="221" w:lineRule="auto"/>
        <w:ind w:left="13"/>
      </w:pPr>
      <w:r>
        <w:rPr>
          <w:spacing w:val="-7"/>
        </w:rPr>
        <w:t>三、</w:t>
      </w:r>
      <w:r>
        <w:rPr>
          <w:rFonts w:ascii="SimSun" w:eastAsia="SimSun" w:hAnsi="SimSun" w:cs="SimSun"/>
          <w:spacing w:val="-7"/>
        </w:rPr>
        <w:t xml:space="preserve">PET/CT </w:t>
      </w:r>
      <w:r>
        <w:rPr>
          <w:spacing w:val="-7"/>
        </w:rPr>
        <w:t>在免疫治疗疗效评价中的应用</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BodyText"/>
        <w:tabs>
          <w:tab w:val="left" w:pos="113"/>
        </w:tabs>
        <w:spacing w:before="88" w:line="428" w:lineRule="auto"/>
        <w:ind w:left="13" w:right="64"/>
        <w:jc w:val="both"/>
      </w:pPr>
      <w:r>
        <w:rPr>
          <w:spacing w:val="-6"/>
        </w:rPr>
        <w:t>尽管</w:t>
      </w:r>
      <w:r>
        <w:rPr>
          <w:rFonts w:ascii="SimSun" w:eastAsia="SimSun" w:hAnsi="SimSun" w:cs="SimSun"/>
          <w:spacing w:val="-6"/>
        </w:rPr>
        <w:t>iRECIST</w:t>
      </w:r>
      <w:r>
        <w:rPr>
          <w:spacing w:val="-6"/>
        </w:rPr>
        <w:t>等标准将免疫疗效评估方案持续改进，但仍未能彻</w:t>
      </w:r>
      <w:r>
        <w:rPr>
          <w:spacing w:val="-7"/>
        </w:rPr>
        <w:t>底解决免</w:t>
      </w:r>
      <w:r>
        <w:t xml:space="preserve"> </w:t>
      </w:r>
      <w:r>
        <w:rPr>
          <w:spacing w:val="-11"/>
        </w:rPr>
        <w:t>疫治疗过程中假性进展等特殊应答模式所带来的问题。而基于</w:t>
      </w:r>
      <w:r>
        <w:rPr>
          <w:spacing w:val="-59"/>
        </w:rPr>
        <w:t xml:space="preserve"> </w:t>
      </w:r>
      <w:r>
        <w:rPr>
          <w:rFonts w:ascii="SimSun" w:eastAsia="SimSun" w:hAnsi="SimSun" w:cs="SimSun"/>
          <w:spacing w:val="-11"/>
        </w:rPr>
        <w:t>PET</w:t>
      </w:r>
      <w:r>
        <w:rPr>
          <w:rFonts w:ascii="SimSun" w:eastAsia="SimSun" w:hAnsi="SimSun" w:cs="SimSun"/>
          <w:spacing w:val="-54"/>
        </w:rPr>
        <w:t xml:space="preserve"> </w:t>
      </w:r>
      <w:r>
        <w:rPr>
          <w:spacing w:val="-11"/>
        </w:rPr>
        <w:t>代谢参</w:t>
      </w:r>
      <w:r>
        <w:t xml:space="preserve"> </w:t>
      </w:r>
      <w:r>
        <w:rPr>
          <w:spacing w:val="-6"/>
        </w:rPr>
        <w:t>数的评估方法或许可以带来新的突破。19</w:t>
      </w:r>
      <w:r>
        <w:rPr>
          <w:spacing w:val="-7"/>
        </w:rPr>
        <w:t>99</w:t>
      </w:r>
      <w:r>
        <w:rPr>
          <w:spacing w:val="-7"/>
        </w:rPr>
        <w:t xml:space="preserve"> </w:t>
      </w:r>
      <w:r>
        <w:rPr>
          <w:spacing w:val="-7"/>
        </w:rPr>
        <w:t>年，欧洲癌症治疗研究组织</w:t>
      </w:r>
      <w:r>
        <w:t xml:space="preserve"> </w:t>
      </w:r>
      <w:r>
        <w:rPr>
          <w:rFonts w:ascii="Arial" w:eastAsia="Arial" w:hAnsi="Arial" w:cs="Arial"/>
        </w:rPr>
        <w:tab/>
      </w:r>
      <w:r>
        <w:rPr>
          <w:rFonts w:ascii="Arial" w:eastAsia="Arial" w:hAnsi="Arial" w:cs="Arial"/>
          <w:spacing w:val="-1"/>
        </w:rPr>
        <w:t>(European  Organization  for  Research  and  Treatmen</w:t>
      </w:r>
      <w:r>
        <w:rPr>
          <w:rFonts w:ascii="Arial" w:eastAsia="Arial" w:hAnsi="Arial" w:cs="Arial"/>
          <w:spacing w:val="-2"/>
        </w:rPr>
        <w:t>t  of  Cancer,</w:t>
      </w:r>
      <w:r>
        <w:rPr>
          <w:rFonts w:ascii="Arial" w:eastAsia="Arial" w:hAnsi="Arial" w:cs="Arial"/>
        </w:rPr>
        <w:t xml:space="preserve">   </w:t>
      </w:r>
      <w:r>
        <w:rPr>
          <w:rFonts w:ascii="SimSun" w:eastAsia="SimSun" w:hAnsi="SimSun" w:cs="SimSun"/>
          <w:spacing w:val="-8"/>
        </w:rPr>
        <w:t>EORTC</w:t>
      </w:r>
      <w:r>
        <w:rPr>
          <w:rFonts w:ascii="SimSun" w:eastAsia="SimSun" w:hAnsi="SimSun" w:cs="SimSun"/>
          <w:spacing w:val="105"/>
        </w:rPr>
        <w:t xml:space="preserve"> </w:t>
      </w:r>
      <w:r>
        <w:rPr>
          <w:rFonts w:ascii="SimSun" w:eastAsia="SimSun" w:hAnsi="SimSun" w:cs="SimSun"/>
          <w:spacing w:val="-8"/>
        </w:rPr>
        <w:t>)</w:t>
      </w:r>
      <w:r>
        <w:rPr>
          <w:spacing w:val="-8"/>
        </w:rPr>
        <w:t>首次提出基于实体瘤代谢反应的</w:t>
      </w:r>
      <w:r>
        <w:rPr>
          <w:spacing w:val="-67"/>
        </w:rPr>
        <w:t xml:space="preserve"> </w:t>
      </w:r>
      <w:r>
        <w:rPr>
          <w:rFonts w:ascii="SimSun" w:eastAsia="SimSun" w:hAnsi="SimSun" w:cs="SimSun"/>
          <w:spacing w:val="-8"/>
        </w:rPr>
        <w:t>PET</w:t>
      </w:r>
      <w:r>
        <w:rPr>
          <w:rFonts w:ascii="SimSun" w:eastAsia="SimSun" w:hAnsi="SimSun" w:cs="SimSun"/>
          <w:spacing w:val="-64"/>
        </w:rPr>
        <w:t xml:space="preserve"> </w:t>
      </w:r>
      <w:r>
        <w:rPr>
          <w:spacing w:val="-8"/>
        </w:rPr>
        <w:t>疗效评估标准[50</w:t>
      </w:r>
      <w:r>
        <w:rPr>
          <w:spacing w:val="-8"/>
        </w:rPr>
        <w:t xml:space="preserve"> </w:t>
      </w:r>
      <w:r>
        <w:rPr>
          <w:spacing w:val="-8"/>
        </w:rPr>
        <w:t>],之后，</w:t>
      </w:r>
      <w:r>
        <w:t xml:space="preserve"> </w:t>
      </w:r>
      <w:r>
        <w:rPr>
          <w:rFonts w:ascii="SimSun" w:eastAsia="SimSun" w:hAnsi="SimSun" w:cs="SimSun"/>
          <w:spacing w:val="-4"/>
        </w:rPr>
        <w:t xml:space="preserve">Wahl </w:t>
      </w:r>
      <w:r>
        <w:rPr>
          <w:spacing w:val="-4"/>
        </w:rPr>
        <w:t>等[51</w:t>
      </w:r>
      <w:r>
        <w:rPr>
          <w:spacing w:val="-4"/>
        </w:rPr>
        <w:t xml:space="preserve"> </w:t>
      </w:r>
      <w:r>
        <w:rPr>
          <w:spacing w:val="-4"/>
        </w:rPr>
        <w:t>]在</w:t>
      </w:r>
      <w:r>
        <w:rPr>
          <w:spacing w:val="-25"/>
        </w:rPr>
        <w:t xml:space="preserve"> </w:t>
      </w:r>
      <w:r>
        <w:rPr>
          <w:rFonts w:ascii="SimSun" w:eastAsia="SimSun" w:hAnsi="SimSun" w:cs="SimSun"/>
          <w:spacing w:val="-4"/>
        </w:rPr>
        <w:t>EORTC</w:t>
      </w:r>
      <w:r>
        <w:rPr>
          <w:rFonts w:ascii="SimSun" w:eastAsia="SimSun" w:hAnsi="SimSun" w:cs="SimSun"/>
          <w:spacing w:val="37"/>
        </w:rPr>
        <w:t xml:space="preserve"> </w:t>
      </w:r>
      <w:r>
        <w:rPr>
          <w:spacing w:val="-4"/>
        </w:rPr>
        <w:t>标准基础上提出了实体肿瘤</w:t>
      </w:r>
      <w:r>
        <w:rPr>
          <w:spacing w:val="-66"/>
        </w:rPr>
        <w:t xml:space="preserve"> </w:t>
      </w:r>
      <w:r>
        <w:rPr>
          <w:rFonts w:ascii="SimSun" w:eastAsia="SimSun" w:hAnsi="SimSun" w:cs="SimSun"/>
          <w:spacing w:val="-4"/>
        </w:rPr>
        <w:t xml:space="preserve">PET/CT </w:t>
      </w:r>
      <w:r>
        <w:rPr>
          <w:spacing w:val="-4"/>
        </w:rPr>
        <w:t>疗效评估标</w:t>
      </w:r>
      <w:r>
        <w:t xml:space="preserve"> </w:t>
      </w:r>
      <w:r>
        <w:rPr>
          <w:spacing w:val="-2"/>
        </w:rPr>
        <w:t>准</w:t>
      </w:r>
      <w:r>
        <w:rPr>
          <w:spacing w:val="-67"/>
        </w:rPr>
        <w:t xml:space="preserve"> </w:t>
      </w:r>
      <w:r>
        <w:rPr>
          <w:rFonts w:ascii="Times New Roman" w:eastAsia="Times New Roman" w:hAnsi="Times New Roman" w:cs="Times New Roman"/>
          <w:spacing w:val="-2"/>
        </w:rPr>
        <w:t>(PET</w:t>
      </w:r>
      <w:r>
        <w:rPr>
          <w:rFonts w:ascii="Times New Roman" w:eastAsia="Times New Roman" w:hAnsi="Times New Roman" w:cs="Times New Roman"/>
          <w:spacing w:val="31"/>
          <w:w w:val="101"/>
        </w:rPr>
        <w:t xml:space="preserve">  </w:t>
      </w:r>
      <w:r>
        <w:rPr>
          <w:rFonts w:ascii="Times New Roman" w:eastAsia="Times New Roman" w:hAnsi="Times New Roman" w:cs="Times New Roman"/>
          <w:spacing w:val="-2"/>
        </w:rPr>
        <w:t>response   criteria   in   solid   tumors,PERCIST   )</w:t>
      </w:r>
      <w:r>
        <w:rPr>
          <w:rFonts w:ascii="SimSun" w:eastAsia="SimSun" w:hAnsi="SimSun" w:cs="SimSun"/>
          <w:spacing w:val="-2"/>
        </w:rPr>
        <w:t>。</w:t>
      </w:r>
      <w:r>
        <w:rPr>
          <w:spacing w:val="-2"/>
        </w:rPr>
        <w:t>伴随着针对免</w:t>
      </w:r>
      <w:r>
        <w:t xml:space="preserve"> </w:t>
      </w:r>
      <w:r>
        <w:rPr>
          <w:spacing w:val="3"/>
        </w:rPr>
        <w:t>疫治疗的</w:t>
      </w:r>
      <w:r>
        <w:rPr>
          <w:rFonts w:ascii="SimSun" w:eastAsia="SimSun" w:hAnsi="SimSun" w:cs="SimSun"/>
        </w:rPr>
        <w:t>iRECIST</w:t>
      </w:r>
      <w:r>
        <w:rPr>
          <w:rFonts w:ascii="SimSun" w:eastAsia="SimSun" w:hAnsi="SimSun" w:cs="SimSun"/>
          <w:spacing w:val="-63"/>
        </w:rPr>
        <w:t xml:space="preserve"> </w:t>
      </w:r>
      <w:r>
        <w:rPr>
          <w:spacing w:val="3"/>
        </w:rPr>
        <w:t>标准出现以</w:t>
      </w:r>
      <w:r>
        <w:rPr>
          <w:spacing w:val="-69"/>
        </w:rPr>
        <w:t xml:space="preserve"> </w:t>
      </w:r>
      <w:r>
        <w:rPr>
          <w:rFonts w:ascii="SimSun" w:eastAsia="SimSun" w:hAnsi="SimSun" w:cs="SimSun"/>
        </w:rPr>
        <w:t>PERCIST</w:t>
      </w:r>
      <w:r>
        <w:rPr>
          <w:rFonts w:ascii="SimSun" w:eastAsia="SimSun" w:hAnsi="SimSun" w:cs="SimSun"/>
          <w:spacing w:val="-34"/>
        </w:rPr>
        <w:t xml:space="preserve"> </w:t>
      </w:r>
      <w:r>
        <w:rPr>
          <w:spacing w:val="3"/>
        </w:rPr>
        <w:t>标准为基础的</w:t>
      </w:r>
      <w:r>
        <w:rPr>
          <w:spacing w:val="-79"/>
        </w:rPr>
        <w:t xml:space="preserve"> </w:t>
      </w:r>
      <w:r>
        <w:rPr>
          <w:rFonts w:ascii="SimSun" w:eastAsia="SimSun" w:hAnsi="SimSun" w:cs="SimSun"/>
        </w:rPr>
        <w:t>PET</w:t>
      </w:r>
      <w:r>
        <w:rPr>
          <w:rFonts w:ascii="SimSun" w:eastAsia="SimSun" w:hAnsi="SimSun" w:cs="SimSun"/>
          <w:spacing w:val="3"/>
        </w:rPr>
        <w:t>/</w:t>
      </w:r>
      <w:r>
        <w:rPr>
          <w:rFonts w:ascii="SimSun" w:eastAsia="SimSun" w:hAnsi="SimSun" w:cs="SimSun"/>
        </w:rPr>
        <w:t>CT</w:t>
      </w:r>
      <w:r>
        <w:rPr>
          <w:rFonts w:ascii="SimSun" w:eastAsia="SimSun" w:hAnsi="SimSun" w:cs="SimSun"/>
          <w:spacing w:val="-29"/>
        </w:rPr>
        <w:t xml:space="preserve"> </w:t>
      </w:r>
      <w:r>
        <w:rPr>
          <w:spacing w:val="3"/>
        </w:rPr>
        <w:t>实体瘤免</w:t>
      </w:r>
      <w:r>
        <w:t xml:space="preserve"> </w:t>
      </w:r>
      <w:r>
        <w:rPr>
          <w:spacing w:val="-8"/>
        </w:rPr>
        <w:t>疫治疗疗效评价标准</w:t>
      </w:r>
      <w:r>
        <w:rPr>
          <w:rFonts w:ascii="SimSun" w:eastAsia="SimSun" w:hAnsi="SimSun" w:cs="SimSun"/>
          <w:spacing w:val="-8"/>
        </w:rPr>
        <w:t>(immune PET response criteria in</w:t>
      </w:r>
      <w:r>
        <w:rPr>
          <w:rFonts w:ascii="SimSun" w:eastAsia="SimSun" w:hAnsi="SimSun" w:cs="SimSun"/>
          <w:spacing w:val="31"/>
        </w:rPr>
        <w:t xml:space="preserve"> </w:t>
      </w:r>
      <w:r>
        <w:rPr>
          <w:rFonts w:ascii="SimSun" w:eastAsia="SimSun" w:hAnsi="SimSun" w:cs="SimSun"/>
          <w:spacing w:val="-8"/>
        </w:rPr>
        <w:t>solid</w:t>
      </w:r>
      <w:r>
        <w:rPr>
          <w:rFonts w:ascii="SimSun" w:eastAsia="SimSun" w:hAnsi="SimSun" w:cs="SimSun"/>
          <w:spacing w:val="12"/>
        </w:rPr>
        <w:t xml:space="preserve"> </w:t>
      </w:r>
      <w:r>
        <w:rPr>
          <w:rFonts w:ascii="SimSun" w:eastAsia="SimSun" w:hAnsi="SimSun" w:cs="SimSun"/>
          <w:spacing w:val="-8"/>
        </w:rPr>
        <w:t>tumors,</w:t>
      </w:r>
      <w:r>
        <w:rPr>
          <w:rFonts w:ascii="SimSun" w:eastAsia="SimSun" w:hAnsi="SimSun" w:cs="SimSun"/>
        </w:rPr>
        <w:t xml:space="preserve"> </w:t>
      </w:r>
      <w:r>
        <w:rPr>
          <w:rFonts w:ascii="SimSun" w:eastAsia="SimSun" w:hAnsi="SimSun" w:cs="SimSun"/>
        </w:rPr>
        <w:t>iPERCIST</w:t>
      </w:r>
      <w:r>
        <w:rPr>
          <w:rFonts w:ascii="SimSun" w:eastAsia="SimSun" w:hAnsi="SimSun" w:cs="SimSun"/>
          <w:spacing w:val="2"/>
        </w:rPr>
        <w:t>)</w:t>
      </w:r>
      <w:r>
        <w:rPr>
          <w:rFonts w:ascii="SimSun" w:eastAsia="SimSun" w:hAnsi="SimSun" w:cs="SimSun"/>
          <w:spacing w:val="-42"/>
        </w:rPr>
        <w:t xml:space="preserve"> </w:t>
      </w:r>
      <w:r>
        <w:rPr>
          <w:spacing w:val="2"/>
        </w:rPr>
        <w:t>也随即被提出[52],这一标准将</w:t>
      </w:r>
      <w:r>
        <w:rPr>
          <w:spacing w:val="-47"/>
        </w:rPr>
        <w:t xml:space="preserve"> </w:t>
      </w:r>
      <w:r>
        <w:rPr>
          <w:rFonts w:ascii="SimSun" w:eastAsia="SimSun" w:hAnsi="SimSun" w:cs="SimSun"/>
        </w:rPr>
        <w:t>PERCIST</w:t>
      </w:r>
      <w:r>
        <w:rPr>
          <w:rFonts w:ascii="SimSun" w:eastAsia="SimSun" w:hAnsi="SimSun" w:cs="SimSun"/>
          <w:spacing w:val="-34"/>
        </w:rPr>
        <w:t xml:space="preserve"> </w:t>
      </w:r>
      <w:r>
        <w:rPr>
          <w:spacing w:val="2"/>
        </w:rPr>
        <w:t>标准初</w:t>
      </w:r>
      <w:r>
        <w:rPr>
          <w:spacing w:val="1"/>
        </w:rPr>
        <w:t>次评定为代</w:t>
      </w:r>
      <w:r>
        <w:t xml:space="preserve"> </w:t>
      </w:r>
      <w:r>
        <w:rPr>
          <w:spacing w:val="-6"/>
        </w:rPr>
        <w:t>谢相关进展者定义为待确定代谢进展，并需在4~8周内再次评估。该标准</w:t>
      </w:r>
      <w:r>
        <w:rPr>
          <w:spacing w:val="6"/>
        </w:rPr>
        <w:t xml:space="preserve"> </w:t>
      </w:r>
      <w:r>
        <w:rPr>
          <w:spacing w:val="-14"/>
        </w:rPr>
        <w:t>现已成为</w:t>
      </w:r>
      <w:r>
        <w:rPr>
          <w:spacing w:val="-48"/>
        </w:rPr>
        <w:t xml:space="preserve"> </w:t>
      </w:r>
      <w:r>
        <w:rPr>
          <w:rFonts w:ascii="Arial" w:eastAsia="Arial" w:hAnsi="Arial" w:cs="Arial"/>
          <w:spacing w:val="-14"/>
        </w:rPr>
        <w:t>PET/CT</w:t>
      </w:r>
      <w:r>
        <w:rPr>
          <w:spacing w:val="-14"/>
        </w:rPr>
        <w:t>评估</w:t>
      </w:r>
      <w:r>
        <w:rPr>
          <w:spacing w:val="-56"/>
        </w:rPr>
        <w:t xml:space="preserve"> </w:t>
      </w:r>
      <w:r>
        <w:rPr>
          <w:rFonts w:ascii="Arial" w:eastAsia="Arial" w:hAnsi="Arial" w:cs="Arial"/>
          <w:spacing w:val="-14"/>
        </w:rPr>
        <w:t>NSCLC</w:t>
      </w:r>
      <w:r>
        <w:rPr>
          <w:rFonts w:ascii="SimSun" w:eastAsia="SimSun" w:hAnsi="SimSun" w:cs="SimSun"/>
          <w:spacing w:val="-14"/>
        </w:rPr>
        <w:t>、</w:t>
      </w:r>
      <w:r>
        <w:rPr>
          <w:spacing w:val="-14"/>
        </w:rPr>
        <w:t>黑色素瘤等大多数实体肿瘤免疫治疗疗效</w:t>
      </w:r>
      <w:r>
        <w:t xml:space="preserve"> </w:t>
      </w:r>
      <w:r>
        <w:rPr>
          <w:spacing w:val="-3"/>
        </w:rPr>
        <w:t>的主要标准，在2020年中华医学会核医学分会</w:t>
      </w:r>
      <w:r>
        <w:rPr>
          <w:spacing w:val="-46"/>
        </w:rPr>
        <w:t xml:space="preserve"> </w:t>
      </w:r>
      <w:r>
        <w:rPr>
          <w:rFonts w:ascii="Times New Roman" w:eastAsia="Times New Roman" w:hAnsi="Times New Roman" w:cs="Times New Roman"/>
          <w:spacing w:val="-3"/>
        </w:rPr>
        <w:t>PET</w:t>
      </w:r>
      <w:r>
        <w:rPr>
          <w:spacing w:val="-3"/>
        </w:rPr>
        <w:t>学组指定的《免疫检</w:t>
      </w:r>
    </w:p>
    <w:p>
      <w:pPr>
        <w:pStyle w:val="BodyText"/>
        <w:spacing w:line="221" w:lineRule="auto"/>
        <w:ind w:left="13"/>
      </w:pPr>
      <w:r>
        <w:rPr>
          <w:spacing w:val="-4"/>
        </w:rPr>
        <w:t>查点抑制剂治疗恶性肿瘤的</w:t>
      </w:r>
      <w:r>
        <w:rPr>
          <w:spacing w:val="-67"/>
        </w:rPr>
        <w:t xml:space="preserve"> </w:t>
      </w:r>
      <w:r>
        <w:rPr>
          <w:rFonts w:ascii="Times New Roman" w:eastAsia="Times New Roman" w:hAnsi="Times New Roman" w:cs="Times New Roman"/>
          <w:spacing w:val="-4"/>
        </w:rPr>
        <w:t>PET/CT</w:t>
      </w:r>
      <w:r>
        <w:rPr>
          <w:spacing w:val="-4"/>
        </w:rPr>
        <w:t>评价专家共识》中</w:t>
      </w:r>
      <w:r>
        <w:rPr>
          <w:spacing w:val="-5"/>
        </w:rPr>
        <w:t>获得推荐[53</w:t>
      </w:r>
      <w:r>
        <w:rPr>
          <w:spacing w:val="-5"/>
        </w:rPr>
        <w:t xml:space="preserve"> </w:t>
      </w:r>
      <w:r>
        <w:rPr>
          <w:spacing w:val="-5"/>
        </w:rPr>
        <w:t>],</w:t>
      </w:r>
    </w:p>
    <w:p>
      <w:pPr>
        <w:spacing w:line="221" w:lineRule="auto"/>
        <w:sectPr>
          <w:pgSz w:w="11910" w:h="16840"/>
          <w:pgMar w:top="1431" w:right="1731" w:bottom="0" w:left="1786" w:header="0" w:footer="0" w:gutter="0"/>
          <w:pgNumType w:start="18"/>
          <w:cols w:space="708"/>
        </w:sectPr>
      </w:pPr>
    </w:p>
    <w:p>
      <w:pPr>
        <w:pStyle w:val="BodyText"/>
        <w:spacing w:before="187" w:line="221" w:lineRule="auto"/>
        <w:ind w:left="13"/>
      </w:pPr>
      <w:r>
        <w:rPr>
          <w:spacing w:val="-9"/>
        </w:rPr>
        <w:t>四、循环肿瘤</w:t>
      </w:r>
      <w:r>
        <w:rPr>
          <w:spacing w:val="-39"/>
        </w:rPr>
        <w:t xml:space="preserve"> </w:t>
      </w:r>
      <w:r>
        <w:rPr>
          <w:rFonts w:ascii="Arial" w:eastAsia="Arial" w:hAnsi="Arial" w:cs="Arial"/>
          <w:spacing w:val="-9"/>
        </w:rPr>
        <w:t xml:space="preserve">DNA </w:t>
      </w:r>
      <w:r>
        <w:rPr>
          <w:spacing w:val="-9"/>
        </w:rPr>
        <w:t>在免疫治疗疗效评价中的应用</w:t>
      </w:r>
    </w:p>
    <w:p>
      <w:pPr>
        <w:pStyle w:val="BodyText"/>
        <w:spacing w:before="268" w:line="429" w:lineRule="auto"/>
        <w:ind w:left="13" w:right="116"/>
      </w:pPr>
      <w:r>
        <w:rPr>
          <w:spacing w:val="-3"/>
        </w:rPr>
        <w:t>许多研究提示检测外周血中的循环肿瘤</w:t>
      </w:r>
      <w:r>
        <w:rPr>
          <w:spacing w:val="-56"/>
        </w:rPr>
        <w:t xml:space="preserve"> </w:t>
      </w:r>
      <w:r>
        <w:rPr>
          <w:rFonts w:ascii="Times New Roman" w:eastAsia="Times New Roman" w:hAnsi="Times New Roman" w:cs="Times New Roman"/>
          <w:spacing w:val="-3"/>
        </w:rPr>
        <w:t xml:space="preserve">DNA(circulating     tumor    </w:t>
      </w:r>
      <w:r>
        <w:rPr>
          <w:rFonts w:ascii="Times New Roman" w:eastAsia="Times New Roman" w:hAnsi="Times New Roman" w:cs="Times New Roman"/>
          <w:spacing w:val="-4"/>
        </w:rPr>
        <w:t xml:space="preserve"> DNA,</w:t>
      </w:r>
      <w:r>
        <w:rPr>
          <w:rFonts w:ascii="Times New Roman" w:eastAsia="Times New Roman" w:hAnsi="Times New Roman" w:cs="Times New Roman"/>
        </w:rPr>
        <w:t xml:space="preserve"> </w:t>
      </w:r>
      <w:r>
        <w:rPr>
          <w:rFonts w:ascii="SimSun" w:eastAsia="SimSun" w:hAnsi="SimSun" w:cs="SimSun"/>
          <w:spacing w:val="-9"/>
        </w:rPr>
        <w:t>ctDNA)</w:t>
      </w:r>
      <w:r>
        <w:rPr>
          <w:rFonts w:ascii="SimSun" w:eastAsia="SimSun" w:hAnsi="SimSun" w:cs="SimSun"/>
          <w:spacing w:val="93"/>
        </w:rPr>
        <w:t xml:space="preserve"> </w:t>
      </w:r>
      <w:r>
        <w:rPr>
          <w:spacing w:val="-9"/>
        </w:rPr>
        <w:t>可以反映肿瘤负荷，可能成为免疫检查点抑制剂治疗的预后生物</w:t>
      </w:r>
      <w:r>
        <w:t xml:space="preserve"> </w:t>
      </w:r>
      <w:r>
        <w:rPr>
          <w:spacing w:val="-12"/>
        </w:rPr>
        <w:t>标志物。对黑色素瘤、</w:t>
      </w:r>
      <w:r>
        <w:rPr>
          <w:rFonts w:ascii="Times New Roman" w:eastAsia="Times New Roman" w:hAnsi="Times New Roman" w:cs="Times New Roman"/>
          <w:spacing w:val="-12"/>
        </w:rPr>
        <w:t>NSCLC</w:t>
      </w:r>
      <w:r>
        <w:rPr>
          <w:rFonts w:ascii="SimSun" w:eastAsia="SimSun" w:hAnsi="SimSun" w:cs="SimSun"/>
          <w:spacing w:val="-12"/>
        </w:rPr>
        <w:t>、</w:t>
      </w:r>
      <w:r>
        <w:rPr>
          <w:spacing w:val="-12"/>
        </w:rPr>
        <w:t>结肠癌和尿路上皮癌等恶性肿瘤开展的研</w:t>
      </w:r>
      <w:r>
        <w:t xml:space="preserve"> </w:t>
      </w:r>
      <w:r>
        <w:rPr>
          <w:spacing w:val="-8"/>
        </w:rPr>
        <w:t>究表明，连续的</w:t>
      </w:r>
      <w:r>
        <w:rPr>
          <w:spacing w:val="-48"/>
        </w:rPr>
        <w:t xml:space="preserve"> </w:t>
      </w:r>
      <w:r>
        <w:rPr>
          <w:rFonts w:ascii="SimSun" w:eastAsia="SimSun" w:hAnsi="SimSun" w:cs="SimSun"/>
          <w:spacing w:val="-8"/>
        </w:rPr>
        <w:t>ctDNA</w:t>
      </w:r>
      <w:r>
        <w:rPr>
          <w:rFonts w:ascii="SimSun" w:eastAsia="SimSun" w:hAnsi="SimSun" w:cs="SimSun"/>
          <w:spacing w:val="126"/>
        </w:rPr>
        <w:t xml:space="preserve"> </w:t>
      </w:r>
      <w:r>
        <w:rPr>
          <w:spacing w:val="-8"/>
        </w:rPr>
        <w:t>检测可以识别对免疫治疗有应答</w:t>
      </w:r>
      <w:r>
        <w:rPr>
          <w:spacing w:val="-9"/>
        </w:rPr>
        <w:t>的患者，因此，</w:t>
      </w:r>
    </w:p>
    <w:p>
      <w:pPr>
        <w:pStyle w:val="BodyText"/>
        <w:spacing w:line="221" w:lineRule="auto"/>
        <w:ind w:left="13"/>
      </w:pPr>
      <w:r>
        <w:rPr>
          <w:rFonts w:ascii="SimSun" w:eastAsia="SimSun" w:hAnsi="SimSun" w:cs="SimSun"/>
          <w:spacing w:val="-3"/>
        </w:rPr>
        <w:t>ctDNA</w:t>
      </w:r>
      <w:r>
        <w:rPr>
          <w:rFonts w:ascii="SimSun" w:eastAsia="SimSun" w:hAnsi="SimSun" w:cs="SimSun"/>
          <w:spacing w:val="72"/>
        </w:rPr>
        <w:t xml:space="preserve"> </w:t>
      </w:r>
      <w:r>
        <w:rPr>
          <w:spacing w:val="-3"/>
        </w:rPr>
        <w:t>评估可能有助于区分免疫治疗的假性进展和真实进展[54-55]。</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8" w:line="642" w:lineRule="exact"/>
        <w:jc w:val="right"/>
      </w:pPr>
      <w:r>
        <w:rPr>
          <w:spacing w:val="-2"/>
          <w:position w:val="28"/>
        </w:rPr>
        <w:t>推荐意见2:推荐按照</w:t>
      </w:r>
      <w:r>
        <w:rPr>
          <w:rFonts w:ascii="Times New Roman" w:eastAsia="Times New Roman" w:hAnsi="Times New Roman" w:cs="Times New Roman"/>
          <w:spacing w:val="-2"/>
          <w:position w:val="28"/>
        </w:rPr>
        <w:t xml:space="preserve">iRECIST </w:t>
      </w:r>
      <w:r>
        <w:rPr>
          <w:spacing w:val="-2"/>
          <w:position w:val="28"/>
        </w:rPr>
        <w:t>标准评估晚期</w:t>
      </w:r>
      <w:r>
        <w:rPr>
          <w:spacing w:val="-53"/>
          <w:position w:val="28"/>
        </w:rPr>
        <w:t xml:space="preserve"> </w:t>
      </w:r>
      <w:r>
        <w:rPr>
          <w:rFonts w:ascii="Times New Roman" w:eastAsia="Times New Roman" w:hAnsi="Times New Roman" w:cs="Times New Roman"/>
          <w:spacing w:val="-2"/>
          <w:position w:val="28"/>
        </w:rPr>
        <w:t>NSCLC</w:t>
      </w:r>
      <w:r>
        <w:rPr>
          <w:spacing w:val="-2"/>
          <w:position w:val="28"/>
        </w:rPr>
        <w:t>一线免疫治疗疗效。</w:t>
      </w:r>
    </w:p>
    <w:p>
      <w:pPr>
        <w:pStyle w:val="BodyText"/>
        <w:spacing w:before="1" w:line="220" w:lineRule="auto"/>
        <w:ind w:left="113"/>
      </w:pPr>
      <w:r>
        <w:rPr>
          <w:spacing w:val="-14"/>
        </w:rPr>
        <w:t>(推荐等级：</w:t>
      </w:r>
      <w:r>
        <w:rPr>
          <w:spacing w:val="-14"/>
        </w:rPr>
        <w:t xml:space="preserve"> </w:t>
      </w:r>
      <w:r>
        <w:rPr>
          <w:rFonts w:ascii="Times New Roman" w:eastAsia="Times New Roman" w:hAnsi="Times New Roman" w:cs="Times New Roman"/>
          <w:spacing w:val="-14"/>
        </w:rPr>
        <w:t>I</w:t>
      </w:r>
      <w:r>
        <w:rPr>
          <w:rFonts w:ascii="Times New Roman" w:eastAsia="Times New Roman" w:hAnsi="Times New Roman" w:cs="Times New Roman"/>
          <w:spacing w:val="49"/>
        </w:rPr>
        <w:t xml:space="preserve"> </w:t>
      </w:r>
      <w:r>
        <w:rPr>
          <w:spacing w:val="-14"/>
        </w:rPr>
        <w:t>级</w:t>
      </w:r>
      <w:r>
        <w:rPr>
          <w:spacing w:val="-27"/>
        </w:rPr>
        <w:t xml:space="preserve"> </w:t>
      </w:r>
      <w:r>
        <w:rPr>
          <w:spacing w:val="-14"/>
        </w:rPr>
        <w:t>)</w:t>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88" w:line="427" w:lineRule="auto"/>
        <w:ind w:left="13" w:right="125"/>
        <w:jc w:val="both"/>
      </w:pPr>
      <w:r>
        <w:rPr>
          <w:spacing w:val="-8"/>
        </w:rPr>
        <w:t>一线免疫治疗后初次</w:t>
      </w:r>
      <w:r>
        <w:rPr>
          <w:spacing w:val="-55"/>
        </w:rPr>
        <w:t xml:space="preserve"> </w:t>
      </w:r>
      <w:r>
        <w:rPr>
          <w:rFonts w:ascii="SimSun" w:eastAsia="SimSun" w:hAnsi="SimSun" w:cs="SimSun"/>
          <w:spacing w:val="-8"/>
        </w:rPr>
        <w:t>PD(RECIST</w:t>
      </w:r>
      <w:r>
        <w:rPr>
          <w:rFonts w:ascii="SimSun" w:eastAsia="SimSun" w:hAnsi="SimSun" w:cs="SimSun"/>
          <w:spacing w:val="79"/>
        </w:rPr>
        <w:t xml:space="preserve"> </w:t>
      </w:r>
      <w:r>
        <w:rPr>
          <w:rFonts w:ascii="SimSun" w:eastAsia="SimSun" w:hAnsi="SimSun" w:cs="SimSun"/>
          <w:spacing w:val="-8"/>
        </w:rPr>
        <w:t>1.1</w:t>
      </w:r>
      <w:r>
        <w:rPr>
          <w:rFonts w:ascii="SimSun" w:eastAsia="SimSun" w:hAnsi="SimSun" w:cs="SimSun"/>
          <w:spacing w:val="-52"/>
        </w:rPr>
        <w:t xml:space="preserve"> </w:t>
      </w:r>
      <w:r>
        <w:rPr>
          <w:spacing w:val="-8"/>
        </w:rPr>
        <w:t>标准)的</w:t>
      </w:r>
      <w:r>
        <w:rPr>
          <w:spacing w:val="-9"/>
        </w:rPr>
        <w:t>患者，如果临床状态稳定，</w:t>
      </w:r>
      <w:r>
        <w:t xml:space="preserve"> </w:t>
      </w:r>
      <w:r>
        <w:rPr>
          <w:spacing w:val="-11"/>
        </w:rPr>
        <w:t>建议对进展病灶活检以明确是否假进展；对于无法活检证实的患者，建议</w:t>
      </w:r>
      <w:r>
        <w:rPr>
          <w:spacing w:val="2"/>
        </w:rPr>
        <w:t xml:space="preserve"> </w:t>
      </w:r>
      <w:r>
        <w:rPr>
          <w:spacing w:val="-2"/>
        </w:rPr>
        <w:t>按照</w:t>
      </w:r>
      <w:r>
        <w:rPr>
          <w:rFonts w:ascii="SimSun" w:eastAsia="SimSun" w:hAnsi="SimSun" w:cs="SimSun"/>
          <w:spacing w:val="-2"/>
        </w:rPr>
        <w:t>iRECIST</w:t>
      </w:r>
      <w:r>
        <w:rPr>
          <w:rFonts w:ascii="SimSun" w:eastAsia="SimSun" w:hAnsi="SimSun" w:cs="SimSun"/>
          <w:spacing w:val="-72"/>
        </w:rPr>
        <w:t xml:space="preserve"> </w:t>
      </w:r>
      <w:r>
        <w:rPr>
          <w:spacing w:val="-2"/>
        </w:rPr>
        <w:t>标准在至少4周后再次影像</w:t>
      </w:r>
      <w:r>
        <w:rPr>
          <w:spacing w:val="-3"/>
        </w:rPr>
        <w:t>学确认，并可通过</w:t>
      </w:r>
      <w:r>
        <w:rPr>
          <w:spacing w:val="-45"/>
        </w:rPr>
        <w:t xml:space="preserve"> </w:t>
      </w:r>
      <w:r>
        <w:rPr>
          <w:rFonts w:ascii="SimSun" w:eastAsia="SimSun" w:hAnsi="SimSun" w:cs="SimSun"/>
          <w:spacing w:val="-3"/>
        </w:rPr>
        <w:t xml:space="preserve">PET-CT </w:t>
      </w:r>
      <w:r>
        <w:rPr>
          <w:spacing w:val="-3"/>
        </w:rPr>
        <w:t>以及</w:t>
      </w:r>
    </w:p>
    <w:p>
      <w:pPr>
        <w:spacing w:before="1" w:line="218" w:lineRule="auto"/>
        <w:ind w:left="13"/>
        <w:rPr>
          <w:rFonts w:ascii="SimSun" w:eastAsia="SimSun" w:hAnsi="SimSun" w:cs="SimSun"/>
          <w:sz w:val="27"/>
          <w:szCs w:val="27"/>
        </w:rPr>
      </w:pPr>
      <w:r>
        <w:rPr>
          <w:rFonts w:ascii="SimSun" w:eastAsia="SimSun" w:hAnsi="SimSun" w:cs="SimSun"/>
          <w:spacing w:val="-7"/>
          <w:sz w:val="27"/>
          <w:szCs w:val="27"/>
        </w:rPr>
        <w:t>肿瘤</w:t>
      </w:r>
      <w:r>
        <w:rPr>
          <w:rFonts w:ascii="Arial" w:eastAsia="Arial" w:hAnsi="Arial" w:cs="Arial"/>
          <w:spacing w:val="-7"/>
          <w:sz w:val="27"/>
          <w:szCs w:val="27"/>
        </w:rPr>
        <w:t>ctDNA</w:t>
      </w:r>
      <w:r>
        <w:rPr>
          <w:rFonts w:ascii="Arial" w:eastAsia="Arial" w:hAnsi="Arial" w:cs="Arial"/>
          <w:spacing w:val="35"/>
          <w:sz w:val="27"/>
          <w:szCs w:val="27"/>
        </w:rPr>
        <w:t xml:space="preserve"> </w:t>
      </w:r>
      <w:r>
        <w:rPr>
          <w:rFonts w:ascii="SimSun" w:eastAsia="SimSun" w:hAnsi="SimSun" w:cs="SimSun"/>
          <w:spacing w:val="-7"/>
          <w:sz w:val="27"/>
          <w:szCs w:val="27"/>
        </w:rPr>
        <w:t>检测协助鉴别假进展或真实进展。</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pStyle w:val="BodyText"/>
        <w:spacing w:before="88" w:line="219" w:lineRule="auto"/>
        <w:ind w:left="13"/>
      </w:pPr>
      <w:r>
        <w:rPr>
          <w:spacing w:val="-8"/>
        </w:rPr>
        <w:t>第五部分：晚期</w:t>
      </w:r>
      <w:r>
        <w:rPr>
          <w:spacing w:val="-46"/>
        </w:rPr>
        <w:t xml:space="preserve"> </w:t>
      </w:r>
      <w:r>
        <w:rPr>
          <w:rFonts w:ascii="SimSun" w:eastAsia="SimSun" w:hAnsi="SimSun" w:cs="SimSun"/>
          <w:spacing w:val="-8"/>
        </w:rPr>
        <w:t>NSCLC</w:t>
      </w:r>
      <w:r>
        <w:rPr>
          <w:rFonts w:ascii="SimSun" w:eastAsia="SimSun" w:hAnsi="SimSun" w:cs="SimSun"/>
          <w:spacing w:val="63"/>
        </w:rPr>
        <w:t xml:space="preserve"> </w:t>
      </w:r>
      <w:r>
        <w:rPr>
          <w:spacing w:val="-8"/>
        </w:rPr>
        <w:t>一线免疫耐药后治疗策略</w:t>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BodyText"/>
        <w:spacing w:before="88" w:line="222" w:lineRule="auto"/>
        <w:ind w:left="13"/>
      </w:pPr>
      <w:r>
        <w:rPr>
          <w:spacing w:val="-10"/>
        </w:rPr>
        <w:t>一、免疫治疗寡进展的治疗策略</w:t>
      </w:r>
    </w:p>
    <w:p>
      <w:pPr>
        <w:spacing w:line="270" w:lineRule="auto"/>
        <w:rPr>
          <w:rFonts w:ascii="Arial"/>
          <w:sz w:val="21"/>
        </w:rPr>
      </w:pPr>
    </w:p>
    <w:p>
      <w:pPr>
        <w:spacing w:line="270" w:lineRule="auto"/>
        <w:rPr>
          <w:rFonts w:ascii="Arial"/>
          <w:sz w:val="21"/>
        </w:rPr>
      </w:pPr>
    </w:p>
    <w:p>
      <w:pPr>
        <w:spacing w:line="270" w:lineRule="auto"/>
        <w:rPr>
          <w:rFonts w:ascii="Arial"/>
          <w:sz w:val="21"/>
        </w:rPr>
        <w:sectPr>
          <w:pgSz w:w="11910" w:h="16840"/>
          <w:pgMar w:top="1431" w:right="1679" w:bottom="0" w:left="1786" w:header="0" w:footer="0" w:gutter="0"/>
          <w:pgNumType w:start="19"/>
          <w:cols w:space="708"/>
        </w:sectPr>
      </w:pPr>
    </w:p>
    <w:p>
      <w:pPr>
        <w:pStyle w:val="BodyText"/>
        <w:spacing w:before="89" w:line="424" w:lineRule="auto"/>
        <w:ind w:left="13" w:right="140"/>
        <w:jc w:val="both"/>
      </w:pPr>
      <w:r>
        <w:rPr>
          <w:spacing w:val="-10"/>
        </w:rPr>
        <w:t>目前普遍认为晚期</w:t>
      </w:r>
      <w:r>
        <w:rPr>
          <w:spacing w:val="-21"/>
        </w:rPr>
        <w:t xml:space="preserve"> </w:t>
      </w:r>
      <w:r>
        <w:rPr>
          <w:rFonts w:ascii="SimSun" w:eastAsia="SimSun" w:hAnsi="SimSun" w:cs="SimSun"/>
          <w:spacing w:val="-10"/>
        </w:rPr>
        <w:t>NSCLC</w:t>
      </w:r>
      <w:r>
        <w:rPr>
          <w:rFonts w:ascii="SimSun" w:eastAsia="SimSun" w:hAnsi="SimSun" w:cs="SimSun"/>
          <w:spacing w:val="113"/>
        </w:rPr>
        <w:t xml:space="preserve"> </w:t>
      </w:r>
      <w:r>
        <w:rPr>
          <w:spacing w:val="-10"/>
        </w:rPr>
        <w:t>是不可根治的，然而寡进展且体力状态评分较</w:t>
      </w:r>
      <w:r>
        <w:t xml:space="preserve"> </w:t>
      </w:r>
      <w:r>
        <w:rPr>
          <w:spacing w:val="-11"/>
        </w:rPr>
        <w:t>好的患者可能受益于对寡进展部位的积极局部治疗。寡进展的定义目前还</w:t>
      </w:r>
    </w:p>
    <w:p>
      <w:pPr>
        <w:pStyle w:val="BodyText"/>
        <w:spacing w:before="1" w:line="212" w:lineRule="auto"/>
        <w:ind w:left="13"/>
      </w:pPr>
      <w:r>
        <w:rPr>
          <w:spacing w:val="-11"/>
        </w:rPr>
        <w:t>存在争议，对于进展病灶的数目要求主要基于既往临床研究所设定的阈值</w:t>
      </w:r>
    </w:p>
    <w:p>
      <w:pPr>
        <w:spacing w:line="212" w:lineRule="auto"/>
        <w:sectPr>
          <w:type w:val="nextPage"/>
          <w:pgSz w:w="11910" w:h="16840"/>
          <w:pgMar w:top="1431" w:right="1679" w:bottom="0" w:left="1786" w:header="0" w:footer="0" w:gutter="0"/>
          <w:pgNumType w:start="20"/>
          <w:cols w:space="708"/>
          <w:titlePg w:val="0"/>
        </w:sectPr>
      </w:pPr>
    </w:p>
    <w:p>
      <w:pPr>
        <w:pStyle w:val="BodyText"/>
        <w:spacing w:before="166" w:line="426" w:lineRule="auto"/>
        <w:ind w:left="13" w:right="4"/>
        <w:jc w:val="both"/>
      </w:pPr>
      <w:r>
        <w:rPr>
          <w:spacing w:val="-11"/>
        </w:rPr>
        <w:t>或纳入标准，然而不同研究的纳入标准不尽相同，多数是指接受系统治疗</w:t>
      </w:r>
      <w:r>
        <w:rPr>
          <w:spacing w:val="12"/>
        </w:rPr>
        <w:t xml:space="preserve"> </w:t>
      </w:r>
      <w:r>
        <w:rPr>
          <w:spacing w:val="-6"/>
        </w:rPr>
        <w:t>的患者≤3个病灶出现进展[56-59</w:t>
      </w:r>
      <w:r>
        <w:rPr>
          <w:spacing w:val="-6"/>
        </w:rPr>
        <w:t xml:space="preserve"> </w:t>
      </w:r>
      <w:r>
        <w:rPr>
          <w:spacing w:val="-6"/>
        </w:rPr>
        <w:t>]。然而随着放疗、介入等局部治疗手</w:t>
      </w:r>
      <w:r>
        <w:rPr>
          <w:spacing w:val="12"/>
        </w:rPr>
        <w:t xml:space="preserve"> </w:t>
      </w:r>
      <w:r>
        <w:rPr>
          <w:spacing w:val="-11"/>
        </w:rPr>
        <w:t>段的进步，进展病灶数目往往并不是局部治疗的限制因素。因此，判断是</w:t>
      </w:r>
      <w:r>
        <w:rPr>
          <w:spacing w:val="9"/>
        </w:rPr>
        <w:t xml:space="preserve"> </w:t>
      </w:r>
      <w:r>
        <w:rPr>
          <w:spacing w:val="-10"/>
        </w:rPr>
        <w:t>否为寡进展应依据患者具体的进展部位、数目及是否适用于局部治疗</w:t>
      </w:r>
      <w:r>
        <w:rPr>
          <w:spacing w:val="-11"/>
        </w:rPr>
        <w:t>进行</w:t>
      </w:r>
    </w:p>
    <w:p>
      <w:pPr>
        <w:pStyle w:val="BodyText"/>
        <w:spacing w:line="221" w:lineRule="auto"/>
        <w:ind w:left="13"/>
      </w:pPr>
      <w:r>
        <w:rPr>
          <w:spacing w:val="-14"/>
        </w:rPr>
        <w:t>综合判断。</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8" w:line="640" w:lineRule="exact"/>
        <w:ind w:left="13"/>
      </w:pPr>
      <w:r>
        <w:rPr>
          <w:spacing w:val="-2"/>
          <w:position w:val="28"/>
        </w:rPr>
        <w:t>推荐意见3:推荐将寡进展定义为进展病灶数目有限且能通过手</w:t>
      </w:r>
      <w:r>
        <w:rPr>
          <w:spacing w:val="-3"/>
          <w:position w:val="28"/>
        </w:rPr>
        <w:t>术、放疗</w:t>
      </w:r>
    </w:p>
    <w:p>
      <w:pPr>
        <w:pStyle w:val="BodyText"/>
        <w:spacing w:before="1" w:line="220" w:lineRule="auto"/>
        <w:ind w:left="13"/>
      </w:pPr>
      <w:r>
        <w:rPr>
          <w:spacing w:val="-7"/>
        </w:rPr>
        <w:t>或介入等局部治疗手段达到局部控制。(推荐等级：Ⅱ级)</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88" w:line="425" w:lineRule="auto"/>
        <w:ind w:left="13"/>
      </w:pPr>
      <w:r>
        <w:rPr>
          <w:rFonts w:ascii="SimSun" w:eastAsia="SimSun" w:hAnsi="SimSun" w:cs="SimSun"/>
        </w:rPr>
        <w:t>Schoenfeld</w:t>
      </w:r>
      <w:r>
        <w:rPr>
          <w:rFonts w:ascii="SimSun" w:eastAsia="SimSun" w:hAnsi="SimSun" w:cs="SimSun"/>
          <w:spacing w:val="-34"/>
        </w:rPr>
        <w:t xml:space="preserve"> </w:t>
      </w:r>
      <w:r>
        <w:rPr>
          <w:spacing w:val="22"/>
        </w:rPr>
        <w:t>等[60]在2022年发表的一项回顾性研究纳入1536例接</w:t>
      </w:r>
      <w:r>
        <w:t xml:space="preserve"> </w:t>
      </w:r>
      <w:r>
        <w:rPr>
          <w:spacing w:val="12"/>
        </w:rPr>
        <w:t>受</w:t>
      </w:r>
      <w:r>
        <w:rPr>
          <w:spacing w:val="-52"/>
        </w:rPr>
        <w:t xml:space="preserve"> </w:t>
      </w:r>
      <w:r>
        <w:rPr>
          <w:rFonts w:ascii="SimSun" w:eastAsia="SimSun" w:hAnsi="SimSun" w:cs="SimSun"/>
        </w:rPr>
        <w:t>PD</w:t>
      </w:r>
      <w:r>
        <w:rPr>
          <w:rFonts w:ascii="SimSun" w:eastAsia="SimSun" w:hAnsi="SimSun" w:cs="SimSun"/>
          <w:spacing w:val="12"/>
        </w:rPr>
        <w:t>-1/</w:t>
      </w:r>
      <w:r>
        <w:rPr>
          <w:rFonts w:ascii="SimSun" w:eastAsia="SimSun" w:hAnsi="SimSun" w:cs="SimSun"/>
        </w:rPr>
        <w:t>PD</w:t>
      </w:r>
      <w:r>
        <w:rPr>
          <w:rFonts w:ascii="SimSun" w:eastAsia="SimSun" w:hAnsi="SimSun" w:cs="SimSun"/>
          <w:spacing w:val="12"/>
        </w:rPr>
        <w:t>-L1</w:t>
      </w:r>
      <w:r>
        <w:rPr>
          <w:rFonts w:ascii="SimSun" w:eastAsia="SimSun" w:hAnsi="SimSun" w:cs="SimSun"/>
          <w:spacing w:val="51"/>
        </w:rPr>
        <w:t xml:space="preserve"> </w:t>
      </w:r>
      <w:r>
        <w:rPr>
          <w:spacing w:val="12"/>
        </w:rPr>
        <w:t>抑制剂治疗的晚期</w:t>
      </w:r>
      <w:r>
        <w:rPr>
          <w:spacing w:val="-54"/>
        </w:rPr>
        <w:t xml:space="preserve"> </w:t>
      </w:r>
      <w:r>
        <w:rPr>
          <w:rFonts w:ascii="SimSun" w:eastAsia="SimSun" w:hAnsi="SimSun" w:cs="SimSun"/>
        </w:rPr>
        <w:t>NSCLC</w:t>
      </w:r>
      <w:r>
        <w:rPr>
          <w:rFonts w:ascii="SimSun" w:eastAsia="SimSun" w:hAnsi="SimSun" w:cs="SimSun"/>
          <w:spacing w:val="52"/>
        </w:rPr>
        <w:t xml:space="preserve"> </w:t>
      </w:r>
      <w:r>
        <w:rPr>
          <w:spacing w:val="12"/>
        </w:rPr>
        <w:t>病例，312例(20%)出现了</w:t>
      </w:r>
      <w:r>
        <w:t xml:space="preserve"> </w:t>
      </w:r>
      <w:r>
        <w:rPr>
          <w:spacing w:val="7"/>
        </w:rPr>
        <w:t>初步治疗应答，其中143</w:t>
      </w:r>
      <w:r>
        <w:rPr>
          <w:spacing w:val="-26"/>
        </w:rPr>
        <w:t xml:space="preserve"> </w:t>
      </w:r>
      <w:r>
        <w:rPr>
          <w:spacing w:val="7"/>
        </w:rPr>
        <w:t>例(9%)出现了继发性耐药，继发性耐药患者</w:t>
      </w:r>
      <w:r>
        <w:t xml:space="preserve"> </w:t>
      </w:r>
      <w:r>
        <w:rPr>
          <w:spacing w:val="6"/>
        </w:rPr>
        <w:t>被分为寡进展</w:t>
      </w:r>
      <w:r>
        <w:rPr>
          <w:rFonts w:ascii="SimSun" w:eastAsia="SimSun" w:hAnsi="SimSun" w:cs="SimSun"/>
          <w:spacing w:val="6"/>
        </w:rPr>
        <w:t>(</w:t>
      </w:r>
      <w:r>
        <w:rPr>
          <w:rFonts w:ascii="SimSun" w:eastAsia="SimSun" w:hAnsi="SimSun" w:cs="SimSun"/>
        </w:rPr>
        <w:t>PD</w:t>
      </w:r>
      <w:r>
        <w:rPr>
          <w:rFonts w:ascii="SimSun" w:eastAsia="SimSun" w:hAnsi="SimSun" w:cs="SimSun"/>
          <w:spacing w:val="6"/>
        </w:rPr>
        <w:t>≤3</w:t>
      </w:r>
      <w:r>
        <w:rPr>
          <w:rFonts w:ascii="SimSun" w:eastAsia="SimSun" w:hAnsi="SimSun" w:cs="SimSun"/>
          <w:spacing w:val="147"/>
        </w:rPr>
        <w:t xml:space="preserve"> </w:t>
      </w:r>
      <w:r>
        <w:rPr>
          <w:spacing w:val="6"/>
        </w:rPr>
        <w:t>个病灶)和系统性进展，其中寡进展比例为56%</w:t>
      </w:r>
      <w:r>
        <w:t xml:space="preserve"> </w:t>
      </w:r>
      <w:r>
        <w:rPr>
          <w:spacing w:val="14"/>
        </w:rPr>
        <w:t>(80/143)。80例寡进展患者中有57</w:t>
      </w:r>
      <w:r>
        <w:rPr>
          <w:spacing w:val="13"/>
        </w:rPr>
        <w:t>例进行了局部治疗，包括47例放</w:t>
      </w:r>
      <w:r>
        <w:t xml:space="preserve"> </w:t>
      </w:r>
      <w:r>
        <w:rPr>
          <w:spacing w:val="1"/>
        </w:rPr>
        <w:t>疗、9例手术治疗和1例栓塞治疗其中56例继续使用原先的</w:t>
      </w:r>
      <w:r>
        <w:rPr>
          <w:rFonts w:ascii="SimSun" w:eastAsia="SimSun" w:hAnsi="SimSun" w:cs="SimSun"/>
        </w:rPr>
        <w:t>PD</w:t>
      </w:r>
      <w:r>
        <w:rPr>
          <w:rFonts w:ascii="SimSun" w:eastAsia="SimSun" w:hAnsi="SimSun" w:cs="SimSun"/>
          <w:spacing w:val="1"/>
        </w:rPr>
        <w:t>-1/</w:t>
      </w:r>
      <w:r>
        <w:rPr>
          <w:rFonts w:ascii="SimSun" w:eastAsia="SimSun" w:hAnsi="SimSun" w:cs="SimSun"/>
        </w:rPr>
        <w:t>PD</w:t>
      </w:r>
      <w:r>
        <w:rPr>
          <w:rFonts w:ascii="SimSun" w:eastAsia="SimSun" w:hAnsi="SimSun" w:cs="SimSun"/>
          <w:spacing w:val="1"/>
        </w:rPr>
        <w:t>-L1</w:t>
      </w:r>
      <w:r>
        <w:rPr>
          <w:rFonts w:ascii="SimSun" w:eastAsia="SimSun" w:hAnsi="SimSun" w:cs="SimSun"/>
        </w:rPr>
        <w:t xml:space="preserve">  </w:t>
      </w:r>
      <w:r>
        <w:rPr>
          <w:spacing w:val="-11"/>
        </w:rPr>
        <w:t>抑制剂。相比于没有进行局部治疗的患者，接受了局部治疗的患者死亡风</w:t>
      </w:r>
      <w:r>
        <w:rPr>
          <w:spacing w:val="9"/>
        </w:rPr>
        <w:t xml:space="preserve"> </w:t>
      </w:r>
      <w:r>
        <w:rPr>
          <w:spacing w:val="1"/>
        </w:rPr>
        <w:t>险降低了52%</w:t>
      </w:r>
      <w:r>
        <w:rPr>
          <w:rFonts w:ascii="SimSun" w:eastAsia="SimSun" w:hAnsi="SimSun" w:cs="SimSun"/>
          <w:spacing w:val="1"/>
        </w:rPr>
        <w:t>(</w:t>
      </w:r>
      <w:r>
        <w:rPr>
          <w:rFonts w:ascii="SimSun" w:eastAsia="SimSun" w:hAnsi="SimSun" w:cs="SimSun"/>
        </w:rPr>
        <w:t>HR</w:t>
      </w:r>
      <w:r>
        <w:rPr>
          <w:rFonts w:ascii="SimSun" w:eastAsia="SimSun" w:hAnsi="SimSun" w:cs="SimSun"/>
          <w:spacing w:val="1"/>
        </w:rPr>
        <w:t>=0.48,95%</w:t>
      </w:r>
      <w:r>
        <w:rPr>
          <w:rFonts w:ascii="SimSun" w:eastAsia="SimSun" w:hAnsi="SimSun" w:cs="SimSun"/>
        </w:rPr>
        <w:t>CI</w:t>
      </w:r>
      <w:r>
        <w:rPr>
          <w:rFonts w:ascii="SimSun" w:eastAsia="SimSun" w:hAnsi="SimSun" w:cs="SimSun"/>
          <w:spacing w:val="1"/>
        </w:rPr>
        <w:t xml:space="preserve">:0.21~1.10,P=0.04)。      </w:t>
      </w:r>
      <w:r>
        <w:rPr>
          <w:spacing w:val="1"/>
        </w:rPr>
        <w:t>对于寡进展</w:t>
      </w:r>
      <w:r>
        <w:rPr>
          <w:spacing w:val="18"/>
        </w:rPr>
        <w:t xml:space="preserve"> </w:t>
      </w:r>
      <w:r>
        <w:rPr>
          <w:spacing w:val="-10"/>
        </w:rPr>
        <w:t>的治疗目标之一是根除所有已知的活性病灶，</w:t>
      </w:r>
      <w:r>
        <w:rPr>
          <w:spacing w:val="-11"/>
        </w:rPr>
        <w:t>有几种潜在的方式可以实现</w:t>
      </w:r>
    </w:p>
    <w:p>
      <w:pPr>
        <w:pStyle w:val="BodyText"/>
        <w:spacing w:before="1" w:line="212" w:lineRule="auto"/>
        <w:ind w:left="13"/>
      </w:pPr>
      <w:r>
        <w:rPr>
          <w:spacing w:val="-2"/>
        </w:rPr>
        <w:t>这一目的，包括放疗、手术或其他非放射治疗消融方法[61].</w:t>
      </w: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pStyle w:val="BodyText"/>
        <w:spacing w:before="89" w:line="222" w:lineRule="auto"/>
        <w:ind w:left="83"/>
      </w:pPr>
      <w:r>
        <w:rPr>
          <w:spacing w:val="12"/>
        </w:rPr>
        <w:t>(</w:t>
      </w:r>
      <w:r>
        <w:rPr>
          <w:spacing w:val="-75"/>
        </w:rPr>
        <w:t xml:space="preserve"> </w:t>
      </w:r>
      <w:r>
        <w:rPr>
          <w:spacing w:val="12"/>
        </w:rPr>
        <w:t>一)放疗</w:t>
      </w:r>
    </w:p>
    <w:p>
      <w:pPr>
        <w:spacing w:line="222" w:lineRule="auto"/>
        <w:sectPr>
          <w:pgSz w:w="11910" w:h="16840"/>
          <w:pgMar w:top="1431" w:right="1786" w:bottom="0" w:left="1786" w:header="0" w:footer="0" w:gutter="0"/>
          <w:pgNumType w:start="21"/>
          <w:cols w:space="708"/>
        </w:sectPr>
      </w:pPr>
    </w:p>
    <w:p>
      <w:pPr>
        <w:pStyle w:val="BodyText"/>
        <w:spacing w:before="197" w:line="424" w:lineRule="auto"/>
        <w:ind w:left="13" w:right="230"/>
        <w:jc w:val="both"/>
      </w:pPr>
      <w:r>
        <w:rPr>
          <w:spacing w:val="-6"/>
        </w:rPr>
        <w:t>1953</w:t>
      </w:r>
      <w:r>
        <w:rPr>
          <w:spacing w:val="60"/>
        </w:rPr>
        <w:t xml:space="preserve"> </w:t>
      </w:r>
      <w:r>
        <w:rPr>
          <w:spacing w:val="-6"/>
        </w:rPr>
        <w:t>年</w:t>
      </w:r>
      <w:r>
        <w:rPr>
          <w:spacing w:val="-6"/>
        </w:rPr>
        <w:t xml:space="preserve"> </w:t>
      </w:r>
      <w:r>
        <w:rPr>
          <w:rFonts w:ascii="SimSun" w:eastAsia="SimSun" w:hAnsi="SimSun" w:cs="SimSun"/>
          <w:spacing w:val="-6"/>
        </w:rPr>
        <w:t>Mole[62]</w:t>
      </w:r>
      <w:r>
        <w:rPr>
          <w:rFonts w:ascii="SimSun" w:eastAsia="SimSun" w:hAnsi="SimSun" w:cs="SimSun"/>
          <w:spacing w:val="36"/>
        </w:rPr>
        <w:t xml:space="preserve">  </w:t>
      </w:r>
      <w:r>
        <w:rPr>
          <w:spacing w:val="-6"/>
        </w:rPr>
        <w:t>发现通过放射局部组织可以在远离照射部位的组织</w:t>
      </w:r>
      <w:r>
        <w:t xml:space="preserve"> </w:t>
      </w:r>
      <w:r>
        <w:rPr>
          <w:spacing w:val="-19"/>
        </w:rPr>
        <w:t>中引发生物响应，从而提出了放疗“远隔效应”的概念，其机制可能与放疗</w:t>
      </w:r>
      <w:r>
        <w:rPr>
          <w:spacing w:val="6"/>
        </w:rPr>
        <w:t xml:space="preserve"> </w:t>
      </w:r>
      <w:r>
        <w:rPr>
          <w:spacing w:val="-9"/>
        </w:rPr>
        <w:t>诱导的免疫反应有关。放射治疗诱导的免疫反应包括</w:t>
      </w:r>
      <w:r>
        <w:rPr>
          <w:spacing w:val="-43"/>
        </w:rPr>
        <w:t xml:space="preserve"> </w:t>
      </w:r>
      <w:r>
        <w:rPr>
          <w:rFonts w:ascii="SimSun" w:eastAsia="SimSun" w:hAnsi="SimSun" w:cs="SimSun"/>
          <w:spacing w:val="-9"/>
        </w:rPr>
        <w:t xml:space="preserve">DNA  </w:t>
      </w:r>
      <w:r>
        <w:rPr>
          <w:spacing w:val="-9"/>
        </w:rPr>
        <w:t>损伤引起的免</w:t>
      </w:r>
      <w:r>
        <w:t xml:space="preserve"> </w:t>
      </w:r>
      <w:r>
        <w:rPr>
          <w:spacing w:val="-9"/>
        </w:rPr>
        <w:t>疫反应和发生在</w:t>
      </w:r>
      <w:r>
        <w:rPr>
          <w:spacing w:val="-43"/>
        </w:rPr>
        <w:t xml:space="preserve"> </w:t>
      </w:r>
      <w:r>
        <w:rPr>
          <w:rFonts w:ascii="Times New Roman" w:eastAsia="Times New Roman" w:hAnsi="Times New Roman" w:cs="Times New Roman"/>
          <w:spacing w:val="-9"/>
        </w:rPr>
        <w:t>TME</w:t>
      </w:r>
      <w:r>
        <w:rPr>
          <w:rFonts w:ascii="Times New Roman" w:eastAsia="Times New Roman" w:hAnsi="Times New Roman" w:cs="Times New Roman"/>
          <w:spacing w:val="22"/>
        </w:rPr>
        <w:t xml:space="preserve"> </w:t>
      </w:r>
      <w:r>
        <w:rPr>
          <w:spacing w:val="-9"/>
        </w:rPr>
        <w:t>中的免疫反应，放射治疗创造的免疫微环境有利于</w:t>
      </w:r>
      <w:r>
        <w:t xml:space="preserve"> </w:t>
      </w:r>
      <w:r>
        <w:rPr>
          <w:spacing w:val="6"/>
        </w:rPr>
        <w:t>免疫检查点抑制剂更有效地消除肿瘤[63]这为免疫治疗后寡进展患者</w:t>
      </w:r>
    </w:p>
    <w:p>
      <w:pPr>
        <w:pStyle w:val="BodyText"/>
        <w:spacing w:before="1" w:line="220" w:lineRule="auto"/>
        <w:ind w:left="13"/>
      </w:pPr>
      <w:r>
        <w:rPr>
          <w:spacing w:val="-13"/>
        </w:rPr>
        <w:t>应用局部放疗联合免疫治疗提供了理论基础。</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pStyle w:val="BodyText"/>
        <w:spacing w:before="88" w:line="428" w:lineRule="auto"/>
        <w:ind w:left="13"/>
      </w:pPr>
      <w:r>
        <w:rPr>
          <w:rFonts w:ascii="SimSun" w:eastAsia="SimSun" w:hAnsi="SimSun" w:cs="SimSun"/>
          <w:spacing w:val="-5"/>
        </w:rPr>
        <w:t>一项随机多中心Ⅱ期临床研究</w:t>
      </w:r>
      <w:r>
        <w:rPr>
          <w:rFonts w:ascii="SimSun" w:eastAsia="SimSun" w:hAnsi="SimSun" w:cs="SimSun"/>
          <w:spacing w:val="-63"/>
        </w:rPr>
        <w:t xml:space="preserve"> </w:t>
      </w:r>
      <w:r>
        <w:rPr>
          <w:rFonts w:ascii="Times New Roman" w:eastAsia="Times New Roman" w:hAnsi="Times New Roman" w:cs="Times New Roman"/>
          <w:spacing w:val="-5"/>
        </w:rPr>
        <w:t xml:space="preserve">PEMBRO-RT[64]   </w:t>
      </w:r>
      <w:r>
        <w:rPr>
          <w:rFonts w:ascii="SimSun" w:eastAsia="SimSun" w:hAnsi="SimSun" w:cs="SimSun"/>
          <w:spacing w:val="-5"/>
        </w:rPr>
        <w:t xml:space="preserve">探索了帕博利珠单抗联  </w:t>
      </w:r>
      <w:r>
        <w:rPr>
          <w:spacing w:val="-1"/>
        </w:rPr>
        <w:t>合立体定向放疗</w:t>
      </w:r>
      <w:r>
        <w:rPr>
          <w:rFonts w:ascii="SimSun" w:eastAsia="SimSun" w:hAnsi="SimSun" w:cs="SimSun"/>
          <w:spacing w:val="-1"/>
        </w:rPr>
        <w:t>(stereotacti</w:t>
      </w:r>
      <w:r>
        <w:rPr>
          <w:rFonts w:ascii="SimSun" w:eastAsia="SimSun" w:hAnsi="SimSun" w:cs="SimSun"/>
          <w:spacing w:val="-2"/>
        </w:rPr>
        <w:t xml:space="preserve">c body radiation therapy,SBRT )(8 Gy  </w:t>
      </w:r>
      <w:r>
        <w:rPr>
          <w:spacing w:val="-4"/>
        </w:rPr>
        <w:t>×3次)对比帕博利珠单抗单药治疗晚期寡转移</w:t>
      </w:r>
      <w:r>
        <w:rPr>
          <w:spacing w:val="-47"/>
        </w:rPr>
        <w:t xml:space="preserve"> </w:t>
      </w:r>
      <w:r>
        <w:rPr>
          <w:rFonts w:ascii="SimSun" w:eastAsia="SimSun" w:hAnsi="SimSun" w:cs="SimSun"/>
          <w:spacing w:val="-4"/>
        </w:rPr>
        <w:t>NSCLC</w:t>
      </w:r>
      <w:r>
        <w:rPr>
          <w:rFonts w:ascii="SimSun" w:eastAsia="SimSun" w:hAnsi="SimSun" w:cs="SimSun"/>
          <w:spacing w:val="92"/>
        </w:rPr>
        <w:t xml:space="preserve"> </w:t>
      </w:r>
      <w:r>
        <w:rPr>
          <w:spacing w:val="-4"/>
        </w:rPr>
        <w:t>的疗效与安全性，</w:t>
      </w:r>
      <w:r>
        <w:rPr>
          <w:spacing w:val="-4"/>
        </w:rPr>
        <w:t xml:space="preserve"> </w:t>
      </w:r>
      <w:r>
        <w:rPr>
          <w:spacing w:val="-5"/>
        </w:rPr>
        <w:t>结果显示联合治疗组的客观缓解率</w:t>
      </w:r>
      <w:r>
        <w:rPr>
          <w:rFonts w:ascii="SimSun" w:eastAsia="SimSun" w:hAnsi="SimSun" w:cs="SimSun"/>
          <w:spacing w:val="-5"/>
        </w:rPr>
        <w:t>(objective  remission  rate,ORR(36%</w:t>
      </w:r>
      <w:r>
        <w:rPr>
          <w:rFonts w:ascii="SimSun" w:eastAsia="SimSun" w:hAnsi="SimSun" w:cs="SimSun"/>
        </w:rPr>
        <w:t xml:space="preserve"> </w:t>
      </w:r>
      <w:r>
        <w:rPr>
          <w:spacing w:val="-3"/>
        </w:rPr>
        <w:t>比</w:t>
      </w:r>
      <w:r>
        <w:rPr>
          <w:spacing w:val="-42"/>
        </w:rPr>
        <w:t xml:space="preserve"> </w:t>
      </w:r>
      <w:r>
        <w:rPr>
          <w:spacing w:val="-3"/>
        </w:rPr>
        <w:t>1</w:t>
      </w:r>
      <w:r>
        <w:rPr>
          <w:spacing w:val="-59"/>
        </w:rPr>
        <w:t xml:space="preserve"> </w:t>
      </w:r>
      <w:r>
        <w:rPr>
          <w:spacing w:val="-3"/>
        </w:rPr>
        <w:t>8</w:t>
      </w:r>
      <w:r>
        <w:rPr>
          <w:spacing w:val="-61"/>
        </w:rPr>
        <w:t xml:space="preserve"> </w:t>
      </w:r>
      <w:r>
        <w:rPr>
          <w:spacing w:val="-3"/>
        </w:rPr>
        <w:t>%</w:t>
      </w:r>
      <w:r>
        <w:rPr>
          <w:spacing w:val="-45"/>
        </w:rPr>
        <w:t xml:space="preserve"> </w:t>
      </w:r>
      <w:r>
        <w:rPr>
          <w:spacing w:val="-3"/>
        </w:rPr>
        <w:t>,</w:t>
      </w:r>
      <w:r>
        <w:rPr>
          <w:rFonts w:ascii="Times New Roman" w:eastAsia="Times New Roman" w:hAnsi="Times New Roman" w:cs="Times New Roman"/>
          <w:spacing w:val="-3"/>
        </w:rPr>
        <w:t xml:space="preserve">P=0.07)    </w:t>
      </w:r>
      <w:r>
        <w:rPr>
          <w:spacing w:val="-3"/>
        </w:rPr>
        <w:t>中位无进展生存时间</w:t>
      </w:r>
      <w:r>
        <w:rPr>
          <w:spacing w:val="-70"/>
        </w:rPr>
        <w:t xml:space="preserve"> </w:t>
      </w:r>
      <w:r>
        <w:rPr>
          <w:rFonts w:ascii="Times New Roman" w:eastAsia="Times New Roman" w:hAnsi="Times New Roman" w:cs="Times New Roman"/>
          <w:spacing w:val="-3"/>
        </w:rPr>
        <w:t>progression-free     survival     time,</w:t>
      </w:r>
      <w:r>
        <w:rPr>
          <w:rFonts w:ascii="Times New Roman" w:eastAsia="Times New Roman" w:hAnsi="Times New Roman" w:cs="Times New Roman"/>
        </w:rPr>
        <w:t xml:space="preserve">  </w:t>
      </w:r>
      <w:r>
        <w:rPr>
          <w:rFonts w:ascii="Arial" w:eastAsia="Arial" w:hAnsi="Arial" w:cs="Arial"/>
          <w:spacing w:val="-1"/>
        </w:rPr>
        <w:t>PFSI6.6</w:t>
      </w:r>
      <w:r>
        <w:rPr>
          <w:rFonts w:ascii="Arial" w:eastAsia="Arial" w:hAnsi="Arial" w:cs="Arial"/>
          <w:spacing w:val="56"/>
        </w:rPr>
        <w:t xml:space="preserve"> </w:t>
      </w:r>
      <w:r>
        <w:rPr>
          <w:spacing w:val="-1"/>
        </w:rPr>
        <w:t>个月比1.9个月</w:t>
      </w:r>
      <w:r>
        <w:rPr>
          <w:spacing w:val="-44"/>
        </w:rPr>
        <w:t xml:space="preserve"> </w:t>
      </w:r>
      <w:r>
        <w:rPr>
          <w:spacing w:val="-1"/>
        </w:rPr>
        <w:t>P=0.19</w:t>
      </w:r>
      <w:r>
        <w:rPr>
          <w:spacing w:val="59"/>
        </w:rPr>
        <w:t xml:space="preserve"> </w:t>
      </w:r>
      <w:r>
        <w:rPr>
          <w:spacing w:val="-1"/>
        </w:rPr>
        <w:t>和中位总生存时间</w:t>
      </w:r>
      <w:r>
        <w:rPr>
          <w:rFonts w:ascii="Arial" w:eastAsia="Arial" w:hAnsi="Arial" w:cs="Arial"/>
          <w:spacing w:val="-1"/>
        </w:rPr>
        <w:t>(overall   ssurvival,</w:t>
      </w:r>
      <w:r>
        <w:rPr>
          <w:rFonts w:ascii="Arial" w:eastAsia="Arial" w:hAnsi="Arial" w:cs="Arial"/>
        </w:rPr>
        <w:t xml:space="preserve">    </w:t>
      </w:r>
      <w:r>
        <w:rPr>
          <w:rFonts w:ascii="Arial" w:eastAsia="Arial" w:hAnsi="Arial" w:cs="Arial"/>
          <w:spacing w:val="-3"/>
        </w:rPr>
        <w:t xml:space="preserve">OS)(15.9  </w:t>
      </w:r>
      <w:r>
        <w:rPr>
          <w:spacing w:val="-3"/>
        </w:rPr>
        <w:t>个月比7.6个月，</w:t>
      </w:r>
      <w:r>
        <w:rPr>
          <w:rFonts w:ascii="Arial" w:eastAsia="Arial" w:hAnsi="Arial" w:cs="Arial"/>
          <w:spacing w:val="-3"/>
        </w:rPr>
        <w:t xml:space="preserve">P=0.16)  </w:t>
      </w:r>
      <w:r>
        <w:rPr>
          <w:spacing w:val="-3"/>
        </w:rPr>
        <w:t>均有提高，然而总体人群中差异无</w:t>
      </w:r>
    </w:p>
    <w:p>
      <w:pPr>
        <w:pStyle w:val="BodyText"/>
        <w:spacing w:before="1" w:line="212" w:lineRule="auto"/>
        <w:ind w:left="13"/>
      </w:pPr>
      <w:r>
        <w:rPr>
          <w:spacing w:val="-10"/>
        </w:rPr>
        <w:t>统计学意义，亚组分析显示</w:t>
      </w:r>
      <w:r>
        <w:rPr>
          <w:spacing w:val="-54"/>
        </w:rPr>
        <w:t xml:space="preserve"> </w:t>
      </w:r>
      <w:r>
        <w:rPr>
          <w:rFonts w:ascii="Times New Roman" w:eastAsia="Times New Roman" w:hAnsi="Times New Roman" w:cs="Times New Roman"/>
          <w:spacing w:val="-10"/>
        </w:rPr>
        <w:t>PD-L1</w:t>
      </w:r>
      <w:r>
        <w:rPr>
          <w:rFonts w:ascii="Times New Roman" w:eastAsia="Times New Roman" w:hAnsi="Times New Roman" w:cs="Times New Roman"/>
          <w:spacing w:val="23"/>
        </w:rPr>
        <w:t xml:space="preserve"> </w:t>
      </w:r>
      <w:r>
        <w:rPr>
          <w:spacing w:val="-10"/>
        </w:rPr>
        <w:t>阴性患者在联合治疗中获益更加显著。</w:t>
      </w:r>
    </w:p>
    <w:p>
      <w:pPr>
        <w:pStyle w:val="BodyText"/>
        <w:spacing w:before="324" w:line="428" w:lineRule="auto"/>
        <w:ind w:left="13" w:right="7"/>
      </w:pPr>
      <w:r>
        <w:rPr>
          <w:spacing w:val="4"/>
        </w:rPr>
        <w:t>另外一项</w:t>
      </w:r>
      <w:r>
        <w:rPr>
          <w:rFonts w:ascii="Times New Roman" w:eastAsia="Times New Roman" w:hAnsi="Times New Roman" w:cs="Times New Roman"/>
          <w:spacing w:val="4"/>
        </w:rPr>
        <w:t xml:space="preserve">I/Ⅱ   </w:t>
      </w:r>
      <w:r>
        <w:rPr>
          <w:spacing w:val="4"/>
        </w:rPr>
        <w:t>期临床研究[65]也证实了相似的结论。上述两项研究的</w:t>
      </w:r>
      <w:r>
        <w:rPr>
          <w:spacing w:val="4"/>
        </w:rPr>
        <w:t xml:space="preserve">  </w:t>
      </w:r>
      <w:r>
        <w:rPr>
          <w:spacing w:val="-2"/>
        </w:rPr>
        <w:t>汇总分析显示帕博利珠单抗联合放疗具有更显著的</w:t>
      </w:r>
      <w:r>
        <w:rPr>
          <w:spacing w:val="-63"/>
        </w:rPr>
        <w:t xml:space="preserve"> </w:t>
      </w:r>
      <w:r>
        <w:rPr>
          <w:rFonts w:ascii="SimSun" w:eastAsia="SimSun" w:hAnsi="SimSun" w:cs="SimSun"/>
          <w:spacing w:val="-2"/>
        </w:rPr>
        <w:t>ORR(41.7%</w:t>
      </w:r>
      <w:r>
        <w:rPr>
          <w:rFonts w:ascii="SimSun" w:eastAsia="SimSun" w:hAnsi="SimSun" w:cs="SimSun"/>
          <w:spacing w:val="90"/>
        </w:rPr>
        <w:t xml:space="preserve"> </w:t>
      </w:r>
      <w:r>
        <w:rPr>
          <w:spacing w:val="-2"/>
        </w:rPr>
        <w:t>比19</w:t>
      </w:r>
      <w:r>
        <w:rPr>
          <w:spacing w:val="-74"/>
        </w:rPr>
        <w:t xml:space="preserve"> </w:t>
      </w:r>
      <w:r>
        <w:rPr>
          <w:spacing w:val="-2"/>
        </w:rPr>
        <w:t>.7%,</w:t>
      </w:r>
      <w:r>
        <w:t xml:space="preserve"> </w:t>
      </w:r>
      <w:r>
        <w:t>P=0.004)</w:t>
      </w:r>
      <w:r>
        <w:t xml:space="preserve">  </w:t>
      </w:r>
      <w:r>
        <w:t>中位</w:t>
      </w:r>
      <w:r>
        <w:rPr>
          <w:spacing w:val="-33"/>
        </w:rPr>
        <w:t xml:space="preserve"> </w:t>
      </w:r>
      <w:r>
        <w:rPr>
          <w:rFonts w:ascii="SimSun" w:eastAsia="SimSun" w:hAnsi="SimSun" w:cs="SimSun"/>
        </w:rPr>
        <w:t>PFS(mPFS,9.0</w:t>
      </w:r>
      <w:r>
        <w:rPr>
          <w:rFonts w:ascii="SimSun" w:eastAsia="SimSun" w:hAnsi="SimSun" w:cs="SimSun"/>
          <w:spacing w:val="17"/>
        </w:rPr>
        <w:t xml:space="preserve">   </w:t>
      </w:r>
      <w:r>
        <w:t>个月比4.4个月，</w:t>
      </w:r>
      <w:r>
        <w:rPr>
          <w:spacing w:val="-55"/>
        </w:rPr>
        <w:t xml:space="preserve"> </w:t>
      </w:r>
      <w:r>
        <w:t>P=0.045)</w:t>
      </w:r>
      <w:r>
        <w:rPr>
          <w:spacing w:val="69"/>
        </w:rPr>
        <w:t xml:space="preserve"> </w:t>
      </w:r>
      <w:r>
        <w:t>和中位</w:t>
      </w:r>
      <w:r>
        <w:t xml:space="preserve">  </w:t>
      </w:r>
      <w:r>
        <w:rPr>
          <w:rFonts w:ascii="Arial" w:eastAsia="Arial" w:hAnsi="Arial" w:cs="Arial"/>
          <w:spacing w:val="-1"/>
        </w:rPr>
        <w:t xml:space="preserve">OS(mOS,19.2    </w:t>
      </w:r>
      <w:r>
        <w:rPr>
          <w:spacing w:val="-1"/>
        </w:rPr>
        <w:t>个月比8.7个月，</w:t>
      </w:r>
      <w:r>
        <w:rPr>
          <w:rFonts w:ascii="Arial" w:eastAsia="Arial" w:hAnsi="Arial" w:cs="Arial"/>
          <w:spacing w:val="-1"/>
        </w:rPr>
        <w:t>P&lt;0.001)[66]</w:t>
      </w:r>
      <w:r>
        <w:rPr>
          <w:rFonts w:ascii="Arial" w:eastAsia="Arial" w:hAnsi="Arial" w:cs="Arial"/>
          <w:spacing w:val="-33"/>
        </w:rPr>
        <w:t xml:space="preserve"> </w:t>
      </w:r>
      <w:r>
        <w:rPr>
          <w:rFonts w:ascii="SimSun" w:eastAsia="SimSun" w:hAnsi="SimSun" w:cs="SimSun"/>
          <w:spacing w:val="-1"/>
        </w:rPr>
        <w:t xml:space="preserve">。  </w:t>
      </w:r>
      <w:r>
        <w:rPr>
          <w:spacing w:val="-1"/>
        </w:rPr>
        <w:t>此外，纳武利尤单</w:t>
      </w:r>
      <w:r>
        <w:rPr>
          <w:spacing w:val="-1"/>
        </w:rPr>
        <w:t xml:space="preserve">  </w:t>
      </w:r>
      <w:r>
        <w:rPr>
          <w:spacing w:val="-11"/>
        </w:rPr>
        <w:t>抗、阿替利珠单抗、伊匹木单抗等免疫检查点抑制剂也证实了联合放疗的</w:t>
      </w:r>
      <w:r>
        <w:rPr>
          <w:spacing w:val="-11"/>
        </w:rPr>
        <w:t xml:space="preserve">  </w:t>
      </w:r>
      <w:r>
        <w:rPr>
          <w:spacing w:val="10"/>
        </w:rPr>
        <w:t>疗效及可行性[67-68</w:t>
      </w:r>
      <w:r>
        <w:rPr>
          <w:spacing w:val="10"/>
        </w:rPr>
        <w:t xml:space="preserve"> </w:t>
      </w:r>
      <w:r>
        <w:rPr>
          <w:spacing w:val="10"/>
        </w:rPr>
        <w:t>],另一项回顾性研究纳入20</w:t>
      </w:r>
      <w:r>
        <w:rPr>
          <w:spacing w:val="9"/>
        </w:rPr>
        <w:t>8例经免疫治疗(至</w:t>
      </w:r>
    </w:p>
    <w:p>
      <w:pPr>
        <w:pStyle w:val="BodyText"/>
        <w:spacing w:before="1" w:line="220" w:lineRule="auto"/>
        <w:ind w:left="13"/>
      </w:pPr>
      <w:r>
        <w:rPr>
          <w:spacing w:val="7"/>
        </w:rPr>
        <w:t>少两个周期)至少</w:t>
      </w:r>
      <w:r>
        <w:rPr>
          <w:spacing w:val="-71"/>
        </w:rPr>
        <w:t xml:space="preserve"> </w:t>
      </w:r>
      <w:r>
        <w:rPr>
          <w:rFonts w:ascii="SimSun" w:eastAsia="SimSun" w:hAnsi="SimSun" w:cs="SimSun"/>
        </w:rPr>
        <w:t>SD</w:t>
      </w:r>
      <w:r>
        <w:rPr>
          <w:rFonts w:ascii="SimSun" w:eastAsia="SimSun" w:hAnsi="SimSun" w:cs="SimSun"/>
          <w:spacing w:val="7"/>
        </w:rPr>
        <w:t>3</w:t>
      </w:r>
      <w:r>
        <w:rPr>
          <w:rFonts w:ascii="SimSun" w:eastAsia="SimSun" w:hAnsi="SimSun" w:cs="SimSun"/>
          <w:spacing w:val="72"/>
        </w:rPr>
        <w:t xml:space="preserve"> </w:t>
      </w:r>
      <w:r>
        <w:rPr>
          <w:spacing w:val="7"/>
        </w:rPr>
        <w:t>个月以上出现进展的</w:t>
      </w:r>
      <w:r>
        <w:rPr>
          <w:rFonts w:ascii="SimSun" w:eastAsia="SimSun" w:hAnsi="SimSun" w:cs="SimSun"/>
        </w:rPr>
        <w:t>IV</w:t>
      </w:r>
      <w:r>
        <w:rPr>
          <w:spacing w:val="7"/>
        </w:rPr>
        <w:t>期</w:t>
      </w:r>
      <w:r>
        <w:rPr>
          <w:spacing w:val="-56"/>
        </w:rPr>
        <w:t xml:space="preserve"> </w:t>
      </w:r>
      <w:r>
        <w:rPr>
          <w:rFonts w:ascii="SimSun" w:eastAsia="SimSun" w:hAnsi="SimSun" w:cs="SimSun"/>
        </w:rPr>
        <w:t>NSCLC</w:t>
      </w:r>
      <w:r>
        <w:rPr>
          <w:rFonts w:ascii="SimSun" w:eastAsia="SimSun" w:hAnsi="SimSun" w:cs="SimSun"/>
          <w:spacing w:val="62"/>
        </w:rPr>
        <w:t xml:space="preserve"> </w:t>
      </w:r>
      <w:r>
        <w:rPr>
          <w:spacing w:val="7"/>
        </w:rPr>
        <w:t>患者[69]</w:t>
      </w:r>
      <w:r>
        <w:rPr>
          <w:spacing w:val="6"/>
        </w:rPr>
        <w:t>,其</w:t>
      </w:r>
    </w:p>
    <w:p>
      <w:pPr>
        <w:spacing w:line="220" w:lineRule="auto"/>
        <w:sectPr>
          <w:pgSz w:w="11910" w:h="16840"/>
          <w:pgMar w:top="1431" w:right="1583" w:bottom="0" w:left="1786" w:header="0" w:footer="0" w:gutter="0"/>
          <w:pgNumType w:start="22"/>
          <w:cols w:space="708"/>
        </w:sectPr>
      </w:pPr>
    </w:p>
    <w:p>
      <w:pPr>
        <w:pStyle w:val="BodyText"/>
        <w:tabs>
          <w:tab w:val="left" w:pos="113"/>
        </w:tabs>
        <w:spacing w:before="199" w:line="425" w:lineRule="auto"/>
        <w:ind w:left="13" w:right="243"/>
        <w:jc w:val="both"/>
      </w:pPr>
      <w:r>
        <w:rPr>
          <w:spacing w:val="-3"/>
        </w:rPr>
        <w:t>中55.3%</w:t>
      </w:r>
      <w:r>
        <w:rPr>
          <w:rFonts w:ascii="SimSun" w:eastAsia="SimSun" w:hAnsi="SimSun" w:cs="SimSun"/>
          <w:spacing w:val="-3"/>
        </w:rPr>
        <w:t xml:space="preserve">(n=115)  </w:t>
      </w:r>
      <w:r>
        <w:rPr>
          <w:spacing w:val="-3"/>
        </w:rPr>
        <w:t>的患者出现寡进展。局部放疗和继续免疫治疗相结合</w:t>
      </w:r>
      <w:r>
        <w:rPr>
          <w:spacing w:val="15"/>
        </w:rPr>
        <w:t xml:space="preserve"> </w:t>
      </w:r>
      <w:r>
        <w:rPr>
          <w:rFonts w:ascii="Times New Roman" w:eastAsia="Times New Roman" w:hAnsi="Times New Roman" w:cs="Times New Roman"/>
        </w:rPr>
        <w:tab/>
      </w:r>
      <w:r>
        <w:rPr>
          <w:rFonts w:ascii="Times New Roman" w:eastAsia="Times New Roman" w:hAnsi="Times New Roman" w:cs="Times New Roman"/>
          <w:spacing w:val="-6"/>
        </w:rPr>
        <w:t xml:space="preserve">(n=38,33.0%)       </w:t>
      </w:r>
      <w:r>
        <w:rPr>
          <w:spacing w:val="-6"/>
        </w:rPr>
        <w:t>是寡进展组最常见的治疗方法，其次是继续免疫治疗和</w:t>
      </w:r>
      <w:r>
        <w:rPr>
          <w:spacing w:val="4"/>
        </w:rPr>
        <w:t xml:space="preserve"> </w:t>
      </w:r>
      <w:r>
        <w:rPr>
          <w:spacing w:val="-3"/>
        </w:rPr>
        <w:t>抗血管生成治疗</w:t>
      </w:r>
      <w:r>
        <w:rPr>
          <w:rFonts w:ascii="SimSun" w:eastAsia="SimSun" w:hAnsi="SimSun" w:cs="SimSun"/>
          <w:spacing w:val="-3"/>
        </w:rPr>
        <w:t>(n=19,16.5%)</w:t>
      </w:r>
      <w:r>
        <w:rPr>
          <w:rFonts w:ascii="SimSun" w:eastAsia="SimSun" w:hAnsi="SimSun" w:cs="SimSun"/>
          <w:spacing w:val="31"/>
        </w:rPr>
        <w:t xml:space="preserve">   </w:t>
      </w:r>
      <w:r>
        <w:rPr>
          <w:spacing w:val="-3"/>
        </w:rPr>
        <w:t>和仅局部放疗</w:t>
      </w:r>
      <w:r>
        <w:rPr>
          <w:rFonts w:ascii="SimSun" w:eastAsia="SimSun" w:hAnsi="SimSun" w:cs="SimSun"/>
          <w:spacing w:val="-3"/>
        </w:rPr>
        <w:t>(n=17,14.9%)</w:t>
      </w:r>
      <w:r>
        <w:rPr>
          <w:rFonts w:ascii="SimSun" w:eastAsia="SimSun" w:hAnsi="SimSun" w:cs="SimSun"/>
          <w:spacing w:val="-4"/>
        </w:rPr>
        <w:t>,</w:t>
      </w:r>
      <w:r>
        <w:rPr>
          <w:rFonts w:ascii="SimSun" w:eastAsia="SimSun" w:hAnsi="SimSun" w:cs="SimSun"/>
          <w:spacing w:val="29"/>
        </w:rPr>
        <w:t xml:space="preserve">   </w:t>
      </w:r>
      <w:r>
        <w:rPr>
          <w:spacing w:val="-4"/>
        </w:rPr>
        <w:t>结果</w:t>
      </w:r>
      <w:r>
        <w:rPr>
          <w:spacing w:val="1"/>
        </w:rPr>
        <w:t xml:space="preserve"> </w:t>
      </w:r>
      <w:r>
        <w:t>显示，继续免疫治疗+局部放疗可使</w:t>
      </w:r>
      <w:r>
        <w:rPr>
          <w:rFonts w:ascii="Times New Roman" w:eastAsia="Times New Roman" w:hAnsi="Times New Roman" w:cs="Times New Roman"/>
        </w:rPr>
        <w:t>PFS(</w:t>
      </w:r>
      <w:r>
        <w:rPr>
          <w:rFonts w:ascii="Times New Roman" w:eastAsia="Times New Roman" w:hAnsi="Times New Roman" w:cs="Times New Roman"/>
          <w:spacing w:val="-1"/>
        </w:rPr>
        <w:t xml:space="preserve">12.9    </w:t>
      </w:r>
      <w:r>
        <w:rPr>
          <w:spacing w:val="-1"/>
        </w:rPr>
        <w:t>比10</w:t>
      </w:r>
      <w:r>
        <w:rPr>
          <w:spacing w:val="-74"/>
        </w:rPr>
        <w:t xml:space="preserve"> </w:t>
      </w:r>
      <w:r>
        <w:rPr>
          <w:spacing w:val="-1"/>
        </w:rPr>
        <w:t>.0个月，P=0.006)</w:t>
      </w:r>
    </w:p>
    <w:p>
      <w:pPr>
        <w:pStyle w:val="BodyText"/>
        <w:spacing w:before="1" w:line="212" w:lineRule="auto"/>
        <w:ind w:left="13"/>
      </w:pPr>
      <w:r>
        <w:rPr>
          <w:spacing w:val="-4"/>
        </w:rPr>
        <w:t>和</w:t>
      </w:r>
      <w:r>
        <w:rPr>
          <w:spacing w:val="-70"/>
        </w:rPr>
        <w:t xml:space="preserve"> </w:t>
      </w:r>
      <w:r>
        <w:rPr>
          <w:spacing w:val="-4"/>
        </w:rPr>
        <w:t>OS(26.3</w:t>
      </w:r>
      <w:r>
        <w:rPr>
          <w:spacing w:val="108"/>
        </w:rPr>
        <w:t xml:space="preserve"> </w:t>
      </w:r>
      <w:r>
        <w:rPr>
          <w:spacing w:val="-4"/>
        </w:rPr>
        <w:t>比18.5个月，</w:t>
      </w:r>
      <w:r>
        <w:rPr>
          <w:spacing w:val="-45"/>
        </w:rPr>
        <w:t xml:space="preserve"> </w:t>
      </w:r>
      <w:r>
        <w:rPr>
          <w:spacing w:val="-4"/>
        </w:rPr>
        <w:t>P=0.001)</w:t>
      </w:r>
      <w:r>
        <w:rPr>
          <w:spacing w:val="69"/>
        </w:rPr>
        <w:t xml:space="preserve"> </w:t>
      </w:r>
      <w:r>
        <w:rPr>
          <w:spacing w:val="-4"/>
        </w:rPr>
        <w:t>显著延长。</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BodyText"/>
        <w:spacing w:before="88" w:line="425" w:lineRule="auto"/>
        <w:ind w:left="13" w:right="243"/>
      </w:pPr>
      <w:r>
        <w:rPr>
          <w:spacing w:val="-11"/>
        </w:rPr>
        <w:t>然而，对于与免疫治疗联合的情况下，最佳的放疗模式目前仍需讨论。有</w:t>
      </w:r>
      <w:r>
        <w:rPr>
          <w:spacing w:val="6"/>
        </w:rPr>
        <w:t xml:space="preserve"> </w:t>
      </w:r>
      <w:r>
        <w:rPr>
          <w:spacing w:val="-9"/>
        </w:rPr>
        <w:t>研究显示高剂量放疗如</w:t>
      </w:r>
      <w:r>
        <w:rPr>
          <w:rFonts w:ascii="SimSun" w:eastAsia="SimSun" w:hAnsi="SimSun" w:cs="SimSun"/>
          <w:spacing w:val="-9"/>
        </w:rPr>
        <w:t xml:space="preserve">SBRT </w:t>
      </w:r>
      <w:r>
        <w:rPr>
          <w:spacing w:val="-9"/>
        </w:rPr>
        <w:t>更有助于“远隔效应”的产生免疫联合</w:t>
      </w:r>
      <w:r>
        <w:rPr>
          <w:rFonts w:ascii="SimSun" w:eastAsia="SimSun" w:hAnsi="SimSun" w:cs="SimSun"/>
          <w:spacing w:val="-9"/>
        </w:rPr>
        <w:t xml:space="preserve">SBRT </w:t>
      </w:r>
      <w:r>
        <w:rPr>
          <w:spacing w:val="-7"/>
        </w:rPr>
        <w:t>与联合传统放疗相比表现出更高的</w:t>
      </w:r>
      <w:r>
        <w:rPr>
          <w:spacing w:val="-50"/>
        </w:rPr>
        <w:t xml:space="preserve"> </w:t>
      </w:r>
      <w:r>
        <w:rPr>
          <w:rFonts w:ascii="Arial" w:eastAsia="Arial" w:hAnsi="Arial" w:cs="Arial"/>
          <w:spacing w:val="-7"/>
        </w:rPr>
        <w:t>ORR</w:t>
      </w:r>
      <w:r>
        <w:rPr>
          <w:spacing w:val="-7"/>
        </w:rPr>
        <w:t>和</w:t>
      </w:r>
      <w:r>
        <w:rPr>
          <w:spacing w:val="-7"/>
        </w:rPr>
        <w:t xml:space="preserve"> </w:t>
      </w:r>
      <w:r>
        <w:rPr>
          <w:rFonts w:ascii="Arial" w:eastAsia="Arial" w:hAnsi="Arial" w:cs="Arial"/>
          <w:spacing w:val="-7"/>
        </w:rPr>
        <w:t>PFS[65-66</w:t>
      </w:r>
      <w:r>
        <w:rPr>
          <w:rFonts w:ascii="Arial" w:eastAsia="Arial" w:hAnsi="Arial" w:cs="Arial"/>
          <w:spacing w:val="18"/>
        </w:rPr>
        <w:t xml:space="preserve">   </w:t>
      </w:r>
      <w:r>
        <w:rPr>
          <w:rFonts w:ascii="Arial" w:eastAsia="Arial" w:hAnsi="Arial" w:cs="Arial"/>
          <w:spacing w:val="-7"/>
        </w:rPr>
        <w:t>],</w:t>
      </w:r>
      <w:r>
        <w:rPr>
          <w:rFonts w:ascii="Arial" w:eastAsia="Arial" w:hAnsi="Arial" w:cs="Arial"/>
          <w:spacing w:val="22"/>
          <w:w w:val="101"/>
        </w:rPr>
        <w:t xml:space="preserve"> </w:t>
      </w:r>
      <w:r>
        <w:rPr>
          <w:spacing w:val="-7"/>
        </w:rPr>
        <w:t>而</w:t>
      </w:r>
      <w:r>
        <w:rPr>
          <w:spacing w:val="-7"/>
        </w:rPr>
        <w:t xml:space="preserve"> </w:t>
      </w:r>
      <w:r>
        <w:rPr>
          <w:rFonts w:ascii="Arial" w:eastAsia="Arial" w:hAnsi="Arial" w:cs="Arial"/>
          <w:spacing w:val="-7"/>
        </w:rPr>
        <w:t>Dewan</w:t>
      </w:r>
      <w:r>
        <w:rPr>
          <w:rFonts w:ascii="Arial" w:eastAsia="Arial" w:hAnsi="Arial" w:cs="Arial"/>
          <w:spacing w:val="25"/>
        </w:rPr>
        <w:t xml:space="preserve"> </w:t>
      </w:r>
      <w:r>
        <w:rPr>
          <w:spacing w:val="-7"/>
        </w:rPr>
        <w:t>等</w:t>
      </w:r>
      <w:r>
        <w:t xml:space="preserve"> </w:t>
      </w:r>
      <w:r>
        <w:rPr>
          <w:spacing w:val="7"/>
        </w:rPr>
        <w:t>[70]的研究显示在</w:t>
      </w:r>
      <w:r>
        <w:rPr>
          <w:spacing w:val="-71"/>
        </w:rPr>
        <w:t xml:space="preserve"> </w:t>
      </w:r>
      <w:r>
        <w:rPr>
          <w:rFonts w:ascii="Times New Roman" w:eastAsia="Times New Roman" w:hAnsi="Times New Roman" w:cs="Times New Roman"/>
        </w:rPr>
        <w:t>CTLA</w:t>
      </w:r>
      <w:r>
        <w:rPr>
          <w:rFonts w:ascii="Times New Roman" w:eastAsia="Times New Roman" w:hAnsi="Times New Roman" w:cs="Times New Roman"/>
          <w:spacing w:val="7"/>
        </w:rPr>
        <w:t xml:space="preserve">-4 </w:t>
      </w:r>
      <w:r>
        <w:rPr>
          <w:spacing w:val="7"/>
        </w:rPr>
        <w:t>单抗联合应用时，低分割(8</w:t>
      </w:r>
      <w:r>
        <w:rPr>
          <w:spacing w:val="7"/>
        </w:rPr>
        <w:t xml:space="preserve"> </w:t>
      </w:r>
      <w:r>
        <w:rPr>
          <w:rFonts w:ascii="Times New Roman" w:eastAsia="Times New Roman" w:hAnsi="Times New Roman" w:cs="Times New Roman"/>
        </w:rPr>
        <w:t>Gy</w:t>
      </w:r>
      <w:r>
        <w:rPr>
          <w:rFonts w:ascii="Times New Roman" w:eastAsia="Times New Roman" w:hAnsi="Times New Roman" w:cs="Times New Roman"/>
          <w:spacing w:val="7"/>
        </w:rPr>
        <w:t xml:space="preserve">×3)   </w:t>
      </w:r>
      <w:r>
        <w:rPr>
          <w:spacing w:val="7"/>
        </w:rPr>
        <w:t>方案</w:t>
      </w:r>
    </w:p>
    <w:p>
      <w:pPr>
        <w:pStyle w:val="BodyText"/>
        <w:spacing w:before="1" w:line="217" w:lineRule="auto"/>
        <w:ind w:left="13"/>
      </w:pPr>
      <w:r>
        <w:rPr>
          <w:spacing w:val="-4"/>
        </w:rPr>
        <w:t>在诱导免疫渗透和非局域效应方面比单一的消融剂量(20</w:t>
      </w:r>
      <w:r>
        <w:rPr>
          <w:spacing w:val="-4"/>
        </w:rPr>
        <w:t xml:space="preserve"> </w:t>
      </w:r>
      <w:r>
        <w:rPr>
          <w:rFonts w:ascii="SimSun" w:eastAsia="SimSun" w:hAnsi="SimSun" w:cs="SimSun"/>
          <w:spacing w:val="-4"/>
        </w:rPr>
        <w:t>Gy)</w:t>
      </w:r>
      <w:r>
        <w:rPr>
          <w:rFonts w:ascii="SimSun" w:eastAsia="SimSun" w:hAnsi="SimSun" w:cs="SimSun"/>
          <w:spacing w:val="37"/>
        </w:rPr>
        <w:t xml:space="preserve"> </w:t>
      </w:r>
      <w:r>
        <w:rPr>
          <w:spacing w:val="-4"/>
        </w:rPr>
        <w:t>更有效。</w:t>
      </w:r>
    </w:p>
    <w:p>
      <w:pPr>
        <w:pStyle w:val="BodyText"/>
        <w:spacing w:before="292" w:line="424" w:lineRule="auto"/>
        <w:ind w:left="13"/>
      </w:pPr>
      <w:r>
        <w:rPr>
          <w:spacing w:val="-12"/>
        </w:rPr>
        <w:t>目前关于免疫联合放疗的研究多为回顾性或小样本研究，因此联合免疫时</w:t>
      </w:r>
      <w:r>
        <w:rPr>
          <w:spacing w:val="4"/>
        </w:rPr>
        <w:t xml:space="preserve">   </w:t>
      </w:r>
      <w:r>
        <w:rPr>
          <w:spacing w:val="-11"/>
        </w:rPr>
        <w:t>最佳放疗方式尚缺乏明确结论，需要更大规模的Ⅲ期临床研究进一步</w:t>
      </w:r>
      <w:r>
        <w:rPr>
          <w:spacing w:val="-12"/>
        </w:rPr>
        <w:t>探索。</w:t>
      </w:r>
      <w:r>
        <w:t xml:space="preserve"> </w:t>
      </w:r>
      <w:r>
        <w:rPr>
          <w:spacing w:val="-11"/>
        </w:rPr>
        <w:t>此外，对于免疫联合放疗尤其是同步治疗时的安全性一直是备受关注的问</w:t>
      </w:r>
      <w:r>
        <w:rPr>
          <w:spacing w:val="7"/>
        </w:rPr>
        <w:t xml:space="preserve">  </w:t>
      </w:r>
      <w:r>
        <w:rPr>
          <w:spacing w:val="-11"/>
        </w:rPr>
        <w:t>题，然而越来越多的临床研究数据显示：免疫联合放疗并没有显著增加免</w:t>
      </w:r>
      <w:r>
        <w:rPr>
          <w:spacing w:val="1"/>
        </w:rPr>
        <w:t xml:space="preserve">   </w:t>
      </w:r>
      <w:r>
        <w:rPr>
          <w:spacing w:val="2"/>
        </w:rPr>
        <w:t>疫相关毒性[66],</w:t>
      </w:r>
      <w:r>
        <w:rPr>
          <w:rFonts w:ascii="SimSun" w:eastAsia="SimSun" w:hAnsi="SimSun" w:cs="SimSun"/>
        </w:rPr>
        <w:t>KEYNOTE</w:t>
      </w:r>
      <w:r>
        <w:rPr>
          <w:rFonts w:ascii="SimSun" w:eastAsia="SimSun" w:hAnsi="SimSun" w:cs="SimSun"/>
          <w:spacing w:val="2"/>
        </w:rPr>
        <w:t>-001</w:t>
      </w:r>
      <w:r>
        <w:rPr>
          <w:rFonts w:ascii="SimSun" w:eastAsia="SimSun" w:hAnsi="SimSun" w:cs="SimSun"/>
          <w:spacing w:val="42"/>
        </w:rPr>
        <w:t xml:space="preserve">   </w:t>
      </w:r>
      <w:r>
        <w:rPr>
          <w:rFonts w:ascii="SimSun" w:eastAsia="SimSun" w:hAnsi="SimSun" w:cs="SimSun"/>
          <w:spacing w:val="2"/>
        </w:rPr>
        <w:t>I</w:t>
      </w:r>
      <w:r>
        <w:rPr>
          <w:spacing w:val="2"/>
        </w:rPr>
        <w:t>期临床研究结果分析显示，行帕博</w:t>
      </w:r>
      <w:r>
        <w:t xml:space="preserve">   </w:t>
      </w:r>
      <w:r>
        <w:rPr>
          <w:spacing w:val="-9"/>
        </w:rPr>
        <w:t>利珠单抗治疗的患者中，既往曾接受放疗的患者相比未经放疗的</w:t>
      </w:r>
      <w:r>
        <w:rPr>
          <w:spacing w:val="-10"/>
        </w:rPr>
        <w:t>患者</w:t>
      </w:r>
      <w:r>
        <w:rPr>
          <w:spacing w:val="-61"/>
        </w:rPr>
        <w:t xml:space="preserve"> </w:t>
      </w:r>
      <w:r>
        <w:rPr>
          <w:rFonts w:ascii="SimSun" w:eastAsia="SimSun" w:hAnsi="SimSun" w:cs="SimSun"/>
          <w:spacing w:val="-10"/>
        </w:rPr>
        <w:t>PFS</w:t>
      </w:r>
      <w:r>
        <w:rPr>
          <w:rFonts w:ascii="SimSun" w:eastAsia="SimSun" w:hAnsi="SimSun" w:cs="SimSun"/>
        </w:rPr>
        <w:t xml:space="preserve">   </w:t>
      </w:r>
      <w:r>
        <w:rPr>
          <w:spacing w:val="-4"/>
        </w:rPr>
        <w:t>和</w:t>
      </w:r>
      <w:r>
        <w:rPr>
          <w:spacing w:val="-4"/>
        </w:rPr>
        <w:t xml:space="preserve"> </w:t>
      </w:r>
      <w:r>
        <w:rPr>
          <w:rFonts w:ascii="SimSun" w:eastAsia="SimSun" w:hAnsi="SimSun" w:cs="SimSun"/>
          <w:spacing w:val="-4"/>
        </w:rPr>
        <w:t>OS</w:t>
      </w:r>
      <w:r>
        <w:rPr>
          <w:rFonts w:ascii="SimSun" w:eastAsia="SimSun" w:hAnsi="SimSun" w:cs="SimSun"/>
          <w:spacing w:val="74"/>
        </w:rPr>
        <w:t xml:space="preserve"> </w:t>
      </w:r>
      <w:r>
        <w:rPr>
          <w:spacing w:val="-4"/>
        </w:rPr>
        <w:t>更长，且安全性可接受[71</w:t>
      </w:r>
      <w:r>
        <w:rPr>
          <w:spacing w:val="-4"/>
        </w:rPr>
        <w:t xml:space="preserve"> </w:t>
      </w:r>
      <w:r>
        <w:rPr>
          <w:spacing w:val="-4"/>
        </w:rPr>
        <w:t>],一</w:t>
      </w:r>
      <w:r>
        <w:rPr>
          <w:spacing w:val="-5"/>
        </w:rPr>
        <w:t>项荟萃分析显示，与非联合治疗</w:t>
      </w:r>
      <w:r>
        <w:t xml:space="preserve">   </w:t>
      </w:r>
      <w:r>
        <w:rPr>
          <w:spacing w:val="2"/>
        </w:rPr>
        <w:t>相比免疫联合放疗虽然增加了1~2级免疫相关性肺炎或</w:t>
      </w:r>
      <w:r>
        <w:rPr>
          <w:spacing w:val="1"/>
        </w:rPr>
        <w:t>放射性肺炎的发</w:t>
      </w:r>
      <w:r>
        <w:rPr>
          <w:spacing w:val="1"/>
        </w:rPr>
        <w:t xml:space="preserve">  </w:t>
      </w:r>
      <w:r>
        <w:rPr>
          <w:spacing w:val="-2"/>
        </w:rPr>
        <w:t>生率，但未增加严重不良事件的发生率(≥3级)[72</w:t>
      </w:r>
      <w:r>
        <w:rPr>
          <w:spacing w:val="-2"/>
        </w:rPr>
        <w:t xml:space="preserve"> </w:t>
      </w:r>
      <w:r>
        <w:rPr>
          <w:spacing w:val="-2"/>
        </w:rPr>
        <w:t>]。此外，202</w:t>
      </w:r>
      <w:r>
        <w:rPr>
          <w:spacing w:val="-3"/>
        </w:rPr>
        <w:t>2年一</w:t>
      </w:r>
      <w:r>
        <w:t xml:space="preserve">   </w:t>
      </w:r>
      <w:r>
        <w:rPr>
          <w:spacing w:val="-6"/>
        </w:rPr>
        <w:t>项</w:t>
      </w:r>
      <w:r>
        <w:rPr>
          <w:rFonts w:ascii="Times New Roman" w:eastAsia="Times New Roman" w:hAnsi="Times New Roman" w:cs="Times New Roman"/>
          <w:spacing w:val="-6"/>
        </w:rPr>
        <w:t>I</w:t>
      </w:r>
      <w:r>
        <w:rPr>
          <w:rFonts w:ascii="Times New Roman" w:eastAsia="Times New Roman" w:hAnsi="Times New Roman" w:cs="Times New Roman"/>
          <w:spacing w:val="49"/>
        </w:rPr>
        <w:t xml:space="preserve"> </w:t>
      </w:r>
      <w:r>
        <w:rPr>
          <w:spacing w:val="-6"/>
        </w:rPr>
        <w:t>期临床研究显示，在广泛转移的</w:t>
      </w:r>
      <w:r>
        <w:rPr>
          <w:spacing w:val="-48"/>
        </w:rPr>
        <w:t xml:space="preserve"> </w:t>
      </w:r>
      <w:r>
        <w:rPr>
          <w:rFonts w:ascii="Times New Roman" w:eastAsia="Times New Roman" w:hAnsi="Times New Roman" w:cs="Times New Roman"/>
          <w:spacing w:val="-6"/>
        </w:rPr>
        <w:t>NSCLC</w:t>
      </w:r>
      <w:r>
        <w:rPr>
          <w:rFonts w:ascii="Times New Roman" w:eastAsia="Times New Roman" w:hAnsi="Times New Roman" w:cs="Times New Roman"/>
          <w:spacing w:val="24"/>
        </w:rPr>
        <w:t xml:space="preserve"> </w:t>
      </w:r>
      <w:r>
        <w:rPr>
          <w:spacing w:val="-6"/>
        </w:rPr>
        <w:t>患者中，同步使用</w:t>
      </w:r>
      <w:r>
        <w:rPr>
          <w:spacing w:val="-52"/>
        </w:rPr>
        <w:t xml:space="preserve"> </w:t>
      </w:r>
      <w:r>
        <w:rPr>
          <w:rFonts w:ascii="Times New Roman" w:eastAsia="Times New Roman" w:hAnsi="Times New Roman" w:cs="Times New Roman"/>
          <w:spacing w:val="-6"/>
        </w:rPr>
        <w:t>PD-1</w:t>
      </w:r>
      <w:r>
        <w:rPr>
          <w:rFonts w:ascii="Times New Roman" w:eastAsia="Times New Roman" w:hAnsi="Times New Roman" w:cs="Times New Roman"/>
          <w:spacing w:val="57"/>
        </w:rPr>
        <w:t xml:space="preserve"> </w:t>
      </w:r>
      <w:r>
        <w:rPr>
          <w:spacing w:val="-6"/>
        </w:rPr>
        <w:t>单</w:t>
      </w:r>
    </w:p>
    <w:p>
      <w:pPr>
        <w:pStyle w:val="BodyText"/>
        <w:spacing w:before="2" w:line="212" w:lineRule="auto"/>
        <w:ind w:left="13"/>
      </w:pPr>
      <w:r>
        <w:rPr>
          <w:spacing w:val="-8"/>
        </w:rPr>
        <w:t>抗：纳武利尤单抗、伊匹木单抗和</w:t>
      </w:r>
      <w:r>
        <w:rPr>
          <w:spacing w:val="-67"/>
        </w:rPr>
        <w:t xml:space="preserve"> </w:t>
      </w:r>
      <w:r>
        <w:rPr>
          <w:rFonts w:ascii="SimSun" w:eastAsia="SimSun" w:hAnsi="SimSun" w:cs="SimSun"/>
          <w:spacing w:val="-8"/>
        </w:rPr>
        <w:t xml:space="preserve">SBRT </w:t>
      </w:r>
      <w:r>
        <w:rPr>
          <w:spacing w:val="-8"/>
        </w:rPr>
        <w:t>的毒性并不比序贯治疗高，而且</w:t>
      </w:r>
    </w:p>
    <w:p>
      <w:pPr>
        <w:spacing w:line="212" w:lineRule="auto"/>
        <w:sectPr>
          <w:pgSz w:w="11910" w:h="16840"/>
          <w:pgMar w:top="1431" w:right="1565" w:bottom="0" w:left="1786" w:header="0" w:footer="0" w:gutter="0"/>
          <w:pgNumType w:start="23"/>
          <w:cols w:space="708"/>
        </w:sectPr>
      </w:pPr>
    </w:p>
    <w:p>
      <w:pPr>
        <w:pStyle w:val="BodyText"/>
        <w:spacing w:before="185" w:line="623" w:lineRule="exact"/>
        <w:ind w:left="13"/>
      </w:pPr>
      <w:r>
        <w:rPr>
          <w:spacing w:val="-8"/>
          <w:position w:val="27"/>
        </w:rPr>
        <w:t>多部位</w:t>
      </w:r>
      <w:r>
        <w:rPr>
          <w:spacing w:val="-77"/>
          <w:position w:val="27"/>
        </w:rPr>
        <w:t xml:space="preserve"> </w:t>
      </w:r>
      <w:r>
        <w:rPr>
          <w:rFonts w:ascii="Arial" w:eastAsia="Arial" w:hAnsi="Arial" w:cs="Arial"/>
          <w:spacing w:val="-8"/>
          <w:position w:val="27"/>
        </w:rPr>
        <w:t>SBRT</w:t>
      </w:r>
      <w:r>
        <w:rPr>
          <w:spacing w:val="-8"/>
          <w:position w:val="27"/>
        </w:rPr>
        <w:t>的耐受性良好[68</w:t>
      </w:r>
      <w:r>
        <w:rPr>
          <w:spacing w:val="-8"/>
          <w:position w:val="27"/>
        </w:rPr>
        <w:t xml:space="preserve"> </w:t>
      </w:r>
      <w:r>
        <w:rPr>
          <w:spacing w:val="-8"/>
          <w:position w:val="27"/>
        </w:rPr>
        <w:t>],故目前认为免疫联合</w:t>
      </w:r>
      <w:r>
        <w:rPr>
          <w:spacing w:val="-9"/>
          <w:position w:val="27"/>
        </w:rPr>
        <w:t>放疗安全性可控，</w:t>
      </w:r>
    </w:p>
    <w:p>
      <w:pPr>
        <w:pStyle w:val="BodyText"/>
        <w:spacing w:line="221" w:lineRule="auto"/>
        <w:ind w:left="13"/>
      </w:pPr>
      <w:r>
        <w:rPr>
          <w:spacing w:val="-14"/>
        </w:rPr>
        <w:t>但仍需要进一步研究证实。</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88" w:line="222" w:lineRule="auto"/>
        <w:ind w:left="103"/>
      </w:pPr>
      <w:r>
        <w:rPr>
          <w:spacing w:val="7"/>
        </w:rPr>
        <w:t>(二)手术和消融治疗</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8" w:line="424" w:lineRule="auto"/>
        <w:ind w:left="13"/>
      </w:pPr>
      <w:r>
        <w:rPr>
          <w:spacing w:val="-2"/>
        </w:rPr>
        <w:t>对于晚期</w:t>
      </w:r>
      <w:r>
        <w:rPr>
          <w:spacing w:val="-2"/>
        </w:rPr>
        <w:t xml:space="preserve"> </w:t>
      </w:r>
      <w:r>
        <w:rPr>
          <w:rFonts w:ascii="SimSun" w:eastAsia="SimSun" w:hAnsi="SimSun" w:cs="SimSun"/>
          <w:spacing w:val="-2"/>
        </w:rPr>
        <w:t xml:space="preserve">NSCLC  </w:t>
      </w:r>
      <w:r>
        <w:rPr>
          <w:spacing w:val="-2"/>
        </w:rPr>
        <w:t>患者一线经免疫治疗或免疫联</w:t>
      </w:r>
      <w:r>
        <w:rPr>
          <w:spacing w:val="-3"/>
        </w:rPr>
        <w:t>合化疗出现寡进展后，</w:t>
      </w:r>
      <w:r>
        <w:t xml:space="preserve">  </w:t>
      </w:r>
      <w:r>
        <w:rPr>
          <w:rFonts w:ascii="SimSun" w:eastAsia="SimSun" w:hAnsi="SimSun" w:cs="SimSun"/>
          <w:spacing w:val="-3"/>
        </w:rPr>
        <w:t xml:space="preserve">NCCN  </w:t>
      </w:r>
      <w:r>
        <w:rPr>
          <w:spacing w:val="-3"/>
        </w:rPr>
        <w:t>指南指出对于原发病灶或转移灶的手术切除可作为局部治疗的选</w:t>
      </w:r>
      <w:r>
        <w:rPr>
          <w:spacing w:val="1"/>
        </w:rPr>
        <w:t xml:space="preserve">  </w:t>
      </w:r>
      <w:r>
        <w:rPr>
          <w:spacing w:val="-11"/>
        </w:rPr>
        <w:t>择，提高患者生存获益。但目前对于这部分患者二线手术治疗的临床研究</w:t>
      </w:r>
      <w:r>
        <w:t xml:space="preserve">  </w:t>
      </w:r>
      <w:r>
        <w:rPr>
          <w:spacing w:val="3"/>
        </w:rPr>
        <w:t>比较有限。</w:t>
      </w:r>
      <w:r>
        <w:rPr>
          <w:rFonts w:ascii="Arial" w:eastAsia="Arial" w:hAnsi="Arial" w:cs="Arial"/>
        </w:rPr>
        <w:t>Joosten</w:t>
      </w:r>
      <w:r>
        <w:rPr>
          <w:rFonts w:ascii="Arial" w:eastAsia="Arial" w:hAnsi="Arial" w:cs="Arial"/>
          <w:spacing w:val="3"/>
        </w:rPr>
        <w:t xml:space="preserve">  </w:t>
      </w:r>
      <w:r>
        <w:rPr>
          <w:spacing w:val="3"/>
        </w:rPr>
        <w:t>等[73]2021</w:t>
      </w:r>
      <w:r>
        <w:rPr>
          <w:spacing w:val="-40"/>
        </w:rPr>
        <w:t xml:space="preserve"> </w:t>
      </w:r>
      <w:r>
        <w:rPr>
          <w:spacing w:val="3"/>
        </w:rPr>
        <w:t>年发表的一</w:t>
      </w:r>
      <w:r>
        <w:rPr>
          <w:spacing w:val="2"/>
        </w:rPr>
        <w:t>项小样本回顾性研究，纳</w:t>
      </w:r>
      <w:r>
        <w:t xml:space="preserve">  </w:t>
      </w:r>
      <w:r>
        <w:rPr>
          <w:spacing w:val="2"/>
        </w:rPr>
        <w:t>入了28例在接受初始治疗后出现寡进展的</w:t>
      </w:r>
      <w:r>
        <w:rPr>
          <w:rFonts w:ascii="SimSun" w:eastAsia="SimSun" w:hAnsi="SimSun" w:cs="SimSun"/>
        </w:rPr>
        <w:t>IV</w:t>
      </w:r>
      <w:r>
        <w:rPr>
          <w:spacing w:val="2"/>
        </w:rPr>
        <w:t>期</w:t>
      </w:r>
      <w:r>
        <w:rPr>
          <w:spacing w:val="-56"/>
        </w:rPr>
        <w:t xml:space="preserve"> </w:t>
      </w:r>
      <w:r>
        <w:rPr>
          <w:rFonts w:ascii="SimSun" w:eastAsia="SimSun" w:hAnsi="SimSun" w:cs="SimSun"/>
        </w:rPr>
        <w:t>NSCLC</w:t>
      </w:r>
      <w:r>
        <w:rPr>
          <w:rFonts w:ascii="SimSun" w:eastAsia="SimSun" w:hAnsi="SimSun" w:cs="SimSun"/>
          <w:spacing w:val="62"/>
        </w:rPr>
        <w:t xml:space="preserve"> </w:t>
      </w:r>
      <w:r>
        <w:rPr>
          <w:spacing w:val="2"/>
        </w:rPr>
        <w:t>患者，其中12例</w:t>
      </w:r>
      <w:r>
        <w:t xml:space="preserve">  </w:t>
      </w:r>
      <w:r>
        <w:rPr>
          <w:spacing w:val="-3"/>
        </w:rPr>
        <w:t>患者初始治疗接受了免疫检查点抑制剂单药以及免疫检查点抑制剂联合</w:t>
      </w:r>
      <w:r>
        <w:rPr>
          <w:spacing w:val="7"/>
        </w:rPr>
        <w:t xml:space="preserve">  </w:t>
      </w:r>
      <w:r>
        <w:rPr>
          <w:spacing w:val="-11"/>
        </w:rPr>
        <w:t>治疗，患者出现寡进展后接受局部手术治疗，手术部位包含肺部原发病灶</w:t>
      </w:r>
      <w:r>
        <w:t xml:space="preserve">  </w:t>
      </w:r>
      <w:r>
        <w:rPr>
          <w:spacing w:val="-5"/>
        </w:rPr>
        <w:t>或转移灶，从手术日起患者</w:t>
      </w:r>
      <w:r>
        <w:rPr>
          <w:spacing w:val="-51"/>
        </w:rPr>
        <w:t xml:space="preserve"> </w:t>
      </w:r>
      <w:r>
        <w:rPr>
          <w:rFonts w:ascii="SimSun" w:eastAsia="SimSun" w:hAnsi="SimSun" w:cs="SimSun"/>
          <w:spacing w:val="-5"/>
        </w:rPr>
        <w:t>mPFS</w:t>
      </w:r>
      <w:r>
        <w:rPr>
          <w:rFonts w:ascii="SimSun" w:eastAsia="SimSun" w:hAnsi="SimSun" w:cs="SimSun"/>
          <w:spacing w:val="68"/>
        </w:rPr>
        <w:t xml:space="preserve"> </w:t>
      </w:r>
      <w:r>
        <w:rPr>
          <w:spacing w:val="-5"/>
        </w:rPr>
        <w:t>为</w:t>
      </w:r>
      <w:r>
        <w:rPr>
          <w:spacing w:val="-61"/>
        </w:rPr>
        <w:t xml:space="preserve"> </w:t>
      </w:r>
      <w:r>
        <w:rPr>
          <w:spacing w:val="-5"/>
        </w:rPr>
        <w:t>7</w:t>
      </w:r>
      <w:r>
        <w:rPr>
          <w:spacing w:val="-61"/>
        </w:rPr>
        <w:t xml:space="preserve"> </w:t>
      </w:r>
      <w:r>
        <w:rPr>
          <w:spacing w:val="-5"/>
        </w:rPr>
        <w:t>个</w:t>
      </w:r>
      <w:r>
        <w:rPr>
          <w:spacing w:val="-55"/>
        </w:rPr>
        <w:t xml:space="preserve"> </w:t>
      </w:r>
      <w:r>
        <w:rPr>
          <w:spacing w:val="-5"/>
        </w:rPr>
        <w:t>月</w:t>
      </w:r>
      <w:r>
        <w:rPr>
          <w:spacing w:val="-5"/>
        </w:rPr>
        <w:t xml:space="preserve"> </w:t>
      </w:r>
      <w:r>
        <w:rPr>
          <w:spacing w:val="-5"/>
        </w:rPr>
        <w:t>(</w:t>
      </w:r>
      <w:r>
        <w:rPr>
          <w:spacing w:val="-69"/>
        </w:rPr>
        <w:t xml:space="preserve"> </w:t>
      </w:r>
      <w:r>
        <w:rPr>
          <w:spacing w:val="-5"/>
        </w:rPr>
        <w:t>9</w:t>
      </w:r>
      <w:r>
        <w:rPr>
          <w:spacing w:val="-68"/>
        </w:rPr>
        <w:t xml:space="preserve"> </w:t>
      </w:r>
      <w:r>
        <w:rPr>
          <w:spacing w:val="-5"/>
        </w:rPr>
        <w:t>5</w:t>
      </w:r>
      <w:r>
        <w:rPr>
          <w:spacing w:val="-65"/>
        </w:rPr>
        <w:t xml:space="preserve"> </w:t>
      </w:r>
      <w:r>
        <w:rPr>
          <w:spacing w:val="-5"/>
        </w:rPr>
        <w:t>%CI:6.0~25.0</w:t>
      </w:r>
      <w:r>
        <w:rPr>
          <w:spacing w:val="49"/>
        </w:rPr>
        <w:t xml:space="preserve"> </w:t>
      </w:r>
      <w:r>
        <w:rPr>
          <w:spacing w:val="-5"/>
        </w:rPr>
        <w:t>个月),</w:t>
      </w:r>
      <w:r>
        <w:t xml:space="preserve"> </w:t>
      </w:r>
      <w:r>
        <w:rPr>
          <w:rFonts w:ascii="SimSun" w:eastAsia="SimSun" w:hAnsi="SimSun" w:cs="SimSun"/>
        </w:rPr>
        <w:t>mOS</w:t>
      </w:r>
      <w:r>
        <w:rPr>
          <w:rFonts w:ascii="SimSun" w:eastAsia="SimSun" w:hAnsi="SimSun" w:cs="SimSun"/>
          <w:spacing w:val="113"/>
        </w:rPr>
        <w:t xml:space="preserve"> </w:t>
      </w:r>
      <w:r>
        <w:rPr>
          <w:spacing w:val="7"/>
        </w:rPr>
        <w:t>未达到。上海胸科医院一项回顾性研究[74]纳入50</w:t>
      </w:r>
      <w:r>
        <w:rPr>
          <w:spacing w:val="6"/>
        </w:rPr>
        <w:t>0例接受免疫</w:t>
      </w:r>
      <w:r>
        <w:t xml:space="preserve">  </w:t>
      </w:r>
      <w:r>
        <w:t>治疗的晚期</w:t>
      </w:r>
      <w:r>
        <w:rPr>
          <w:spacing w:val="-57"/>
        </w:rPr>
        <w:t xml:space="preserve"> </w:t>
      </w:r>
      <w:r>
        <w:rPr>
          <w:rFonts w:ascii="SimSun" w:eastAsia="SimSun" w:hAnsi="SimSun" w:cs="SimSun"/>
        </w:rPr>
        <w:t>NSCLC</w:t>
      </w:r>
      <w:r>
        <w:rPr>
          <w:rFonts w:ascii="SimSun" w:eastAsia="SimSun" w:hAnsi="SimSun" w:cs="SimSun"/>
          <w:spacing w:val="52"/>
        </w:rPr>
        <w:t xml:space="preserve"> </w:t>
      </w:r>
      <w:r>
        <w:t>患者，该研究采用</w:t>
      </w:r>
      <w:r>
        <w:rPr>
          <w:spacing w:val="-63"/>
        </w:rPr>
        <w:t xml:space="preserve"> </w:t>
      </w:r>
      <w:r>
        <w:rPr>
          <w:rFonts w:ascii="SimSun" w:eastAsia="SimSun" w:hAnsi="SimSun" w:cs="SimSun"/>
        </w:rPr>
        <w:t>EORTC</w:t>
      </w:r>
      <w:r>
        <w:rPr>
          <w:rFonts w:ascii="SimSun" w:eastAsia="SimSun" w:hAnsi="SimSun" w:cs="SimSun"/>
          <w:spacing w:val="48"/>
        </w:rPr>
        <w:t xml:space="preserve"> </w:t>
      </w:r>
      <w:r>
        <w:t>共识将</w:t>
      </w:r>
      <w:r>
        <w:rPr>
          <w:spacing w:val="-41"/>
        </w:rPr>
        <w:t xml:space="preserve"> </w:t>
      </w:r>
      <w:r>
        <w:rPr>
          <w:rFonts w:ascii="SimSun" w:eastAsia="SimSun" w:hAnsi="SimSun" w:cs="SimSun"/>
        </w:rPr>
        <w:t xml:space="preserve">PD </w:t>
      </w:r>
      <w:r>
        <w:t>分为4种模式，</w:t>
      </w:r>
      <w:r>
        <w:t xml:space="preserve"> </w:t>
      </w:r>
      <w:r>
        <w:rPr>
          <w:spacing w:val="9"/>
        </w:rPr>
        <w:t>即重复性寡进展</w:t>
      </w:r>
      <w:r>
        <w:rPr>
          <w:rFonts w:ascii="SimSun" w:eastAsia="SimSun" w:hAnsi="SimSun" w:cs="SimSun"/>
          <w:spacing w:val="9"/>
        </w:rPr>
        <w:t>(</w:t>
      </w:r>
      <w:r>
        <w:rPr>
          <w:rFonts w:ascii="SimSun" w:eastAsia="SimSun" w:hAnsi="SimSun" w:cs="SimSun"/>
        </w:rPr>
        <w:t>repeat</w:t>
      </w:r>
      <w:r>
        <w:rPr>
          <w:rFonts w:ascii="SimSun" w:eastAsia="SimSun" w:hAnsi="SimSun" w:cs="SimSun"/>
          <w:spacing w:val="9"/>
        </w:rPr>
        <w:t xml:space="preserve">    </w:t>
      </w:r>
      <w:r>
        <w:rPr>
          <w:rFonts w:ascii="SimSun" w:eastAsia="SimSun" w:hAnsi="SimSun" w:cs="SimSun"/>
        </w:rPr>
        <w:t>oligoprogression</w:t>
      </w:r>
      <w:r>
        <w:rPr>
          <w:rFonts w:ascii="SimSun" w:eastAsia="SimSun" w:hAnsi="SimSun" w:cs="SimSun"/>
          <w:spacing w:val="9"/>
        </w:rPr>
        <w:t>,</w:t>
      </w:r>
      <w:r>
        <w:rPr>
          <w:rFonts w:ascii="SimSun" w:eastAsia="SimSun" w:hAnsi="SimSun" w:cs="SimSun"/>
        </w:rPr>
        <w:t>REO</w:t>
      </w:r>
      <w:r>
        <w:rPr>
          <w:rFonts w:ascii="SimSun" w:eastAsia="SimSun" w:hAnsi="SimSun" w:cs="SimSun"/>
          <w:spacing w:val="9"/>
        </w:rPr>
        <w:t>)、</w:t>
      </w:r>
      <w:r>
        <w:rPr>
          <w:spacing w:val="9"/>
        </w:rPr>
        <w:t>诱导性寡进展</w:t>
      </w:r>
    </w:p>
    <w:p>
      <w:pPr>
        <w:pStyle w:val="BodyText"/>
        <w:spacing w:line="216" w:lineRule="auto"/>
        <w:ind w:left="103"/>
        <w:rPr>
          <w:rFonts w:ascii="SimSun" w:eastAsia="SimSun" w:hAnsi="SimSun" w:cs="SimSun"/>
        </w:rPr>
      </w:pPr>
      <w:r>
        <w:rPr>
          <w:rFonts w:ascii="SimSun" w:eastAsia="SimSun" w:hAnsi="SimSun" w:cs="SimSun"/>
          <w:spacing w:val="6"/>
        </w:rPr>
        <w:t>(</w:t>
      </w:r>
      <w:r>
        <w:rPr>
          <w:rFonts w:ascii="SimSun" w:eastAsia="SimSun" w:hAnsi="SimSun" w:cs="SimSun"/>
        </w:rPr>
        <w:t>induced  oligoprogression</w:t>
      </w:r>
      <w:r>
        <w:rPr>
          <w:rFonts w:ascii="SimSun" w:eastAsia="SimSun" w:hAnsi="SimSun" w:cs="SimSun"/>
          <w:spacing w:val="6"/>
        </w:rPr>
        <w:t xml:space="preserve">  ,</w:t>
      </w:r>
      <w:r>
        <w:rPr>
          <w:rFonts w:ascii="SimSun" w:eastAsia="SimSun" w:hAnsi="SimSun" w:cs="SimSun"/>
        </w:rPr>
        <w:t xml:space="preserve">INO  </w:t>
      </w:r>
      <w:r>
        <w:rPr>
          <w:rFonts w:ascii="SimSun" w:eastAsia="SimSun" w:hAnsi="SimSun" w:cs="SimSun"/>
          <w:spacing w:val="6"/>
        </w:rPr>
        <w:t>)、</w:t>
      </w:r>
      <w:r>
        <w:rPr>
          <w:rFonts w:ascii="SimSun" w:eastAsia="SimSun" w:hAnsi="SimSun" w:cs="SimSun"/>
          <w:spacing w:val="-78"/>
        </w:rPr>
        <w:t xml:space="preserve"> </w:t>
      </w:r>
      <w:r>
        <w:rPr>
          <w:spacing w:val="6"/>
        </w:rPr>
        <w:t>新发多发进展</w:t>
      </w:r>
      <w:r>
        <w:rPr>
          <w:spacing w:val="-41"/>
        </w:rPr>
        <w:t xml:space="preserve"> </w:t>
      </w:r>
      <w:r>
        <w:rPr>
          <w:rFonts w:ascii="SimSun" w:eastAsia="SimSun" w:hAnsi="SimSun" w:cs="SimSun"/>
          <w:spacing w:val="6"/>
        </w:rPr>
        <w:t>(</w:t>
      </w:r>
      <w:r>
        <w:rPr>
          <w:rFonts w:ascii="SimSun" w:eastAsia="SimSun" w:hAnsi="SimSun" w:cs="SimSun"/>
        </w:rPr>
        <w:t>de</w:t>
      </w:r>
      <w:r>
        <w:rPr>
          <w:rFonts w:ascii="SimSun" w:eastAsia="SimSun" w:hAnsi="SimSun" w:cs="SimSun"/>
          <w:spacing w:val="6"/>
        </w:rPr>
        <w:t>-</w:t>
      </w:r>
      <w:r>
        <w:rPr>
          <w:rFonts w:ascii="SimSun" w:eastAsia="SimSun" w:hAnsi="SimSun" w:cs="SimSun"/>
        </w:rPr>
        <w:t>novo</w:t>
      </w:r>
    </w:p>
    <w:p>
      <w:pPr>
        <w:pStyle w:val="BodyText"/>
        <w:spacing w:before="305" w:line="425" w:lineRule="auto"/>
        <w:ind w:left="13" w:right="172"/>
      </w:pPr>
      <w:r>
        <w:rPr>
          <w:rFonts w:ascii="SimSun" w:eastAsia="SimSun" w:hAnsi="SimSun" w:cs="SimSun"/>
          <w:spacing w:val="-3"/>
        </w:rPr>
        <w:t>polyprogression,DNP)</w:t>
      </w:r>
      <w:r>
        <w:rPr>
          <w:rFonts w:ascii="SimSun" w:eastAsia="SimSun" w:hAnsi="SimSun" w:cs="SimSun"/>
          <w:spacing w:val="72"/>
        </w:rPr>
        <w:t xml:space="preserve"> </w:t>
      </w:r>
      <w:r>
        <w:rPr>
          <w:spacing w:val="-3"/>
        </w:rPr>
        <w:t>和重复性多发进展</w:t>
      </w:r>
      <w:r>
        <w:rPr>
          <w:rFonts w:ascii="SimSun" w:eastAsia="SimSun" w:hAnsi="SimSun" w:cs="SimSun"/>
          <w:spacing w:val="-3"/>
        </w:rPr>
        <w:t>(repeat</w:t>
      </w:r>
      <w:r>
        <w:rPr>
          <w:rFonts w:ascii="SimSun" w:eastAsia="SimSun" w:hAnsi="SimSun" w:cs="SimSun"/>
          <w:spacing w:val="98"/>
        </w:rPr>
        <w:t xml:space="preserve"> </w:t>
      </w:r>
      <w:r>
        <w:rPr>
          <w:rFonts w:ascii="SimSun" w:eastAsia="SimSun" w:hAnsi="SimSun" w:cs="SimSun"/>
          <w:spacing w:val="-3"/>
        </w:rPr>
        <w:t>polyprogression,</w:t>
      </w:r>
      <w:r>
        <w:rPr>
          <w:rFonts w:ascii="SimSun" w:eastAsia="SimSun" w:hAnsi="SimSun" w:cs="SimSun"/>
        </w:rPr>
        <w:t xml:space="preserve"> </w:t>
      </w:r>
      <w:r>
        <w:rPr>
          <w:rFonts w:ascii="Times New Roman" w:eastAsia="Times New Roman" w:hAnsi="Times New Roman" w:cs="Times New Roman"/>
          <w:spacing w:val="-10"/>
        </w:rPr>
        <w:t>REP)</w:t>
      </w:r>
      <w:r>
        <w:rPr>
          <w:rFonts w:ascii="Times New Roman" w:eastAsia="Times New Roman" w:hAnsi="Times New Roman" w:cs="Times New Roman"/>
          <w:spacing w:val="-19"/>
        </w:rPr>
        <w:t xml:space="preserve"> </w:t>
      </w:r>
      <w:r>
        <w:rPr>
          <w:rFonts w:ascii="SimSun" w:eastAsia="SimSun" w:hAnsi="SimSun" w:cs="SimSun"/>
          <w:spacing w:val="-10"/>
        </w:rPr>
        <w:t>。</w:t>
      </w:r>
      <w:r>
        <w:rPr>
          <w:rFonts w:ascii="Times New Roman" w:eastAsia="Times New Roman" w:hAnsi="Times New Roman" w:cs="Times New Roman"/>
          <w:spacing w:val="-10"/>
        </w:rPr>
        <w:t>REO</w:t>
      </w:r>
      <w:r>
        <w:rPr>
          <w:rFonts w:ascii="Times New Roman" w:eastAsia="Times New Roman" w:hAnsi="Times New Roman" w:cs="Times New Roman"/>
          <w:spacing w:val="23"/>
        </w:rPr>
        <w:t xml:space="preserve"> </w:t>
      </w:r>
      <w:r>
        <w:rPr>
          <w:spacing w:val="-10"/>
        </w:rPr>
        <w:t>指有寡转移病史的患者发生寡病灶进展，</w:t>
      </w:r>
      <w:r>
        <w:rPr>
          <w:rFonts w:ascii="Times New Roman" w:eastAsia="Times New Roman" w:hAnsi="Times New Roman" w:cs="Times New Roman"/>
          <w:spacing w:val="-10"/>
        </w:rPr>
        <w:t>INO</w:t>
      </w:r>
      <w:r>
        <w:rPr>
          <w:rFonts w:ascii="Times New Roman" w:eastAsia="Times New Roman" w:hAnsi="Times New Roman" w:cs="Times New Roman"/>
          <w:spacing w:val="59"/>
          <w:w w:val="101"/>
        </w:rPr>
        <w:t xml:space="preserve"> </w:t>
      </w:r>
      <w:r>
        <w:rPr>
          <w:spacing w:val="-10"/>
        </w:rPr>
        <w:t>是有多发转移</w:t>
      </w:r>
    </w:p>
    <w:p>
      <w:pPr>
        <w:pStyle w:val="BodyText"/>
        <w:spacing w:line="219" w:lineRule="auto"/>
        <w:ind w:left="13"/>
        <w:rPr>
          <w:rFonts w:ascii="SimSun" w:eastAsia="SimSun" w:hAnsi="SimSun" w:cs="SimSun"/>
        </w:rPr>
      </w:pPr>
      <w:r>
        <w:rPr>
          <w:spacing w:val="8"/>
        </w:rPr>
        <w:t>病史的患者发生寡病灶进展。纳入的患者中401</w:t>
      </w:r>
      <w:r>
        <w:rPr>
          <w:spacing w:val="8"/>
        </w:rPr>
        <w:t xml:space="preserve"> </w:t>
      </w:r>
      <w:r>
        <w:rPr>
          <w:spacing w:val="8"/>
        </w:rPr>
        <w:t>例发生</w:t>
      </w:r>
      <w:r>
        <w:rPr>
          <w:spacing w:val="8"/>
        </w:rPr>
        <w:t xml:space="preserve"> </w:t>
      </w:r>
      <w:r>
        <w:rPr>
          <w:rFonts w:ascii="SimSun" w:eastAsia="SimSun" w:hAnsi="SimSun" w:cs="SimSun"/>
        </w:rPr>
        <w:t>PD</w:t>
      </w:r>
      <w:r>
        <w:rPr>
          <w:rFonts w:ascii="SimSun" w:eastAsia="SimSun" w:hAnsi="SimSun" w:cs="SimSun"/>
          <w:spacing w:val="8"/>
        </w:rPr>
        <w:t>,36.2%</w:t>
      </w:r>
    </w:p>
    <w:p>
      <w:pPr>
        <w:spacing w:line="250" w:lineRule="auto"/>
        <w:rPr>
          <w:rFonts w:ascii="Arial"/>
          <w:sz w:val="21"/>
        </w:rPr>
      </w:pPr>
    </w:p>
    <w:p>
      <w:pPr>
        <w:pStyle w:val="BodyText"/>
        <w:spacing w:before="88" w:line="620" w:lineRule="exact"/>
        <w:ind w:left="103"/>
        <w:rPr>
          <w:rFonts w:ascii="SimSun" w:eastAsia="SimSun" w:hAnsi="SimSun" w:cs="SimSun"/>
        </w:rPr>
      </w:pPr>
      <w:r>
        <w:rPr>
          <w:spacing w:val="16"/>
          <w:position w:val="27"/>
        </w:rPr>
        <w:t>(145/401)的患者为寡进展，其中26.9%(108/</w:t>
      </w:r>
      <w:r>
        <w:rPr>
          <w:spacing w:val="15"/>
          <w:position w:val="27"/>
        </w:rPr>
        <w:t>401)患者发生</w:t>
      </w:r>
      <w:r>
        <w:rPr>
          <w:spacing w:val="-57"/>
          <w:position w:val="27"/>
        </w:rPr>
        <w:t xml:space="preserve"> </w:t>
      </w:r>
      <w:r>
        <w:rPr>
          <w:rFonts w:ascii="SimSun" w:eastAsia="SimSun" w:hAnsi="SimSun" w:cs="SimSun"/>
          <w:position w:val="27"/>
        </w:rPr>
        <w:t>REO</w:t>
      </w:r>
      <w:r>
        <w:rPr>
          <w:rFonts w:ascii="SimSun" w:eastAsia="SimSun" w:hAnsi="SimSun" w:cs="SimSun"/>
          <w:spacing w:val="15"/>
          <w:position w:val="27"/>
        </w:rPr>
        <w:t>,</w:t>
      </w:r>
    </w:p>
    <w:p>
      <w:pPr>
        <w:pStyle w:val="BodyText"/>
        <w:spacing w:before="2" w:line="212" w:lineRule="auto"/>
        <w:ind w:left="13"/>
      </w:pPr>
      <w:r>
        <w:rPr>
          <w:spacing w:val="3"/>
        </w:rPr>
        <w:t>9.2%(37/401)患者出现</w:t>
      </w:r>
      <w:r>
        <w:rPr>
          <w:spacing w:val="-37"/>
        </w:rPr>
        <w:t xml:space="preserve"> </w:t>
      </w:r>
      <w:r>
        <w:rPr>
          <w:rFonts w:ascii="SimSun" w:eastAsia="SimSun" w:hAnsi="SimSun" w:cs="SimSun"/>
        </w:rPr>
        <w:t>INO</w:t>
      </w:r>
      <w:r>
        <w:rPr>
          <w:rFonts w:ascii="SimSun" w:eastAsia="SimSun" w:hAnsi="SimSun" w:cs="SimSun"/>
          <w:spacing w:val="3"/>
        </w:rPr>
        <w:t xml:space="preserve">。 </w:t>
      </w:r>
      <w:r>
        <w:rPr>
          <w:spacing w:val="3"/>
        </w:rPr>
        <w:t>在免疫治疗耐药后，重复寡进展的患者</w:t>
      </w:r>
    </w:p>
    <w:p>
      <w:pPr>
        <w:spacing w:line="212" w:lineRule="auto"/>
        <w:sectPr>
          <w:pgSz w:w="11910" w:h="16840"/>
          <w:pgMar w:top="1431" w:right="1664" w:bottom="0" w:left="1786" w:header="0" w:footer="0" w:gutter="0"/>
          <w:pgNumType w:start="24"/>
          <w:cols w:space="708"/>
        </w:sectPr>
      </w:pPr>
    </w:p>
    <w:p>
      <w:pPr>
        <w:pStyle w:val="BodyText"/>
        <w:spacing w:before="184" w:line="426" w:lineRule="auto"/>
        <w:ind w:left="13" w:right="58"/>
      </w:pPr>
      <w:r>
        <w:rPr>
          <w:spacing w:val="-2"/>
        </w:rPr>
        <w:t>从局部消融治疗(放疗或手术)中获得了显著的生存优</w:t>
      </w:r>
      <w:r>
        <w:rPr>
          <w:spacing w:val="-3"/>
        </w:rPr>
        <w:t>势。相比无局部消</w:t>
      </w:r>
      <w:r>
        <w:t xml:space="preserve"> </w:t>
      </w:r>
      <w:r>
        <w:rPr>
          <w:spacing w:val="7"/>
        </w:rPr>
        <w:t>融治疗的患者，其</w:t>
      </w:r>
      <w:r>
        <w:rPr>
          <w:rFonts w:ascii="SimSun" w:eastAsia="SimSun" w:hAnsi="SimSun" w:cs="SimSun"/>
        </w:rPr>
        <w:t>mPFS</w:t>
      </w:r>
      <w:r>
        <w:rPr>
          <w:rFonts w:ascii="SimSun" w:eastAsia="SimSun" w:hAnsi="SimSun" w:cs="SimSun"/>
          <w:spacing w:val="99"/>
        </w:rPr>
        <w:t xml:space="preserve"> </w:t>
      </w:r>
      <w:r>
        <w:rPr>
          <w:spacing w:val="7"/>
        </w:rPr>
        <w:t>显著延长(6.8比3.3个</w:t>
      </w:r>
      <w:r>
        <w:rPr>
          <w:spacing w:val="6"/>
        </w:rPr>
        <w:t>月，</w:t>
      </w:r>
      <w:r>
        <w:rPr>
          <w:rFonts w:ascii="SimSun" w:eastAsia="SimSun" w:hAnsi="SimSun" w:cs="SimSun"/>
          <w:spacing w:val="6"/>
        </w:rPr>
        <w:t xml:space="preserve">P=0.01); </w:t>
      </w:r>
      <w:r>
        <w:rPr>
          <w:spacing w:val="6"/>
        </w:rPr>
        <w:t>而接受</w:t>
      </w:r>
      <w:r>
        <w:t xml:space="preserve"> </w:t>
      </w:r>
      <w:r>
        <w:rPr>
          <w:spacing w:val="-9"/>
        </w:rPr>
        <w:t>免疫维持治疗没有</w:t>
      </w:r>
      <w:r>
        <w:rPr>
          <w:spacing w:val="-62"/>
        </w:rPr>
        <w:t xml:space="preserve"> </w:t>
      </w:r>
      <w:r>
        <w:rPr>
          <w:rFonts w:ascii="SimSun" w:eastAsia="SimSun" w:hAnsi="SimSun" w:cs="SimSun"/>
          <w:spacing w:val="-9"/>
        </w:rPr>
        <w:t>PFS</w:t>
      </w:r>
      <w:r>
        <w:rPr>
          <w:rFonts w:ascii="SimSun" w:eastAsia="SimSun" w:hAnsi="SimSun" w:cs="SimSun"/>
          <w:spacing w:val="-64"/>
        </w:rPr>
        <w:t xml:space="preserve"> </w:t>
      </w:r>
      <w:r>
        <w:rPr>
          <w:spacing w:val="-9"/>
        </w:rPr>
        <w:t>和</w:t>
      </w:r>
      <w:r>
        <w:rPr>
          <w:spacing w:val="-43"/>
        </w:rPr>
        <w:t xml:space="preserve"> </w:t>
      </w:r>
      <w:r>
        <w:rPr>
          <w:rFonts w:ascii="SimSun" w:eastAsia="SimSun" w:hAnsi="SimSun" w:cs="SimSun"/>
          <w:spacing w:val="-9"/>
        </w:rPr>
        <w:t xml:space="preserve">OS </w:t>
      </w:r>
      <w:r>
        <w:rPr>
          <w:spacing w:val="-9"/>
        </w:rPr>
        <w:t>优势。与无局部消融治疗组相比，诱导寡进</w:t>
      </w:r>
      <w:r>
        <w:t xml:space="preserve"> </w:t>
      </w:r>
      <w:r>
        <w:rPr>
          <w:spacing w:val="-7"/>
        </w:rPr>
        <w:t>展的患者不能从局部消融治疗中获益</w:t>
      </w:r>
      <w:r>
        <w:rPr>
          <w:rFonts w:ascii="Arial" w:eastAsia="Arial" w:hAnsi="Arial" w:cs="Arial"/>
          <w:spacing w:val="-7"/>
        </w:rPr>
        <w:t>(mPFS</w:t>
      </w:r>
      <w:r>
        <w:rPr>
          <w:rFonts w:ascii="Arial" w:eastAsia="Arial" w:hAnsi="Arial" w:cs="Arial"/>
          <w:spacing w:val="-8"/>
        </w:rPr>
        <w:t>:3.6</w:t>
      </w:r>
      <w:r>
        <w:rPr>
          <w:rFonts w:ascii="Arial" w:eastAsia="Arial" w:hAnsi="Arial" w:cs="Arial"/>
          <w:spacing w:val="18"/>
          <w:w w:val="101"/>
        </w:rPr>
        <w:t xml:space="preserve">  </w:t>
      </w:r>
      <w:r>
        <w:rPr>
          <w:spacing w:val="-8"/>
        </w:rPr>
        <w:t>比5.3</w:t>
      </w:r>
      <w:r>
        <w:rPr>
          <w:spacing w:val="-8"/>
        </w:rPr>
        <w:t xml:space="preserve"> </w:t>
      </w:r>
      <w:r>
        <w:rPr>
          <w:spacing w:val="-8"/>
        </w:rPr>
        <w:t>个月，</w:t>
      </w:r>
      <w:r>
        <w:rPr>
          <w:rFonts w:ascii="Arial" w:eastAsia="Arial" w:hAnsi="Arial" w:cs="Arial"/>
          <w:spacing w:val="-8"/>
        </w:rPr>
        <w:t xml:space="preserve">P=0.35;    </w:t>
      </w:r>
      <w:r>
        <w:rPr>
          <w:rFonts w:ascii="Arial" w:eastAsia="Arial" w:hAnsi="Arial" w:cs="Arial"/>
        </w:rPr>
        <w:t xml:space="preserve">mOS36.6  </w:t>
      </w:r>
      <w:r>
        <w:t>比45.4个月</w:t>
      </w:r>
      <w:r>
        <w:rPr>
          <w:spacing w:val="-54"/>
        </w:rPr>
        <w:t xml:space="preserve"> </w:t>
      </w:r>
      <w:r>
        <w:rPr>
          <w:rFonts w:ascii="Arial" w:eastAsia="Arial" w:hAnsi="Arial" w:cs="Arial"/>
        </w:rPr>
        <w:t>P=0.87)</w:t>
      </w:r>
      <w:r>
        <w:rPr>
          <w:rFonts w:ascii="Arial" w:eastAsia="Arial" w:hAnsi="Arial" w:cs="Arial"/>
          <w:spacing w:val="19"/>
        </w:rPr>
        <w:t xml:space="preserve">  </w:t>
      </w:r>
      <w:r>
        <w:t>但可以从免疫维持治疗中获益</w:t>
      </w:r>
      <w:r>
        <w:rPr>
          <w:spacing w:val="-34"/>
        </w:rPr>
        <w:t xml:space="preserve"> </w:t>
      </w:r>
      <w:r>
        <w:rPr>
          <w:rFonts w:ascii="Arial" w:eastAsia="Arial" w:hAnsi="Arial" w:cs="Arial"/>
        </w:rPr>
        <w:t>m</w:t>
      </w:r>
      <w:r>
        <w:rPr>
          <w:rFonts w:ascii="Arial" w:eastAsia="Arial" w:hAnsi="Arial" w:cs="Arial"/>
          <w:spacing w:val="-1"/>
        </w:rPr>
        <w:t>PFS:</w:t>
      </w:r>
      <w:r>
        <w:rPr>
          <w:rFonts w:ascii="Arial" w:eastAsia="Arial" w:hAnsi="Arial" w:cs="Arial"/>
        </w:rPr>
        <w:t xml:space="preserve"> </w:t>
      </w:r>
      <w:r>
        <w:t>6.1比4.1</w:t>
      </w:r>
      <w:r>
        <w:rPr>
          <w:spacing w:val="-69"/>
        </w:rPr>
        <w:t xml:space="preserve"> </w:t>
      </w:r>
      <w:r>
        <w:t>个月，</w:t>
      </w:r>
      <w:r>
        <w:rPr>
          <w:spacing w:val="-45"/>
        </w:rPr>
        <w:t xml:space="preserve"> </w:t>
      </w:r>
      <w:r>
        <w:t>P=0.03;mOS:45.4</w:t>
      </w:r>
      <w:r>
        <w:t xml:space="preserve">    </w:t>
      </w:r>
      <w:r>
        <w:t>比32.</w:t>
      </w:r>
      <w:r>
        <w:rPr>
          <w:spacing w:val="-1"/>
        </w:rPr>
        <w:t>3个月，</w:t>
      </w:r>
      <w:r>
        <w:rPr>
          <w:rFonts w:ascii="Arial" w:eastAsia="Arial" w:hAnsi="Arial" w:cs="Arial"/>
          <w:spacing w:val="-1"/>
        </w:rPr>
        <w:t>P=0.03)</w:t>
      </w:r>
      <w:r>
        <w:rPr>
          <w:rFonts w:ascii="Arial" w:eastAsia="Arial" w:hAnsi="Arial" w:cs="Arial"/>
          <w:spacing w:val="-38"/>
        </w:rPr>
        <w:t xml:space="preserve"> </w:t>
      </w:r>
      <w:r>
        <w:rPr>
          <w:rFonts w:ascii="SimSun" w:eastAsia="SimSun" w:hAnsi="SimSun" w:cs="SimSun"/>
          <w:spacing w:val="-1"/>
        </w:rPr>
        <w:t>。</w:t>
      </w:r>
      <w:r>
        <w:rPr>
          <w:spacing w:val="-1"/>
        </w:rPr>
        <w:t>该研究</w:t>
      </w:r>
      <w:r>
        <w:t xml:space="preserve"> </w:t>
      </w:r>
      <w:r>
        <w:rPr>
          <w:spacing w:val="-9"/>
        </w:rPr>
        <w:t>结果提示晚期</w:t>
      </w:r>
      <w:r>
        <w:rPr>
          <w:spacing w:val="-15"/>
        </w:rPr>
        <w:t xml:space="preserve"> </w:t>
      </w:r>
      <w:r>
        <w:rPr>
          <w:rFonts w:ascii="SimSun" w:eastAsia="SimSun" w:hAnsi="SimSun" w:cs="SimSun"/>
          <w:spacing w:val="-9"/>
        </w:rPr>
        <w:t>NSCLC</w:t>
      </w:r>
      <w:r>
        <w:rPr>
          <w:rFonts w:ascii="SimSun" w:eastAsia="SimSun" w:hAnsi="SimSun" w:cs="SimSun"/>
          <w:spacing w:val="112"/>
        </w:rPr>
        <w:t xml:space="preserve"> </w:t>
      </w:r>
      <w:r>
        <w:rPr>
          <w:spacing w:val="-9"/>
        </w:rPr>
        <w:t>患者免疫治疗耐药后，局部消融治疗适用于发生重</w:t>
      </w:r>
    </w:p>
    <w:p>
      <w:pPr>
        <w:pStyle w:val="BodyText"/>
        <w:spacing w:before="1" w:line="212" w:lineRule="auto"/>
        <w:ind w:left="13"/>
      </w:pPr>
      <w:r>
        <w:rPr>
          <w:spacing w:val="-12"/>
        </w:rPr>
        <w:t>复寡进展的患者，而免疫维持治疗是诱导寡进展患者的最佳治疗方案。</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88" w:line="425" w:lineRule="auto"/>
        <w:ind w:left="13"/>
      </w:pPr>
      <w:r>
        <w:rPr>
          <w:spacing w:val="-8"/>
        </w:rPr>
        <w:t>目前应用于肺部肿瘤的消融治疗技术主要包括射频消融</w:t>
      </w:r>
      <w:r>
        <w:rPr>
          <w:rFonts w:ascii="SimSun" w:eastAsia="SimSun" w:hAnsi="SimSun" w:cs="SimSun"/>
          <w:spacing w:val="-8"/>
        </w:rPr>
        <w:t>(radiofrequency</w:t>
      </w:r>
      <w:r>
        <w:rPr>
          <w:rFonts w:ascii="SimSun" w:eastAsia="SimSun" w:hAnsi="SimSun" w:cs="SimSun"/>
          <w:spacing w:val="6"/>
        </w:rPr>
        <w:t xml:space="preserve">  </w:t>
      </w:r>
      <w:r>
        <w:rPr>
          <w:rFonts w:ascii="SimSun" w:eastAsia="SimSun" w:hAnsi="SimSun" w:cs="SimSun"/>
          <w:spacing w:val="-7"/>
        </w:rPr>
        <w:t xml:space="preserve">ablation,RFA)、 </w:t>
      </w:r>
      <w:r>
        <w:rPr>
          <w:spacing w:val="-7"/>
        </w:rPr>
        <w:t>微波消融</w:t>
      </w:r>
      <w:r>
        <w:rPr>
          <w:rFonts w:ascii="SimSun" w:eastAsia="SimSun" w:hAnsi="SimSun" w:cs="SimSun"/>
          <w:spacing w:val="-7"/>
        </w:rPr>
        <w:t>(microwave</w:t>
      </w:r>
      <w:r>
        <w:rPr>
          <w:rFonts w:ascii="SimSun" w:eastAsia="SimSun" w:hAnsi="SimSun" w:cs="SimSun"/>
          <w:spacing w:val="21"/>
        </w:rPr>
        <w:t xml:space="preserve">    </w:t>
      </w:r>
      <w:r>
        <w:rPr>
          <w:rFonts w:ascii="SimSun" w:eastAsia="SimSun" w:hAnsi="SimSun" w:cs="SimSun"/>
          <w:spacing w:val="-7"/>
        </w:rPr>
        <w:t>ablation,MWA)、</w:t>
      </w:r>
      <w:r>
        <w:rPr>
          <w:spacing w:val="-7"/>
        </w:rPr>
        <w:t>冷冻消融、</w:t>
      </w:r>
      <w:r>
        <w:rPr>
          <w:spacing w:val="-7"/>
        </w:rPr>
        <w:t xml:space="preserve"> </w:t>
      </w:r>
      <w:r>
        <w:rPr>
          <w:spacing w:val="-10"/>
        </w:rPr>
        <w:t>激光消融。有研究显示热消融治疗可导致肿瘤细</w:t>
      </w:r>
      <w:r>
        <w:rPr>
          <w:spacing w:val="-11"/>
        </w:rPr>
        <w:t>胞的缺血和坏死，从而刺</w:t>
      </w:r>
      <w:r>
        <w:t xml:space="preserve"> </w:t>
      </w:r>
      <w:r>
        <w:rPr>
          <w:spacing w:val="-10"/>
        </w:rPr>
        <w:t>激肿瘤相关抗原从癌细胞释放到血液中，也有研究发现</w:t>
      </w:r>
      <w:r>
        <w:rPr>
          <w:spacing w:val="-51"/>
        </w:rPr>
        <w:t xml:space="preserve"> </w:t>
      </w:r>
      <w:r>
        <w:rPr>
          <w:rFonts w:ascii="SimSun" w:eastAsia="SimSun" w:hAnsi="SimSun" w:cs="SimSun"/>
          <w:spacing w:val="-10"/>
        </w:rPr>
        <w:t xml:space="preserve">RFA </w:t>
      </w:r>
      <w:r>
        <w:rPr>
          <w:spacing w:val="-10"/>
        </w:rPr>
        <w:t>和抗</w:t>
      </w:r>
      <w:r>
        <w:rPr>
          <w:spacing w:val="-74"/>
        </w:rPr>
        <w:t xml:space="preserve"> </w:t>
      </w:r>
      <w:r>
        <w:rPr>
          <w:rFonts w:ascii="SimSun" w:eastAsia="SimSun" w:hAnsi="SimSun" w:cs="SimSun"/>
          <w:spacing w:val="-10"/>
        </w:rPr>
        <w:t xml:space="preserve">PD-1 </w:t>
      </w:r>
      <w:r>
        <w:rPr>
          <w:spacing w:val="-10"/>
        </w:rPr>
        <w:t>疗</w:t>
      </w:r>
      <w:r>
        <w:t xml:space="preserve"> </w:t>
      </w:r>
      <w:r>
        <w:rPr>
          <w:spacing w:val="-7"/>
        </w:rPr>
        <w:t>法协同增强了</w:t>
      </w:r>
      <w:r>
        <w:rPr>
          <w:rFonts w:ascii="SimSun" w:eastAsia="SimSun" w:hAnsi="SimSun" w:cs="SimSun"/>
          <w:spacing w:val="-7"/>
        </w:rPr>
        <w:t>T</w:t>
      </w:r>
      <w:r>
        <w:rPr>
          <w:rFonts w:ascii="SimSun" w:eastAsia="SimSun" w:hAnsi="SimSun" w:cs="SimSun"/>
          <w:spacing w:val="-52"/>
        </w:rPr>
        <w:t xml:space="preserve"> </w:t>
      </w:r>
      <w:r>
        <w:rPr>
          <w:spacing w:val="-7"/>
        </w:rPr>
        <w:t>细胞介导的抗肿瘤免疫并且热消融可以调节免疫微环境、</w:t>
      </w:r>
      <w:r>
        <w:t xml:space="preserve"> </w:t>
      </w:r>
      <w:r>
        <w:rPr>
          <w:spacing w:val="-9"/>
        </w:rPr>
        <w:t>增加抗原呈递、降低细胞毒性</w:t>
      </w:r>
      <w:r>
        <w:rPr>
          <w:rFonts w:ascii="SimSun" w:eastAsia="SimSun" w:hAnsi="SimSun" w:cs="SimSun"/>
          <w:spacing w:val="-9"/>
        </w:rPr>
        <w:t>T</w:t>
      </w:r>
      <w:r>
        <w:rPr>
          <w:rFonts w:ascii="SimSun" w:eastAsia="SimSun" w:hAnsi="SimSun" w:cs="SimSun"/>
          <w:spacing w:val="-32"/>
        </w:rPr>
        <w:t xml:space="preserve"> </w:t>
      </w:r>
      <w:r>
        <w:rPr>
          <w:spacing w:val="-9"/>
        </w:rPr>
        <w:t>淋巴细胞抑制</w:t>
      </w:r>
      <w:r>
        <w:rPr>
          <w:spacing w:val="-10"/>
        </w:rPr>
        <w:t>从而有助于激活抗肿瘤免疫</w:t>
      </w:r>
    </w:p>
    <w:p>
      <w:pPr>
        <w:pStyle w:val="BodyText"/>
        <w:spacing w:before="1" w:line="220" w:lineRule="auto"/>
        <w:ind w:left="13"/>
      </w:pPr>
      <w:r>
        <w:rPr>
          <w:spacing w:val="2"/>
        </w:rPr>
        <w:t>反应[75-76]。目前卡瑞利珠单抗联合冷冻消融(</w:t>
      </w:r>
      <w:r>
        <w:t>ChiCTR</w:t>
      </w:r>
      <w:r>
        <w:rPr>
          <w:spacing w:val="2"/>
        </w:rPr>
        <w:t>2100047034</w:t>
      </w:r>
    </w:p>
    <w:p>
      <w:pPr>
        <w:pStyle w:val="BodyText"/>
        <w:spacing w:before="298" w:line="607" w:lineRule="exact"/>
        <w:ind w:left="13"/>
      </w:pPr>
      <w:r>
        <w:rPr>
          <w:spacing w:val="8"/>
          <w:position w:val="25"/>
        </w:rPr>
        <w:t>研究)冷冻消融(</w:t>
      </w:r>
      <w:r>
        <w:rPr>
          <w:position w:val="25"/>
        </w:rPr>
        <w:t>NCTO</w:t>
      </w:r>
      <w:r>
        <w:rPr>
          <w:spacing w:val="8"/>
          <w:position w:val="25"/>
        </w:rPr>
        <w:t>3290677</w:t>
      </w:r>
      <w:r>
        <w:rPr>
          <w:spacing w:val="32"/>
          <w:position w:val="25"/>
        </w:rPr>
        <w:t xml:space="preserve">   </w:t>
      </w:r>
      <w:r>
        <w:rPr>
          <w:spacing w:val="8"/>
          <w:position w:val="25"/>
        </w:rPr>
        <w:t>研究)应</w:t>
      </w:r>
      <w:r>
        <w:rPr>
          <w:spacing w:val="7"/>
          <w:position w:val="25"/>
        </w:rPr>
        <w:t>用于既往免疫治疗耐药的晚</w:t>
      </w:r>
    </w:p>
    <w:p>
      <w:pPr>
        <w:pStyle w:val="BodyText"/>
        <w:spacing w:before="1" w:line="212" w:lineRule="auto"/>
        <w:ind w:left="13"/>
      </w:pPr>
      <w:r>
        <w:rPr>
          <w:spacing w:val="-9"/>
        </w:rPr>
        <w:t>期</w:t>
      </w:r>
      <w:r>
        <w:rPr>
          <w:spacing w:val="-62"/>
        </w:rPr>
        <w:t xml:space="preserve"> </w:t>
      </w:r>
      <w:r>
        <w:rPr>
          <w:rFonts w:ascii="Times New Roman" w:eastAsia="Times New Roman" w:hAnsi="Times New Roman" w:cs="Times New Roman"/>
          <w:spacing w:val="-9"/>
        </w:rPr>
        <w:t>NSCLC</w:t>
      </w:r>
      <w:r>
        <w:rPr>
          <w:spacing w:val="-9"/>
        </w:rPr>
        <w:t>的研究正在进行，其临床疗效有待进一步观察。</w:t>
      </w: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pStyle w:val="BodyText"/>
        <w:spacing w:before="89" w:line="431" w:lineRule="auto"/>
        <w:ind w:left="13" w:right="60"/>
        <w:jc w:val="both"/>
      </w:pPr>
      <w:r>
        <w:rPr>
          <w:spacing w:val="-9"/>
        </w:rPr>
        <w:t>以上研究提示对于晚期</w:t>
      </w:r>
      <w:r>
        <w:rPr>
          <w:spacing w:val="-17"/>
        </w:rPr>
        <w:t xml:space="preserve"> </w:t>
      </w:r>
      <w:r>
        <w:rPr>
          <w:rFonts w:ascii="SimSun" w:eastAsia="SimSun" w:hAnsi="SimSun" w:cs="SimSun"/>
          <w:spacing w:val="-9"/>
        </w:rPr>
        <w:t>NSCLC</w:t>
      </w:r>
      <w:r>
        <w:rPr>
          <w:rFonts w:ascii="SimSun" w:eastAsia="SimSun" w:hAnsi="SimSun" w:cs="SimSun"/>
          <w:spacing w:val="112"/>
        </w:rPr>
        <w:t xml:space="preserve"> </w:t>
      </w:r>
      <w:r>
        <w:rPr>
          <w:spacing w:val="-9"/>
        </w:rPr>
        <w:t>接受免疫治疗出现寡进展的患者，继续维</w:t>
      </w:r>
      <w:r>
        <w:t xml:space="preserve"> </w:t>
      </w:r>
      <w:r>
        <w:rPr>
          <w:spacing w:val="-11"/>
        </w:rPr>
        <w:t>持免疫治疗同时联合局部治疗能够给患者带来生存获益。对于局部治疗手</w:t>
      </w:r>
    </w:p>
    <w:p>
      <w:pPr>
        <w:pStyle w:val="BodyText"/>
        <w:spacing w:before="1" w:line="212" w:lineRule="auto"/>
        <w:ind w:left="13"/>
      </w:pPr>
      <w:r>
        <w:rPr>
          <w:spacing w:val="-10"/>
        </w:rPr>
        <w:t>段的选择，目前放疗的证据相对较为充分，手术和消</w:t>
      </w:r>
      <w:r>
        <w:rPr>
          <w:spacing w:val="-11"/>
        </w:rPr>
        <w:t>融治疗还需要更多研</w:t>
      </w:r>
    </w:p>
    <w:p>
      <w:pPr>
        <w:spacing w:line="212" w:lineRule="auto"/>
        <w:sectPr>
          <w:pgSz w:w="11910" w:h="16840"/>
          <w:pgMar w:top="1431" w:right="1745" w:bottom="0" w:left="1786" w:header="0" w:footer="0" w:gutter="0"/>
          <w:pgNumType w:start="25"/>
          <w:cols w:space="708"/>
        </w:sectPr>
      </w:pPr>
    </w:p>
    <w:p>
      <w:pPr>
        <w:pStyle w:val="BodyText"/>
        <w:spacing w:before="175" w:line="213" w:lineRule="auto"/>
        <w:ind w:left="13"/>
      </w:pPr>
      <w:r>
        <w:rPr>
          <w:spacing w:val="-9"/>
        </w:rPr>
        <w:t>究数据的支持，临床实践中建议通过多学科会诊选择最佳局部治疗手段。</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88" w:line="435" w:lineRule="auto"/>
        <w:ind w:left="13" w:right="100"/>
        <w:jc w:val="both"/>
      </w:pPr>
      <w:r>
        <w:rPr>
          <w:spacing w:val="-3"/>
        </w:rPr>
        <w:t>推荐意见4:对于寡进展的患者，如一般状态稳定，建议维持原免疫治疗</w:t>
      </w:r>
      <w:r>
        <w:rPr>
          <w:spacing w:val="16"/>
        </w:rPr>
        <w:t xml:space="preserve"> </w:t>
      </w:r>
      <w:r>
        <w:rPr>
          <w:spacing w:val="-9"/>
        </w:rPr>
        <w:t>方案同时联合局部治疗；如一般状态快速恶化，建议调整全身治疗方案。</w:t>
      </w:r>
    </w:p>
    <w:p>
      <w:pPr>
        <w:pStyle w:val="BodyText"/>
        <w:spacing w:before="1" w:line="220" w:lineRule="auto"/>
        <w:ind w:left="103"/>
      </w:pPr>
      <w:r>
        <w:rPr>
          <w:spacing w:val="-12"/>
        </w:rPr>
        <w:t>(推荐等级：</w:t>
      </w:r>
      <w:r>
        <w:rPr>
          <w:spacing w:val="-12"/>
        </w:rPr>
        <w:t xml:space="preserve"> </w:t>
      </w:r>
      <w:r>
        <w:rPr>
          <w:rFonts w:ascii="Times New Roman" w:eastAsia="Times New Roman" w:hAnsi="Times New Roman" w:cs="Times New Roman"/>
          <w:spacing w:val="-12"/>
        </w:rPr>
        <w:t>I</w:t>
      </w:r>
      <w:r>
        <w:rPr>
          <w:rFonts w:ascii="Times New Roman" w:eastAsia="Times New Roman" w:hAnsi="Times New Roman" w:cs="Times New Roman"/>
          <w:spacing w:val="44"/>
        </w:rPr>
        <w:t xml:space="preserve"> </w:t>
      </w:r>
      <w:r>
        <w:rPr>
          <w:spacing w:val="-12"/>
        </w:rPr>
        <w:t>级</w:t>
      </w:r>
      <w:r>
        <w:rPr>
          <w:spacing w:val="-12"/>
        </w:rPr>
        <w:t xml:space="preserve"> </w:t>
      </w:r>
      <w:r>
        <w:rPr>
          <w:spacing w:val="-12"/>
        </w:rPr>
        <w:t>)</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8" w:line="222" w:lineRule="auto"/>
        <w:ind w:left="13"/>
      </w:pPr>
      <w:r>
        <w:rPr>
          <w:spacing w:val="-10"/>
        </w:rPr>
        <w:t>二、免疫治疗广泛进展的治疗策略</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88" w:line="222" w:lineRule="auto"/>
        <w:ind w:left="93"/>
      </w:pPr>
      <w:r>
        <w:rPr>
          <w:spacing w:val="2"/>
        </w:rPr>
        <w:t>(</w:t>
      </w:r>
      <w:r>
        <w:rPr>
          <w:spacing w:val="-69"/>
        </w:rPr>
        <w:t xml:space="preserve"> </w:t>
      </w:r>
      <w:r>
        <w:rPr>
          <w:spacing w:val="2"/>
        </w:rPr>
        <w:t>一</w:t>
      </w:r>
      <w:r>
        <w:rPr>
          <w:spacing w:val="-81"/>
        </w:rPr>
        <w:t xml:space="preserve"> </w:t>
      </w:r>
      <w:r>
        <w:rPr>
          <w:spacing w:val="2"/>
        </w:rPr>
        <w:t>)化疗</w:t>
      </w: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88" w:line="428" w:lineRule="auto"/>
        <w:ind w:left="13"/>
        <w:rPr>
          <w:rFonts w:ascii="Arial" w:eastAsia="Arial" w:hAnsi="Arial" w:cs="Arial"/>
        </w:rPr>
        <w:sectPr>
          <w:pgSz w:w="11910" w:h="16840"/>
          <w:pgMar w:top="1431" w:right="1654" w:bottom="0" w:left="1786" w:header="0" w:footer="0" w:gutter="0"/>
          <w:pgNumType w:start="26"/>
          <w:cols w:space="708"/>
        </w:sectPr>
      </w:pPr>
      <w:r>
        <w:rPr>
          <w:spacing w:val="-9"/>
        </w:rPr>
        <w:t>对于驱动基因阴性晚期</w:t>
      </w:r>
      <w:r>
        <w:rPr>
          <w:spacing w:val="-33"/>
        </w:rPr>
        <w:t xml:space="preserve"> </w:t>
      </w:r>
      <w:r>
        <w:rPr>
          <w:rFonts w:ascii="SimSun" w:eastAsia="SimSun" w:hAnsi="SimSun" w:cs="SimSun"/>
          <w:spacing w:val="-9"/>
        </w:rPr>
        <w:t>NSCLC</w:t>
      </w:r>
      <w:r>
        <w:rPr>
          <w:rFonts w:ascii="SimSun" w:eastAsia="SimSun" w:hAnsi="SimSun" w:cs="SimSun"/>
          <w:spacing w:val="113"/>
        </w:rPr>
        <w:t xml:space="preserve"> </w:t>
      </w:r>
      <w:r>
        <w:rPr>
          <w:spacing w:val="-9"/>
        </w:rPr>
        <w:t>患者一线经免疫治疗或免疫联合化疗出现</w:t>
      </w:r>
      <w:r>
        <w:t xml:space="preserve">  </w:t>
      </w:r>
      <w:r>
        <w:rPr>
          <w:spacing w:val="-6"/>
        </w:rPr>
        <w:t>全身广泛进展后，二线化疗如多西他赛等是目前</w:t>
      </w:r>
      <w:r>
        <w:rPr>
          <w:spacing w:val="-44"/>
        </w:rPr>
        <w:t xml:space="preserve"> </w:t>
      </w:r>
      <w:r>
        <w:rPr>
          <w:rFonts w:ascii="SimSun" w:eastAsia="SimSun" w:hAnsi="SimSun" w:cs="SimSun"/>
          <w:spacing w:val="-6"/>
        </w:rPr>
        <w:t xml:space="preserve">NCCN  </w:t>
      </w:r>
      <w:r>
        <w:rPr>
          <w:spacing w:val="-6"/>
        </w:rPr>
        <w:t>指</w:t>
      </w:r>
      <w:r>
        <w:rPr>
          <w:spacing w:val="-7"/>
        </w:rPr>
        <w:t>南和</w:t>
      </w:r>
      <w:r>
        <w:rPr>
          <w:spacing w:val="-76"/>
        </w:rPr>
        <w:t xml:space="preserve"> </w:t>
      </w:r>
      <w:r>
        <w:rPr>
          <w:rFonts w:ascii="SimSun" w:eastAsia="SimSun" w:hAnsi="SimSun" w:cs="SimSun"/>
          <w:spacing w:val="-7"/>
        </w:rPr>
        <w:t xml:space="preserve">CSCO  </w:t>
      </w:r>
      <w:r>
        <w:rPr>
          <w:spacing w:val="-7"/>
        </w:rPr>
        <w:t>指</w:t>
      </w:r>
      <w:r>
        <w:t xml:space="preserve">  </w:t>
      </w:r>
      <w:r>
        <w:rPr>
          <w:spacing w:val="4"/>
        </w:rPr>
        <w:t>南中推荐的标准治疗方案。</w:t>
      </w:r>
      <w:r>
        <w:rPr>
          <w:rFonts w:ascii="SimSun" w:eastAsia="SimSun" w:hAnsi="SimSun" w:cs="SimSun"/>
        </w:rPr>
        <w:t>Park</w:t>
      </w:r>
      <w:r>
        <w:rPr>
          <w:rFonts w:ascii="SimSun" w:eastAsia="SimSun" w:hAnsi="SimSun" w:cs="SimSun"/>
          <w:spacing w:val="-68"/>
        </w:rPr>
        <w:t xml:space="preserve"> </w:t>
      </w:r>
      <w:r>
        <w:rPr>
          <w:spacing w:val="4"/>
        </w:rPr>
        <w:t>等[77]2018年发表的一项韩国回顾性</w:t>
      </w:r>
      <w:r>
        <w:t xml:space="preserve">  </w:t>
      </w:r>
      <w:r>
        <w:rPr>
          <w:spacing w:val="-2"/>
        </w:rPr>
        <w:t>研究纳入了73例经免疫治疗包括纳武利尤单抗、帕博利珠单抗或度伐利</w:t>
      </w:r>
      <w:r>
        <w:t xml:space="preserve">  </w:t>
      </w:r>
      <w:r>
        <w:t>尤单抗等后</w:t>
      </w:r>
      <w:r>
        <w:rPr>
          <w:spacing w:val="-49"/>
        </w:rPr>
        <w:t xml:space="preserve"> </w:t>
      </w:r>
      <w:r>
        <w:rPr>
          <w:rFonts w:ascii="Arial" w:eastAsia="Arial" w:hAnsi="Arial" w:cs="Arial"/>
        </w:rPr>
        <w:t>PD</w:t>
      </w:r>
      <w:r>
        <w:t>的</w:t>
      </w:r>
      <w:r>
        <w:t xml:space="preserve"> </w:t>
      </w:r>
      <w:r>
        <w:rPr>
          <w:rFonts w:ascii="Arial" w:eastAsia="Arial" w:hAnsi="Arial" w:cs="Arial"/>
        </w:rPr>
        <w:t>NSCLC</w:t>
      </w:r>
      <w:r>
        <w:rPr>
          <w:rFonts w:ascii="Arial" w:eastAsia="Arial" w:hAnsi="Arial" w:cs="Arial"/>
          <w:spacing w:val="-35"/>
        </w:rPr>
        <w:t xml:space="preserve"> </w:t>
      </w:r>
      <w:r>
        <w:t>患者，其中二线患者比例13.7%,二线之后的</w:t>
      </w:r>
      <w:r>
        <w:t xml:space="preserve">  </w:t>
      </w:r>
      <w:r>
        <w:rPr>
          <w:spacing w:val="5"/>
        </w:rPr>
        <w:t>患者比例86.3%,给予含铂双药化疗或单药化疗，</w:t>
      </w:r>
      <w:r>
        <w:rPr>
          <w:rFonts w:ascii="SimSun" w:eastAsia="SimSun" w:hAnsi="SimSun" w:cs="SimSun"/>
        </w:rPr>
        <w:t>ORR</w:t>
      </w:r>
      <w:r>
        <w:rPr>
          <w:rFonts w:ascii="SimSun" w:eastAsia="SimSun" w:hAnsi="SimSun" w:cs="SimSun"/>
          <w:spacing w:val="83"/>
        </w:rPr>
        <w:t xml:space="preserve"> </w:t>
      </w:r>
      <w:r>
        <w:rPr>
          <w:spacing w:val="5"/>
        </w:rPr>
        <w:t>为53</w:t>
      </w:r>
      <w:r>
        <w:rPr>
          <w:spacing w:val="-68"/>
        </w:rPr>
        <w:t xml:space="preserve"> </w:t>
      </w:r>
      <w:r>
        <w:rPr>
          <w:spacing w:val="5"/>
        </w:rPr>
        <w:t>.4%,</w:t>
      </w:r>
      <w:r>
        <w:rPr>
          <w:rFonts w:ascii="SimSun" w:eastAsia="SimSun" w:hAnsi="SimSun" w:cs="SimSun"/>
        </w:rPr>
        <w:t xml:space="preserve">mPFS   </w:t>
      </w:r>
      <w:r>
        <w:rPr>
          <w:spacing w:val="3"/>
        </w:rPr>
        <w:t>为4</w:t>
      </w:r>
      <w:r>
        <w:rPr>
          <w:spacing w:val="-51"/>
        </w:rPr>
        <w:t xml:space="preserve"> </w:t>
      </w:r>
      <w:r>
        <w:rPr>
          <w:spacing w:val="3"/>
        </w:rPr>
        <w:t>.</w:t>
      </w:r>
      <w:r>
        <w:rPr>
          <w:spacing w:val="-80"/>
        </w:rPr>
        <w:t xml:space="preserve"> </w:t>
      </w:r>
      <w:r>
        <w:rPr>
          <w:spacing w:val="3"/>
        </w:rPr>
        <w:t>2个月，</w:t>
      </w:r>
      <w:r>
        <w:rPr>
          <w:rFonts w:ascii="Arial" w:eastAsia="Arial" w:hAnsi="Arial" w:cs="Arial"/>
        </w:rPr>
        <w:t>mOS</w:t>
      </w:r>
      <w:r>
        <w:rPr>
          <w:rFonts w:ascii="Arial" w:eastAsia="Arial" w:hAnsi="Arial" w:cs="Arial"/>
          <w:spacing w:val="58"/>
        </w:rPr>
        <w:t xml:space="preserve"> </w:t>
      </w:r>
      <w:r>
        <w:rPr>
          <w:spacing w:val="3"/>
        </w:rPr>
        <w:t>为8</w:t>
      </w:r>
      <w:r>
        <w:rPr>
          <w:spacing w:val="-68"/>
        </w:rPr>
        <w:t xml:space="preserve"> </w:t>
      </w:r>
      <w:r>
        <w:rPr>
          <w:spacing w:val="3"/>
        </w:rPr>
        <w:t>.</w:t>
      </w:r>
      <w:r>
        <w:rPr>
          <w:spacing w:val="-65"/>
        </w:rPr>
        <w:t xml:space="preserve"> </w:t>
      </w:r>
      <w:r>
        <w:rPr>
          <w:spacing w:val="3"/>
        </w:rPr>
        <w:t>1</w:t>
      </w:r>
      <w:r>
        <w:rPr>
          <w:spacing w:val="-50"/>
        </w:rPr>
        <w:t xml:space="preserve"> </w:t>
      </w:r>
      <w:r>
        <w:rPr>
          <w:spacing w:val="3"/>
        </w:rPr>
        <w:t>个月；2017年</w:t>
      </w:r>
      <w:r>
        <w:rPr>
          <w:spacing w:val="3"/>
        </w:rPr>
        <w:t xml:space="preserve"> </w:t>
      </w:r>
      <w:r>
        <w:rPr>
          <w:rFonts w:ascii="Arial" w:eastAsia="Arial" w:hAnsi="Arial" w:cs="Arial"/>
        </w:rPr>
        <w:t>MD</w:t>
      </w:r>
      <w:r>
        <w:rPr>
          <w:rFonts w:ascii="Arial" w:eastAsia="Arial" w:hAnsi="Arial" w:cs="Arial"/>
          <w:spacing w:val="3"/>
        </w:rPr>
        <w:t xml:space="preserve">  </w:t>
      </w:r>
      <w:r>
        <w:rPr>
          <w:spacing w:val="3"/>
        </w:rPr>
        <w:t>安德森癌症中心</w:t>
      </w:r>
      <w:r>
        <w:rPr>
          <w:rFonts w:ascii="Arial" w:eastAsia="Arial" w:hAnsi="Arial" w:cs="Arial"/>
          <w:spacing w:val="3"/>
        </w:rPr>
        <w:t>(</w:t>
      </w:r>
      <w:r>
        <w:rPr>
          <w:rFonts w:ascii="Arial" w:eastAsia="Arial" w:hAnsi="Arial" w:cs="Arial"/>
        </w:rPr>
        <w:t>MD</w:t>
      </w:r>
      <w:r>
        <w:rPr>
          <w:rFonts w:ascii="Arial" w:eastAsia="Arial" w:hAnsi="Arial" w:cs="Arial"/>
          <w:spacing w:val="3"/>
        </w:rPr>
        <w:t xml:space="preserve">     </w:t>
      </w:r>
      <w:r>
        <w:rPr>
          <w:rFonts w:ascii="Times New Roman" w:eastAsia="Times New Roman" w:hAnsi="Times New Roman" w:cs="Times New Roman"/>
          <w:spacing w:val="-3"/>
        </w:rPr>
        <w:t>Anderson)</w:t>
      </w:r>
      <w:r>
        <w:rPr>
          <w:rFonts w:ascii="Times New Roman" w:eastAsia="Times New Roman" w:hAnsi="Times New Roman" w:cs="Times New Roman"/>
          <w:spacing w:val="17"/>
        </w:rPr>
        <w:t xml:space="preserve">   </w:t>
      </w:r>
      <w:r>
        <w:rPr>
          <w:spacing w:val="-3"/>
        </w:rPr>
        <w:t>进行的另外一项研究分析了</w:t>
      </w:r>
      <w:r>
        <w:rPr>
          <w:spacing w:val="-4"/>
        </w:rPr>
        <w:t>28例经纳武利尤单抗、帕博利珠</w:t>
      </w:r>
      <w:r>
        <w:t xml:space="preserve">  </w:t>
      </w:r>
      <w:r>
        <w:rPr>
          <w:spacing w:val="-9"/>
        </w:rPr>
        <w:t>单抗或度伐利尤单抗治疗的</w:t>
      </w:r>
      <w:r>
        <w:rPr>
          <w:spacing w:val="-67"/>
        </w:rPr>
        <w:t xml:space="preserve"> </w:t>
      </w:r>
      <w:r>
        <w:rPr>
          <w:rFonts w:ascii="SimSun" w:eastAsia="SimSun" w:hAnsi="SimSun" w:cs="SimSun"/>
          <w:spacing w:val="-9"/>
        </w:rPr>
        <w:t>NSCLC</w:t>
      </w:r>
      <w:r>
        <w:rPr>
          <w:rFonts w:ascii="SimSun" w:eastAsia="SimSun" w:hAnsi="SimSun" w:cs="SimSun"/>
          <w:spacing w:val="52"/>
        </w:rPr>
        <w:t xml:space="preserve"> </w:t>
      </w:r>
      <w:r>
        <w:rPr>
          <w:spacing w:val="-9"/>
        </w:rPr>
        <w:t>患者，所有患者均给予三线单药化疗，</w:t>
      </w:r>
      <w:r>
        <w:t xml:space="preserve"> </w:t>
      </w:r>
      <w:r>
        <w:rPr>
          <w:spacing w:val="-1"/>
        </w:rPr>
        <w:t>其中50%患者使用的化疗药物为多西他赛，</w:t>
      </w:r>
      <w:r>
        <w:rPr>
          <w:rFonts w:ascii="SimSun" w:eastAsia="SimSun" w:hAnsi="SimSun" w:cs="SimSun"/>
          <w:spacing w:val="-1"/>
        </w:rPr>
        <w:t>ORR</w:t>
      </w:r>
      <w:r>
        <w:rPr>
          <w:rFonts w:ascii="SimSun" w:eastAsia="SimSun" w:hAnsi="SimSun" w:cs="SimSun"/>
          <w:spacing w:val="110"/>
        </w:rPr>
        <w:t xml:space="preserve"> </w:t>
      </w:r>
      <w:r>
        <w:rPr>
          <w:spacing w:val="-1"/>
        </w:rPr>
        <w:t>为</w:t>
      </w:r>
      <w:r>
        <w:rPr>
          <w:spacing w:val="-33"/>
        </w:rPr>
        <w:t xml:space="preserve"> </w:t>
      </w:r>
      <w:r>
        <w:rPr>
          <w:spacing w:val="-1"/>
        </w:rPr>
        <w:t>3</w:t>
      </w:r>
      <w:r>
        <w:rPr>
          <w:spacing w:val="-41"/>
        </w:rPr>
        <w:t xml:space="preserve"> </w:t>
      </w:r>
      <w:r>
        <w:rPr>
          <w:spacing w:val="-1"/>
        </w:rPr>
        <w:t>9</w:t>
      </w:r>
      <w:r>
        <w:rPr>
          <w:spacing w:val="-37"/>
        </w:rPr>
        <w:t xml:space="preserve"> </w:t>
      </w:r>
      <w:r>
        <w:rPr>
          <w:spacing w:val="-1"/>
        </w:rPr>
        <w:t>%</w:t>
      </w:r>
      <w:r>
        <w:rPr>
          <w:spacing w:val="-1"/>
        </w:rPr>
        <w:t xml:space="preserve"> </w:t>
      </w:r>
      <w:r>
        <w:rPr>
          <w:spacing w:val="-1"/>
        </w:rPr>
        <w:t>,</w:t>
      </w:r>
      <w:r>
        <w:rPr>
          <w:rFonts w:ascii="SimSun" w:eastAsia="SimSun" w:hAnsi="SimSun" w:cs="SimSun"/>
          <w:spacing w:val="-1"/>
        </w:rPr>
        <w:t>mP</w:t>
      </w:r>
      <w:r>
        <w:rPr>
          <w:rFonts w:ascii="SimSun" w:eastAsia="SimSun" w:hAnsi="SimSun" w:cs="SimSun"/>
          <w:spacing w:val="-2"/>
        </w:rPr>
        <w:t>FS</w:t>
      </w:r>
      <w:r>
        <w:rPr>
          <w:rFonts w:ascii="SimSun" w:eastAsia="SimSun" w:hAnsi="SimSun" w:cs="SimSun"/>
          <w:spacing w:val="98"/>
        </w:rPr>
        <w:t xml:space="preserve"> </w:t>
      </w:r>
      <w:r>
        <w:rPr>
          <w:spacing w:val="-2"/>
        </w:rPr>
        <w:t>为4.7</w:t>
      </w:r>
      <w:r>
        <w:t xml:space="preserve">  </w:t>
      </w:r>
      <w:r>
        <w:rPr>
          <w:spacing w:val="2"/>
        </w:rPr>
        <w:t>个月，</w:t>
      </w:r>
      <w:r>
        <w:rPr>
          <w:rFonts w:ascii="Arial" w:eastAsia="Arial" w:hAnsi="Arial" w:cs="Arial"/>
        </w:rPr>
        <w:t>mOS</w:t>
      </w:r>
      <w:r>
        <w:rPr>
          <w:rFonts w:ascii="Arial" w:eastAsia="Arial" w:hAnsi="Arial" w:cs="Arial"/>
          <w:spacing w:val="2"/>
        </w:rPr>
        <w:t xml:space="preserve"> </w:t>
      </w:r>
      <w:r>
        <w:rPr>
          <w:spacing w:val="2"/>
        </w:rPr>
        <w:t>为9.0个月[78],2022年世界肺癌大</w:t>
      </w:r>
      <w:r>
        <w:rPr>
          <w:spacing w:val="1"/>
        </w:rPr>
        <w:t>会</w:t>
      </w:r>
      <w:r>
        <w:rPr>
          <w:rFonts w:ascii="Arial" w:eastAsia="Arial" w:hAnsi="Arial" w:cs="Arial"/>
          <w:spacing w:val="1"/>
        </w:rPr>
        <w:t>(</w:t>
      </w:r>
      <w:r>
        <w:rPr>
          <w:rFonts w:ascii="Arial" w:eastAsia="Arial" w:hAnsi="Arial" w:cs="Arial"/>
        </w:rPr>
        <w:t>World</w:t>
      </w:r>
      <w:r>
        <w:rPr>
          <w:rFonts w:ascii="Arial" w:eastAsia="Arial" w:hAnsi="Arial" w:cs="Arial"/>
          <w:spacing w:val="1"/>
        </w:rPr>
        <w:t xml:space="preserve">   </w:t>
      </w:r>
      <w:r>
        <w:rPr>
          <w:rFonts w:ascii="Arial" w:eastAsia="Arial" w:hAnsi="Arial" w:cs="Arial"/>
        </w:rPr>
        <w:t>Conference</w:t>
      </w:r>
    </w:p>
    <w:p>
      <w:pPr>
        <w:pStyle w:val="BodyText"/>
        <w:spacing w:before="1" w:line="211" w:lineRule="auto"/>
        <w:ind w:left="13"/>
      </w:pPr>
      <w:r>
        <w:rPr>
          <w:rFonts w:ascii="Arial" w:eastAsia="Arial" w:hAnsi="Arial" w:cs="Arial"/>
        </w:rPr>
        <w:t>on</w:t>
      </w:r>
      <w:r>
        <w:rPr>
          <w:rFonts w:ascii="Arial" w:eastAsia="Arial" w:hAnsi="Arial" w:cs="Arial"/>
          <w:spacing w:val="31"/>
          <w:w w:val="101"/>
        </w:rPr>
        <w:t xml:space="preserve">  </w:t>
      </w:r>
      <w:r>
        <w:rPr>
          <w:rFonts w:ascii="Arial" w:eastAsia="Arial" w:hAnsi="Arial" w:cs="Arial"/>
        </w:rPr>
        <w:t>Lung</w:t>
      </w:r>
      <w:r>
        <w:rPr>
          <w:rFonts w:ascii="Arial" w:eastAsia="Arial" w:hAnsi="Arial" w:cs="Arial"/>
          <w:spacing w:val="28"/>
          <w:w w:val="101"/>
        </w:rPr>
        <w:t xml:space="preserve">  </w:t>
      </w:r>
      <w:r>
        <w:rPr>
          <w:rFonts w:ascii="Arial" w:eastAsia="Arial" w:hAnsi="Arial" w:cs="Arial"/>
        </w:rPr>
        <w:t>Cancer</w:t>
      </w:r>
      <w:r>
        <w:rPr>
          <w:rFonts w:ascii="Arial" w:eastAsia="Arial" w:hAnsi="Arial" w:cs="Arial"/>
          <w:spacing w:val="12"/>
        </w:rPr>
        <w:t>,</w:t>
      </w:r>
      <w:r>
        <w:rPr>
          <w:rFonts w:ascii="Arial" w:eastAsia="Arial" w:hAnsi="Arial" w:cs="Arial"/>
        </w:rPr>
        <w:t>WCLC</w:t>
      </w:r>
      <w:r>
        <w:rPr>
          <w:rFonts w:ascii="Arial" w:eastAsia="Arial" w:hAnsi="Arial" w:cs="Arial"/>
          <w:spacing w:val="12"/>
        </w:rPr>
        <w:t>)</w:t>
      </w:r>
      <w:r>
        <w:rPr>
          <w:rFonts w:ascii="Arial" w:eastAsia="Arial" w:hAnsi="Arial" w:cs="Arial"/>
          <w:spacing w:val="-35"/>
        </w:rPr>
        <w:t xml:space="preserve"> </w:t>
      </w:r>
      <w:r>
        <w:rPr>
          <w:spacing w:val="12"/>
        </w:rPr>
        <w:t>会议上</w:t>
      </w:r>
      <w:r>
        <w:rPr>
          <w:rFonts w:ascii="Arial" w:eastAsia="Arial" w:hAnsi="Arial" w:cs="Arial"/>
        </w:rPr>
        <w:t>Auclin</w:t>
      </w:r>
      <w:r>
        <w:rPr>
          <w:rFonts w:ascii="Arial" w:eastAsia="Arial" w:hAnsi="Arial" w:cs="Arial"/>
          <w:spacing w:val="29"/>
          <w:w w:val="101"/>
        </w:rPr>
        <w:t xml:space="preserve"> </w:t>
      </w:r>
      <w:r>
        <w:rPr>
          <w:spacing w:val="12"/>
        </w:rPr>
        <w:t>等[79]公布的一项多中心回</w:t>
      </w:r>
    </w:p>
    <w:p>
      <w:pPr>
        <w:spacing w:line="211" w:lineRule="auto"/>
        <w:sectPr>
          <w:type w:val="nextPage"/>
          <w:pgSz w:w="11910" w:h="16840"/>
          <w:pgMar w:top="1431" w:right="1654" w:bottom="0" w:left="1786" w:header="0" w:footer="0" w:gutter="0"/>
          <w:pgNumType w:start="27"/>
          <w:cols w:space="708"/>
          <w:titlePg w:val="0"/>
        </w:sectPr>
      </w:pPr>
    </w:p>
    <w:p>
      <w:pPr>
        <w:pStyle w:val="BodyText"/>
        <w:spacing w:before="182" w:line="425" w:lineRule="auto"/>
        <w:ind w:left="13" w:right="111"/>
      </w:pPr>
      <w:r>
        <w:rPr>
          <w:spacing w:val="2"/>
        </w:rPr>
        <w:t>顾性分析纳入了143例一线经免疫联合化疗后</w:t>
      </w:r>
      <w:r>
        <w:rPr>
          <w:spacing w:val="-61"/>
        </w:rPr>
        <w:t xml:space="preserve"> </w:t>
      </w:r>
      <w:r>
        <w:rPr>
          <w:rFonts w:ascii="Times New Roman" w:eastAsia="Times New Roman" w:hAnsi="Times New Roman" w:cs="Times New Roman"/>
        </w:rPr>
        <w:t>PD</w:t>
      </w:r>
      <w:r>
        <w:rPr>
          <w:spacing w:val="2"/>
        </w:rPr>
        <w:t>的晚期</w:t>
      </w:r>
      <w:r>
        <w:rPr>
          <w:spacing w:val="-60"/>
        </w:rPr>
        <w:t xml:space="preserve"> </w:t>
      </w:r>
      <w:r>
        <w:rPr>
          <w:rFonts w:ascii="Times New Roman" w:eastAsia="Times New Roman" w:hAnsi="Times New Roman" w:cs="Times New Roman"/>
        </w:rPr>
        <w:t>NSCLC</w:t>
      </w:r>
      <w:r>
        <w:rPr>
          <w:spacing w:val="2"/>
        </w:rPr>
        <w:t>患者，</w:t>
      </w:r>
      <w:r>
        <w:t xml:space="preserve"> </w:t>
      </w:r>
      <w:r>
        <w:rPr>
          <w:spacing w:val="-6"/>
        </w:rPr>
        <w:t>二线分别给予含铂双药化疗再挑战、紫杉醇+/-抗血管</w:t>
      </w:r>
      <w:r>
        <w:rPr>
          <w:spacing w:val="-7"/>
        </w:rPr>
        <w:t>生成治疗或其他化</w:t>
      </w:r>
      <w:r>
        <w:t xml:space="preserve"> </w:t>
      </w:r>
      <w:r>
        <w:rPr>
          <w:spacing w:val="2"/>
        </w:rPr>
        <w:t>疗药物(包括吉西他滨、长春瑞滨或培美曲塞),结果显示二线化疗的患</w:t>
      </w:r>
      <w:r>
        <w:rPr>
          <w:spacing w:val="1"/>
        </w:rPr>
        <w:t xml:space="preserve"> </w:t>
      </w:r>
      <w:r>
        <w:rPr>
          <w:spacing w:val="-6"/>
        </w:rPr>
        <w:t>者疾病控制率</w:t>
      </w:r>
      <w:r>
        <w:rPr>
          <w:rFonts w:ascii="SimSun" w:eastAsia="SimSun" w:hAnsi="SimSun" w:cs="SimSun"/>
          <w:spacing w:val="-6"/>
        </w:rPr>
        <w:t>(disease control rate ,DCR)</w:t>
      </w:r>
      <w:r>
        <w:rPr>
          <w:spacing w:val="-6"/>
        </w:rPr>
        <w:t>为</w:t>
      </w:r>
      <w:r>
        <w:rPr>
          <w:spacing w:val="-43"/>
        </w:rPr>
        <w:t xml:space="preserve"> </w:t>
      </w:r>
      <w:r>
        <w:rPr>
          <w:spacing w:val="-6"/>
        </w:rPr>
        <w:t>3</w:t>
      </w:r>
      <w:r>
        <w:rPr>
          <w:spacing w:val="-47"/>
        </w:rPr>
        <w:t xml:space="preserve"> </w:t>
      </w:r>
      <w:r>
        <w:rPr>
          <w:spacing w:val="-6"/>
        </w:rPr>
        <w:t>8</w:t>
      </w:r>
      <w:r>
        <w:rPr>
          <w:spacing w:val="-47"/>
        </w:rPr>
        <w:t xml:space="preserve"> </w:t>
      </w:r>
      <w:r>
        <w:rPr>
          <w:spacing w:val="-6"/>
        </w:rPr>
        <w:t>%</w:t>
      </w:r>
      <w:r>
        <w:rPr>
          <w:spacing w:val="-31"/>
        </w:rPr>
        <w:t xml:space="preserve"> </w:t>
      </w:r>
      <w:r>
        <w:rPr>
          <w:spacing w:val="-6"/>
        </w:rPr>
        <w:t>,</w:t>
      </w:r>
      <w:r>
        <w:rPr>
          <w:rFonts w:ascii="SimSun" w:eastAsia="SimSun" w:hAnsi="SimSun" w:cs="SimSun"/>
          <w:spacing w:val="-6"/>
        </w:rPr>
        <w:t xml:space="preserve">mOS  </w:t>
      </w:r>
      <w:r>
        <w:rPr>
          <w:spacing w:val="-6"/>
        </w:rPr>
        <w:t>为8.1</w:t>
      </w:r>
      <w:r>
        <w:rPr>
          <w:spacing w:val="-7"/>
        </w:rPr>
        <w:t>个月，</w:t>
      </w:r>
      <w:r>
        <w:t xml:space="preserve"> </w:t>
      </w:r>
      <w:r>
        <w:rPr>
          <w:spacing w:val="-1"/>
        </w:rPr>
        <w:t>其中一线治疗应答超过6个月的患者从二线化疗中获益更加明显，</w:t>
      </w:r>
      <w:r>
        <w:rPr>
          <w:rFonts w:ascii="SimSun" w:eastAsia="SimSun" w:hAnsi="SimSun" w:cs="SimSun"/>
          <w:spacing w:val="-1"/>
        </w:rPr>
        <w:t>m</w:t>
      </w:r>
      <w:r>
        <w:rPr>
          <w:rFonts w:ascii="SimSun" w:eastAsia="SimSun" w:hAnsi="SimSun" w:cs="SimSun"/>
          <w:spacing w:val="-2"/>
        </w:rPr>
        <w:t xml:space="preserve">OS  </w:t>
      </w:r>
      <w:r>
        <w:rPr>
          <w:spacing w:val="11"/>
        </w:rPr>
        <w:t>为12.7个月。另外一项2022</w:t>
      </w:r>
      <w:r>
        <w:rPr>
          <w:spacing w:val="11"/>
        </w:rPr>
        <w:t xml:space="preserve"> </w:t>
      </w:r>
      <w:r>
        <w:rPr>
          <w:rFonts w:ascii="Arial" w:eastAsia="Arial" w:hAnsi="Arial" w:cs="Arial"/>
        </w:rPr>
        <w:t>WCLC</w:t>
      </w:r>
      <w:r>
        <w:rPr>
          <w:rFonts w:ascii="Arial" w:eastAsia="Arial" w:hAnsi="Arial" w:cs="Arial"/>
          <w:spacing w:val="11"/>
        </w:rPr>
        <w:t xml:space="preserve"> </w:t>
      </w:r>
      <w:r>
        <w:rPr>
          <w:spacing w:val="11"/>
        </w:rPr>
        <w:t>会议上公布的</w:t>
      </w:r>
      <w:r>
        <w:rPr>
          <w:spacing w:val="-68"/>
        </w:rPr>
        <w:t xml:space="preserve"> </w:t>
      </w:r>
      <w:r>
        <w:rPr>
          <w:rFonts w:ascii="Arial" w:eastAsia="Arial" w:hAnsi="Arial" w:cs="Arial"/>
        </w:rPr>
        <w:t>Liu</w:t>
      </w:r>
      <w:r>
        <w:rPr>
          <w:rFonts w:ascii="Arial" w:eastAsia="Arial" w:hAnsi="Arial" w:cs="Arial"/>
          <w:spacing w:val="-25"/>
        </w:rPr>
        <w:t xml:space="preserve"> </w:t>
      </w:r>
      <w:r>
        <w:rPr>
          <w:spacing w:val="11"/>
        </w:rPr>
        <w:t>等[80]进</w:t>
      </w:r>
      <w:r>
        <w:rPr>
          <w:spacing w:val="10"/>
        </w:rPr>
        <w:t>行的</w:t>
      </w:r>
      <w:r>
        <w:t xml:space="preserve"> </w:t>
      </w:r>
      <w:r>
        <w:t>回顾性研究，纳入了467例既往同步或序贯接受过</w:t>
      </w:r>
      <w:r>
        <w:rPr>
          <w:spacing w:val="-16"/>
        </w:rPr>
        <w:t xml:space="preserve"> </w:t>
      </w:r>
      <w:r>
        <w:rPr>
          <w:rFonts w:ascii="Times New Roman" w:eastAsia="Times New Roman" w:hAnsi="Times New Roman" w:cs="Times New Roman"/>
        </w:rPr>
        <w:t>PD-1/PD-L1</w:t>
      </w:r>
      <w:r>
        <w:rPr>
          <w:rFonts w:ascii="Times New Roman" w:eastAsia="Times New Roman" w:hAnsi="Times New Roman" w:cs="Times New Roman"/>
          <w:spacing w:val="30"/>
        </w:rPr>
        <w:t xml:space="preserve">  </w:t>
      </w:r>
      <w:r>
        <w:t>抑制剂</w:t>
      </w:r>
      <w:r>
        <w:t xml:space="preserve"> </w:t>
      </w:r>
      <w:r>
        <w:rPr>
          <w:spacing w:val="-9"/>
        </w:rPr>
        <w:t>和含铂双药化疗的晚期</w:t>
      </w:r>
      <w:r>
        <w:rPr>
          <w:spacing w:val="-21"/>
        </w:rPr>
        <w:t xml:space="preserve"> </w:t>
      </w:r>
      <w:r>
        <w:rPr>
          <w:rFonts w:ascii="SimSun" w:eastAsia="SimSun" w:hAnsi="SimSun" w:cs="SimSun"/>
          <w:spacing w:val="-9"/>
        </w:rPr>
        <w:t>NSCLC</w:t>
      </w:r>
      <w:r>
        <w:rPr>
          <w:rFonts w:ascii="SimSun" w:eastAsia="SimSun" w:hAnsi="SimSun" w:cs="SimSun"/>
          <w:spacing w:val="112"/>
        </w:rPr>
        <w:t xml:space="preserve"> </w:t>
      </w:r>
      <w:r>
        <w:rPr>
          <w:spacing w:val="-9"/>
        </w:rPr>
        <w:t>患者，患者后续接受了紫杉醇单药或紫杉</w:t>
      </w:r>
      <w:r>
        <w:t xml:space="preserve"> </w:t>
      </w:r>
      <w:r>
        <w:rPr>
          <w:spacing w:val="-4"/>
        </w:rPr>
        <w:t>醇联合化疗，结果提示紫杉醇后线治疗的患者</w:t>
      </w:r>
      <w:r>
        <w:rPr>
          <w:spacing w:val="-71"/>
        </w:rPr>
        <w:t xml:space="preserve"> </w:t>
      </w:r>
      <w:r>
        <w:rPr>
          <w:rFonts w:ascii="Arial" w:eastAsia="Arial" w:hAnsi="Arial" w:cs="Arial"/>
          <w:spacing w:val="-4"/>
        </w:rPr>
        <w:t xml:space="preserve">mOS </w:t>
      </w:r>
      <w:r>
        <w:rPr>
          <w:spacing w:val="-5"/>
        </w:rPr>
        <w:t>为8.9个月。因此，</w:t>
      </w:r>
      <w:r>
        <w:t xml:space="preserve"> </w:t>
      </w:r>
      <w:r>
        <w:rPr>
          <w:spacing w:val="-11"/>
        </w:rPr>
        <w:t>以上研究提示一线免疫耐药或免疫联合化疗耐药的患者，二线化疗仍能给</w:t>
      </w:r>
    </w:p>
    <w:p>
      <w:pPr>
        <w:pStyle w:val="BodyText"/>
        <w:spacing w:line="221" w:lineRule="auto"/>
        <w:ind w:left="13"/>
      </w:pPr>
      <w:r>
        <w:rPr>
          <w:spacing w:val="-14"/>
        </w:rPr>
        <w:t>患者带来一定的生存获益。</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BodyText"/>
        <w:spacing w:before="88" w:line="221" w:lineRule="auto"/>
        <w:ind w:left="103"/>
      </w:pPr>
      <w:r>
        <w:rPr>
          <w:spacing w:val="2"/>
        </w:rPr>
        <w:t>(二)抗血管生成治疗联合化疗</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8" w:line="424" w:lineRule="auto"/>
        <w:ind w:left="13"/>
        <w:jc w:val="both"/>
      </w:pPr>
      <w:r>
        <w:rPr>
          <w:spacing w:val="-10"/>
        </w:rPr>
        <w:t>抗血管生成药物如贝伐珠单抗、安罗替尼等在晚期</w:t>
      </w:r>
      <w:r>
        <w:rPr>
          <w:spacing w:val="-11"/>
        </w:rPr>
        <w:t xml:space="preserve"> </w:t>
      </w:r>
      <w:r>
        <w:rPr>
          <w:rFonts w:ascii="Times New Roman" w:eastAsia="Times New Roman" w:hAnsi="Times New Roman" w:cs="Times New Roman"/>
          <w:spacing w:val="-11"/>
        </w:rPr>
        <w:t>NSCLC</w:t>
      </w:r>
      <w:r>
        <w:rPr>
          <w:rFonts w:ascii="Times New Roman" w:eastAsia="Times New Roman" w:hAnsi="Times New Roman" w:cs="Times New Roman"/>
          <w:spacing w:val="24"/>
        </w:rPr>
        <w:t xml:space="preserve"> </w:t>
      </w:r>
      <w:r>
        <w:rPr>
          <w:spacing w:val="-11"/>
        </w:rPr>
        <w:t>尤其是肺腺癌</w:t>
      </w:r>
      <w:r>
        <w:t xml:space="preserve">  </w:t>
      </w:r>
      <w:r>
        <w:rPr>
          <w:spacing w:val="-9"/>
        </w:rPr>
        <w:t>患者的治疗中具有非常重要的地位，并且基础研究显示</w:t>
      </w:r>
      <w:r>
        <w:rPr>
          <w:spacing w:val="-36"/>
        </w:rPr>
        <w:t xml:space="preserve"> </w:t>
      </w:r>
      <w:r>
        <w:rPr>
          <w:rFonts w:ascii="SimSun" w:eastAsia="SimSun" w:hAnsi="SimSun" w:cs="SimSun"/>
          <w:spacing w:val="-9"/>
        </w:rPr>
        <w:t xml:space="preserve">TME  </w:t>
      </w:r>
      <w:r>
        <w:rPr>
          <w:spacing w:val="-9"/>
        </w:rPr>
        <w:t>中的异常血</w:t>
      </w:r>
      <w:r>
        <w:t xml:space="preserve">  </w:t>
      </w:r>
      <w:r>
        <w:rPr>
          <w:spacing w:val="-7"/>
        </w:rPr>
        <w:t>管生成与免疫耐药相关，通过抗血管生成治疗除了可以抑制肿瘤生长外，</w:t>
      </w:r>
      <w:r>
        <w:rPr>
          <w:spacing w:val="8"/>
        </w:rPr>
        <w:t xml:space="preserve"> </w:t>
      </w:r>
      <w:r>
        <w:rPr>
          <w:spacing w:val="-8"/>
        </w:rPr>
        <w:t>还可以促进肿瘤血管正常化从而增加</w:t>
      </w:r>
      <w:r>
        <w:rPr>
          <w:spacing w:val="-44"/>
        </w:rPr>
        <w:t xml:space="preserve"> </w:t>
      </w:r>
      <w:r>
        <w:rPr>
          <w:rFonts w:ascii="Times New Roman" w:eastAsia="Times New Roman" w:hAnsi="Times New Roman" w:cs="Times New Roman"/>
          <w:spacing w:val="-8"/>
        </w:rPr>
        <w:t>TME</w:t>
      </w:r>
      <w:r>
        <w:rPr>
          <w:rFonts w:ascii="Times New Roman" w:eastAsia="Times New Roman" w:hAnsi="Times New Roman" w:cs="Times New Roman"/>
          <w:spacing w:val="41"/>
          <w:w w:val="101"/>
        </w:rPr>
        <w:t xml:space="preserve"> </w:t>
      </w:r>
      <w:r>
        <w:rPr>
          <w:spacing w:val="-8"/>
        </w:rPr>
        <w:t>中免疫效应细胞浸润。因此，</w:t>
      </w:r>
    </w:p>
    <w:p>
      <w:pPr>
        <w:pStyle w:val="BodyText"/>
        <w:spacing w:before="1" w:line="220" w:lineRule="auto"/>
        <w:ind w:left="13"/>
      </w:pPr>
      <w:r>
        <w:rPr>
          <w:spacing w:val="-12"/>
        </w:rPr>
        <w:t>许多研究探索了抗血管生成治疗在免疫耐药患者中的应用。</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BodyText"/>
        <w:spacing w:before="89" w:line="630" w:lineRule="exact"/>
        <w:ind w:left="13"/>
        <w:sectPr>
          <w:pgSz w:w="11910" w:h="16840"/>
          <w:pgMar w:top="1431" w:right="1684" w:bottom="0" w:left="1786" w:header="0" w:footer="0" w:gutter="0"/>
          <w:pgNumType w:start="28"/>
          <w:cols w:space="708"/>
        </w:sectPr>
      </w:pPr>
      <w:r>
        <w:rPr>
          <w:spacing w:val="-6"/>
          <w:position w:val="28"/>
        </w:rPr>
        <w:t>一项回顾性多中心研究中，纳入314例接受紫杉醇联合贝伐珠单抗二</w:t>
      </w:r>
      <w:r>
        <w:rPr>
          <w:spacing w:val="-7"/>
          <w:position w:val="28"/>
        </w:rPr>
        <w:t>线及</w:t>
      </w:r>
    </w:p>
    <w:p>
      <w:pPr>
        <w:pStyle w:val="BodyText"/>
        <w:spacing w:before="1" w:line="212" w:lineRule="auto"/>
        <w:ind w:left="13"/>
      </w:pPr>
      <w:r>
        <w:rPr>
          <w:spacing w:val="7"/>
        </w:rPr>
        <w:t>二线以上治疗晚期</w:t>
      </w:r>
      <w:r>
        <w:rPr>
          <w:spacing w:val="-63"/>
        </w:rPr>
        <w:t xml:space="preserve"> </w:t>
      </w:r>
      <w:r>
        <w:rPr>
          <w:rFonts w:ascii="SimSun" w:eastAsia="SimSun" w:hAnsi="SimSun" w:cs="SimSun"/>
        </w:rPr>
        <w:t>NSCLC</w:t>
      </w:r>
      <w:r>
        <w:rPr>
          <w:rFonts w:ascii="SimSun" w:eastAsia="SimSun" w:hAnsi="SimSun" w:cs="SimSun"/>
          <w:spacing w:val="52"/>
        </w:rPr>
        <w:t xml:space="preserve"> </w:t>
      </w:r>
      <w:r>
        <w:rPr>
          <w:spacing w:val="7"/>
        </w:rPr>
        <w:t>患者，其中88例(28%)患者为免疫治疗失败</w:t>
      </w:r>
    </w:p>
    <w:p>
      <w:pPr>
        <w:spacing w:line="212" w:lineRule="auto"/>
        <w:sectPr>
          <w:type w:val="nextPage"/>
          <w:pgSz w:w="11910" w:h="16840"/>
          <w:pgMar w:top="1431" w:right="1684" w:bottom="0" w:left="1786" w:header="0" w:footer="0" w:gutter="0"/>
          <w:pgNumType w:start="29"/>
          <w:cols w:space="708"/>
          <w:titlePg w:val="0"/>
        </w:sectPr>
      </w:pPr>
    </w:p>
    <w:p>
      <w:pPr>
        <w:pStyle w:val="BodyText"/>
        <w:tabs>
          <w:tab w:val="left" w:pos="113"/>
        </w:tabs>
        <w:spacing w:before="202" w:line="426" w:lineRule="auto"/>
        <w:ind w:left="13"/>
        <w:rPr>
          <w:rFonts w:ascii="SimSun" w:eastAsia="SimSun" w:hAnsi="SimSun" w:cs="SimSun"/>
        </w:rPr>
      </w:pPr>
      <w:r>
        <w:rPr>
          <w:spacing w:val="-1"/>
        </w:rPr>
        <w:t>的患者结果显示免疫耐药的患者接受紫杉醇+贝伐珠单抗的</w:t>
      </w:r>
      <w:r>
        <w:rPr>
          <w:spacing w:val="-78"/>
        </w:rPr>
        <w:t xml:space="preserve"> </w:t>
      </w:r>
      <w:r>
        <w:rPr>
          <w:rFonts w:ascii="SimSun" w:eastAsia="SimSun" w:hAnsi="SimSun" w:cs="SimSun"/>
          <w:spacing w:val="-1"/>
        </w:rPr>
        <w:t>mPF</w:t>
      </w:r>
      <w:r>
        <w:rPr>
          <w:rFonts w:ascii="SimSun" w:eastAsia="SimSun" w:hAnsi="SimSun" w:cs="SimSun"/>
          <w:spacing w:val="-2"/>
        </w:rPr>
        <w:t>S</w:t>
      </w:r>
      <w:r>
        <w:rPr>
          <w:rFonts w:ascii="SimSun" w:eastAsia="SimSun" w:hAnsi="SimSun" w:cs="SimSun"/>
          <w:spacing w:val="48"/>
        </w:rPr>
        <w:t xml:space="preserve"> </w:t>
      </w:r>
      <w:r>
        <w:rPr>
          <w:spacing w:val="-2"/>
        </w:rPr>
        <w:t>为7.0</w:t>
      </w:r>
      <w:r>
        <w:t xml:space="preserve"> </w:t>
      </w:r>
      <w:r>
        <w:rPr>
          <w:spacing w:val="-6"/>
        </w:rPr>
        <w:t>个月，</w:t>
      </w:r>
      <w:r>
        <w:rPr>
          <w:rFonts w:ascii="Arial" w:eastAsia="Arial" w:hAnsi="Arial" w:cs="Arial"/>
          <w:spacing w:val="-6"/>
        </w:rPr>
        <w:t xml:space="preserve">mOS </w:t>
      </w:r>
      <w:r>
        <w:rPr>
          <w:spacing w:val="-6"/>
        </w:rPr>
        <w:t>为13</w:t>
      </w:r>
      <w:r>
        <w:rPr>
          <w:spacing w:val="-73"/>
        </w:rPr>
        <w:t xml:space="preserve"> </w:t>
      </w:r>
      <w:r>
        <w:rPr>
          <w:spacing w:val="-6"/>
        </w:rPr>
        <w:t>.0个月，</w:t>
      </w:r>
      <w:r>
        <w:rPr>
          <w:rFonts w:ascii="Arial" w:eastAsia="Arial" w:hAnsi="Arial" w:cs="Arial"/>
          <w:spacing w:val="-6"/>
        </w:rPr>
        <w:t>ORR</w:t>
      </w:r>
      <w:r>
        <w:rPr>
          <w:spacing w:val="-6"/>
        </w:rPr>
        <w:t>为</w:t>
      </w:r>
      <w:r>
        <w:rPr>
          <w:spacing w:val="-41"/>
        </w:rPr>
        <w:t xml:space="preserve"> </w:t>
      </w:r>
      <w:r>
        <w:rPr>
          <w:spacing w:val="-6"/>
        </w:rPr>
        <w:t>5</w:t>
      </w:r>
      <w:r>
        <w:rPr>
          <w:spacing w:val="-6"/>
        </w:rPr>
        <w:t xml:space="preserve"> </w:t>
      </w:r>
      <w:r>
        <w:rPr>
          <w:spacing w:val="-6"/>
        </w:rPr>
        <w:t>1</w:t>
      </w:r>
      <w:r>
        <w:rPr>
          <w:spacing w:val="-40"/>
        </w:rPr>
        <w:t xml:space="preserve"> </w:t>
      </w:r>
      <w:r>
        <w:rPr>
          <w:spacing w:val="-6"/>
        </w:rPr>
        <w:t>%</w:t>
      </w:r>
      <w:r>
        <w:rPr>
          <w:spacing w:val="-6"/>
        </w:rPr>
        <w:t xml:space="preserve"> </w:t>
      </w:r>
      <w:r>
        <w:rPr>
          <w:spacing w:val="-6"/>
        </w:rPr>
        <w:t>,</w:t>
      </w:r>
      <w:r>
        <w:rPr>
          <w:rFonts w:ascii="Arial" w:eastAsia="Arial" w:hAnsi="Arial" w:cs="Arial"/>
          <w:spacing w:val="-7"/>
        </w:rPr>
        <w:t>PFS</w:t>
      </w:r>
      <w:r>
        <w:rPr>
          <w:spacing w:val="-7"/>
        </w:rPr>
        <w:t>获益和总体缓解率均比未</w:t>
      </w:r>
      <w:r>
        <w:t xml:space="preserve"> </w:t>
      </w:r>
      <w:r>
        <w:rPr>
          <w:spacing w:val="16"/>
        </w:rPr>
        <w:t>经免疫治疗的患者更优[81</w:t>
      </w:r>
      <w:r>
        <w:rPr>
          <w:spacing w:val="52"/>
        </w:rPr>
        <w:t xml:space="preserve"> </w:t>
      </w:r>
      <w:r>
        <w:rPr>
          <w:spacing w:val="16"/>
        </w:rPr>
        <w:t>]。2022</w:t>
      </w:r>
      <w:r>
        <w:rPr>
          <w:spacing w:val="16"/>
        </w:rPr>
        <w:t xml:space="preserve"> </w:t>
      </w:r>
      <w:r>
        <w:rPr>
          <w:spacing w:val="16"/>
        </w:rPr>
        <w:t>年</w:t>
      </w:r>
      <w:r>
        <w:rPr>
          <w:spacing w:val="16"/>
        </w:rPr>
        <w:t xml:space="preserve"> </w:t>
      </w:r>
      <w:r>
        <w:rPr>
          <w:rFonts w:ascii="SimSun" w:eastAsia="SimSun" w:hAnsi="SimSun" w:cs="SimSun"/>
        </w:rPr>
        <w:t>WCLC</w:t>
      </w:r>
      <w:r>
        <w:rPr>
          <w:rFonts w:ascii="SimSun" w:eastAsia="SimSun" w:hAnsi="SimSun" w:cs="SimSun"/>
          <w:spacing w:val="41"/>
        </w:rPr>
        <w:t xml:space="preserve">  </w:t>
      </w:r>
      <w:r>
        <w:rPr>
          <w:spacing w:val="16"/>
        </w:rPr>
        <w:t>会议上公</w:t>
      </w:r>
      <w:r>
        <w:rPr>
          <w:spacing w:val="15"/>
        </w:rPr>
        <w:t>布了一项</w:t>
      </w:r>
      <w:r>
        <w:t xml:space="preserve"> </w:t>
      </w:r>
      <w:r>
        <w:rPr>
          <w:rFonts w:ascii="SimSun" w:eastAsia="SimSun" w:hAnsi="SimSun" w:cs="SimSun"/>
          <w:spacing w:val="-7"/>
        </w:rPr>
        <w:t>ALTER-LO16</w:t>
      </w:r>
      <w:r>
        <w:rPr>
          <w:rFonts w:ascii="SimSun" w:eastAsia="SimSun" w:hAnsi="SimSun" w:cs="SimSun"/>
          <w:spacing w:val="75"/>
        </w:rPr>
        <w:t xml:space="preserve"> </w:t>
      </w:r>
      <w:r>
        <w:rPr>
          <w:spacing w:val="-7"/>
        </w:rPr>
        <w:t>和</w:t>
      </w:r>
      <w:r>
        <w:rPr>
          <w:spacing w:val="-34"/>
        </w:rPr>
        <w:t xml:space="preserve"> </w:t>
      </w:r>
      <w:r>
        <w:rPr>
          <w:rFonts w:ascii="SimSun" w:eastAsia="SimSun" w:hAnsi="SimSun" w:cs="SimSun"/>
          <w:spacing w:val="-7"/>
        </w:rPr>
        <w:t>ALTER-LO18</w:t>
      </w:r>
      <w:r>
        <w:rPr>
          <w:rFonts w:ascii="SimSun" w:eastAsia="SimSun" w:hAnsi="SimSun" w:cs="SimSun"/>
          <w:spacing w:val="98"/>
        </w:rPr>
        <w:t xml:space="preserve"> </w:t>
      </w:r>
      <w:r>
        <w:rPr>
          <w:spacing w:val="-7"/>
        </w:rPr>
        <w:t>研究的汇总分析，这两项研究均为多中心、</w:t>
      </w:r>
      <w:r>
        <w:t xml:space="preserve"> </w:t>
      </w:r>
      <w:r>
        <w:rPr>
          <w:spacing w:val="-2"/>
        </w:rPr>
        <w:t>随机、对照、Ⅱ期研究，该汇总分析纳入了73例一线接</w:t>
      </w:r>
      <w:r>
        <w:rPr>
          <w:spacing w:val="-3"/>
        </w:rPr>
        <w:t>受免疫治疗失败</w:t>
      </w:r>
      <w:r>
        <w:t xml:space="preserve"> </w:t>
      </w:r>
      <w:r>
        <w:rPr>
          <w:spacing w:val="-1"/>
        </w:rPr>
        <w:t>的晚期</w:t>
      </w:r>
      <w:r>
        <w:rPr>
          <w:spacing w:val="-70"/>
        </w:rPr>
        <w:t xml:space="preserve"> </w:t>
      </w:r>
      <w:r>
        <w:rPr>
          <w:rFonts w:ascii="SimSun" w:eastAsia="SimSun" w:hAnsi="SimSun" w:cs="SimSun"/>
          <w:spacing w:val="-1"/>
        </w:rPr>
        <w:t>NSCLC</w:t>
      </w:r>
      <w:r>
        <w:rPr>
          <w:rFonts w:ascii="SimSun" w:eastAsia="SimSun" w:hAnsi="SimSun" w:cs="SimSun"/>
          <w:spacing w:val="52"/>
        </w:rPr>
        <w:t xml:space="preserve"> </w:t>
      </w:r>
      <w:r>
        <w:rPr>
          <w:spacing w:val="-1"/>
        </w:rPr>
        <w:t>患者，入组患者经1:1分组分别给予安罗替尼联合</w:t>
      </w:r>
      <w:r>
        <w:rPr>
          <w:spacing w:val="-2"/>
        </w:rPr>
        <w:t>多西他</w:t>
      </w:r>
      <w:r>
        <w:t xml:space="preserve"> </w:t>
      </w:r>
      <w:r>
        <w:rPr>
          <w:spacing w:val="4"/>
        </w:rPr>
        <w:t>赛对比多西他赛单药治疗，结果显示两组</w:t>
      </w:r>
      <w:r>
        <w:rPr>
          <w:rFonts w:ascii="Arial" w:eastAsia="Arial" w:hAnsi="Arial" w:cs="Arial"/>
        </w:rPr>
        <w:t>ORR</w:t>
      </w:r>
      <w:r>
        <w:rPr>
          <w:spacing w:val="4"/>
        </w:rPr>
        <w:t>分别为33.33%和12.50%</w:t>
      </w:r>
      <w:r>
        <w:rPr>
          <w:spacing w:val="2"/>
        </w:rPr>
        <w:t xml:space="preserve"> </w:t>
      </w:r>
      <w:r>
        <w:rPr>
          <w:rFonts w:ascii="Arial" w:eastAsia="Arial" w:hAnsi="Arial" w:cs="Arial"/>
        </w:rPr>
        <w:tab/>
      </w:r>
      <w:r>
        <w:rPr>
          <w:rFonts w:ascii="Arial" w:eastAsia="Arial" w:hAnsi="Arial" w:cs="Arial"/>
          <w:spacing w:val="8"/>
        </w:rPr>
        <w:t>(P=0.048),</w:t>
      </w:r>
      <w:r>
        <w:rPr>
          <w:rFonts w:ascii="Arial" w:eastAsia="Arial" w:hAnsi="Arial" w:cs="Arial"/>
        </w:rPr>
        <w:t>DCR</w:t>
      </w:r>
      <w:r>
        <w:rPr>
          <w:rFonts w:ascii="Arial" w:eastAsia="Arial" w:hAnsi="Arial" w:cs="Arial"/>
          <w:spacing w:val="4"/>
        </w:rPr>
        <w:t xml:space="preserve">    </w:t>
      </w:r>
      <w:r>
        <w:rPr>
          <w:spacing w:val="8"/>
        </w:rPr>
        <w:t>为93.02%和62.50%</w:t>
      </w:r>
      <w:r>
        <w:rPr>
          <w:rFonts w:ascii="Arial" w:eastAsia="Arial" w:hAnsi="Arial" w:cs="Arial"/>
          <w:spacing w:val="8"/>
        </w:rPr>
        <w:t>(P=0.002),</w:t>
      </w:r>
      <w:r>
        <w:rPr>
          <w:rFonts w:ascii="Arial" w:eastAsia="Arial" w:hAnsi="Arial" w:cs="Arial"/>
        </w:rPr>
        <w:t>mPFS</w:t>
      </w:r>
      <w:r>
        <w:rPr>
          <w:rFonts w:ascii="Arial" w:eastAsia="Arial" w:hAnsi="Arial" w:cs="Arial"/>
          <w:spacing w:val="3"/>
        </w:rPr>
        <w:t xml:space="preserve">    </w:t>
      </w:r>
      <w:r>
        <w:rPr>
          <w:spacing w:val="8"/>
        </w:rPr>
        <w:t>分别为7.6</w:t>
      </w:r>
      <w:r>
        <w:rPr>
          <w:spacing w:val="1"/>
        </w:rPr>
        <w:t xml:space="preserve"> </w:t>
      </w:r>
      <w:r>
        <w:rPr>
          <w:spacing w:val="-1"/>
        </w:rPr>
        <w:t>个月和2.5个月</w:t>
      </w:r>
      <w:r>
        <w:rPr>
          <w:rFonts w:ascii="Arial" w:eastAsia="Arial" w:hAnsi="Arial" w:cs="Arial"/>
          <w:spacing w:val="-1"/>
        </w:rPr>
        <w:t xml:space="preserve">(P&lt;0.001),    </w:t>
      </w:r>
      <w:r>
        <w:rPr>
          <w:spacing w:val="-1"/>
        </w:rPr>
        <w:t>提示在免疫耐药的晚期</w:t>
      </w:r>
      <w:r>
        <w:rPr>
          <w:spacing w:val="-53"/>
        </w:rPr>
        <w:t xml:space="preserve"> </w:t>
      </w:r>
      <w:r>
        <w:rPr>
          <w:rFonts w:ascii="Arial" w:eastAsia="Arial" w:hAnsi="Arial" w:cs="Arial"/>
          <w:spacing w:val="-1"/>
        </w:rPr>
        <w:t>NS</w:t>
      </w:r>
      <w:r>
        <w:rPr>
          <w:rFonts w:ascii="Arial" w:eastAsia="Arial" w:hAnsi="Arial" w:cs="Arial"/>
          <w:spacing w:val="-2"/>
        </w:rPr>
        <w:t>CLC</w:t>
      </w:r>
      <w:r>
        <w:rPr>
          <w:spacing w:val="-2"/>
        </w:rPr>
        <w:t>患者中，安</w:t>
      </w:r>
      <w:r>
        <w:t xml:space="preserve"> </w:t>
      </w:r>
      <w:r>
        <w:rPr>
          <w:spacing w:val="-11"/>
        </w:rPr>
        <w:t>罗替尼联合多西他赛相比单药化疗具有更强的疗效，且研究结果显示安全</w:t>
      </w:r>
      <w:r>
        <w:rPr>
          <w:spacing w:val="12"/>
        </w:rPr>
        <w:t xml:space="preserve"> </w:t>
      </w:r>
      <w:r>
        <w:rPr>
          <w:spacing w:val="-2"/>
        </w:rPr>
        <w:t>性仍然可控[82]。除贝伐珠单抗和安罗替尼之外，雷莫西尤单抗也是一</w:t>
      </w:r>
      <w:r>
        <w:t xml:space="preserve"> </w:t>
      </w:r>
      <w:r>
        <w:rPr>
          <w:spacing w:val="12"/>
        </w:rPr>
        <w:t>种人血管内皮生长因子受体2</w:t>
      </w:r>
      <w:r>
        <w:rPr>
          <w:rFonts w:ascii="SimSun" w:eastAsia="SimSun" w:hAnsi="SimSun" w:cs="SimSun"/>
          <w:spacing w:val="12"/>
        </w:rPr>
        <w:t>(</w:t>
      </w:r>
      <w:r>
        <w:rPr>
          <w:rFonts w:ascii="SimSun" w:eastAsia="SimSun" w:hAnsi="SimSun" w:cs="SimSun"/>
        </w:rPr>
        <w:t>vascular</w:t>
      </w:r>
      <w:r>
        <w:rPr>
          <w:rFonts w:ascii="SimSun" w:eastAsia="SimSun" w:hAnsi="SimSun" w:cs="SimSun"/>
          <w:spacing w:val="12"/>
        </w:rPr>
        <w:t xml:space="preserve"> </w:t>
      </w:r>
      <w:r>
        <w:rPr>
          <w:rFonts w:ascii="SimSun" w:eastAsia="SimSun" w:hAnsi="SimSun" w:cs="SimSun"/>
        </w:rPr>
        <w:t>endothelial</w:t>
      </w:r>
      <w:r>
        <w:rPr>
          <w:rFonts w:ascii="SimSun" w:eastAsia="SimSun" w:hAnsi="SimSun" w:cs="SimSun"/>
          <w:spacing w:val="12"/>
        </w:rPr>
        <w:t xml:space="preserve"> </w:t>
      </w:r>
      <w:r>
        <w:rPr>
          <w:rFonts w:ascii="SimSun" w:eastAsia="SimSun" w:hAnsi="SimSun" w:cs="SimSun"/>
        </w:rPr>
        <w:t>growth</w:t>
      </w:r>
      <w:r>
        <w:rPr>
          <w:rFonts w:ascii="SimSun" w:eastAsia="SimSun" w:hAnsi="SimSun" w:cs="SimSun"/>
          <w:spacing w:val="12"/>
        </w:rPr>
        <w:t xml:space="preserve"> </w:t>
      </w:r>
      <w:r>
        <w:rPr>
          <w:rFonts w:ascii="SimSun" w:eastAsia="SimSun" w:hAnsi="SimSun" w:cs="SimSun"/>
        </w:rPr>
        <w:t>factor</w:t>
      </w:r>
      <w:r>
        <w:rPr>
          <w:rFonts w:ascii="SimSun" w:eastAsia="SimSun" w:hAnsi="SimSun" w:cs="SimSun"/>
          <w:spacing w:val="12"/>
        </w:rPr>
        <w:t xml:space="preserve"> </w:t>
      </w:r>
      <w:r>
        <w:rPr>
          <w:rFonts w:ascii="SimSun" w:eastAsia="SimSun" w:hAnsi="SimSun" w:cs="SimSun"/>
          <w:spacing w:val="-3"/>
        </w:rPr>
        <w:t>receptor   2,VEGFR2)</w:t>
      </w:r>
      <w:r>
        <w:rPr>
          <w:spacing w:val="-3"/>
        </w:rPr>
        <w:t>拮抗剂，它能够特异性地与</w:t>
      </w:r>
      <w:r>
        <w:rPr>
          <w:rFonts w:ascii="SimSun" w:eastAsia="SimSun" w:hAnsi="SimSun" w:cs="SimSun"/>
          <w:spacing w:val="-3"/>
        </w:rPr>
        <w:t>VEGFR</w:t>
      </w:r>
      <w:r>
        <w:rPr>
          <w:rFonts w:ascii="SimSun" w:eastAsia="SimSun" w:hAnsi="SimSun" w:cs="SimSun"/>
          <w:spacing w:val="67"/>
        </w:rPr>
        <w:t xml:space="preserve"> </w:t>
      </w:r>
      <w:r>
        <w:rPr>
          <w:spacing w:val="-3"/>
        </w:rPr>
        <w:t>结合，阻断受</w:t>
      </w:r>
      <w:r>
        <w:t xml:space="preserve"> </w:t>
      </w:r>
      <w:r>
        <w:rPr>
          <w:spacing w:val="-8"/>
        </w:rPr>
        <w:t>体与</w:t>
      </w:r>
      <w:r>
        <w:rPr>
          <w:rFonts w:ascii="Arial" w:eastAsia="Arial" w:hAnsi="Arial" w:cs="Arial"/>
          <w:spacing w:val="-8"/>
        </w:rPr>
        <w:t>VEGF</w:t>
      </w:r>
      <w:r>
        <w:rPr>
          <w:spacing w:val="-8"/>
        </w:rPr>
        <w:t>的结合，从而抑制肿瘤血管生成达到抗肿瘤作用。雷莫西尤单</w:t>
      </w:r>
      <w:r>
        <w:rPr>
          <w:spacing w:val="4"/>
        </w:rPr>
        <w:t xml:space="preserve"> </w:t>
      </w:r>
      <w:r>
        <w:rPr>
          <w:spacing w:val="-7"/>
        </w:rPr>
        <w:t>抗</w:t>
      </w:r>
      <w:r>
        <w:rPr>
          <w:spacing w:val="-37"/>
        </w:rPr>
        <w:t xml:space="preserve"> </w:t>
      </w:r>
      <w:r>
        <w:rPr>
          <w:spacing w:val="-7"/>
        </w:rPr>
        <w:t>已</w:t>
      </w:r>
      <w:r>
        <w:rPr>
          <w:spacing w:val="-50"/>
        </w:rPr>
        <w:t xml:space="preserve"> </w:t>
      </w:r>
      <w:r>
        <w:rPr>
          <w:spacing w:val="-7"/>
        </w:rPr>
        <w:t>获</w:t>
      </w:r>
      <w:r>
        <w:rPr>
          <w:spacing w:val="-53"/>
        </w:rPr>
        <w:t xml:space="preserve"> </w:t>
      </w:r>
      <w:r>
        <w:rPr>
          <w:spacing w:val="-7"/>
        </w:rPr>
        <w:t>得</w:t>
      </w:r>
      <w:r>
        <w:rPr>
          <w:spacing w:val="-38"/>
        </w:rPr>
        <w:t xml:space="preserve"> </w:t>
      </w:r>
      <w:r>
        <w:rPr>
          <w:spacing w:val="-7"/>
        </w:rPr>
        <w:t>国</w:t>
      </w:r>
      <w:r>
        <w:rPr>
          <w:spacing w:val="-50"/>
        </w:rPr>
        <w:t xml:space="preserve"> </w:t>
      </w:r>
      <w:r>
        <w:rPr>
          <w:spacing w:val="-7"/>
        </w:rPr>
        <w:t>家</w:t>
      </w:r>
      <w:r>
        <w:rPr>
          <w:spacing w:val="-52"/>
        </w:rPr>
        <w:t xml:space="preserve"> </w:t>
      </w:r>
      <w:r>
        <w:rPr>
          <w:spacing w:val="-7"/>
        </w:rPr>
        <w:t>药</w:t>
      </w:r>
      <w:r>
        <w:rPr>
          <w:spacing w:val="-40"/>
        </w:rPr>
        <w:t xml:space="preserve"> </w:t>
      </w:r>
      <w:r>
        <w:rPr>
          <w:spacing w:val="-7"/>
        </w:rPr>
        <w:t>品</w:t>
      </w:r>
      <w:r>
        <w:rPr>
          <w:spacing w:val="-55"/>
        </w:rPr>
        <w:t xml:space="preserve"> </w:t>
      </w:r>
      <w:r>
        <w:rPr>
          <w:spacing w:val="-7"/>
        </w:rPr>
        <w:t>监</w:t>
      </w:r>
      <w:r>
        <w:rPr>
          <w:spacing w:val="-52"/>
        </w:rPr>
        <w:t xml:space="preserve"> </w:t>
      </w:r>
      <w:r>
        <w:rPr>
          <w:spacing w:val="-7"/>
        </w:rPr>
        <w:t>督</w:t>
      </w:r>
      <w:r>
        <w:rPr>
          <w:spacing w:val="-52"/>
        </w:rPr>
        <w:t xml:space="preserve"> </w:t>
      </w:r>
      <w:r>
        <w:rPr>
          <w:spacing w:val="-7"/>
        </w:rPr>
        <w:t>管</w:t>
      </w:r>
      <w:r>
        <w:rPr>
          <w:spacing w:val="-55"/>
        </w:rPr>
        <w:t xml:space="preserve"> </w:t>
      </w:r>
      <w:r>
        <w:rPr>
          <w:spacing w:val="-7"/>
        </w:rPr>
        <w:t>理</w:t>
      </w:r>
      <w:r>
        <w:rPr>
          <w:spacing w:val="-54"/>
        </w:rPr>
        <w:t xml:space="preserve"> </w:t>
      </w:r>
      <w:r>
        <w:rPr>
          <w:spacing w:val="-7"/>
        </w:rPr>
        <w:t>局</w:t>
      </w:r>
      <w:r>
        <w:rPr>
          <w:spacing w:val="-7"/>
        </w:rPr>
        <w:t xml:space="preserve"> </w:t>
      </w:r>
      <w:r>
        <w:rPr>
          <w:rFonts w:ascii="SimSun" w:eastAsia="SimSun" w:hAnsi="SimSun" w:cs="SimSun"/>
          <w:spacing w:val="-7"/>
        </w:rPr>
        <w:t>(National</w:t>
      </w:r>
      <w:r>
        <w:rPr>
          <w:rFonts w:ascii="SimSun" w:eastAsia="SimSun" w:hAnsi="SimSun" w:cs="SimSun"/>
          <w:spacing w:val="30"/>
        </w:rPr>
        <w:t xml:space="preserve">  </w:t>
      </w:r>
      <w:r>
        <w:rPr>
          <w:rFonts w:ascii="SimSun" w:eastAsia="SimSun" w:hAnsi="SimSun" w:cs="SimSun"/>
          <w:spacing w:val="-7"/>
        </w:rPr>
        <w:t>Medica</w:t>
      </w:r>
      <w:r>
        <w:rPr>
          <w:rFonts w:ascii="SimSun" w:eastAsia="SimSun" w:hAnsi="SimSun" w:cs="SimSun"/>
          <w:spacing w:val="-8"/>
        </w:rPr>
        <w:t>l</w:t>
      </w:r>
      <w:r>
        <w:rPr>
          <w:rFonts w:ascii="SimSun" w:eastAsia="SimSun" w:hAnsi="SimSun" w:cs="SimSun"/>
          <w:spacing w:val="33"/>
        </w:rPr>
        <w:t xml:space="preserve">  </w:t>
      </w:r>
      <w:r>
        <w:rPr>
          <w:rFonts w:ascii="SimSun" w:eastAsia="SimSun" w:hAnsi="SimSun" w:cs="SimSun"/>
          <w:spacing w:val="-8"/>
        </w:rPr>
        <w:t>Products</w:t>
      </w:r>
      <w:r>
        <w:rPr>
          <w:rFonts w:ascii="SimSun" w:eastAsia="SimSun" w:hAnsi="SimSun" w:cs="SimSun"/>
          <w:spacing w:val="1"/>
        </w:rPr>
        <w:t xml:space="preserve"> </w:t>
      </w:r>
      <w:r>
        <w:rPr>
          <w:rFonts w:ascii="SimSun" w:eastAsia="SimSun" w:hAnsi="SimSun" w:cs="SimSun"/>
          <w:spacing w:val="-4"/>
        </w:rPr>
        <w:t>Administration,NMPA)</w:t>
      </w:r>
      <w:r>
        <w:rPr>
          <w:rFonts w:ascii="SimSun" w:eastAsia="SimSun" w:hAnsi="SimSun" w:cs="SimSun"/>
          <w:spacing w:val="51"/>
        </w:rPr>
        <w:t xml:space="preserve">  </w:t>
      </w:r>
      <w:r>
        <w:rPr>
          <w:spacing w:val="-4"/>
        </w:rPr>
        <w:t>批准上市用</w:t>
      </w:r>
      <w:r>
        <w:rPr>
          <w:spacing w:val="-5"/>
        </w:rPr>
        <w:t>于晚期胃或胃食管结合部腺癌二线</w:t>
      </w:r>
      <w:r>
        <w:t xml:space="preserve"> </w:t>
      </w:r>
      <w:r>
        <w:rPr>
          <w:spacing w:val="5"/>
        </w:rPr>
        <w:t>治疗。</w:t>
      </w:r>
      <w:r>
        <w:rPr>
          <w:rFonts w:ascii="Arial" w:eastAsia="Arial" w:hAnsi="Arial" w:cs="Arial"/>
        </w:rPr>
        <w:t>Tozuka</w:t>
      </w:r>
      <w:r>
        <w:rPr>
          <w:rFonts w:ascii="Arial" w:eastAsia="Arial" w:hAnsi="Arial" w:cs="Arial"/>
          <w:spacing w:val="2"/>
        </w:rPr>
        <w:t xml:space="preserve"> </w:t>
      </w:r>
      <w:r>
        <w:rPr>
          <w:spacing w:val="5"/>
        </w:rPr>
        <w:t>等[83]进行的一项回顾性研究，纳入99例晚期</w:t>
      </w:r>
      <w:r>
        <w:rPr>
          <w:spacing w:val="-54"/>
        </w:rPr>
        <w:t xml:space="preserve"> </w:t>
      </w:r>
      <w:r>
        <w:rPr>
          <w:rFonts w:ascii="Arial" w:eastAsia="Arial" w:hAnsi="Arial" w:cs="Arial"/>
        </w:rPr>
        <w:t xml:space="preserve">NSCLC  </w:t>
      </w:r>
      <w:r>
        <w:rPr>
          <w:spacing w:val="2"/>
        </w:rPr>
        <w:t>患者，其中39例接受过免疫治疗，所有患者接受多西他赛或多西他</w:t>
      </w:r>
      <w:r>
        <w:rPr>
          <w:spacing w:val="1"/>
        </w:rPr>
        <w:t>赛+</w:t>
      </w:r>
      <w:r>
        <w:t xml:space="preserve"> </w:t>
      </w:r>
      <w:r>
        <w:rPr>
          <w:spacing w:val="-7"/>
        </w:rPr>
        <w:t>雷莫西尤单抗治疗，结果发现在接受免疫治疗的患者中，雷莫西</w:t>
      </w:r>
      <w:r>
        <w:rPr>
          <w:spacing w:val="-8"/>
        </w:rPr>
        <w:t>尤单抗+</w:t>
      </w:r>
      <w:r>
        <w:t xml:space="preserve"> </w:t>
      </w:r>
      <w:r>
        <w:rPr>
          <w:spacing w:val="-5"/>
        </w:rPr>
        <w:t>多西他赛≥二线治疗的</w:t>
      </w:r>
      <w:r>
        <w:rPr>
          <w:spacing w:val="-67"/>
        </w:rPr>
        <w:t xml:space="preserve"> </w:t>
      </w:r>
      <w:r>
        <w:rPr>
          <w:rFonts w:ascii="SimSun" w:eastAsia="SimSun" w:hAnsi="SimSun" w:cs="SimSun"/>
          <w:spacing w:val="-5"/>
        </w:rPr>
        <w:t>mPFS</w:t>
      </w:r>
      <w:r>
        <w:rPr>
          <w:rFonts w:ascii="SimSun" w:eastAsia="SimSun" w:hAnsi="SimSun" w:cs="SimSun"/>
          <w:spacing w:val="59"/>
        </w:rPr>
        <w:t xml:space="preserve"> </w:t>
      </w:r>
      <w:r>
        <w:rPr>
          <w:spacing w:val="-5"/>
        </w:rPr>
        <w:t>为5.9个月，显著优于多西他赛(2.8</w:t>
      </w:r>
      <w:r>
        <w:rPr>
          <w:spacing w:val="-6"/>
        </w:rPr>
        <w:t>个月，</w:t>
      </w:r>
      <w:r>
        <w:t xml:space="preserve"> </w:t>
      </w:r>
      <w:r>
        <w:rPr>
          <w:rFonts w:ascii="Arial" w:eastAsia="Arial" w:hAnsi="Arial" w:cs="Arial"/>
          <w:spacing w:val="-1"/>
        </w:rPr>
        <w:t>P=0.03)mOS</w:t>
      </w:r>
      <w:r>
        <w:rPr>
          <w:rFonts w:ascii="Arial" w:eastAsia="Arial" w:hAnsi="Arial" w:cs="Arial"/>
          <w:spacing w:val="32"/>
        </w:rPr>
        <w:t xml:space="preserve">  </w:t>
      </w:r>
      <w:r>
        <w:rPr>
          <w:spacing w:val="-1"/>
        </w:rPr>
        <w:t>为19.8个月,有优于多西他赛的趋势(8.6个月</w:t>
      </w:r>
      <w:r>
        <w:rPr>
          <w:spacing w:val="-53"/>
        </w:rPr>
        <w:t xml:space="preserve"> </w:t>
      </w:r>
      <w:r>
        <w:rPr>
          <w:rFonts w:ascii="Arial" w:eastAsia="Arial" w:hAnsi="Arial" w:cs="Arial"/>
          <w:spacing w:val="-1"/>
        </w:rPr>
        <w:t>P=0.10)</w:t>
      </w:r>
      <w:r>
        <w:rPr>
          <w:rFonts w:ascii="SimSun" w:eastAsia="SimSun" w:hAnsi="SimSun" w:cs="SimSun"/>
          <w:spacing w:val="-1"/>
        </w:rPr>
        <w:t>。</w:t>
      </w:r>
    </w:p>
    <w:p>
      <w:pPr>
        <w:pStyle w:val="BodyText"/>
        <w:spacing w:before="1" w:line="212" w:lineRule="auto"/>
        <w:ind w:left="13"/>
      </w:pPr>
      <w:r>
        <w:rPr>
          <w:spacing w:val="-3"/>
        </w:rPr>
        <w:t>另外一项回顾性研究，纳入67例一线接受化疗二线接受免疫治疗失败后</w:t>
      </w:r>
    </w:p>
    <w:p>
      <w:pPr>
        <w:spacing w:line="21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https://d.book118.com/937152066110006044</w:t>
        </w:r>
      </w:hyperlink>
    </w:p>
    <w:p>
      <w:pPr>
        <w:spacing w:line="212" w:lineRule="auto"/>
      </w:pPr>
    </w:p>
    <w:sectPr>
      <w:pgSz w:w="11910" w:h="16840"/>
      <w:pgMar w:top="1431" w:right="1744" w:bottom="0" w:left="1786" w:header="0" w:footer="0" w:gutter="0"/>
      <w:pgNumType w:start="3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7152066110006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2024-02-26T18:11:53Z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2024-02-26T18:11:58Z</vt:filetime>
  </property>
  <property fmtid="{D5CDD505-2E9C-101B-9397-08002B2CF9AE}" pid="3" name="CRO">
    <vt:lpwstr>wqlLaW5nc29mdCBQREYgdG8gV1BTIDkw</vt:lpwstr>
  </property>
  <property fmtid="{D5CDD505-2E9C-101B-9397-08002B2CF9AE}" pid="4" name="UsrData">
    <vt:lpwstr>65dc63e249c6c1001f61b65awl</vt:lpwstr>
  </property>
</Properties>
</file>