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高性能油墨项目规划设计纲要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229" w:history="1">
        <w:r>
          <w:rPr>
            <w:rFonts w:ascii="仿宋" w:eastAsia="仿宋" w:hAnsi="仿宋" w:cs="仿宋" w:hint="eastAsia"/>
            <w:lang w:eastAsia="zh-CN"/>
          </w:rPr>
          <w:t>前言</w:t>
        </w:r>
        <w:r>
          <w:tab/>
        </w:r>
        <w:r>
          <w:fldChar w:fldCharType="begin"/>
        </w:r>
        <w:r>
          <w:instrText xml:space="preserve"> PAGEREF _Toc13229 \h </w:instrText>
        </w:r>
        <w:r>
          <w:fldChar w:fldCharType="separate"/>
        </w:r>
        <w:r>
          <w:t>3</w:t>
        </w:r>
        <w:r>
          <w:fldChar w:fldCharType="end"/>
        </w:r>
      </w:hyperlink>
    </w:p>
    <w:p>
      <w:pPr>
        <w:pStyle w:val="TOC1"/>
        <w:tabs>
          <w:tab w:val="right" w:leader="dot" w:pos="8306"/>
        </w:tabs>
      </w:pPr>
      <w:hyperlink w:anchor="_Toc20691" w:history="1">
        <w:r>
          <w:rPr>
            <w:rFonts w:ascii="仿宋" w:eastAsia="仿宋" w:hAnsi="仿宋" w:cs="仿宋" w:hint="eastAsia"/>
            <w:lang w:eastAsia="zh-CN"/>
          </w:rPr>
          <w:t>一、市场分析、调研</w:t>
        </w:r>
        <w:r>
          <w:tab/>
        </w:r>
        <w:r>
          <w:fldChar w:fldCharType="begin"/>
        </w:r>
        <w:r>
          <w:instrText xml:space="preserve"> PAGEREF _Toc20691 \h </w:instrText>
        </w:r>
        <w:r>
          <w:fldChar w:fldCharType="separate"/>
        </w:r>
        <w:r>
          <w:t>3</w:t>
        </w:r>
        <w:r>
          <w:fldChar w:fldCharType="end"/>
        </w:r>
      </w:hyperlink>
    </w:p>
    <w:p>
      <w:pPr>
        <w:pStyle w:val="TOC2"/>
        <w:tabs>
          <w:tab w:val="right" w:leader="dot" w:pos="8306"/>
        </w:tabs>
      </w:pPr>
      <w:hyperlink w:anchor="_Toc25327" w:history="1">
        <w:r>
          <w:rPr>
            <w:rFonts w:ascii="仿宋" w:eastAsia="仿宋" w:hAnsi="仿宋" w:cs="仿宋" w:hint="eastAsia"/>
            <w:lang w:eastAsia="zh-CN"/>
          </w:rPr>
          <w:t>(一)、高性能油墨行业分析</w:t>
        </w:r>
        <w:r>
          <w:tab/>
        </w:r>
        <w:r>
          <w:fldChar w:fldCharType="begin"/>
        </w:r>
        <w:r>
          <w:instrText xml:space="preserve"> PAGEREF _Toc25327 \h </w:instrText>
        </w:r>
        <w:r>
          <w:fldChar w:fldCharType="separate"/>
        </w:r>
        <w:r>
          <w:t>3</w:t>
        </w:r>
        <w:r>
          <w:fldChar w:fldCharType="end"/>
        </w:r>
      </w:hyperlink>
    </w:p>
    <w:p>
      <w:pPr>
        <w:pStyle w:val="TOC2"/>
        <w:tabs>
          <w:tab w:val="right" w:leader="dot" w:pos="8306"/>
        </w:tabs>
      </w:pPr>
      <w:hyperlink w:anchor="_Toc12897" w:history="1">
        <w:r>
          <w:rPr>
            <w:rFonts w:ascii="仿宋" w:eastAsia="仿宋" w:hAnsi="仿宋" w:cs="仿宋" w:hint="eastAsia"/>
            <w:lang w:eastAsia="zh-CN"/>
          </w:rPr>
          <w:t>(二)、高性能油墨市场分析预测</w:t>
        </w:r>
        <w:r>
          <w:tab/>
        </w:r>
        <w:r>
          <w:fldChar w:fldCharType="begin"/>
        </w:r>
        <w:r>
          <w:instrText xml:space="preserve"> PAGEREF _Toc12897 \h </w:instrText>
        </w:r>
        <w:r>
          <w:fldChar w:fldCharType="separate"/>
        </w:r>
        <w:r>
          <w:t>4</w:t>
        </w:r>
        <w:r>
          <w:fldChar w:fldCharType="end"/>
        </w:r>
      </w:hyperlink>
    </w:p>
    <w:p>
      <w:pPr>
        <w:pStyle w:val="TOC1"/>
        <w:tabs>
          <w:tab w:val="right" w:leader="dot" w:pos="8306"/>
        </w:tabs>
      </w:pPr>
      <w:hyperlink w:anchor="_Toc11111" w:history="1">
        <w:r>
          <w:rPr>
            <w:rFonts w:ascii="仿宋" w:eastAsia="仿宋" w:hAnsi="仿宋" w:cs="仿宋" w:hint="eastAsia"/>
            <w:lang w:eastAsia="zh-CN"/>
          </w:rPr>
          <w:t>二、高性能油墨项目绩效评估</w:t>
        </w:r>
        <w:r>
          <w:tab/>
        </w:r>
        <w:r>
          <w:fldChar w:fldCharType="begin"/>
        </w:r>
        <w:r>
          <w:instrText xml:space="preserve"> PAGEREF _Toc11111 \h </w:instrText>
        </w:r>
        <w:r>
          <w:fldChar w:fldCharType="separate"/>
        </w:r>
        <w:r>
          <w:t>5</w:t>
        </w:r>
        <w:r>
          <w:fldChar w:fldCharType="end"/>
        </w:r>
      </w:hyperlink>
    </w:p>
    <w:p>
      <w:pPr>
        <w:pStyle w:val="TOC2"/>
        <w:tabs>
          <w:tab w:val="right" w:leader="dot" w:pos="8306"/>
        </w:tabs>
      </w:pPr>
      <w:hyperlink w:anchor="_Toc24624" w:history="1">
        <w:r>
          <w:rPr>
            <w:rFonts w:ascii="仿宋" w:eastAsia="仿宋" w:hAnsi="仿宋" w:cs="仿宋" w:hint="eastAsia"/>
            <w:lang w:eastAsia="zh-CN"/>
          </w:rPr>
          <w:t>(一)、绩效评估指标</w:t>
        </w:r>
        <w:r>
          <w:tab/>
        </w:r>
        <w:r>
          <w:fldChar w:fldCharType="begin"/>
        </w:r>
        <w:r>
          <w:instrText xml:space="preserve"> PAGEREF _Toc24624 \h </w:instrText>
        </w:r>
        <w:r>
          <w:fldChar w:fldCharType="separate"/>
        </w:r>
        <w:r>
          <w:t>5</w:t>
        </w:r>
        <w:r>
          <w:fldChar w:fldCharType="end"/>
        </w:r>
      </w:hyperlink>
    </w:p>
    <w:p>
      <w:pPr>
        <w:pStyle w:val="TOC2"/>
        <w:tabs>
          <w:tab w:val="right" w:leader="dot" w:pos="8306"/>
        </w:tabs>
      </w:pPr>
      <w:hyperlink w:anchor="_Toc8312" w:history="1">
        <w:r>
          <w:rPr>
            <w:rFonts w:ascii="仿宋" w:eastAsia="仿宋" w:hAnsi="仿宋" w:cs="仿宋" w:hint="eastAsia"/>
            <w:lang w:eastAsia="zh-CN"/>
          </w:rPr>
          <w:t>(二)、绩效评估方法</w:t>
        </w:r>
        <w:r>
          <w:tab/>
        </w:r>
        <w:r>
          <w:fldChar w:fldCharType="begin"/>
        </w:r>
        <w:r>
          <w:instrText xml:space="preserve"> PAGEREF _Toc8312 \h </w:instrText>
        </w:r>
        <w:r>
          <w:fldChar w:fldCharType="separate"/>
        </w:r>
        <w:r>
          <w:t>6</w:t>
        </w:r>
        <w:r>
          <w:fldChar w:fldCharType="end"/>
        </w:r>
      </w:hyperlink>
    </w:p>
    <w:p>
      <w:pPr>
        <w:pStyle w:val="TOC2"/>
        <w:tabs>
          <w:tab w:val="right" w:leader="dot" w:pos="8306"/>
        </w:tabs>
      </w:pPr>
      <w:hyperlink w:anchor="_Toc18727" w:history="1">
        <w:r>
          <w:rPr>
            <w:rFonts w:ascii="仿宋" w:eastAsia="仿宋" w:hAnsi="仿宋" w:cs="仿宋" w:hint="eastAsia"/>
            <w:lang w:eastAsia="zh-CN"/>
          </w:rPr>
          <w:t>(三)、绩效评估周期</w:t>
        </w:r>
        <w:r>
          <w:tab/>
        </w:r>
        <w:r>
          <w:fldChar w:fldCharType="begin"/>
        </w:r>
        <w:r>
          <w:instrText xml:space="preserve"> PAGEREF _Toc18727 \h </w:instrText>
        </w:r>
        <w:r>
          <w:fldChar w:fldCharType="separate"/>
        </w:r>
        <w:r>
          <w:t>7</w:t>
        </w:r>
        <w:r>
          <w:fldChar w:fldCharType="end"/>
        </w:r>
      </w:hyperlink>
    </w:p>
    <w:p>
      <w:pPr>
        <w:pStyle w:val="TOC1"/>
        <w:tabs>
          <w:tab w:val="right" w:leader="dot" w:pos="8306"/>
        </w:tabs>
      </w:pPr>
      <w:hyperlink w:anchor="_Toc16947" w:history="1">
        <w:r>
          <w:rPr>
            <w:rFonts w:ascii="仿宋" w:eastAsia="仿宋" w:hAnsi="仿宋" w:cs="仿宋" w:hint="eastAsia"/>
            <w:lang w:eastAsia="zh-CN"/>
          </w:rPr>
          <w:t>三、高性能油墨项目可持续发展</w:t>
        </w:r>
        <w:r>
          <w:tab/>
        </w:r>
        <w:r>
          <w:fldChar w:fldCharType="begin"/>
        </w:r>
        <w:r>
          <w:instrText xml:space="preserve"> PAGEREF _Toc16947 \h </w:instrText>
        </w:r>
        <w:r>
          <w:fldChar w:fldCharType="separate"/>
        </w:r>
        <w:r>
          <w:t>8</w:t>
        </w:r>
        <w:r>
          <w:fldChar w:fldCharType="end"/>
        </w:r>
      </w:hyperlink>
    </w:p>
    <w:p>
      <w:pPr>
        <w:pStyle w:val="TOC2"/>
        <w:tabs>
          <w:tab w:val="right" w:leader="dot" w:pos="8306"/>
        </w:tabs>
      </w:pPr>
      <w:hyperlink w:anchor="_Toc11961" w:history="1">
        <w:r>
          <w:rPr>
            <w:rFonts w:ascii="仿宋" w:eastAsia="仿宋" w:hAnsi="仿宋" w:cs="仿宋" w:hint="eastAsia"/>
            <w:lang w:eastAsia="zh-CN"/>
          </w:rPr>
          <w:t>(一)、可持续战略与实践</w:t>
        </w:r>
        <w:r>
          <w:tab/>
        </w:r>
        <w:r>
          <w:fldChar w:fldCharType="begin"/>
        </w:r>
        <w:r>
          <w:instrText xml:space="preserve"> PAGEREF _Toc11961 \h </w:instrText>
        </w:r>
        <w:r>
          <w:fldChar w:fldCharType="separate"/>
        </w:r>
        <w:r>
          <w:t>8</w:t>
        </w:r>
        <w:r>
          <w:fldChar w:fldCharType="end"/>
        </w:r>
      </w:hyperlink>
    </w:p>
    <w:p>
      <w:pPr>
        <w:pStyle w:val="TOC2"/>
        <w:tabs>
          <w:tab w:val="right" w:leader="dot" w:pos="8306"/>
        </w:tabs>
      </w:pPr>
      <w:hyperlink w:anchor="_Toc3930" w:history="1">
        <w:r>
          <w:rPr>
            <w:rFonts w:ascii="仿宋" w:eastAsia="仿宋" w:hAnsi="仿宋" w:cs="仿宋" w:hint="eastAsia"/>
            <w:lang w:eastAsia="zh-CN"/>
          </w:rPr>
          <w:t>(二)、环保与社会责任</w:t>
        </w:r>
        <w:r>
          <w:tab/>
        </w:r>
        <w:r>
          <w:fldChar w:fldCharType="begin"/>
        </w:r>
        <w:r>
          <w:instrText xml:space="preserve"> PAGEREF _Toc3930 \h </w:instrText>
        </w:r>
        <w:r>
          <w:fldChar w:fldCharType="separate"/>
        </w:r>
        <w:r>
          <w:t>8</w:t>
        </w:r>
        <w:r>
          <w:fldChar w:fldCharType="end"/>
        </w:r>
      </w:hyperlink>
    </w:p>
    <w:p>
      <w:pPr>
        <w:pStyle w:val="TOC1"/>
        <w:tabs>
          <w:tab w:val="right" w:leader="dot" w:pos="8306"/>
        </w:tabs>
      </w:pPr>
      <w:hyperlink w:anchor="_Toc13131" w:history="1">
        <w:r>
          <w:rPr>
            <w:rFonts w:ascii="仿宋" w:eastAsia="仿宋" w:hAnsi="仿宋" w:cs="仿宋" w:hint="eastAsia"/>
            <w:lang w:eastAsia="zh-CN"/>
          </w:rPr>
          <w:t>四、高性能油墨项目选址可行性分析</w:t>
        </w:r>
        <w:r>
          <w:tab/>
        </w:r>
        <w:r>
          <w:fldChar w:fldCharType="begin"/>
        </w:r>
        <w:r>
          <w:instrText xml:space="preserve"> PAGEREF _Toc13131 \h </w:instrText>
        </w:r>
        <w:r>
          <w:fldChar w:fldCharType="separate"/>
        </w:r>
        <w:r>
          <w:t>9</w:t>
        </w:r>
        <w:r>
          <w:fldChar w:fldCharType="end"/>
        </w:r>
      </w:hyperlink>
    </w:p>
    <w:p>
      <w:pPr>
        <w:pStyle w:val="TOC2"/>
        <w:tabs>
          <w:tab w:val="right" w:leader="dot" w:pos="8306"/>
        </w:tabs>
      </w:pPr>
      <w:hyperlink w:anchor="_Toc3239" w:history="1">
        <w:r>
          <w:rPr>
            <w:rFonts w:ascii="仿宋" w:eastAsia="仿宋" w:hAnsi="仿宋" w:cs="仿宋" w:hint="eastAsia"/>
            <w:lang w:eastAsia="zh-CN"/>
          </w:rPr>
          <w:t>(一)、高性能油墨项目选址</w:t>
        </w:r>
        <w:r>
          <w:tab/>
        </w:r>
        <w:r>
          <w:fldChar w:fldCharType="begin"/>
        </w:r>
        <w:r>
          <w:instrText xml:space="preserve"> PAGEREF _Toc3239 \h </w:instrText>
        </w:r>
        <w:r>
          <w:fldChar w:fldCharType="separate"/>
        </w:r>
        <w:r>
          <w:t>9</w:t>
        </w:r>
        <w:r>
          <w:fldChar w:fldCharType="end"/>
        </w:r>
      </w:hyperlink>
    </w:p>
    <w:p>
      <w:pPr>
        <w:pStyle w:val="TOC2"/>
        <w:tabs>
          <w:tab w:val="right" w:leader="dot" w:pos="8306"/>
        </w:tabs>
      </w:pPr>
      <w:hyperlink w:anchor="_Toc11512" w:history="1">
        <w:r>
          <w:rPr>
            <w:rFonts w:ascii="仿宋" w:eastAsia="仿宋" w:hAnsi="仿宋" w:cs="仿宋" w:hint="eastAsia"/>
            <w:lang w:eastAsia="zh-CN"/>
          </w:rPr>
          <w:t>(二)、用地控制指标</w:t>
        </w:r>
        <w:r>
          <w:tab/>
        </w:r>
        <w:r>
          <w:fldChar w:fldCharType="begin"/>
        </w:r>
        <w:r>
          <w:instrText xml:space="preserve"> PAGEREF _Toc11512 \h </w:instrText>
        </w:r>
        <w:r>
          <w:fldChar w:fldCharType="separate"/>
        </w:r>
        <w:r>
          <w:t>9</w:t>
        </w:r>
        <w:r>
          <w:fldChar w:fldCharType="end"/>
        </w:r>
      </w:hyperlink>
    </w:p>
    <w:p>
      <w:pPr>
        <w:pStyle w:val="TOC2"/>
        <w:tabs>
          <w:tab w:val="right" w:leader="dot" w:pos="8306"/>
        </w:tabs>
      </w:pPr>
      <w:hyperlink w:anchor="_Toc4871" w:history="1">
        <w:r>
          <w:rPr>
            <w:rFonts w:ascii="仿宋" w:eastAsia="仿宋" w:hAnsi="仿宋" w:cs="仿宋" w:hint="eastAsia"/>
            <w:lang w:eastAsia="zh-CN"/>
          </w:rPr>
          <w:t>(三)、节约用地措施</w:t>
        </w:r>
        <w:r>
          <w:tab/>
        </w:r>
        <w:r>
          <w:fldChar w:fldCharType="begin"/>
        </w:r>
        <w:r>
          <w:instrText xml:space="preserve"> PAGEREF _Toc4871 \h </w:instrText>
        </w:r>
        <w:r>
          <w:fldChar w:fldCharType="separate"/>
        </w:r>
        <w:r>
          <w:t>11</w:t>
        </w:r>
        <w:r>
          <w:fldChar w:fldCharType="end"/>
        </w:r>
      </w:hyperlink>
    </w:p>
    <w:p>
      <w:pPr>
        <w:pStyle w:val="TOC2"/>
        <w:tabs>
          <w:tab w:val="right" w:leader="dot" w:pos="8306"/>
        </w:tabs>
      </w:pPr>
      <w:hyperlink w:anchor="_Toc26440" w:history="1">
        <w:r>
          <w:rPr>
            <w:rFonts w:ascii="仿宋" w:eastAsia="仿宋" w:hAnsi="仿宋" w:cs="仿宋" w:hint="eastAsia"/>
            <w:lang w:eastAsia="zh-CN"/>
          </w:rPr>
          <w:t>(四)、总图布置方案</w:t>
        </w:r>
        <w:r>
          <w:tab/>
        </w:r>
        <w:r>
          <w:fldChar w:fldCharType="begin"/>
        </w:r>
        <w:r>
          <w:instrText xml:space="preserve"> PAGEREF _Toc26440 \h </w:instrText>
        </w:r>
        <w:r>
          <w:fldChar w:fldCharType="separate"/>
        </w:r>
        <w:r>
          <w:t>12</w:t>
        </w:r>
        <w:r>
          <w:fldChar w:fldCharType="end"/>
        </w:r>
      </w:hyperlink>
    </w:p>
    <w:p>
      <w:pPr>
        <w:pStyle w:val="TOC2"/>
        <w:tabs>
          <w:tab w:val="right" w:leader="dot" w:pos="8306"/>
        </w:tabs>
      </w:pPr>
      <w:hyperlink w:anchor="_Toc1255" w:history="1">
        <w:r>
          <w:rPr>
            <w:rFonts w:ascii="仿宋" w:eastAsia="仿宋" w:hAnsi="仿宋" w:cs="仿宋" w:hint="eastAsia"/>
            <w:lang w:eastAsia="zh-CN"/>
          </w:rPr>
          <w:t>(五)、选址综合评价</w:t>
        </w:r>
        <w:r>
          <w:tab/>
        </w:r>
        <w:r>
          <w:fldChar w:fldCharType="begin"/>
        </w:r>
        <w:r>
          <w:instrText xml:space="preserve"> PAGEREF _Toc1255 \h </w:instrText>
        </w:r>
        <w:r>
          <w:fldChar w:fldCharType="separate"/>
        </w:r>
        <w:r>
          <w:t>14</w:t>
        </w:r>
        <w:r>
          <w:fldChar w:fldCharType="end"/>
        </w:r>
      </w:hyperlink>
    </w:p>
    <w:p>
      <w:pPr>
        <w:pStyle w:val="TOC1"/>
        <w:tabs>
          <w:tab w:val="right" w:leader="dot" w:pos="8306"/>
        </w:tabs>
      </w:pPr>
      <w:hyperlink w:anchor="_Toc5080" w:history="1">
        <w:r>
          <w:rPr>
            <w:rFonts w:ascii="仿宋" w:eastAsia="仿宋" w:hAnsi="仿宋" w:cs="仿宋" w:hint="eastAsia"/>
            <w:lang w:eastAsia="zh-CN"/>
          </w:rPr>
          <w:t>五、高性能油墨项目建设单位说明</w:t>
        </w:r>
        <w:r>
          <w:tab/>
        </w:r>
        <w:r>
          <w:fldChar w:fldCharType="begin"/>
        </w:r>
        <w:r>
          <w:instrText xml:space="preserve"> PAGEREF _Toc5080 \h </w:instrText>
        </w:r>
        <w:r>
          <w:fldChar w:fldCharType="separate"/>
        </w:r>
        <w:r>
          <w:t>15</w:t>
        </w:r>
        <w:r>
          <w:fldChar w:fldCharType="end"/>
        </w:r>
      </w:hyperlink>
    </w:p>
    <w:p>
      <w:pPr>
        <w:pStyle w:val="TOC2"/>
        <w:tabs>
          <w:tab w:val="right" w:leader="dot" w:pos="8306"/>
        </w:tabs>
      </w:pPr>
      <w:hyperlink w:anchor="_Toc19149" w:history="1">
        <w:r>
          <w:rPr>
            <w:rFonts w:ascii="仿宋" w:eastAsia="仿宋" w:hAnsi="仿宋" w:cs="仿宋" w:hint="eastAsia"/>
            <w:lang w:eastAsia="zh-CN"/>
          </w:rPr>
          <w:t>(一)、高性能油墨项目承办单位基本情况</w:t>
        </w:r>
        <w:r>
          <w:tab/>
        </w:r>
        <w:r>
          <w:fldChar w:fldCharType="begin"/>
        </w:r>
        <w:r>
          <w:instrText xml:space="preserve"> PAGEREF _Toc19149 \h </w:instrText>
        </w:r>
        <w:r>
          <w:fldChar w:fldCharType="separate"/>
        </w:r>
        <w:r>
          <w:t>15</w:t>
        </w:r>
        <w:r>
          <w:fldChar w:fldCharType="end"/>
        </w:r>
      </w:hyperlink>
    </w:p>
    <w:p>
      <w:pPr>
        <w:pStyle w:val="TOC2"/>
        <w:tabs>
          <w:tab w:val="right" w:leader="dot" w:pos="8306"/>
        </w:tabs>
      </w:pPr>
      <w:hyperlink w:anchor="_Toc26883" w:history="1">
        <w:r>
          <w:rPr>
            <w:rFonts w:ascii="仿宋" w:eastAsia="仿宋" w:hAnsi="仿宋" w:cs="仿宋" w:hint="eastAsia"/>
            <w:lang w:eastAsia="zh-CN"/>
          </w:rPr>
          <w:t>(二)、公司经济效益分析</w:t>
        </w:r>
        <w:r>
          <w:tab/>
        </w:r>
        <w:r>
          <w:fldChar w:fldCharType="begin"/>
        </w:r>
        <w:r>
          <w:instrText xml:space="preserve"> PAGEREF _Toc26883 \h </w:instrText>
        </w:r>
        <w:r>
          <w:fldChar w:fldCharType="separate"/>
        </w:r>
        <w:r>
          <w:t>15</w:t>
        </w:r>
        <w:r>
          <w:fldChar w:fldCharType="end"/>
        </w:r>
      </w:hyperlink>
    </w:p>
    <w:p>
      <w:pPr>
        <w:pStyle w:val="TOC1"/>
        <w:tabs>
          <w:tab w:val="right" w:leader="dot" w:pos="8306"/>
        </w:tabs>
      </w:pPr>
      <w:hyperlink w:anchor="_Toc14800" w:history="1">
        <w:r>
          <w:rPr>
            <w:rFonts w:ascii="仿宋" w:eastAsia="仿宋" w:hAnsi="仿宋" w:cs="仿宋" w:hint="eastAsia"/>
            <w:lang w:eastAsia="zh-CN"/>
          </w:rPr>
          <w:t>六、工艺说明</w:t>
        </w:r>
        <w:r>
          <w:tab/>
        </w:r>
        <w:r>
          <w:fldChar w:fldCharType="begin"/>
        </w:r>
        <w:r>
          <w:instrText xml:space="preserve"> PAGEREF _Toc14800 \h </w:instrText>
        </w:r>
        <w:r>
          <w:fldChar w:fldCharType="separate"/>
        </w:r>
        <w:r>
          <w:t>16</w:t>
        </w:r>
        <w:r>
          <w:fldChar w:fldCharType="end"/>
        </w:r>
      </w:hyperlink>
    </w:p>
    <w:p>
      <w:pPr>
        <w:pStyle w:val="TOC2"/>
        <w:tabs>
          <w:tab w:val="right" w:leader="dot" w:pos="8306"/>
        </w:tabs>
      </w:pPr>
      <w:hyperlink w:anchor="_Toc9994" w:history="1">
        <w:r>
          <w:rPr>
            <w:rFonts w:ascii="仿宋" w:eastAsia="仿宋" w:hAnsi="仿宋" w:cs="仿宋" w:hint="eastAsia"/>
            <w:lang w:eastAsia="zh-CN"/>
          </w:rPr>
          <w:t>(一)、技术管理特点</w:t>
        </w:r>
        <w:r>
          <w:tab/>
        </w:r>
        <w:r>
          <w:fldChar w:fldCharType="begin"/>
        </w:r>
        <w:r>
          <w:instrText xml:space="preserve"> PAGEREF _Toc9994 \h </w:instrText>
        </w:r>
        <w:r>
          <w:fldChar w:fldCharType="separate"/>
        </w:r>
        <w:r>
          <w:t>16</w:t>
        </w:r>
        <w:r>
          <w:fldChar w:fldCharType="end"/>
        </w:r>
      </w:hyperlink>
    </w:p>
    <w:p>
      <w:pPr>
        <w:pStyle w:val="TOC2"/>
        <w:tabs>
          <w:tab w:val="right" w:leader="dot" w:pos="8306"/>
        </w:tabs>
      </w:pPr>
      <w:hyperlink w:anchor="_Toc23210" w:history="1">
        <w:r>
          <w:rPr>
            <w:rFonts w:ascii="仿宋" w:eastAsia="仿宋" w:hAnsi="仿宋" w:cs="仿宋" w:hint="eastAsia"/>
            <w:lang w:eastAsia="zh-CN"/>
          </w:rPr>
          <w:t>(二)、高性能油墨项目工艺技术设计方案</w:t>
        </w:r>
        <w:r>
          <w:tab/>
        </w:r>
        <w:r>
          <w:fldChar w:fldCharType="begin"/>
        </w:r>
        <w:r>
          <w:instrText xml:space="preserve"> PAGEREF _Toc23210 \h </w:instrText>
        </w:r>
        <w:r>
          <w:fldChar w:fldCharType="separate"/>
        </w:r>
        <w:r>
          <w:t>17</w:t>
        </w:r>
        <w:r>
          <w:fldChar w:fldCharType="end"/>
        </w:r>
      </w:hyperlink>
    </w:p>
    <w:p>
      <w:pPr>
        <w:pStyle w:val="TOC2"/>
        <w:tabs>
          <w:tab w:val="right" w:leader="dot" w:pos="8306"/>
        </w:tabs>
      </w:pPr>
      <w:hyperlink w:anchor="_Toc16209" w:history="1">
        <w:r>
          <w:rPr>
            <w:rFonts w:ascii="仿宋" w:eastAsia="仿宋" w:hAnsi="仿宋" w:cs="仿宋" w:hint="eastAsia"/>
            <w:lang w:eastAsia="zh-CN"/>
          </w:rPr>
          <w:t>(三)、设备选型方案</w:t>
        </w:r>
        <w:r>
          <w:tab/>
        </w:r>
        <w:r>
          <w:fldChar w:fldCharType="begin"/>
        </w:r>
        <w:r>
          <w:instrText xml:space="preserve"> PAGEREF _Toc16209 \h </w:instrText>
        </w:r>
        <w:r>
          <w:fldChar w:fldCharType="separate"/>
        </w:r>
        <w:r>
          <w:t>19</w:t>
        </w:r>
        <w:r>
          <w:fldChar w:fldCharType="end"/>
        </w:r>
      </w:hyperlink>
    </w:p>
    <w:p>
      <w:pPr>
        <w:pStyle w:val="TOC1"/>
        <w:tabs>
          <w:tab w:val="right" w:leader="dot" w:pos="8306"/>
        </w:tabs>
      </w:pPr>
      <w:hyperlink w:anchor="_Toc32374" w:history="1">
        <w:r>
          <w:rPr>
            <w:rFonts w:ascii="仿宋" w:eastAsia="仿宋" w:hAnsi="仿宋" w:cs="仿宋" w:hint="eastAsia"/>
            <w:lang w:eastAsia="zh-CN"/>
          </w:rPr>
          <w:t>七、高性能油墨项目风险管理</w:t>
        </w:r>
        <w:r>
          <w:tab/>
        </w:r>
        <w:r>
          <w:fldChar w:fldCharType="begin"/>
        </w:r>
        <w:r>
          <w:instrText xml:space="preserve"> PAGEREF _Toc32374 \h </w:instrText>
        </w:r>
        <w:r>
          <w:fldChar w:fldCharType="separate"/>
        </w:r>
        <w:r>
          <w:t>20</w:t>
        </w:r>
        <w:r>
          <w:fldChar w:fldCharType="end"/>
        </w:r>
      </w:hyperlink>
    </w:p>
    <w:p>
      <w:pPr>
        <w:pStyle w:val="TOC2"/>
        <w:tabs>
          <w:tab w:val="right" w:leader="dot" w:pos="8306"/>
        </w:tabs>
      </w:pPr>
      <w:hyperlink w:anchor="_Toc30376" w:history="1">
        <w:r>
          <w:rPr>
            <w:rFonts w:ascii="仿宋" w:eastAsia="仿宋" w:hAnsi="仿宋" w:cs="仿宋" w:hint="eastAsia"/>
            <w:lang w:eastAsia="zh-CN"/>
          </w:rPr>
          <w:t>(一)、风险识别与评估</w:t>
        </w:r>
        <w:r>
          <w:tab/>
        </w:r>
        <w:r>
          <w:fldChar w:fldCharType="begin"/>
        </w:r>
        <w:r>
          <w:instrText xml:space="preserve"> PAGEREF _Toc30376 \h </w:instrText>
        </w:r>
        <w:r>
          <w:fldChar w:fldCharType="separate"/>
        </w:r>
        <w:r>
          <w:t>20</w:t>
        </w:r>
        <w:r>
          <w:fldChar w:fldCharType="end"/>
        </w:r>
      </w:hyperlink>
    </w:p>
    <w:p>
      <w:pPr>
        <w:pStyle w:val="TOC2"/>
        <w:tabs>
          <w:tab w:val="right" w:leader="dot" w:pos="8306"/>
        </w:tabs>
      </w:pPr>
      <w:hyperlink w:anchor="_Toc13921" w:history="1">
        <w:r>
          <w:rPr>
            <w:rFonts w:ascii="仿宋" w:eastAsia="仿宋" w:hAnsi="仿宋" w:cs="仿宋" w:hint="eastAsia"/>
            <w:lang w:eastAsia="zh-CN"/>
          </w:rPr>
          <w:t>(二)、风险应对策略</w:t>
        </w:r>
        <w:r>
          <w:tab/>
        </w:r>
        <w:r>
          <w:fldChar w:fldCharType="begin"/>
        </w:r>
        <w:r>
          <w:instrText xml:space="preserve"> PAGEREF _Toc13921 \h </w:instrText>
        </w:r>
        <w:r>
          <w:fldChar w:fldCharType="separate"/>
        </w:r>
        <w:r>
          <w:t>21</w:t>
        </w:r>
        <w:r>
          <w:fldChar w:fldCharType="end"/>
        </w:r>
      </w:hyperlink>
    </w:p>
    <w:p>
      <w:pPr>
        <w:pStyle w:val="TOC2"/>
        <w:tabs>
          <w:tab w:val="right" w:leader="dot" w:pos="8306"/>
        </w:tabs>
      </w:pPr>
      <w:hyperlink w:anchor="_Toc25274" w:history="1">
        <w:r>
          <w:rPr>
            <w:rFonts w:ascii="仿宋" w:eastAsia="仿宋" w:hAnsi="仿宋" w:cs="仿宋" w:hint="eastAsia"/>
            <w:lang w:eastAsia="zh-CN"/>
          </w:rPr>
          <w:t>(三)、风险监控与控制</w:t>
        </w:r>
        <w:r>
          <w:tab/>
        </w:r>
        <w:r>
          <w:fldChar w:fldCharType="begin"/>
        </w:r>
        <w:r>
          <w:instrText xml:space="preserve"> PAGEREF _Toc25274 \h </w:instrText>
        </w:r>
        <w:r>
          <w:fldChar w:fldCharType="separate"/>
        </w:r>
        <w:r>
          <w:t>23</w:t>
        </w:r>
        <w:r>
          <w:fldChar w:fldCharType="end"/>
        </w:r>
      </w:hyperlink>
    </w:p>
    <w:p>
      <w:pPr>
        <w:pStyle w:val="TOC1"/>
        <w:tabs>
          <w:tab w:val="right" w:leader="dot" w:pos="8306"/>
        </w:tabs>
      </w:pPr>
      <w:hyperlink w:anchor="_Toc11729" w:history="1">
        <w:r>
          <w:rPr>
            <w:rFonts w:ascii="仿宋" w:eastAsia="仿宋" w:hAnsi="仿宋" w:cs="仿宋" w:hint="eastAsia"/>
            <w:lang w:eastAsia="zh-CN"/>
          </w:rPr>
          <w:t>八、高性能油墨项目经营效益</w:t>
        </w:r>
        <w:r>
          <w:tab/>
        </w:r>
        <w:r>
          <w:fldChar w:fldCharType="begin"/>
        </w:r>
        <w:r>
          <w:instrText xml:space="preserve"> PAGEREF _Toc11729 \h </w:instrText>
        </w:r>
        <w:r>
          <w:fldChar w:fldCharType="separate"/>
        </w:r>
        <w:r>
          <w:t>24</w:t>
        </w:r>
        <w:r>
          <w:fldChar w:fldCharType="end"/>
        </w:r>
      </w:hyperlink>
    </w:p>
    <w:p>
      <w:pPr>
        <w:pStyle w:val="TOC2"/>
        <w:tabs>
          <w:tab w:val="right" w:leader="dot" w:pos="8306"/>
        </w:tabs>
      </w:pPr>
      <w:hyperlink w:anchor="_Toc25624" w:history="1">
        <w:r>
          <w:rPr>
            <w:rFonts w:ascii="仿宋" w:eastAsia="仿宋" w:hAnsi="仿宋" w:cs="仿宋" w:hint="eastAsia"/>
            <w:lang w:eastAsia="zh-CN"/>
          </w:rPr>
          <w:t>(一)、经济评价财务测算</w:t>
        </w:r>
        <w:r>
          <w:tab/>
        </w:r>
        <w:r>
          <w:fldChar w:fldCharType="begin"/>
        </w:r>
        <w:r>
          <w:instrText xml:space="preserve"> PAGEREF _Toc25624 \h </w:instrText>
        </w:r>
        <w:r>
          <w:fldChar w:fldCharType="separate"/>
        </w:r>
        <w:r>
          <w:t>24</w:t>
        </w:r>
        <w:r>
          <w:fldChar w:fldCharType="end"/>
        </w:r>
      </w:hyperlink>
    </w:p>
    <w:p>
      <w:pPr>
        <w:pStyle w:val="TOC2"/>
        <w:tabs>
          <w:tab w:val="right" w:leader="dot" w:pos="8306"/>
        </w:tabs>
      </w:pPr>
      <w:hyperlink w:anchor="_Toc8909" w:history="1">
        <w:r>
          <w:rPr>
            <w:rFonts w:ascii="仿宋" w:eastAsia="仿宋" w:hAnsi="仿宋" w:cs="仿宋" w:hint="eastAsia"/>
            <w:lang w:eastAsia="zh-CN"/>
          </w:rPr>
          <w:t>(二)、高性能油墨项目盈利能力分析</w:t>
        </w:r>
        <w:r>
          <w:tab/>
        </w:r>
        <w:r>
          <w:fldChar w:fldCharType="begin"/>
        </w:r>
        <w:r>
          <w:instrText xml:space="preserve"> PAGEREF _Toc8909 \h </w:instrText>
        </w:r>
        <w:r>
          <w:fldChar w:fldCharType="separate"/>
        </w:r>
        <w:r>
          <w:t>25</w:t>
        </w:r>
        <w:r>
          <w:fldChar w:fldCharType="end"/>
        </w:r>
      </w:hyperlink>
    </w:p>
    <w:p>
      <w:pPr>
        <w:pStyle w:val="TOC1"/>
        <w:tabs>
          <w:tab w:val="right" w:leader="dot" w:pos="8306"/>
        </w:tabs>
      </w:pPr>
      <w:hyperlink w:anchor="_Toc2429" w:history="1">
        <w:r>
          <w:rPr>
            <w:rFonts w:ascii="仿宋" w:eastAsia="仿宋" w:hAnsi="仿宋" w:cs="仿宋" w:hint="eastAsia"/>
            <w:lang w:eastAsia="zh-CN"/>
          </w:rPr>
          <w:t>九、高性能油墨项目计划安排</w:t>
        </w:r>
        <w:r>
          <w:tab/>
        </w:r>
        <w:r>
          <w:fldChar w:fldCharType="begin"/>
        </w:r>
        <w:r>
          <w:instrText xml:space="preserve"> PAGEREF _Toc2429 \h </w:instrText>
        </w:r>
        <w:r>
          <w:fldChar w:fldCharType="separate"/>
        </w:r>
        <w:r>
          <w:t>26</w:t>
        </w:r>
        <w:r>
          <w:fldChar w:fldCharType="end"/>
        </w:r>
      </w:hyperlink>
    </w:p>
    <w:p>
      <w:pPr>
        <w:pStyle w:val="TOC2"/>
        <w:tabs>
          <w:tab w:val="right" w:leader="dot" w:pos="8306"/>
        </w:tabs>
      </w:pPr>
      <w:hyperlink w:anchor="_Toc22195" w:history="1">
        <w:r>
          <w:rPr>
            <w:rFonts w:ascii="仿宋" w:eastAsia="仿宋" w:hAnsi="仿宋" w:cs="仿宋" w:hint="eastAsia"/>
            <w:lang w:eastAsia="zh-CN"/>
          </w:rPr>
          <w:t>(一)、建设周期</w:t>
        </w:r>
        <w:r>
          <w:tab/>
        </w:r>
        <w:r>
          <w:fldChar w:fldCharType="begin"/>
        </w:r>
        <w:r>
          <w:instrText xml:space="preserve"> PAGEREF _Toc22195 \h </w:instrText>
        </w:r>
        <w:r>
          <w:fldChar w:fldCharType="separate"/>
        </w:r>
        <w:r>
          <w:t>26</w:t>
        </w:r>
        <w:r>
          <w:fldChar w:fldCharType="end"/>
        </w:r>
      </w:hyperlink>
    </w:p>
    <w:p>
      <w:pPr>
        <w:pStyle w:val="TOC2"/>
        <w:tabs>
          <w:tab w:val="right" w:leader="dot" w:pos="8306"/>
        </w:tabs>
      </w:pPr>
      <w:hyperlink w:anchor="_Toc28212" w:history="1">
        <w:r>
          <w:rPr>
            <w:rFonts w:ascii="仿宋" w:eastAsia="仿宋" w:hAnsi="仿宋" w:cs="仿宋" w:hint="eastAsia"/>
            <w:lang w:eastAsia="zh-CN"/>
          </w:rPr>
          <w:t>(二)、建设进度</w:t>
        </w:r>
        <w:r>
          <w:tab/>
        </w:r>
        <w:r>
          <w:fldChar w:fldCharType="begin"/>
        </w:r>
        <w:r>
          <w:instrText xml:space="preserve"> PAGEREF _Toc28212 \h </w:instrText>
        </w:r>
        <w:r>
          <w:fldChar w:fldCharType="separate"/>
        </w:r>
        <w:r>
          <w:t>27</w:t>
        </w:r>
        <w:r>
          <w:fldChar w:fldCharType="end"/>
        </w:r>
      </w:hyperlink>
    </w:p>
    <w:p>
      <w:pPr>
        <w:pStyle w:val="TOC2"/>
        <w:tabs>
          <w:tab w:val="right" w:leader="dot" w:pos="8306"/>
        </w:tabs>
      </w:pPr>
      <w:hyperlink w:anchor="_Toc24950" w:history="1">
        <w:r>
          <w:rPr>
            <w:rFonts w:ascii="仿宋" w:eastAsia="仿宋" w:hAnsi="仿宋" w:cs="仿宋" w:hint="eastAsia"/>
            <w:lang w:eastAsia="zh-CN"/>
          </w:rPr>
          <w:t>(三)、进度安排注意事项</w:t>
        </w:r>
        <w:r>
          <w:tab/>
        </w:r>
        <w:r>
          <w:fldChar w:fldCharType="begin"/>
        </w:r>
        <w:r>
          <w:instrText xml:space="preserve"> PAGEREF _Toc24950 \h </w:instrText>
        </w:r>
        <w:r>
          <w:fldChar w:fldCharType="separate"/>
        </w:r>
        <w:r>
          <w:t>28</w:t>
        </w:r>
        <w:r>
          <w:fldChar w:fldCharType="end"/>
        </w:r>
      </w:hyperlink>
    </w:p>
    <w:p>
      <w:pPr>
        <w:pStyle w:val="TOC2"/>
        <w:tabs>
          <w:tab w:val="right" w:leader="dot" w:pos="8306"/>
        </w:tabs>
      </w:pPr>
      <w:hyperlink w:anchor="_Toc29907" w:history="1">
        <w:r>
          <w:rPr>
            <w:rFonts w:ascii="仿宋" w:eastAsia="仿宋" w:hAnsi="仿宋" w:cs="仿宋" w:hint="eastAsia"/>
            <w:lang w:eastAsia="zh-CN"/>
          </w:rPr>
          <w:t>(四)、人力资源配置</w:t>
        </w:r>
        <w:r>
          <w:tab/>
        </w:r>
        <w:r>
          <w:fldChar w:fldCharType="begin"/>
        </w:r>
        <w:r>
          <w:instrText xml:space="preserve"> PAGEREF _Toc29907 \h </w:instrText>
        </w:r>
        <w:r>
          <w:fldChar w:fldCharType="separate"/>
        </w:r>
        <w:r>
          <w:t>29</w:t>
        </w:r>
        <w:r>
          <w:fldChar w:fldCharType="end"/>
        </w:r>
      </w:hyperlink>
    </w:p>
    <w:p>
      <w:pPr>
        <w:pStyle w:val="TOC1"/>
        <w:tabs>
          <w:tab w:val="right" w:leader="dot" w:pos="8306"/>
        </w:tabs>
      </w:pPr>
      <w:hyperlink w:anchor="_Toc25597" w:history="1">
        <w:r>
          <w:rPr>
            <w:rFonts w:ascii="仿宋" w:eastAsia="仿宋" w:hAnsi="仿宋" w:cs="仿宋" w:hint="eastAsia"/>
            <w:lang w:eastAsia="zh-CN"/>
          </w:rPr>
          <w:t>十、高性能油墨项目社会影响</w:t>
        </w:r>
        <w:r>
          <w:tab/>
        </w:r>
        <w:r>
          <w:fldChar w:fldCharType="begin"/>
        </w:r>
        <w:r>
          <w:instrText xml:space="preserve"> PAGEREF _Toc25597 \h </w:instrText>
        </w:r>
        <w:r>
          <w:fldChar w:fldCharType="separate"/>
        </w:r>
        <w:r>
          <w:t>30</w:t>
        </w:r>
        <w:r>
          <w:fldChar w:fldCharType="end"/>
        </w:r>
      </w:hyperlink>
    </w:p>
    <w:p>
      <w:pPr>
        <w:pStyle w:val="TOC2"/>
        <w:tabs>
          <w:tab w:val="right" w:leader="dot" w:pos="8306"/>
        </w:tabs>
      </w:pPr>
      <w:hyperlink w:anchor="_Toc2215" w:history="1">
        <w:r>
          <w:rPr>
            <w:rFonts w:ascii="仿宋" w:eastAsia="仿宋" w:hAnsi="仿宋" w:cs="仿宋" w:hint="eastAsia"/>
            <w:lang w:eastAsia="zh-CN"/>
          </w:rPr>
          <w:t>(一)、社会责任与义务</w:t>
        </w:r>
        <w:r>
          <w:tab/>
        </w:r>
        <w:r>
          <w:fldChar w:fldCharType="begin"/>
        </w:r>
        <w:r>
          <w:instrText xml:space="preserve"> PAGEREF _Toc2215 \h </w:instrText>
        </w:r>
        <w:r>
          <w:fldChar w:fldCharType="separate"/>
        </w:r>
        <w:r>
          <w:t>30</w:t>
        </w:r>
        <w:r>
          <w:fldChar w:fldCharType="end"/>
        </w:r>
      </w:hyperlink>
    </w:p>
    <w:p>
      <w:pPr>
        <w:pStyle w:val="TOC2"/>
        <w:tabs>
          <w:tab w:val="right" w:leader="dot" w:pos="8306"/>
        </w:tabs>
      </w:pPr>
      <w:hyperlink w:anchor="_Toc14946" w:history="1">
        <w:r>
          <w:rPr>
            <w:rFonts w:ascii="仿宋" w:eastAsia="仿宋" w:hAnsi="仿宋" w:cs="仿宋" w:hint="eastAsia"/>
            <w:lang w:eastAsia="zh-CN"/>
          </w:rPr>
          <w:t>(二)、社会参与与沟通</w:t>
        </w:r>
        <w:r>
          <w:tab/>
        </w:r>
        <w:r>
          <w:fldChar w:fldCharType="begin"/>
        </w:r>
        <w:r>
          <w:instrText xml:space="preserve"> PAGEREF _Toc14946 \h </w:instrText>
        </w:r>
        <w:r>
          <w:fldChar w:fldCharType="separate"/>
        </w:r>
        <w:r>
          <w:t>31</w:t>
        </w:r>
        <w:r>
          <w:fldChar w:fldCharType="end"/>
        </w:r>
      </w:hyperlink>
    </w:p>
    <w:p>
      <w:pPr>
        <w:pStyle w:val="TOC1"/>
        <w:tabs>
          <w:tab w:val="right" w:leader="dot" w:pos="8306"/>
        </w:tabs>
      </w:pPr>
      <w:hyperlink w:anchor="_Toc9080" w:history="1">
        <w:r>
          <w:rPr>
            <w:rFonts w:ascii="仿宋" w:eastAsia="仿宋" w:hAnsi="仿宋" w:cs="仿宋" w:hint="eastAsia"/>
            <w:lang w:eastAsia="zh-CN"/>
          </w:rPr>
          <w:t>十一、生产安全保护</w:t>
        </w:r>
        <w:r>
          <w:tab/>
        </w:r>
        <w:r>
          <w:fldChar w:fldCharType="begin"/>
        </w:r>
        <w:r>
          <w:instrText xml:space="preserve"> PAGEREF _Toc9080 \h </w:instrText>
        </w:r>
        <w:r>
          <w:fldChar w:fldCharType="separate"/>
        </w:r>
        <w:r>
          <w:t>32</w:t>
        </w:r>
        <w:r>
          <w:fldChar w:fldCharType="end"/>
        </w:r>
      </w:hyperlink>
    </w:p>
    <w:p>
      <w:pPr>
        <w:pStyle w:val="TOC2"/>
        <w:tabs>
          <w:tab w:val="right" w:leader="dot" w:pos="8306"/>
        </w:tabs>
      </w:pPr>
      <w:hyperlink w:anchor="_Toc5395" w:history="1">
        <w:r>
          <w:rPr>
            <w:rFonts w:ascii="仿宋" w:eastAsia="仿宋" w:hAnsi="仿宋" w:cs="仿宋" w:hint="eastAsia"/>
            <w:lang w:eastAsia="zh-CN"/>
          </w:rPr>
          <w:t>(一)、消防安全</w:t>
        </w:r>
        <w:r>
          <w:tab/>
        </w:r>
        <w:r>
          <w:fldChar w:fldCharType="begin"/>
        </w:r>
        <w:r>
          <w:instrText xml:space="preserve"> PAGEREF _Toc5395 \h </w:instrText>
        </w:r>
        <w:r>
          <w:fldChar w:fldCharType="separate"/>
        </w:r>
        <w:r>
          <w:t>32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66" w:history="1">
        <w:r>
          <w:rPr>
            <w:rFonts w:ascii="仿宋" w:eastAsia="仿宋" w:hAnsi="仿宋" w:cs="仿宋" w:hint="eastAsia"/>
            <w:lang w:eastAsia="zh-CN"/>
          </w:rPr>
          <w:t>(二)、防火防爆总图布置措施</w:t>
        </w:r>
        <w:r>
          <w:tab/>
        </w:r>
        <w:r>
          <w:fldChar w:fldCharType="begin"/>
        </w:r>
        <w:r>
          <w:instrText xml:space="preserve"> PAGEREF _Toc666 \h </w:instrText>
        </w:r>
        <w:r>
          <w:fldChar w:fldCharType="separate"/>
        </w:r>
        <w:r>
          <w:t>33</w:t>
        </w:r>
        <w:r>
          <w:fldChar w:fldCharType="end"/>
        </w:r>
      </w:hyperlink>
    </w:p>
    <w:p>
      <w:pPr>
        <w:pStyle w:val="TOC2"/>
        <w:tabs>
          <w:tab w:val="right" w:leader="dot" w:pos="8306"/>
        </w:tabs>
      </w:pPr>
      <w:hyperlink w:anchor="_Toc22574" w:history="1">
        <w:r>
          <w:rPr>
            <w:rFonts w:ascii="仿宋" w:eastAsia="仿宋" w:hAnsi="仿宋" w:cs="仿宋" w:hint="eastAsia"/>
            <w:lang w:eastAsia="zh-CN"/>
          </w:rPr>
          <w:t>(三)、自然灾害防范措施</w:t>
        </w:r>
        <w:r>
          <w:tab/>
        </w:r>
        <w:r>
          <w:fldChar w:fldCharType="begin"/>
        </w:r>
        <w:r>
          <w:instrText xml:space="preserve"> PAGEREF _Toc22574 \h </w:instrText>
        </w:r>
        <w:r>
          <w:fldChar w:fldCharType="separate"/>
        </w:r>
        <w:r>
          <w:t>34</w:t>
        </w:r>
        <w:r>
          <w:fldChar w:fldCharType="end"/>
        </w:r>
      </w:hyperlink>
    </w:p>
    <w:p>
      <w:pPr>
        <w:pStyle w:val="TOC2"/>
        <w:tabs>
          <w:tab w:val="right" w:leader="dot" w:pos="8306"/>
        </w:tabs>
      </w:pPr>
      <w:hyperlink w:anchor="_Toc3432" w:history="1">
        <w:r>
          <w:rPr>
            <w:rFonts w:ascii="仿宋" w:eastAsia="仿宋" w:hAnsi="仿宋" w:cs="仿宋" w:hint="eastAsia"/>
            <w:lang w:eastAsia="zh-CN"/>
          </w:rPr>
          <w:t>(四)、安全色及安全标志使用要求</w:t>
        </w:r>
        <w:r>
          <w:tab/>
        </w:r>
        <w:r>
          <w:fldChar w:fldCharType="begin"/>
        </w:r>
        <w:r>
          <w:instrText xml:space="preserve"> PAGEREF _Toc3432 \h </w:instrText>
        </w:r>
        <w:r>
          <w:fldChar w:fldCharType="separate"/>
        </w:r>
        <w:r>
          <w:t>35</w:t>
        </w:r>
        <w:r>
          <w:fldChar w:fldCharType="end"/>
        </w:r>
      </w:hyperlink>
    </w:p>
    <w:p>
      <w:pPr>
        <w:pStyle w:val="TOC2"/>
        <w:tabs>
          <w:tab w:val="right" w:leader="dot" w:pos="8306"/>
        </w:tabs>
      </w:pPr>
      <w:hyperlink w:anchor="_Toc23181" w:history="1">
        <w:r>
          <w:rPr>
            <w:rFonts w:ascii="仿宋" w:eastAsia="仿宋" w:hAnsi="仿宋" w:cs="仿宋" w:hint="eastAsia"/>
            <w:lang w:eastAsia="zh-CN"/>
          </w:rPr>
          <w:t>(五)、防尘防毒措施</w:t>
        </w:r>
        <w:r>
          <w:tab/>
        </w:r>
        <w:r>
          <w:fldChar w:fldCharType="begin"/>
        </w:r>
        <w:r>
          <w:instrText xml:space="preserve"> PAGEREF _Toc23181 \h </w:instrText>
        </w:r>
        <w:r>
          <w:fldChar w:fldCharType="separate"/>
        </w:r>
        <w:r>
          <w:t>36</w:t>
        </w:r>
        <w:r>
          <w:fldChar w:fldCharType="end"/>
        </w:r>
      </w:hyperlink>
    </w:p>
    <w:p>
      <w:pPr>
        <w:pStyle w:val="TOC2"/>
        <w:tabs>
          <w:tab w:val="right" w:leader="dot" w:pos="8306"/>
        </w:tabs>
      </w:pPr>
      <w:hyperlink w:anchor="_Toc16529" w:history="1">
        <w:r>
          <w:rPr>
            <w:rFonts w:ascii="仿宋" w:eastAsia="仿宋" w:hAnsi="仿宋" w:cs="仿宋" w:hint="eastAsia"/>
            <w:lang w:eastAsia="zh-CN"/>
          </w:rPr>
          <w:t>(六)、防静电、触电防护及防雷措施</w:t>
        </w:r>
        <w:r>
          <w:tab/>
        </w:r>
        <w:r>
          <w:fldChar w:fldCharType="begin"/>
        </w:r>
        <w:r>
          <w:instrText xml:space="preserve"> PAGEREF _Toc16529 \h </w:instrText>
        </w:r>
        <w:r>
          <w:fldChar w:fldCharType="separate"/>
        </w:r>
        <w:r>
          <w:t>37</w:t>
        </w:r>
        <w:r>
          <w:fldChar w:fldCharType="end"/>
        </w:r>
      </w:hyperlink>
    </w:p>
    <w:p>
      <w:pPr>
        <w:pStyle w:val="TOC2"/>
        <w:tabs>
          <w:tab w:val="right" w:leader="dot" w:pos="8306"/>
        </w:tabs>
      </w:pPr>
      <w:hyperlink w:anchor="_Toc10845" w:history="1">
        <w:r>
          <w:rPr>
            <w:rFonts w:ascii="仿宋" w:eastAsia="仿宋" w:hAnsi="仿宋" w:cs="仿宋" w:hint="eastAsia"/>
            <w:lang w:eastAsia="zh-CN"/>
          </w:rPr>
          <w:t>(七)、机械设备安全保障措施</w:t>
        </w:r>
        <w:r>
          <w:tab/>
        </w:r>
        <w:r>
          <w:fldChar w:fldCharType="begin"/>
        </w:r>
        <w:r>
          <w:instrText xml:space="preserve"> PAGEREF _Toc10845 \h </w:instrText>
        </w:r>
        <w:r>
          <w:fldChar w:fldCharType="separate"/>
        </w:r>
        <w:r>
          <w:t>38</w:t>
        </w:r>
        <w:r>
          <w:fldChar w:fldCharType="end"/>
        </w:r>
      </w:hyperlink>
    </w:p>
    <w:p>
      <w:pPr>
        <w:pStyle w:val="TOC1"/>
        <w:tabs>
          <w:tab w:val="right" w:leader="dot" w:pos="8306"/>
        </w:tabs>
      </w:pPr>
      <w:hyperlink w:anchor="_Toc19686" w:history="1">
        <w:r>
          <w:rPr>
            <w:rFonts w:ascii="仿宋" w:eastAsia="仿宋" w:hAnsi="仿宋" w:cs="仿宋" w:hint="eastAsia"/>
            <w:lang w:eastAsia="zh-CN"/>
          </w:rPr>
          <w:t>十二、高性能油墨项目人力资源管理</w:t>
        </w:r>
        <w:r>
          <w:tab/>
        </w:r>
        <w:r>
          <w:fldChar w:fldCharType="begin"/>
        </w:r>
        <w:r>
          <w:instrText xml:space="preserve"> PAGEREF _Toc19686 \h </w:instrText>
        </w:r>
        <w:r>
          <w:fldChar w:fldCharType="separate"/>
        </w:r>
        <w:r>
          <w:t>40</w:t>
        </w:r>
        <w:r>
          <w:fldChar w:fldCharType="end"/>
        </w:r>
      </w:hyperlink>
    </w:p>
    <w:p>
      <w:pPr>
        <w:pStyle w:val="TOC2"/>
        <w:tabs>
          <w:tab w:val="right" w:leader="dot" w:pos="8306"/>
        </w:tabs>
      </w:pPr>
      <w:hyperlink w:anchor="_Toc27440" w:history="1">
        <w:r>
          <w:rPr>
            <w:rFonts w:ascii="仿宋" w:eastAsia="仿宋" w:hAnsi="仿宋" w:cs="仿宋" w:hint="eastAsia"/>
            <w:lang w:eastAsia="zh-CN"/>
          </w:rPr>
          <w:t>(一)、建立健全的预算管理制度</w:t>
        </w:r>
        <w:r>
          <w:tab/>
        </w:r>
        <w:r>
          <w:fldChar w:fldCharType="begin"/>
        </w:r>
        <w:r>
          <w:instrText xml:space="preserve"> PAGEREF _Toc27440 \h </w:instrText>
        </w:r>
        <w:r>
          <w:fldChar w:fldCharType="separate"/>
        </w:r>
        <w:r>
          <w:t>40</w:t>
        </w:r>
        <w:r>
          <w:fldChar w:fldCharType="end"/>
        </w:r>
      </w:hyperlink>
    </w:p>
    <w:p>
      <w:pPr>
        <w:pStyle w:val="TOC2"/>
        <w:tabs>
          <w:tab w:val="right" w:leader="dot" w:pos="8306"/>
        </w:tabs>
      </w:pPr>
      <w:hyperlink w:anchor="_Toc19855" w:history="1">
        <w:r>
          <w:rPr>
            <w:rFonts w:ascii="仿宋" w:eastAsia="仿宋" w:hAnsi="仿宋" w:cs="仿宋" w:hint="eastAsia"/>
            <w:lang w:eastAsia="zh-CN"/>
          </w:rPr>
          <w:t>(二)、加强资金流动监控</w:t>
        </w:r>
        <w:r>
          <w:tab/>
        </w:r>
        <w:r>
          <w:fldChar w:fldCharType="begin"/>
        </w:r>
        <w:r>
          <w:instrText xml:space="preserve"> PAGEREF _Toc19855 \h </w:instrText>
        </w:r>
        <w:r>
          <w:fldChar w:fldCharType="separate"/>
        </w:r>
        <w:r>
          <w:t>41</w:t>
        </w:r>
        <w:r>
          <w:fldChar w:fldCharType="end"/>
        </w:r>
      </w:hyperlink>
    </w:p>
    <w:p>
      <w:pPr>
        <w:pStyle w:val="TOC2"/>
        <w:tabs>
          <w:tab w:val="right" w:leader="dot" w:pos="8306"/>
        </w:tabs>
      </w:pPr>
      <w:hyperlink w:anchor="_Toc16879" w:history="1">
        <w:r>
          <w:rPr>
            <w:rFonts w:ascii="仿宋" w:eastAsia="仿宋" w:hAnsi="仿宋" w:cs="仿宋" w:hint="eastAsia"/>
            <w:lang w:eastAsia="zh-CN"/>
          </w:rPr>
          <w:t>(三)、制定完善的风险控制机制</w:t>
        </w:r>
        <w:r>
          <w:tab/>
        </w:r>
        <w:r>
          <w:fldChar w:fldCharType="begin"/>
        </w:r>
        <w:r>
          <w:instrText xml:space="preserve"> PAGEREF _Toc16879 \h </w:instrText>
        </w:r>
        <w:r>
          <w:fldChar w:fldCharType="separate"/>
        </w:r>
        <w:r>
          <w:t>42</w:t>
        </w:r>
        <w:r>
          <w:fldChar w:fldCharType="end"/>
        </w:r>
      </w:hyperlink>
    </w:p>
    <w:p>
      <w:pPr>
        <w:pStyle w:val="TOC2"/>
        <w:tabs>
          <w:tab w:val="right" w:leader="dot" w:pos="8306"/>
        </w:tabs>
      </w:pPr>
      <w:hyperlink w:anchor="_Toc22723" w:history="1">
        <w:r>
          <w:rPr>
            <w:rFonts w:ascii="仿宋" w:eastAsia="仿宋" w:hAnsi="仿宋" w:cs="仿宋" w:hint="eastAsia"/>
            <w:lang w:eastAsia="zh-CN"/>
          </w:rPr>
          <w:t>(四)、优化成本管理</w:t>
        </w:r>
        <w:r>
          <w:tab/>
        </w:r>
        <w:r>
          <w:fldChar w:fldCharType="begin"/>
        </w:r>
        <w:r>
          <w:instrText xml:space="preserve"> PAGEREF _Toc22723 \h </w:instrText>
        </w:r>
        <w:r>
          <w:fldChar w:fldCharType="separate"/>
        </w:r>
        <w:r>
          <w:t>44</w:t>
        </w:r>
        <w:r>
          <w:fldChar w:fldCharType="end"/>
        </w:r>
      </w:hyperlink>
    </w:p>
    <w:p>
      <w:pPr>
        <w:pStyle w:val="TOC1"/>
        <w:tabs>
          <w:tab w:val="right" w:leader="dot" w:pos="8306"/>
        </w:tabs>
      </w:pPr>
      <w:hyperlink w:anchor="_Toc9500" w:history="1">
        <w:r>
          <w:rPr>
            <w:rFonts w:ascii="仿宋" w:eastAsia="仿宋" w:hAnsi="仿宋" w:cs="仿宋" w:hint="eastAsia"/>
            <w:lang w:eastAsia="zh-CN"/>
          </w:rPr>
          <w:t>十三、高性能油墨项目实施保障措施</w:t>
        </w:r>
        <w:r>
          <w:tab/>
        </w:r>
        <w:r>
          <w:fldChar w:fldCharType="begin"/>
        </w:r>
        <w:r>
          <w:instrText xml:space="preserve"> PAGEREF _Toc9500 \h </w:instrText>
        </w:r>
        <w:r>
          <w:fldChar w:fldCharType="separate"/>
        </w:r>
        <w:r>
          <w:t>45</w:t>
        </w:r>
        <w:r>
          <w:fldChar w:fldCharType="end"/>
        </w:r>
      </w:hyperlink>
    </w:p>
    <w:p>
      <w:pPr>
        <w:pStyle w:val="TOC2"/>
        <w:tabs>
          <w:tab w:val="right" w:leader="dot" w:pos="8306"/>
        </w:tabs>
      </w:pPr>
      <w:hyperlink w:anchor="_Toc1921" w:history="1">
        <w:r>
          <w:rPr>
            <w:rFonts w:ascii="仿宋" w:eastAsia="仿宋" w:hAnsi="仿宋" w:cs="仿宋" w:hint="eastAsia"/>
            <w:lang w:eastAsia="zh-CN"/>
          </w:rPr>
          <w:t>(一)、高性能油墨项目实施保障机制</w:t>
        </w:r>
        <w:r>
          <w:tab/>
        </w:r>
        <w:r>
          <w:fldChar w:fldCharType="begin"/>
        </w:r>
        <w:r>
          <w:instrText xml:space="preserve"> PAGEREF _Toc1921 \h </w:instrText>
        </w:r>
        <w:r>
          <w:fldChar w:fldCharType="separate"/>
        </w:r>
        <w:r>
          <w:t>45</w:t>
        </w:r>
        <w:r>
          <w:fldChar w:fldCharType="end"/>
        </w:r>
      </w:hyperlink>
    </w:p>
    <w:p>
      <w:pPr>
        <w:pStyle w:val="TOC2"/>
        <w:tabs>
          <w:tab w:val="right" w:leader="dot" w:pos="8306"/>
        </w:tabs>
      </w:pPr>
      <w:hyperlink w:anchor="_Toc23605" w:history="1">
        <w:r>
          <w:rPr>
            <w:rFonts w:ascii="仿宋" w:eastAsia="仿宋" w:hAnsi="仿宋" w:cs="仿宋" w:hint="eastAsia"/>
            <w:lang w:eastAsia="zh-CN"/>
          </w:rPr>
          <w:t>(二)、高性能油墨项目法律合规要求</w:t>
        </w:r>
        <w:r>
          <w:tab/>
        </w:r>
        <w:r>
          <w:fldChar w:fldCharType="begin"/>
        </w:r>
        <w:r>
          <w:instrText xml:space="preserve"> PAGEREF _Toc23605 \h </w:instrText>
        </w:r>
        <w:r>
          <w:fldChar w:fldCharType="separate"/>
        </w:r>
        <w:r>
          <w:t>49</w:t>
        </w:r>
        <w:r>
          <w:fldChar w:fldCharType="end"/>
        </w:r>
      </w:hyperlink>
    </w:p>
    <w:p>
      <w:pPr>
        <w:pStyle w:val="TOC2"/>
        <w:tabs>
          <w:tab w:val="right" w:leader="dot" w:pos="8306"/>
        </w:tabs>
      </w:pPr>
      <w:hyperlink w:anchor="_Toc13277" w:history="1">
        <w:r>
          <w:rPr>
            <w:rFonts w:ascii="仿宋" w:eastAsia="仿宋" w:hAnsi="仿宋" w:cs="仿宋" w:hint="eastAsia"/>
            <w:lang w:eastAsia="zh-CN"/>
          </w:rPr>
          <w:t>(三)、高性能油墨项目合同管理与法律事务</w:t>
        </w:r>
        <w:r>
          <w:tab/>
        </w:r>
        <w:r>
          <w:fldChar w:fldCharType="begin"/>
        </w:r>
        <w:r>
          <w:instrText xml:space="preserve"> PAGEREF _Toc13277 \h </w:instrText>
        </w:r>
        <w:r>
          <w:fldChar w:fldCharType="separate"/>
        </w:r>
        <w:r>
          <w:t>53</w:t>
        </w:r>
        <w:r>
          <w:fldChar w:fldCharType="end"/>
        </w:r>
      </w:hyperlink>
    </w:p>
    <w:p>
      <w:pPr>
        <w:pStyle w:val="TOC2"/>
        <w:tabs>
          <w:tab w:val="right" w:leader="dot" w:pos="8306"/>
        </w:tabs>
      </w:pPr>
      <w:hyperlink w:anchor="_Toc3910" w:history="1">
        <w:r>
          <w:rPr>
            <w:rFonts w:ascii="仿宋" w:eastAsia="仿宋" w:hAnsi="仿宋" w:cs="仿宋" w:hint="eastAsia"/>
            <w:lang w:eastAsia="zh-CN"/>
          </w:rPr>
          <w:t>(四)、高性能油墨项目知识产权保护策略</w:t>
        </w:r>
        <w:r>
          <w:tab/>
        </w:r>
        <w:r>
          <w:fldChar w:fldCharType="begin"/>
        </w:r>
        <w:r>
          <w:instrText xml:space="preserve"> PAGEREF _Toc3910 \h </w:instrText>
        </w:r>
        <w:r>
          <w:fldChar w:fldCharType="separate"/>
        </w:r>
        <w:r>
          <w:t>59</w:t>
        </w:r>
        <w:r>
          <w:fldChar w:fldCharType="end"/>
        </w:r>
      </w:hyperlink>
    </w:p>
    <w:p>
      <w:pPr>
        <w:pStyle w:val="TOC1"/>
        <w:tabs>
          <w:tab w:val="right" w:leader="dot" w:pos="8306"/>
        </w:tabs>
      </w:pPr>
      <w:hyperlink w:anchor="_Toc27353" w:history="1">
        <w:r>
          <w:rPr>
            <w:rFonts w:ascii="仿宋" w:eastAsia="仿宋" w:hAnsi="仿宋" w:cs="仿宋" w:hint="eastAsia"/>
            <w:lang w:eastAsia="zh-CN"/>
          </w:rPr>
          <w:t>十四、风险识别与分类</w:t>
        </w:r>
        <w:r>
          <w:tab/>
        </w:r>
        <w:r>
          <w:fldChar w:fldCharType="begin"/>
        </w:r>
        <w:r>
          <w:instrText xml:space="preserve"> PAGEREF _Toc27353 \h </w:instrText>
        </w:r>
        <w:r>
          <w:fldChar w:fldCharType="separate"/>
        </w:r>
        <w:r>
          <w:t>62</w:t>
        </w:r>
        <w:r>
          <w:fldChar w:fldCharType="end"/>
        </w:r>
      </w:hyperlink>
    </w:p>
    <w:p>
      <w:pPr>
        <w:pStyle w:val="TOC2"/>
        <w:tabs>
          <w:tab w:val="right" w:leader="dot" w:pos="8306"/>
        </w:tabs>
      </w:pPr>
      <w:hyperlink w:anchor="_Toc4069" w:history="1">
        <w:r>
          <w:rPr>
            <w:rFonts w:ascii="仿宋" w:eastAsia="仿宋" w:hAnsi="仿宋" w:cs="仿宋" w:hint="eastAsia"/>
            <w:lang w:eastAsia="zh-CN"/>
          </w:rPr>
          <w:t>(一)、风险识别</w:t>
        </w:r>
        <w:r>
          <w:tab/>
        </w:r>
        <w:r>
          <w:fldChar w:fldCharType="begin"/>
        </w:r>
        <w:r>
          <w:instrText xml:space="preserve"> PAGEREF _Toc4069 \h </w:instrText>
        </w:r>
        <w:r>
          <w:fldChar w:fldCharType="separate"/>
        </w:r>
        <w:r>
          <w:t>62</w:t>
        </w:r>
        <w:r>
          <w:fldChar w:fldCharType="end"/>
        </w:r>
      </w:hyperlink>
    </w:p>
    <w:p>
      <w:pPr>
        <w:pStyle w:val="TOC2"/>
        <w:tabs>
          <w:tab w:val="right" w:leader="dot" w:pos="8306"/>
        </w:tabs>
      </w:pPr>
      <w:hyperlink w:anchor="_Toc13798" w:history="1">
        <w:r>
          <w:rPr>
            <w:rFonts w:ascii="仿宋" w:eastAsia="仿宋" w:hAnsi="仿宋" w:cs="仿宋" w:hint="eastAsia"/>
            <w:lang w:eastAsia="zh-CN"/>
          </w:rPr>
          <w:t>(二)、风险分类</w:t>
        </w:r>
        <w:r>
          <w:tab/>
        </w:r>
        <w:r>
          <w:fldChar w:fldCharType="begin"/>
        </w:r>
        <w:r>
          <w:instrText xml:space="preserve"> PAGEREF _Toc13798 \h </w:instrText>
        </w:r>
        <w:r>
          <w:fldChar w:fldCharType="separate"/>
        </w:r>
        <w:r>
          <w:t>63</w:t>
        </w:r>
        <w:r>
          <w:fldChar w:fldCharType="end"/>
        </w:r>
      </w:hyperlink>
    </w:p>
    <w:p>
      <w:pPr>
        <w:pStyle w:val="TOC1"/>
        <w:tabs>
          <w:tab w:val="right" w:leader="dot" w:pos="8306"/>
        </w:tabs>
      </w:pPr>
      <w:hyperlink w:anchor="_Toc3881" w:history="1">
        <w:r>
          <w:rPr>
            <w:rFonts w:ascii="仿宋" w:eastAsia="仿宋" w:hAnsi="仿宋" w:cs="仿宋" w:hint="eastAsia"/>
            <w:lang w:eastAsia="zh-CN"/>
          </w:rPr>
          <w:t>十五、高性能油墨项目治理与监督</w:t>
        </w:r>
        <w:r>
          <w:tab/>
        </w:r>
        <w:r>
          <w:fldChar w:fldCharType="begin"/>
        </w:r>
        <w:r>
          <w:instrText xml:space="preserve"> PAGEREF _Toc3881 \h </w:instrText>
        </w:r>
        <w:r>
          <w:fldChar w:fldCharType="separate"/>
        </w:r>
        <w:r>
          <w:t>65</w:t>
        </w:r>
        <w:r>
          <w:fldChar w:fldCharType="end"/>
        </w:r>
      </w:hyperlink>
    </w:p>
    <w:p>
      <w:pPr>
        <w:pStyle w:val="TOC2"/>
        <w:tabs>
          <w:tab w:val="right" w:leader="dot" w:pos="8306"/>
        </w:tabs>
      </w:pPr>
      <w:hyperlink w:anchor="_Toc16762" w:history="1">
        <w:r>
          <w:rPr>
            <w:rFonts w:ascii="仿宋" w:eastAsia="仿宋" w:hAnsi="仿宋" w:cs="仿宋" w:hint="eastAsia"/>
            <w:lang w:eastAsia="zh-CN"/>
          </w:rPr>
          <w:t>(一)、高性能油墨项目治理结构</w:t>
        </w:r>
        <w:r>
          <w:tab/>
        </w:r>
        <w:r>
          <w:fldChar w:fldCharType="begin"/>
        </w:r>
        <w:r>
          <w:instrText xml:space="preserve"> PAGEREF _Toc16762 \h </w:instrText>
        </w:r>
        <w:r>
          <w:fldChar w:fldCharType="separate"/>
        </w:r>
        <w:r>
          <w:t>65</w:t>
        </w:r>
        <w:r>
          <w:fldChar w:fldCharType="end"/>
        </w:r>
      </w:hyperlink>
    </w:p>
    <w:p>
      <w:pPr>
        <w:pStyle w:val="TOC2"/>
        <w:tabs>
          <w:tab w:val="right" w:leader="dot" w:pos="8306"/>
        </w:tabs>
      </w:pPr>
      <w:hyperlink w:anchor="_Toc20586" w:history="1">
        <w:r>
          <w:rPr>
            <w:rFonts w:ascii="仿宋" w:eastAsia="仿宋" w:hAnsi="仿宋" w:cs="仿宋" w:hint="eastAsia"/>
            <w:lang w:eastAsia="zh-CN"/>
          </w:rPr>
          <w:t>(二)、监督与审计</w:t>
        </w:r>
        <w:r>
          <w:tab/>
        </w:r>
        <w:r>
          <w:fldChar w:fldCharType="begin"/>
        </w:r>
        <w:r>
          <w:instrText xml:space="preserve"> PAGEREF _Toc20586 \h </w:instrText>
        </w:r>
        <w:r>
          <w:fldChar w:fldCharType="separate"/>
        </w:r>
        <w:r>
          <w:t>66</w:t>
        </w:r>
        <w:r>
          <w:fldChar w:fldCharType="end"/>
        </w:r>
      </w:hyperlink>
    </w:p>
    <w:p>
      <w:pPr>
        <w:pStyle w:val="TOC1"/>
        <w:tabs>
          <w:tab w:val="right" w:leader="dot" w:pos="8306"/>
        </w:tabs>
      </w:pPr>
      <w:hyperlink w:anchor="_Toc20839" w:history="1">
        <w:r>
          <w:rPr>
            <w:rFonts w:ascii="仿宋" w:eastAsia="仿宋" w:hAnsi="仿宋" w:cs="仿宋" w:hint="eastAsia"/>
            <w:lang w:eastAsia="zh-CN"/>
          </w:rPr>
          <w:t>十六、质量管理体系</w:t>
        </w:r>
        <w:r>
          <w:tab/>
        </w:r>
        <w:r>
          <w:fldChar w:fldCharType="begin"/>
        </w:r>
        <w:r>
          <w:instrText xml:space="preserve"> PAGEREF _Toc20839 \h </w:instrText>
        </w:r>
        <w:r>
          <w:fldChar w:fldCharType="separate"/>
        </w:r>
        <w:r>
          <w:t>68</w:t>
        </w:r>
        <w:r>
          <w:fldChar w:fldCharType="end"/>
        </w:r>
      </w:hyperlink>
    </w:p>
    <w:p>
      <w:pPr>
        <w:pStyle w:val="TOC2"/>
        <w:tabs>
          <w:tab w:val="right" w:leader="dot" w:pos="8306"/>
        </w:tabs>
      </w:pPr>
      <w:hyperlink w:anchor="_Toc9913" w:history="1">
        <w:r>
          <w:rPr>
            <w:rFonts w:ascii="仿宋" w:eastAsia="仿宋" w:hAnsi="仿宋" w:cs="仿宋" w:hint="eastAsia"/>
            <w:lang w:eastAsia="zh-CN"/>
          </w:rPr>
          <w:t>(一)、质量目标与方针</w:t>
        </w:r>
        <w:r>
          <w:tab/>
        </w:r>
        <w:r>
          <w:fldChar w:fldCharType="begin"/>
        </w:r>
        <w:r>
          <w:instrText xml:space="preserve"> PAGEREF _Toc9913 \h </w:instrText>
        </w:r>
        <w:r>
          <w:fldChar w:fldCharType="separate"/>
        </w:r>
        <w:r>
          <w:t>68</w:t>
        </w:r>
        <w:r>
          <w:fldChar w:fldCharType="end"/>
        </w:r>
      </w:hyperlink>
    </w:p>
    <w:p>
      <w:pPr>
        <w:pStyle w:val="TOC2"/>
        <w:tabs>
          <w:tab w:val="right" w:leader="dot" w:pos="8306"/>
        </w:tabs>
      </w:pPr>
      <w:hyperlink w:anchor="_Toc14548" w:history="1">
        <w:r>
          <w:rPr>
            <w:rFonts w:ascii="仿宋" w:eastAsia="仿宋" w:hAnsi="仿宋" w:cs="仿宋" w:hint="eastAsia"/>
            <w:lang w:eastAsia="zh-CN"/>
          </w:rPr>
          <w:t>(二)、质量管理责任</w:t>
        </w:r>
        <w:r>
          <w:tab/>
        </w:r>
        <w:r>
          <w:fldChar w:fldCharType="begin"/>
        </w:r>
        <w:r>
          <w:instrText xml:space="preserve"> PAGEREF _Toc14548 \h </w:instrText>
        </w:r>
        <w:r>
          <w:fldChar w:fldCharType="separate"/>
        </w:r>
        <w:r>
          <w:t>69</w:t>
        </w:r>
        <w:r>
          <w:fldChar w:fldCharType="end"/>
        </w:r>
      </w:hyperlink>
    </w:p>
    <w:p>
      <w:pPr>
        <w:pStyle w:val="TOC2"/>
        <w:tabs>
          <w:tab w:val="right" w:leader="dot" w:pos="8306"/>
        </w:tabs>
      </w:pPr>
      <w:hyperlink w:anchor="_Toc15229" w:history="1">
        <w:r>
          <w:rPr>
            <w:rFonts w:ascii="仿宋" w:eastAsia="仿宋" w:hAnsi="仿宋" w:cs="仿宋" w:hint="eastAsia"/>
            <w:lang w:eastAsia="zh-CN"/>
          </w:rPr>
          <w:t>(三)、质量管理体系文件</w:t>
        </w:r>
        <w:r>
          <w:tab/>
        </w:r>
        <w:r>
          <w:fldChar w:fldCharType="begin"/>
        </w:r>
        <w:r>
          <w:instrText xml:space="preserve"> PAGEREF _Toc15229 \h </w:instrText>
        </w:r>
        <w:r>
          <w:fldChar w:fldCharType="separate"/>
        </w:r>
        <w:r>
          <w:t>70</w:t>
        </w:r>
        <w:r>
          <w:fldChar w:fldCharType="end"/>
        </w:r>
      </w:hyperlink>
    </w:p>
    <w:p>
      <w:pPr>
        <w:pStyle w:val="TOC2"/>
        <w:tabs>
          <w:tab w:val="right" w:leader="dot" w:pos="8306"/>
        </w:tabs>
      </w:pPr>
      <w:hyperlink w:anchor="_Toc31492" w:history="1">
        <w:r>
          <w:rPr>
            <w:rFonts w:ascii="仿宋" w:eastAsia="仿宋" w:hAnsi="仿宋" w:cs="仿宋" w:hint="eastAsia"/>
            <w:lang w:eastAsia="zh-CN"/>
          </w:rPr>
          <w:t>(四)、质量培训与教育</w:t>
        </w:r>
        <w:r>
          <w:tab/>
        </w:r>
        <w:r>
          <w:fldChar w:fldCharType="begin"/>
        </w:r>
        <w:r>
          <w:instrText xml:space="preserve"> PAGEREF _Toc31492 \h </w:instrText>
        </w:r>
        <w:r>
          <w:fldChar w:fldCharType="separate"/>
        </w:r>
        <w:r>
          <w:t>72</w:t>
        </w:r>
        <w:r>
          <w:fldChar w:fldCharType="end"/>
        </w:r>
      </w:hyperlink>
    </w:p>
    <w:p>
      <w:pPr>
        <w:pStyle w:val="TOC2"/>
        <w:tabs>
          <w:tab w:val="right" w:leader="dot" w:pos="8306"/>
        </w:tabs>
      </w:pPr>
      <w:hyperlink w:anchor="_Toc20121" w:history="1">
        <w:r>
          <w:rPr>
            <w:rFonts w:ascii="仿宋" w:eastAsia="仿宋" w:hAnsi="仿宋" w:cs="仿宋" w:hint="eastAsia"/>
            <w:lang w:eastAsia="zh-CN"/>
          </w:rPr>
          <w:t>(五)、质量审核与评价</w:t>
        </w:r>
        <w:r>
          <w:tab/>
        </w:r>
        <w:r>
          <w:fldChar w:fldCharType="begin"/>
        </w:r>
        <w:r>
          <w:instrText xml:space="preserve"> PAGEREF _Toc20121 \h </w:instrText>
        </w:r>
        <w:r>
          <w:fldChar w:fldCharType="separate"/>
        </w:r>
        <w:r>
          <w:t>73</w:t>
        </w:r>
        <w:r>
          <w:fldChar w:fldCharType="end"/>
        </w:r>
      </w:hyperlink>
    </w:p>
    <w:p>
      <w:pPr>
        <w:pStyle w:val="TOC2"/>
        <w:tabs>
          <w:tab w:val="right" w:leader="dot" w:pos="8306"/>
        </w:tabs>
      </w:pPr>
      <w:hyperlink w:anchor="_Toc9040" w:history="1">
        <w:r>
          <w:rPr>
            <w:rFonts w:ascii="仿宋" w:eastAsia="仿宋" w:hAnsi="仿宋" w:cs="仿宋" w:hint="eastAsia"/>
            <w:lang w:eastAsia="zh-CN"/>
          </w:rPr>
          <w:t>(六)、不符合与纠正措施</w:t>
        </w:r>
        <w:r>
          <w:tab/>
        </w:r>
        <w:r>
          <w:fldChar w:fldCharType="begin"/>
        </w:r>
        <w:r>
          <w:instrText xml:space="preserve"> PAGEREF _Toc9040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229"/>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0691"/>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25327"/>
      <w:r>
        <w:rPr>
          <w:rFonts w:ascii="仿宋" w:eastAsia="仿宋" w:hAnsi="仿宋" w:cs="仿宋" w:hint="eastAsia"/>
          <w:lang w:eastAsia="zh-CN"/>
        </w:rPr>
        <w:t>(一)、高性能油墨行业分析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高性能油墨行业一直以来都是市场的关注焦点。行业内的发展趋势、竞争态势以及潜在机会都对高性能油墨项目的推进产生深远的影响。通过深入研究行业的整体概貌，我们将更好地理解行业的核心特征，为高性能油墨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高性能油墨行业，技术一直是推动创新和发展的关键因素。我们将对当前技术趋势进行详尽分析，包括但不限于人工智能、大数据应用、先进制造技术等。这有助于高性能油墨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高性能油墨项目成功的基础。我们将对主要竞争对手进行深入研究，包括其市场份额、产品特点、市场定位等。通过全面了解竞争对手的优势和劣势，高性能油墨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12897"/>
      <w:r>
        <w:rPr>
          <w:rFonts w:ascii="仿宋" w:eastAsia="仿宋" w:hAnsi="仿宋" w:cs="仿宋" w:hint="eastAsia"/>
          <w:sz w:val="28"/>
          <w:lang w:eastAsia="zh-CN"/>
        </w:rPr>
        <w:t>(二)、高性能油墨市场分析预测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高性能油墨市场未来的增长趋势。这包括市场的整体规模、各细分领域的发展趋势等。高性能油墨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高性能油墨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高性能油墨项目实施过程中需要充分考虑的因素。我们将对市场风险进行全面评估，包括但不限于政策法规风险、市场竞争风险、技术变革风险等。通过对潜在风险的深入分析，高性能油墨项目可以制定相应的风险缓解策略，降低不确定性对高性能油墨项目的影响。</w:t>
      </w:r>
    </w:p>
    <w:p>
      <w:pPr>
        <w:pStyle w:val="Heading1"/>
        <w:ind w:firstLine="560" w:firstLineChars="200"/>
        <w:rPr>
          <w:rFonts w:ascii="仿宋" w:eastAsia="仿宋" w:hAnsi="仿宋" w:cs="仿宋" w:hint="eastAsia"/>
          <w:sz w:val="28"/>
          <w:lang w:eastAsia="zh-CN"/>
        </w:rPr>
      </w:pPr>
      <w:bookmarkStart w:id="5" w:name="_Toc11111"/>
      <w:r>
        <w:rPr>
          <w:rFonts w:ascii="仿宋" w:eastAsia="仿宋" w:hAnsi="仿宋" w:cs="仿宋" w:hint="eastAsia"/>
          <w:sz w:val="28"/>
          <w:lang w:eastAsia="zh-CN"/>
        </w:rPr>
        <w:t>二、高性能油墨项目绩效评估</w:t>
      </w:r>
      <w:bookmarkEnd w:id="5"/>
    </w:p>
    <w:p>
      <w:pPr>
        <w:pStyle w:val="Heading2"/>
        <w:rPr>
          <w:rFonts w:ascii="仿宋" w:eastAsia="仿宋" w:hAnsi="仿宋" w:cs="仿宋" w:hint="eastAsia"/>
          <w:lang w:eastAsia="zh-CN"/>
        </w:rPr>
      </w:pPr>
      <w:bookmarkStart w:id="6" w:name="_Toc24624"/>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高性能油墨项目中，我们设计了一套全面的绩效评估指标，以确保高性能油墨项目的可控和成功交付。这些指标跨足高性能油墨项目目标、成本、进度和质量等多个维度，为我们提供了全面洞察高性能油墨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高性能油墨项目目标达成率是我们关注的首要指标。我们设定了明确的目标，并通过定期监测和评估，迅速发现并应对潜在的目标偏差。这为高性能油墨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成本绩效是另一个核心关注点。通过实际成本与预算成本的对比分析，我们深入了解成本差异的原因，及时调整资源分配，保持高性能油墨项目在经济效益方面的合理水平。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高性能油墨项目进度作为关键的绩效指标之一，得到了精心的关注。我们制定了详细的高性能油墨项目进度计划，并设立了进度符合度指标，确保实际进度与计划进度保持一致。这使我们能够快速发现和解决潜在的进度问题，保持高性能油墨项目的正常推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高性能油墨项目绩效的不可或缺的一环。我们引入了一系列的质量标准和客户满意度指标，以确保高性能油墨项目交付的成果在质量上达到或超越预期水平。通过持续监测这些指标，我们努力提升高性能油墨项目整体质量水平，为高性能油墨项目的成功交付提供有力保障。通过这些科学且全面的绩效评估，我们能够更好地引导高性能油墨项目的持续改进，确保高性能油墨项目目标的顺利达成。</w:t>
      </w:r>
    </w:p>
    <w:p>
      <w:pPr>
        <w:pStyle w:val="Heading2"/>
        <w:ind w:firstLine="560" w:firstLineChars="200"/>
        <w:rPr>
          <w:rFonts w:ascii="仿宋" w:eastAsia="仿宋" w:hAnsi="仿宋" w:cs="仿宋" w:hint="eastAsia"/>
          <w:sz w:val="28"/>
          <w:lang w:eastAsia="zh-CN"/>
        </w:rPr>
      </w:pPr>
      <w:bookmarkStart w:id="7" w:name="_Toc8312"/>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绩效评估是高性能油墨项目中的关键环节，为确保高性能油墨项目达到预期目标，我们采用了多层次、多维度的绩效评估方法。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高性能油墨项目的战略目标对齐，确保每个决策和行动都与高性能油墨项目整体目标保持一致。团队会定期召开战略对齐会议，审视当前工作与高性能油墨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高性能油墨项目进度、质量、成本和风险等方面。这些指标通过数据收集和分析，为高性能油墨项目管理团队提供了客观的评估依据。例如，我们通过高性能油墨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绩效评估不仅仅停留在高性能油墨项目内部，还考虑了高性能油墨项目对外部环境的影响。我们定期进行干系人满意度调查，以了解各利益相关方对高性能油墨项目的期望和满意度，并及时做出调整。</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这种多层次、多角度的绩效评估方法，使得我们能够全面了解高性能油墨项目的运行状态，及时做出调整，确保高性能油墨项目在不断变化的环境中保持稳健前行。</w:t>
      </w:r>
    </w:p>
    <w:p>
      <w:pPr>
        <w:pStyle w:val="Heading2"/>
        <w:ind w:firstLine="560" w:firstLineChars="200"/>
        <w:rPr>
          <w:rFonts w:ascii="仿宋" w:eastAsia="仿宋" w:hAnsi="仿宋" w:cs="仿宋" w:hint="eastAsia"/>
          <w:sz w:val="28"/>
          <w:lang w:eastAsia="zh-CN"/>
        </w:rPr>
      </w:pPr>
      <w:bookmarkStart w:id="8" w:name="_Toc18727"/>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为了确保高性能油墨项目的有效管理和不断优化，我们采用了精心设计的绩效评估周期。这个周期旨在实现灵活、实时和全面的评估，以适应高性能油墨项目执行中的各种挑战。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高性能油墨项目的不同需求，分为短期、中期和长期。短期评估关注每个迭代或工作周期，以及时发现和解决当前任务中的问题。中期评估涵盖几个迭代，深入了解整体高性能油墨项目的趋势和性能。长期评估则着眼于整个高性能油墨项目阶段，确保高性能油墨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高性能油墨项目管理工具和协作平台，团队成员能够随时更新和分享高性能油墨项目数据。这种实时性的反馈机制使我们能够及时察觉潜在问题，快速调整，保持高性能油墨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高性能油墨项目的决策制定密不可分。每个周期的高性能油墨项目回顾会议成为集体总结经验、识别问题深层次原因并找到创新解决方案的平台。这种定期的反思与调整机制使高性能油墨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16947"/>
      <w:r>
        <w:rPr>
          <w:rFonts w:ascii="仿宋" w:eastAsia="仿宋" w:hAnsi="仿宋" w:cs="仿宋" w:hint="eastAsia"/>
          <w:sz w:val="28"/>
          <w:lang w:eastAsia="zh-CN"/>
        </w:rPr>
        <w:t>三、高性能油墨项目可持续发展</w:t>
      </w:r>
      <w:bookmarkEnd w:id="9"/>
    </w:p>
    <w:p>
      <w:pPr>
        <w:pStyle w:val="Heading2"/>
        <w:rPr>
          <w:rFonts w:ascii="仿宋" w:eastAsia="仿宋" w:hAnsi="仿宋" w:cs="仿宋" w:hint="eastAsia"/>
          <w:lang w:eastAsia="zh-CN"/>
        </w:rPr>
      </w:pPr>
      <w:bookmarkStart w:id="10" w:name="_Toc11961"/>
      <w:r>
        <w:rPr>
          <w:rFonts w:ascii="仿宋" w:eastAsia="仿宋" w:hAnsi="仿宋" w:cs="仿宋" w:hint="eastAsia"/>
          <w:lang w:eastAsia="zh-CN"/>
        </w:rPr>
        <w:t>(一)、可持续战略与实践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高性能油墨项目中，高性能油墨项目团队着眼于未来，明确了可持续发展的战略方向。制定的具体可持续发展目标包括降低资源使用、采用环保技术、最大化社会效益等。这一步骤不仅有助于高性能油墨项目在环保和社会责任方面达到最高标准，也为未来提供了明确的指引，确保高性能油墨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可持续实践的融入高性能油墨项目管理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高性能油墨项目管理周期。从高性能油墨项目规划开始，高性能油墨项目团队就考虑了环境和社会的因素。在执行阶段，高性能油墨项目团队积极推动绿色技术的应用，优化资源利用。此外，关注员工的社会责任，通过培训和沟通活动提高员工对可持续发展的认知，使他们能够在日常工作中践行可持续实践。这些举措不仅为高性能油墨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1" w:name="_Toc3930"/>
      <w:r>
        <w:rPr>
          <w:rFonts w:ascii="仿宋" w:eastAsia="仿宋" w:hAnsi="仿宋" w:cs="仿宋" w:hint="eastAsia"/>
          <w:sz w:val="28"/>
          <w:lang w:eastAsia="zh-CN"/>
        </w:rPr>
        <w:t>(二)、环保与社会责任</w:t>
      </w:r>
      <w:bookmarkEnd w:id="11"/>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扎根于高性能油墨项目的可持续发展理念，我们深信环保与社会责任是高性能油墨项目成功的关键支柱。在高性能油墨项目的每一步，我们都致力于通过创新和实践，履行对环境和社会的坚定责任。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高性能油墨项目团队通过引入先进的环保技术、建立高效的废物处理系统以及推动能源节约措施，积极履行环保责任。定期的环保监测和评估确保高性能油墨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高性能油墨项目不仅致力于自身可持续发展，还注重对社会的回馈。通过支持社区高性能油墨项目、参与慈善事业、提供培训机会等方式，高性能油墨项目积极履行社会责任。与当地社区建立积极互动，关注员工的工作与生活平衡，以及员工的身心健康，是高性能油墨项目在社会责任层面的关键举措。这样的实践不仅增强了高性能油墨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2" w:name="_Toc13131"/>
      <w:r>
        <w:rPr>
          <w:rFonts w:ascii="仿宋" w:eastAsia="仿宋" w:hAnsi="仿宋" w:cs="仿宋" w:hint="eastAsia"/>
          <w:sz w:val="28"/>
          <w:lang w:eastAsia="zh-CN"/>
        </w:rPr>
        <w:t>四、高性能油墨项目选址可行性分析</w:t>
      </w:r>
      <w:bookmarkEnd w:id="12"/>
    </w:p>
    <w:p>
      <w:pPr>
        <w:pStyle w:val="Heading2"/>
        <w:rPr>
          <w:rFonts w:ascii="仿宋" w:eastAsia="仿宋" w:hAnsi="仿宋" w:cs="仿宋" w:hint="eastAsia"/>
          <w:lang w:eastAsia="zh-CN"/>
        </w:rPr>
      </w:pPr>
      <w:bookmarkStart w:id="13" w:name="_Toc3239"/>
      <w:r>
        <w:rPr>
          <w:rFonts w:ascii="仿宋" w:eastAsia="仿宋" w:hAnsi="仿宋" w:cs="仿宋" w:hint="eastAsia"/>
          <w:lang w:eastAsia="zh-CN"/>
        </w:rPr>
        <w:t>(一)、高性能油墨项目选址</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该高性能油墨项目选址位于XX省XX市XX区XXX街道</w:t>
      </w:r>
    </w:p>
    <w:p>
      <w:pPr>
        <w:pStyle w:val="Heading2"/>
        <w:ind w:firstLine="560" w:firstLineChars="200"/>
        <w:rPr>
          <w:rFonts w:ascii="仿宋" w:eastAsia="仿宋" w:hAnsi="仿宋" w:cs="仿宋" w:hint="eastAsia"/>
          <w:sz w:val="28"/>
          <w:lang w:eastAsia="zh-CN"/>
        </w:rPr>
      </w:pPr>
      <w:bookmarkStart w:id="14" w:name="_Toc11512"/>
      <w:r>
        <w:rPr>
          <w:rFonts w:ascii="仿宋" w:eastAsia="仿宋" w:hAnsi="仿宋" w:cs="仿宋" w:hint="eastAsia"/>
          <w:sz w:val="28"/>
          <w:lang w:eastAsia="zh-CN"/>
        </w:rPr>
        <w:t>(二)、用地控制指标</w:t>
      </w:r>
      <w:bookmarkEnd w:id="14"/>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高性能油墨项目的征地面积将根据高性能油墨项目的实际规模和需求进行精确规划。具体面积XXX平方米，旨在确保高性能油墨项目不仅能够满足当前的发展需求，还能够预留空间以适应未来的扩展。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净用地面积是在征地面积基础上去除不可利用面积后的实际可开发用地。具体面积XXX平方米，考虑到环保、交通、安全等多方面因素，以确保高性能油墨项目在整体利用效率上达到最优。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高性能油墨项目计划建设的建筑总规模具体面积XXX平方米。这一规模的确定综合考虑了高性能油墨项目的性质、规模，以及城市规划的相关要求，确保建筑布局与周边环境协调一致。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绿地率是高性能油墨项目用地中被规划为绿地的比例。具体面积XXX平方米，旨在通过合理规划绿地，改善高性能油墨项目周边环境，提升居民生活质量，并符合城市整体绿化规划。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容积率是用地上可以建设的建筑总体积与用地面积之比。具体面积XXX，通过合理的容积率规划，确保高性能油墨项目建筑规模与周边环境和谐共生。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高性能油墨项目选址与当地城市规划相一致，具体面积XXX平方米。通过与城市规划部门深入沟通，确保高性能油墨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充分了解并确保高性能油墨项目选址符合当地产业政策，具体面积XXX平方米。这包括高性能油墨项目对当地经济的促进作用，以及对相关产业的带动效应，确保高性能油墨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用地总体要求必须符合环保和可持续发展的原则，具体面积XXX平方米。通过采用绿色建筑设计、节能减排等措施，确保高性能油墨项目在建设和运营过程中对环境的影响最小化，达到可持续发展的要求。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确保高性能油墨项目选址具备必要的公共设施配套，具体面积XXX平方米。这包括交通便利性、教育、医疗等基础设施，以提高居民生活品质，使得高性能油墨项目选址更具吸引力。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考虑用地总体要求对当地社会稳定性的影响，具体面积XXX平方米。通过深入了解当地社区反馈，确保高性能油墨项目的选址和建设过程对当地社会和谐稳定产生积极作用。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高性能油墨项目选址不仅符合法规和规划，还在实际操作中具有可行性。这一全面规划将为高性能油墨项目的成功实施提供坚实的基础，确保高性能油墨项目选址阶段就能够奠定良好的发展基础。</w:t>
      </w:r>
    </w:p>
    <w:p>
      <w:pPr>
        <w:pStyle w:val="Heading2"/>
        <w:ind w:firstLine="560" w:firstLineChars="200"/>
        <w:rPr>
          <w:rFonts w:ascii="仿宋" w:eastAsia="仿宋" w:hAnsi="仿宋" w:cs="仿宋" w:hint="eastAsia"/>
          <w:sz w:val="28"/>
          <w:lang w:eastAsia="zh-CN"/>
        </w:rPr>
      </w:pPr>
      <w:bookmarkStart w:id="15" w:name="_Toc4871"/>
      <w:r>
        <w:rPr>
          <w:rFonts w:ascii="仿宋" w:eastAsia="仿宋" w:hAnsi="仿宋" w:cs="仿宋" w:hint="eastAsia"/>
          <w:sz w:val="28"/>
          <w:lang w:eastAsia="zh-CN"/>
        </w:rPr>
        <w:t>(三)、节约用地措施</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高性能油墨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高性能油墨项目的设备规划和空间设计中，我们将采取灵活设备布局的措施。设备布局将根据实际需求进行灵活设计，避免不必要的浪费。通过合理规划设备摆放位置，我们将提高设备的利用率，减少设备间距，以确保高性能油墨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高性能油墨项目内部引入共享设施的概念，例如共享会议室、办公区等。通过这种方式，我们可以减少对资源的重复建设，提高资源共享效率，从而减小高性能油墨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6" w:name="_Toc26440"/>
      <w:r>
        <w:rPr>
          <w:rFonts w:ascii="仿宋" w:eastAsia="仿宋" w:hAnsi="仿宋" w:cs="仿宋" w:hint="eastAsia"/>
          <w:sz w:val="28"/>
          <w:lang w:eastAsia="zh-CN"/>
        </w:rPr>
        <w:t>(四)、总图布置方案</w:t>
      </w:r>
      <w:bookmarkEnd w:id="16"/>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高性能油墨项目的总图布置中，我们将不同功能区域进行明确的规划，以最大程度满足高性能油墨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7" w:name="_Toc1255"/>
      <w:r>
        <w:rPr>
          <w:rFonts w:ascii="仿宋" w:eastAsia="仿宋" w:hAnsi="仿宋" w:cs="仿宋" w:hint="eastAsia"/>
          <w:sz w:val="28"/>
          <w:lang w:eastAsia="zh-CN"/>
        </w:rPr>
        <w:t>(五)、选址综合评价</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高性能油墨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高性能油墨项目对环境的影响是综合评价的重要因素之一。我们将详细考虑选址周边的自然环境、生态保护区、水源地等情况，确保高性能油墨项目的建设和运营对环境影响最小化，并符合当地的环保法规标准。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对选址的评价还需充分考虑当地政府的产业政策和法规。我们将详细了解高性能油墨项目所在地的相关政策，确保高性能油墨项目的规划和运营与当地法规相符，降低不必要的法律风险。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考虑到社会稳定性对企业运营的重要性，我们将评估选址地区的社会安全情况、劳工关系、社区反馈等方面，以确保高性能油墨项目的建设和运营不会受到社会稳定性的负面影响。</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最后，我们将综合考虑用地成本，包括土地购置费用、土地开发成本等。通过对用地成本的详细评估，我们能够做出更为精确的经济效益分析，为高性能油墨项目的投资决策提供有力支持。</w:t>
      </w:r>
    </w:p>
    <w:p>
      <w:pPr>
        <w:pStyle w:val="Heading1"/>
        <w:ind w:firstLine="560" w:firstLineChars="200"/>
        <w:rPr>
          <w:rFonts w:ascii="仿宋" w:eastAsia="仿宋" w:hAnsi="仿宋" w:cs="仿宋" w:hint="eastAsia"/>
          <w:sz w:val="28"/>
          <w:lang w:eastAsia="zh-CN"/>
        </w:rPr>
      </w:pPr>
      <w:bookmarkStart w:id="18" w:name="_Toc5080"/>
      <w:r>
        <w:rPr>
          <w:rFonts w:ascii="仿宋" w:eastAsia="仿宋" w:hAnsi="仿宋" w:cs="仿宋" w:hint="eastAsia"/>
          <w:sz w:val="28"/>
          <w:lang w:eastAsia="zh-CN"/>
        </w:rPr>
        <w:t>五、高性能油墨项目建设单位说明</w:t>
      </w:r>
      <w:bookmarkEnd w:id="18"/>
    </w:p>
    <w:p>
      <w:pPr>
        <w:pStyle w:val="Heading2"/>
        <w:rPr>
          <w:rFonts w:ascii="仿宋" w:eastAsia="仿宋" w:hAnsi="仿宋" w:cs="仿宋" w:hint="eastAsia"/>
          <w:lang w:eastAsia="zh-CN"/>
        </w:rPr>
      </w:pPr>
      <w:bookmarkStart w:id="19" w:name="_Toc19149"/>
      <w:r>
        <w:rPr>
          <w:rFonts w:ascii="仿宋" w:eastAsia="仿宋" w:hAnsi="仿宋" w:cs="仿宋" w:hint="eastAsia"/>
          <w:lang w:eastAsia="zh-CN"/>
        </w:rPr>
        <w:t>(一)、高性能油墨项目承办单位基本情况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20" w:name="_Toc26883"/>
      <w:r>
        <w:rPr>
          <w:rFonts w:ascii="仿宋" w:eastAsia="仿宋" w:hAnsi="仿宋" w:cs="仿宋" w:hint="eastAsia"/>
          <w:sz w:val="28"/>
          <w:lang w:eastAsia="zh-CN"/>
        </w:rPr>
        <w:t>(二)、公司经济效益分析</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高性能油墨项目承办单位的XXXX，我们着眼于实现可持续的经济效益。通过技术创新和解决方案的提供，公司预计在高性能油墨项目执行期间将获得可观的收入增长。这一收入来源主要包括高性能油墨项目交付、技术服务和解决方案的销售。</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同时，我们注重成本控制和效率提升，以确保高性能油墨项目的可持续盈利。透过精细的管理和资源优化，公司期望实现高性能油墨项目利润最大化。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高性能油墨项目实施进行全面的投资评估，包括高性能油墨项目启动阶段的资金投入和后续运营成本。通过对高性能油墨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高性能油墨项目实施过程中具备足够的资金流动性，公司将进行详尽的现金流分析。这包括资金需求的合理预测、高性能油墨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21" w:name="_Toc14800"/>
      <w:r>
        <w:rPr>
          <w:rFonts w:ascii="仿宋" w:eastAsia="仿宋" w:hAnsi="仿宋" w:cs="仿宋" w:hint="eastAsia"/>
          <w:sz w:val="28"/>
          <w:lang w:eastAsia="zh-CN"/>
        </w:rPr>
        <w:t>六、工艺说明</w:t>
      </w:r>
      <w:bookmarkEnd w:id="21"/>
    </w:p>
    <w:p>
      <w:pPr>
        <w:pStyle w:val="Heading2"/>
        <w:rPr>
          <w:rFonts w:ascii="仿宋" w:eastAsia="仿宋" w:hAnsi="仿宋" w:cs="仿宋" w:hint="eastAsia"/>
          <w:lang w:eastAsia="zh-CN"/>
        </w:rPr>
      </w:pPr>
      <w:bookmarkStart w:id="22" w:name="_Toc9994"/>
      <w:r>
        <w:rPr>
          <w:rFonts w:ascii="仿宋" w:eastAsia="仿宋" w:hAnsi="仿宋" w:cs="仿宋" w:hint="eastAsia"/>
          <w:lang w:eastAsia="zh-CN"/>
        </w:rPr>
        <w:t>(一)、技术管理特点</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高性能油墨项目的技术管理特点体现在其创新导向。通过引入最先进的技术趋势和解决方案，高性能油墨项目致力于提升科技含量、提高质量和效率水平。这意味着我们将采用最新的工具和方法，确保高性能油墨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https://d.book118.com/937154034046006034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高性能油墨项目规划设计纲要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高性能油墨项目规划设计纲要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高性能油墨项目规划设计纲要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高性能油墨项目规划设计纲要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高性能油墨项目规划设计纲要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高性能油墨项目规划设计纲要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高性能油墨项目规划设计纲要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高性能油墨项目规划设计纲要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高性能油墨项目规划设计纲要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高性能油墨项目规划设计纲要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高性能油墨项目规划设计纲要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高性能油墨项目规划设计纲要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高性能油墨项目规划设计纲要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高性能油墨项目规划设计纲要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高性能油墨项目规划设计纲要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高性能油墨项目规划设计纲要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高性能油墨项目规划设计纲要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D1B6BEA"/>
    <w:rsid w:val="4D1B6BE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3715403404600603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2024-01-17T20:44:00Z</dcterms:created>
  <dcterms:modified xsi:type="dcterms:W3CDTF">2024-01-17T20:44:45Z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DBD2B6F60822441186AA47B3CB86C2C5_11</vt:lpwstr>
  </property>
  <property fmtid="{D5CDD505-2E9C-101B-9397-08002B2CF9AE}" pid="3" name="KSOProductBuildVer">
    <vt:lpwstr>2052-12.1.0.16120</vt:lpwstr>
  </property>
</Properties>
</file>