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2158"/>
          <w:tab w:val="left" w:pos="4451"/>
        </w:tabs>
        <w:spacing w:before="86"/>
        <w:ind w:left="0" w:right="123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spacing w:before="192" w:line="1321" w:lineRule="exact"/>
        <w:ind w:left="0" w:right="924" w:firstLine="0"/>
        <w:jc w:val="center"/>
        <w:rPr>
          <w:b/>
          <w:sz w:val="72"/>
        </w:rPr>
      </w:pPr>
      <w:r>
        <w:rPr>
          <w:rFonts w:ascii="Malgun Gothic" w:eastAsia="Malgun Gothic" w:hint="eastAsia"/>
          <w:b/>
          <w:sz w:val="72"/>
        </w:rPr>
        <w:t>100</w:t>
      </w:r>
      <w:r>
        <w:rPr>
          <w:b/>
          <w:sz w:val="72"/>
        </w:rPr>
        <w:t>吨</w:t>
      </w:r>
      <w:r>
        <w:rPr>
          <w:rFonts w:ascii="Malgun Gothic" w:eastAsia="Malgun Gothic" w:hint="eastAsia"/>
          <w:b/>
          <w:sz w:val="72"/>
        </w:rPr>
        <w:t>/</w:t>
      </w:r>
      <w:r>
        <w:rPr>
          <w:b/>
          <w:sz w:val="72"/>
        </w:rPr>
        <w:t>天牛粪沼气工程</w:t>
      </w:r>
    </w:p>
    <w:p>
      <w:pPr>
        <w:pStyle w:val="Title"/>
        <w:spacing w:line="2309" w:lineRule="exact"/>
      </w:pPr>
      <w:r>
        <w:t>设</w:t>
      </w:r>
    </w:p>
    <w:p>
      <w:pPr>
        <w:pStyle w:val="Title"/>
        <w:spacing w:before="947" w:line="338" w:lineRule="auto"/>
        <w:ind w:left="6517" w:right="7440"/>
        <w:jc w:val="both"/>
      </w:pPr>
      <w:r>
        <w:t>计方案</w:t>
      </w:r>
    </w:p>
    <w:p>
      <w:pPr>
        <w:spacing w:before="751"/>
        <w:ind w:left="545" w:right="123" w:firstLine="0"/>
        <w:jc w:val="center"/>
        <w:rPr>
          <w:b/>
          <w:sz w:val="54"/>
        </w:rPr>
      </w:pPr>
      <w:r>
        <w:rPr>
          <w:b/>
          <w:sz w:val="54"/>
        </w:rPr>
        <w:t>二零一二年二月</w:t>
      </w:r>
    </w:p>
    <w:p>
      <w:pPr>
        <w:tabs>
          <w:tab w:val="left" w:pos="1649"/>
        </w:tabs>
        <w:spacing w:before="292"/>
        <w:ind w:left="0" w:right="120" w:firstLine="0"/>
        <w:jc w:val="center"/>
        <w:rPr>
          <w:b/>
          <w:sz w:val="66"/>
        </w:rPr>
      </w:pPr>
      <w:r>
        <w:rPr>
          <w:b/>
          <w:sz w:val="66"/>
        </w:rPr>
        <w:t>目</w:t>
        <w:tab/>
        <w:t>录</w:t>
      </w:r>
    </w:p>
    <w:p>
      <w:pPr>
        <w:pStyle w:val="ListParagraph"/>
        <w:numPr>
          <w:ilvl w:val="0"/>
          <w:numId w:val="23"/>
        </w:numPr>
        <w:tabs>
          <w:tab w:val="left" w:pos="1272"/>
          <w:tab w:val="right" w:leader="dot" w:pos="13233"/>
        </w:tabs>
        <w:spacing w:before="918" w:after="0" w:line="240" w:lineRule="auto"/>
        <w:ind w:left="1271" w:right="109" w:hanging="1272"/>
        <w:jc w:val="left"/>
        <w:rPr>
          <w:rFonts w:ascii="Malgun Gothic" w:eastAsia="Malgun Gothic" w:hint="eastAsia"/>
          <w:sz w:val="42"/>
        </w:rPr>
      </w:pPr>
      <w:r>
        <w:rPr>
          <w:rFonts w:ascii="幼圆" w:eastAsia="幼圆" w:hint="eastAsia"/>
          <w:sz w:val="42"/>
        </w:rPr>
        <w:t>概述</w:t>
        <w:tab/>
      </w:r>
      <w:r>
        <w:rPr>
          <w:rFonts w:ascii="Malgun Gothic" w:eastAsia="Malgun Gothic" w:hint="eastAsia"/>
          <w:sz w:val="42"/>
        </w:rPr>
        <w:t>3</w:t>
      </w:r>
    </w:p>
    <w:p>
      <w:pPr>
        <w:pStyle w:val="BodyText"/>
        <w:spacing w:before="3"/>
        <w:rPr>
          <w:rFonts w:ascii="Malgun Gothic"/>
          <w:sz w:val="78"/>
        </w:rPr>
      </w:pPr>
    </w:p>
    <w:p>
      <w:pPr>
        <w:spacing w:before="0"/>
        <w:ind w:left="937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type w:val="continuous"/>
          <w:pgSz w:w="18360" w:h="23760"/>
          <w:pgMar w:top="760" w:right="1380" w:bottom="280" w:left="1760" w:header="708" w:footer="708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23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sdt>
      <w:sdtPr>
        <w:id w:val="614889547"/>
        <w:docPartObj>
          <w:docPartGallery w:val="Table of Contents"/>
          <w:docPartUnique/>
        </w:docPartObj>
      </w:sdtPr>
      <w:sdtContent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735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21" w:history="1">
            <w:r>
              <w:t>项目概况</w:t>
              <w:tab/>
            </w:r>
            <w:r>
              <w:rPr>
                <w:rFonts w:ascii="Malgun Gothic" w:eastAsia="Malgun Gothic" w:hint="eastAsia"/>
              </w:rPr>
              <w:t>3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1272"/>
              <w:tab w:val="right" w:leader="dot" w:pos="14170"/>
            </w:tabs>
            <w:spacing w:before="54" w:after="0" w:line="240" w:lineRule="auto"/>
            <w:ind w:left="1271" w:right="0" w:hanging="335"/>
            <w:jc w:val="left"/>
            <w:rPr>
              <w:rFonts w:ascii="Malgun Gothic" w:eastAsia="Malgun Gothic" w:hint="eastAsia"/>
            </w:rPr>
          </w:pPr>
          <w:hyperlink w:anchor="_TOC_250020" w:history="1">
            <w:r>
              <w:t>设计依据</w:t>
              <w:tab/>
            </w:r>
            <w:r>
              <w:rPr>
                <w:rFonts w:ascii="Malgun Gothic" w:eastAsia="Malgun Gothic" w:hint="eastAsia"/>
              </w:rPr>
              <w:t>4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133"/>
              <w:tab w:val="right" w:leader="dot" w:pos="14169"/>
            </w:tabs>
            <w:spacing w:before="149" w:after="0" w:line="240" w:lineRule="auto"/>
            <w:ind w:left="2132" w:right="0" w:hanging="566"/>
            <w:jc w:val="left"/>
            <w:rPr>
              <w:rFonts w:ascii="Malgun Gothic" w:eastAsia="Malgun Gothic" w:hint="eastAsia"/>
            </w:rPr>
          </w:pPr>
          <w:hyperlink w:anchor="_TOC_250019" w:history="1">
            <w:r>
              <w:t>相关国家法律</w:t>
            </w:r>
            <w:r>
              <w:rPr>
                <w:rFonts w:ascii="Malgun Gothic" w:eastAsia="Malgun Gothic" w:hint="eastAsia"/>
              </w:rPr>
              <w:t>、</w:t>
            </w:r>
            <w:r>
              <w:t>法规和政策</w:t>
              <w:tab/>
            </w:r>
            <w:r>
              <w:rPr>
                <w:rFonts w:ascii="Malgun Gothic" w:eastAsia="Malgun Gothic" w:hint="eastAsia"/>
              </w:rPr>
              <w:t>4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133"/>
              <w:tab w:val="right" w:leader="dot" w:pos="14169"/>
            </w:tabs>
            <w:spacing w:before="85" w:after="0" w:line="240" w:lineRule="auto"/>
            <w:ind w:left="2132" w:right="0" w:hanging="566"/>
            <w:jc w:val="left"/>
            <w:rPr>
              <w:rFonts w:ascii="Malgun Gothic" w:eastAsia="Malgun Gothic" w:hint="eastAsia"/>
            </w:rPr>
          </w:pPr>
          <w:hyperlink w:anchor="_TOC_250018" w:history="1">
            <w:r>
              <w:t>相关规范与标准</w:t>
              <w:tab/>
            </w:r>
            <w:r>
              <w:rPr>
                <w:rFonts w:ascii="Malgun Gothic" w:eastAsia="Malgun Gothic" w:hint="eastAsia"/>
              </w:rPr>
              <w:t>5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81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17" w:history="1">
            <w:r>
              <w:t>其他依据</w:t>
              <w:tab/>
            </w:r>
            <w:r>
              <w:rPr>
                <w:rFonts w:ascii="Malgun Gothic" w:eastAsia="Malgun Gothic" w:hint="eastAsia"/>
              </w:rPr>
              <w:t>6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1272"/>
              <w:tab w:val="right" w:leader="dot" w:pos="14170"/>
            </w:tabs>
            <w:spacing w:before="54" w:after="0" w:line="240" w:lineRule="auto"/>
            <w:ind w:left="1271" w:right="0" w:hanging="335"/>
            <w:jc w:val="left"/>
            <w:rPr>
              <w:rFonts w:ascii="Malgun Gothic" w:eastAsia="Malgun Gothic" w:hint="eastAsia"/>
            </w:rPr>
          </w:pPr>
          <w:r>
            <w:t>编制原则</w:t>
            <w:tab/>
          </w:r>
          <w:r>
            <w:rPr>
              <w:rFonts w:ascii="Malgun Gothic" w:eastAsia="Malgun Gothic" w:hint="eastAsia"/>
            </w:rPr>
            <w:t>6</w:t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150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16" w:history="1">
            <w:r>
              <w:t>技术先进性</w:t>
            </w:r>
            <w:r>
              <w:rPr>
                <w:rFonts w:ascii="Malgun Gothic" w:eastAsia="Malgun Gothic" w:hint="eastAsia"/>
              </w:rPr>
              <w:t>、</w:t>
            </w:r>
            <w:r>
              <w:t>可靠性和适应性原则</w:t>
              <w:tab/>
            </w:r>
            <w:r>
              <w:rPr>
                <w:rFonts w:ascii="Malgun Gothic" w:eastAsia="Malgun Gothic" w:hint="eastAsia"/>
              </w:rPr>
              <w:t>6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85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15" w:history="1">
            <w:r>
              <w:t>经济效益最大化原则</w:t>
              <w:tab/>
            </w:r>
            <w:r>
              <w:rPr>
                <w:rFonts w:ascii="Malgun Gothic" w:eastAsia="Malgun Gothic" w:hint="eastAsia"/>
              </w:rPr>
              <w:t>6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82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14" w:history="1">
            <w:r>
              <w:t>环境和社会效益最大化原则</w:t>
              <w:tab/>
            </w:r>
            <w:r>
              <w:rPr>
                <w:rFonts w:ascii="Malgun Gothic" w:eastAsia="Malgun Gothic" w:hint="eastAsia"/>
              </w:rPr>
              <w:t>6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1272"/>
              <w:tab w:val="right" w:leader="dot" w:pos="14170"/>
            </w:tabs>
            <w:spacing w:before="54" w:after="0" w:line="240" w:lineRule="auto"/>
            <w:ind w:left="1271" w:right="0" w:hanging="335"/>
            <w:jc w:val="left"/>
            <w:rPr>
              <w:rFonts w:ascii="Malgun Gothic" w:eastAsia="Malgun Gothic" w:hint="eastAsia"/>
            </w:rPr>
          </w:pPr>
          <w:hyperlink w:anchor="_TOC_250013" w:history="1">
            <w:r>
              <w:t>工艺技术方案选择</w:t>
              <w:tab/>
            </w:r>
            <w:r>
              <w:rPr>
                <w:rFonts w:ascii="Malgun Gothic" w:eastAsia="Malgun Gothic" w:hint="eastAsia"/>
              </w:rPr>
              <w:t>7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149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12" w:history="1">
            <w:r>
              <w:t>几种主流沼气工程工艺比较</w:t>
              <w:tab/>
            </w:r>
            <w:r>
              <w:rPr>
                <w:rFonts w:ascii="Malgun Gothic" w:eastAsia="Malgun Gothic" w:hint="eastAsia"/>
              </w:rPr>
              <w:t>7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85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11" w:history="1">
            <w:r>
              <w:t>工艺技术选择</w:t>
              <w:tab/>
            </w:r>
            <w:r>
              <w:rPr>
                <w:rFonts w:ascii="Malgun Gothic" w:eastAsia="Malgun Gothic" w:hint="eastAsia"/>
              </w:rPr>
              <w:t>8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1272"/>
              <w:tab w:val="right" w:leader="dot" w:pos="14167"/>
            </w:tabs>
            <w:spacing w:before="54" w:after="0" w:line="240" w:lineRule="auto"/>
            <w:ind w:left="1271" w:right="0" w:hanging="335"/>
            <w:jc w:val="left"/>
            <w:rPr>
              <w:rFonts w:ascii="Malgun Gothic" w:eastAsia="Malgun Gothic" w:hint="eastAsia"/>
            </w:rPr>
          </w:pPr>
          <w:r>
            <w:t>结构设计</w:t>
            <w:tab/>
          </w:r>
          <w:r>
            <w:rPr>
              <w:rFonts w:ascii="Malgun Gothic" w:eastAsia="Malgun Gothic" w:hint="eastAsia"/>
            </w:rPr>
            <w:t>11</w:t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2133"/>
              <w:tab w:val="right" w:leader="dot" w:pos="14169"/>
            </w:tabs>
            <w:spacing w:before="150" w:after="0" w:line="240" w:lineRule="auto"/>
            <w:ind w:left="2132" w:right="0" w:hanging="566"/>
            <w:jc w:val="left"/>
            <w:rPr>
              <w:rFonts w:ascii="Malgun Gothic" w:eastAsia="Malgun Gothic" w:hint="eastAsia"/>
            </w:rPr>
          </w:pPr>
          <w:hyperlink w:anchor="_TOC_250010" w:history="1">
            <w:r>
              <w:t>地基处理</w:t>
              <w:tab/>
            </w:r>
            <w:r>
              <w:rPr>
                <w:rFonts w:ascii="Malgun Gothic" w:eastAsia="Malgun Gothic" w:hint="eastAsia"/>
              </w:rPr>
              <w:t>11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133"/>
              <w:tab w:val="right" w:leader="dot" w:pos="14169"/>
            </w:tabs>
            <w:spacing w:before="81" w:after="0" w:line="240" w:lineRule="auto"/>
            <w:ind w:left="2132" w:right="0" w:hanging="566"/>
            <w:jc w:val="left"/>
            <w:rPr>
              <w:rFonts w:ascii="Malgun Gothic" w:eastAsia="Malgun Gothic" w:hint="eastAsia"/>
            </w:rPr>
          </w:pPr>
          <w:hyperlink w:anchor="_TOC_250009" w:history="1">
            <w:r>
              <w:t>结构选型及措施</w:t>
              <w:tab/>
            </w:r>
            <w:r>
              <w:rPr>
                <w:rFonts w:ascii="Malgun Gothic" w:eastAsia="Malgun Gothic" w:hint="eastAsia"/>
              </w:rPr>
              <w:t>11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1272"/>
              <w:tab w:val="right" w:leader="dot" w:pos="14167"/>
            </w:tabs>
            <w:spacing w:before="58" w:after="0" w:line="240" w:lineRule="auto"/>
            <w:ind w:left="1271" w:right="0" w:hanging="335"/>
            <w:jc w:val="left"/>
            <w:rPr>
              <w:rFonts w:ascii="Malgun Gothic" w:eastAsia="Malgun Gothic" w:hint="eastAsia"/>
            </w:rPr>
          </w:pPr>
          <w:hyperlink w:anchor="_TOC_250008" w:history="1">
            <w:r>
              <w:t>结构设计</w:t>
              <w:tab/>
            </w:r>
            <w:r>
              <w:rPr>
                <w:rFonts w:ascii="Malgun Gothic" w:eastAsia="Malgun Gothic" w:hint="eastAsia"/>
              </w:rPr>
              <w:t>11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149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07" w:history="1">
            <w:r>
              <w:t>总体布置</w:t>
              <w:tab/>
            </w:r>
            <w:r>
              <w:rPr>
                <w:rFonts w:ascii="Malgun Gothic" w:eastAsia="Malgun Gothic" w:hint="eastAsia"/>
              </w:rPr>
              <w:t>11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81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06" w:history="1">
            <w:r>
              <w:t>平面布置</w:t>
              <w:tab/>
            </w:r>
            <w:r>
              <w:rPr>
                <w:rFonts w:ascii="Malgun Gothic" w:eastAsia="Malgun Gothic" w:hint="eastAsia"/>
              </w:rPr>
              <w:t>14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82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05" w:history="1">
            <w:r>
              <w:t>单元设计</w:t>
              <w:tab/>
            </w:r>
            <w:r>
              <w:rPr>
                <w:rFonts w:ascii="Malgun Gothic" w:eastAsia="Malgun Gothic" w:hint="eastAsia"/>
              </w:rPr>
              <w:t>15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86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04" w:history="1">
            <w:r>
              <w:t>道路及绿化</w:t>
              <w:tab/>
            </w:r>
            <w:r>
              <w:rPr>
                <w:rFonts w:ascii="Malgun Gothic" w:eastAsia="Malgun Gothic" w:hint="eastAsia"/>
              </w:rPr>
              <w:t>20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82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03" w:history="1">
            <w:r>
              <w:t>形象设计</w:t>
              <w:tab/>
            </w:r>
            <w:r>
              <w:rPr>
                <w:rFonts w:ascii="Malgun Gothic" w:eastAsia="Malgun Gothic" w:hint="eastAsia"/>
              </w:rPr>
              <w:t>20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81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02" w:history="1">
            <w:r>
              <w:t>消防和安全设计</w:t>
              <w:tab/>
            </w:r>
            <w:r>
              <w:rPr>
                <w:rFonts w:ascii="Malgun Gothic" w:eastAsia="Malgun Gothic" w:hint="eastAsia"/>
              </w:rPr>
              <w:t>21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1272"/>
              <w:tab w:val="right" w:leader="dot" w:pos="14167"/>
            </w:tabs>
            <w:spacing w:before="58" w:after="0" w:line="240" w:lineRule="auto"/>
            <w:ind w:left="1271" w:right="0" w:hanging="335"/>
            <w:jc w:val="left"/>
            <w:rPr>
              <w:rFonts w:ascii="Malgun Gothic" w:eastAsia="Malgun Gothic" w:hint="eastAsia"/>
            </w:rPr>
          </w:pPr>
          <w:hyperlink w:anchor="_TOC_250001" w:history="1">
            <w:r>
              <w:t>电气设计</w:t>
              <w:tab/>
            </w:r>
            <w:r>
              <w:rPr>
                <w:rFonts w:ascii="Malgun Gothic" w:eastAsia="Malgun Gothic" w:hint="eastAsia"/>
              </w:rPr>
              <w:t>22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2223"/>
              <w:tab w:val="right" w:leader="dot" w:pos="14169"/>
            </w:tabs>
            <w:spacing w:before="149" w:after="0" w:line="240" w:lineRule="auto"/>
            <w:ind w:left="2222" w:right="0" w:hanging="656"/>
            <w:jc w:val="left"/>
            <w:rPr>
              <w:rFonts w:ascii="Malgun Gothic" w:eastAsia="Malgun Gothic" w:hint="eastAsia"/>
            </w:rPr>
          </w:pPr>
          <w:hyperlink w:anchor="_TOC_250000" w:history="1">
            <w:r>
              <w:t>设计范围</w:t>
              <w:tab/>
            </w:r>
            <w:r>
              <w:rPr>
                <w:rFonts w:ascii="Malgun Gothic" w:eastAsia="Malgun Gothic" w:hint="eastAsia"/>
              </w:rPr>
              <w:t>22</w:t>
            </w:r>
          </w:hyperlink>
        </w:p>
      </w:sdtContent>
    </w:sdt>
    <w:p>
      <w:pPr>
        <w:pStyle w:val="BodyText"/>
        <w:rPr>
          <w:rFonts w:ascii="Malgun Gothic"/>
          <w:sz w:val="48"/>
        </w:rPr>
      </w:pPr>
    </w:p>
    <w:p>
      <w:pPr>
        <w:pStyle w:val="BodyText"/>
        <w:spacing w:before="12"/>
        <w:rPr>
          <w:rFonts w:ascii="Malgun Gothic"/>
          <w:sz w:val="28"/>
        </w:rPr>
      </w:pPr>
    </w:p>
    <w:p>
      <w:pPr>
        <w:spacing w:before="0"/>
        <w:ind w:left="937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pgSz w:w="18360" w:h="23760"/>
          <w:pgMar w:top="760" w:right="1380" w:bottom="280" w:left="1760" w:header="708" w:footer="708"/>
          <w:pgNumType w:start="2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23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pStyle w:val="ListParagraph"/>
        <w:numPr>
          <w:ilvl w:val="1"/>
          <w:numId w:val="24"/>
        </w:numPr>
        <w:tabs>
          <w:tab w:val="left" w:pos="2223"/>
          <w:tab w:val="right" w:leader="dot" w:pos="14169"/>
        </w:tabs>
        <w:spacing w:before="735" w:after="0" w:line="240" w:lineRule="auto"/>
        <w:ind w:left="2222" w:right="0" w:hanging="65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供电负荷</w:t>
        <w:tab/>
      </w:r>
      <w:r>
        <w:rPr>
          <w:rFonts w:ascii="Malgun Gothic" w:eastAsia="Malgun Gothic" w:hint="eastAsia"/>
          <w:sz w:val="36"/>
        </w:rPr>
        <w:t>22</w:t>
      </w:r>
    </w:p>
    <w:p>
      <w:pPr>
        <w:pStyle w:val="ListParagraph"/>
        <w:numPr>
          <w:ilvl w:val="1"/>
          <w:numId w:val="24"/>
        </w:numPr>
        <w:tabs>
          <w:tab w:val="left" w:pos="2223"/>
          <w:tab w:val="right" w:leader="dot" w:pos="14169"/>
        </w:tabs>
        <w:spacing w:before="81" w:after="0" w:line="240" w:lineRule="auto"/>
        <w:ind w:left="2222" w:right="0" w:hanging="65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配电系统</w:t>
        <w:tab/>
      </w:r>
      <w:r>
        <w:rPr>
          <w:rFonts w:ascii="Malgun Gothic" w:eastAsia="Malgun Gothic" w:hint="eastAsia"/>
          <w:sz w:val="36"/>
        </w:rPr>
        <w:t>23</w:t>
      </w:r>
    </w:p>
    <w:p>
      <w:pPr>
        <w:pStyle w:val="ListParagraph"/>
        <w:numPr>
          <w:ilvl w:val="1"/>
          <w:numId w:val="24"/>
        </w:numPr>
        <w:tabs>
          <w:tab w:val="left" w:pos="2223"/>
          <w:tab w:val="right" w:leader="dot" w:pos="14169"/>
        </w:tabs>
        <w:spacing w:before="85" w:after="0" w:line="240" w:lineRule="auto"/>
        <w:ind w:left="2222" w:right="0" w:hanging="65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电缆敷设</w:t>
        <w:tab/>
      </w:r>
      <w:r>
        <w:rPr>
          <w:rFonts w:ascii="Malgun Gothic" w:eastAsia="Malgun Gothic" w:hint="eastAsia"/>
          <w:sz w:val="36"/>
        </w:rPr>
        <w:t>23</w:t>
      </w:r>
    </w:p>
    <w:p>
      <w:pPr>
        <w:pStyle w:val="BodyText"/>
        <w:tabs>
          <w:tab w:val="right" w:leader="dot" w:pos="14169"/>
        </w:tabs>
        <w:spacing w:before="82"/>
        <w:ind w:left="1567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7.5</w:t>
      </w:r>
      <w:r>
        <w:rPr>
          <w:rFonts w:ascii="Malgun Gothic" w:eastAsia="Malgun Gothic" w:hint="eastAsia"/>
          <w:spacing w:val="52"/>
        </w:rPr>
        <w:t xml:space="preserve"> </w:t>
      </w:r>
      <w:r>
        <w:t>照明</w:t>
        <w:tab/>
      </w:r>
      <w:r>
        <w:rPr>
          <w:rFonts w:ascii="Malgun Gothic" w:eastAsia="Malgun Gothic" w:hint="eastAsia"/>
        </w:rPr>
        <w:t>23</w:t>
      </w:r>
    </w:p>
    <w:p>
      <w:pPr>
        <w:pStyle w:val="BodyText"/>
        <w:tabs>
          <w:tab w:val="right" w:leader="dot" w:pos="14169"/>
        </w:tabs>
        <w:spacing w:before="81"/>
        <w:ind w:left="1567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7.6</w:t>
      </w:r>
      <w:r>
        <w:rPr>
          <w:rFonts w:ascii="Malgun Gothic" w:eastAsia="Malgun Gothic" w:hint="eastAsia"/>
          <w:spacing w:val="52"/>
        </w:rPr>
        <w:t xml:space="preserve"> </w:t>
      </w:r>
      <w:r>
        <w:t>防雷及接地</w:t>
        <w:tab/>
      </w:r>
      <w:r>
        <w:rPr>
          <w:rFonts w:ascii="Malgun Gothic" w:eastAsia="Malgun Gothic" w:hint="eastAsia"/>
        </w:rPr>
        <w:t>23</w:t>
      </w:r>
    </w:p>
    <w:p>
      <w:pPr>
        <w:pStyle w:val="ListParagraph"/>
        <w:numPr>
          <w:ilvl w:val="0"/>
          <w:numId w:val="24"/>
        </w:numPr>
        <w:tabs>
          <w:tab w:val="left" w:pos="1272"/>
          <w:tab w:val="right" w:leader="dot" w:pos="14167"/>
        </w:tabs>
        <w:spacing w:before="58" w:after="0" w:line="240" w:lineRule="auto"/>
        <w:ind w:left="1271" w:right="0" w:hanging="335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控制设计</w:t>
        <w:tab/>
      </w:r>
      <w:r>
        <w:rPr>
          <w:rFonts w:ascii="Malgun Gothic" w:eastAsia="Malgun Gothic" w:hint="eastAsia"/>
          <w:sz w:val="42"/>
        </w:rPr>
        <w:t>23</w:t>
      </w:r>
    </w:p>
    <w:p>
      <w:pPr>
        <w:pStyle w:val="ListParagraph"/>
        <w:numPr>
          <w:ilvl w:val="0"/>
          <w:numId w:val="24"/>
        </w:numPr>
        <w:tabs>
          <w:tab w:val="left" w:pos="1272"/>
          <w:tab w:val="right" w:leader="dot" w:pos="14167"/>
        </w:tabs>
        <w:spacing w:before="121" w:after="0" w:line="240" w:lineRule="auto"/>
        <w:ind w:left="1271" w:right="0" w:hanging="335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投资估算</w:t>
        <w:tab/>
      </w:r>
      <w:r>
        <w:rPr>
          <w:rFonts w:ascii="Malgun Gothic" w:eastAsia="Malgun Gothic" w:hint="eastAsia"/>
          <w:sz w:val="42"/>
        </w:rPr>
        <w:t>24</w:t>
      </w:r>
    </w:p>
    <w:p>
      <w:pPr>
        <w:pStyle w:val="ListParagraph"/>
        <w:numPr>
          <w:ilvl w:val="1"/>
          <w:numId w:val="24"/>
        </w:numPr>
        <w:tabs>
          <w:tab w:val="left" w:pos="2223"/>
          <w:tab w:val="right" w:leader="dot" w:pos="14169"/>
        </w:tabs>
        <w:spacing w:before="150" w:after="0" w:line="240" w:lineRule="auto"/>
        <w:ind w:left="2222" w:right="0" w:hanging="65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工艺投资</w:t>
        <w:tab/>
      </w:r>
      <w:r>
        <w:rPr>
          <w:rFonts w:ascii="Malgun Gothic" w:eastAsia="Malgun Gothic" w:hint="eastAsia"/>
          <w:sz w:val="36"/>
        </w:rPr>
        <w:t>24</w:t>
      </w:r>
    </w:p>
    <w:p>
      <w:pPr>
        <w:pStyle w:val="ListParagraph"/>
        <w:numPr>
          <w:ilvl w:val="1"/>
          <w:numId w:val="24"/>
        </w:numPr>
        <w:tabs>
          <w:tab w:val="left" w:pos="2223"/>
          <w:tab w:val="right" w:leader="dot" w:pos="14169"/>
        </w:tabs>
        <w:spacing w:before="82" w:after="0" w:line="240" w:lineRule="auto"/>
        <w:ind w:left="2222" w:right="0" w:hanging="65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土建投资</w:t>
        <w:tab/>
      </w:r>
      <w:r>
        <w:rPr>
          <w:rFonts w:ascii="Malgun Gothic" w:eastAsia="Malgun Gothic" w:hint="eastAsia"/>
          <w:sz w:val="36"/>
        </w:rPr>
        <w:t>25</w:t>
      </w:r>
    </w:p>
    <w:p>
      <w:pPr>
        <w:pStyle w:val="ListParagraph"/>
        <w:numPr>
          <w:ilvl w:val="0"/>
          <w:numId w:val="24"/>
        </w:numPr>
        <w:tabs>
          <w:tab w:val="left" w:pos="1503"/>
          <w:tab w:val="right" w:leader="dot" w:pos="14167"/>
        </w:tabs>
        <w:spacing w:before="54" w:after="0" w:line="240" w:lineRule="auto"/>
        <w:ind w:left="1502" w:right="0" w:hanging="566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效益分析</w:t>
        <w:tab/>
      </w:r>
      <w:r>
        <w:rPr>
          <w:rFonts w:ascii="Malgun Gothic" w:eastAsia="Malgun Gothic" w:hint="eastAsia"/>
          <w:sz w:val="42"/>
        </w:rPr>
        <w:t>26</w:t>
      </w:r>
    </w:p>
    <w:p>
      <w:pPr>
        <w:pStyle w:val="ListParagraph"/>
        <w:numPr>
          <w:ilvl w:val="1"/>
          <w:numId w:val="22"/>
        </w:numPr>
        <w:tabs>
          <w:tab w:val="left" w:pos="2421"/>
          <w:tab w:val="right" w:leader="dot" w:pos="14169"/>
        </w:tabs>
        <w:spacing w:before="149" w:after="0" w:line="240" w:lineRule="auto"/>
        <w:ind w:left="2420" w:right="0" w:hanging="85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运行成本</w:t>
        <w:tab/>
      </w:r>
      <w:r>
        <w:rPr>
          <w:rFonts w:ascii="Malgun Gothic" w:eastAsia="Malgun Gothic" w:hint="eastAsia"/>
          <w:sz w:val="36"/>
        </w:rPr>
        <w:t>26</w:t>
      </w:r>
    </w:p>
    <w:p>
      <w:pPr>
        <w:pStyle w:val="ListParagraph"/>
        <w:numPr>
          <w:ilvl w:val="1"/>
          <w:numId w:val="22"/>
        </w:numPr>
        <w:tabs>
          <w:tab w:val="left" w:pos="2421"/>
          <w:tab w:val="right" w:leader="dot" w:pos="14169"/>
        </w:tabs>
        <w:spacing w:before="85" w:after="0" w:line="240" w:lineRule="auto"/>
        <w:ind w:left="2420" w:right="0" w:hanging="85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效益分析</w:t>
        <w:tab/>
      </w:r>
      <w:r>
        <w:rPr>
          <w:rFonts w:ascii="Malgun Gothic" w:eastAsia="Malgun Gothic" w:hint="eastAsia"/>
          <w:sz w:val="36"/>
        </w:rPr>
        <w:t>26</w:t>
      </w:r>
    </w:p>
    <w:p>
      <w:pPr>
        <w:pStyle w:val="ListParagraph"/>
        <w:numPr>
          <w:ilvl w:val="0"/>
          <w:numId w:val="24"/>
        </w:numPr>
        <w:tabs>
          <w:tab w:val="left" w:pos="1503"/>
          <w:tab w:val="right" w:leader="dot" w:pos="14167"/>
        </w:tabs>
        <w:spacing w:before="54" w:after="0" w:line="240" w:lineRule="auto"/>
        <w:ind w:left="1502" w:right="0" w:hanging="566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安全生产与劳动保护</w:t>
        <w:tab/>
      </w:r>
      <w:r>
        <w:rPr>
          <w:rFonts w:ascii="Malgun Gothic" w:eastAsia="Malgun Gothic" w:hint="eastAsia"/>
          <w:sz w:val="42"/>
        </w:rPr>
        <w:t>27</w:t>
      </w:r>
    </w:p>
    <w:p>
      <w:pPr>
        <w:pStyle w:val="ListParagraph"/>
        <w:numPr>
          <w:ilvl w:val="1"/>
          <w:numId w:val="24"/>
        </w:numPr>
        <w:tabs>
          <w:tab w:val="left" w:pos="2421"/>
          <w:tab w:val="right" w:leader="dot" w:pos="14169"/>
        </w:tabs>
        <w:spacing w:before="150" w:after="0" w:line="240" w:lineRule="auto"/>
        <w:ind w:left="2420" w:right="0" w:hanging="85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工程设计措施</w:t>
        <w:tab/>
      </w:r>
      <w:r>
        <w:rPr>
          <w:rFonts w:ascii="Malgun Gothic" w:eastAsia="Malgun Gothic" w:hint="eastAsia"/>
          <w:sz w:val="36"/>
        </w:rPr>
        <w:t>27</w:t>
      </w:r>
    </w:p>
    <w:p>
      <w:pPr>
        <w:pStyle w:val="ListParagraph"/>
        <w:numPr>
          <w:ilvl w:val="1"/>
          <w:numId w:val="24"/>
        </w:numPr>
        <w:tabs>
          <w:tab w:val="left" w:pos="2421"/>
          <w:tab w:val="right" w:leader="dot" w:pos="14169"/>
        </w:tabs>
        <w:spacing w:before="81" w:after="0" w:line="240" w:lineRule="auto"/>
        <w:ind w:left="2420" w:right="0" w:hanging="85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安全操作方案</w:t>
        <w:tab/>
      </w:r>
      <w:r>
        <w:rPr>
          <w:rFonts w:ascii="Malgun Gothic" w:eastAsia="Malgun Gothic" w:hint="eastAsia"/>
          <w:sz w:val="36"/>
        </w:rPr>
        <w:t>28</w:t>
      </w:r>
    </w:p>
    <w:p>
      <w:pPr>
        <w:pStyle w:val="ListParagraph"/>
        <w:numPr>
          <w:ilvl w:val="0"/>
          <w:numId w:val="24"/>
        </w:numPr>
        <w:tabs>
          <w:tab w:val="left" w:pos="1503"/>
          <w:tab w:val="right" w:leader="dot" w:pos="14167"/>
        </w:tabs>
        <w:spacing w:before="58" w:after="0" w:line="240" w:lineRule="auto"/>
        <w:ind w:left="1502" w:right="0" w:hanging="566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工程实例照片</w:t>
        <w:tab/>
      </w:r>
      <w:r>
        <w:rPr>
          <w:rFonts w:ascii="Malgun Gothic" w:eastAsia="Malgun Gothic" w:hint="eastAsia"/>
          <w:sz w:val="42"/>
        </w:rPr>
        <w:t>29</w:t>
      </w:r>
    </w:p>
    <w:p>
      <w:pPr>
        <w:pStyle w:val="ListParagraph"/>
        <w:numPr>
          <w:ilvl w:val="0"/>
          <w:numId w:val="24"/>
        </w:numPr>
        <w:tabs>
          <w:tab w:val="left" w:pos="1503"/>
          <w:tab w:val="right" w:leader="dot" w:pos="14167"/>
        </w:tabs>
        <w:spacing w:before="121" w:after="0" w:line="240" w:lineRule="auto"/>
        <w:ind w:left="1502" w:right="0" w:hanging="566"/>
        <w:jc w:val="left"/>
        <w:rPr>
          <w:rFonts w:ascii="Malgun Gothic" w:eastAsia="Malgun Gothic" w:hint="eastAsia"/>
          <w:sz w:val="42"/>
        </w:rPr>
      </w:pPr>
      <w:r>
        <w:rPr>
          <w:sz w:val="42"/>
        </w:rPr>
        <w:t>工程进度表</w:t>
        <w:tab/>
      </w:r>
      <w:r>
        <w:rPr>
          <w:rFonts w:ascii="Malgun Gothic" w:eastAsia="Malgun Gothic" w:hint="eastAsia"/>
          <w:sz w:val="42"/>
        </w:rPr>
        <w:t>29</w:t>
      </w:r>
    </w:p>
    <w:p>
      <w:pPr>
        <w:pStyle w:val="BodyText"/>
        <w:rPr>
          <w:rFonts w:ascii="Malgun Gothic"/>
          <w:sz w:val="56"/>
        </w:rPr>
      </w:pPr>
    </w:p>
    <w:p>
      <w:pPr>
        <w:pStyle w:val="BodyText"/>
        <w:rPr>
          <w:rFonts w:ascii="Malgun Gothic"/>
          <w:sz w:val="56"/>
        </w:rPr>
      </w:pPr>
    </w:p>
    <w:p>
      <w:pPr>
        <w:pStyle w:val="BodyText"/>
        <w:rPr>
          <w:rFonts w:ascii="Malgun Gothic"/>
          <w:sz w:val="56"/>
        </w:rPr>
      </w:pPr>
    </w:p>
    <w:p>
      <w:pPr>
        <w:pStyle w:val="BodyText"/>
        <w:rPr>
          <w:rFonts w:ascii="Malgun Gothic"/>
          <w:sz w:val="56"/>
        </w:rPr>
      </w:pPr>
    </w:p>
    <w:p>
      <w:pPr>
        <w:pStyle w:val="BodyText"/>
        <w:rPr>
          <w:rFonts w:ascii="Malgun Gothic"/>
          <w:sz w:val="56"/>
        </w:rPr>
      </w:pPr>
    </w:p>
    <w:p>
      <w:pPr>
        <w:pStyle w:val="BodyText"/>
        <w:rPr>
          <w:rFonts w:ascii="Malgun Gothic"/>
          <w:sz w:val="56"/>
        </w:rPr>
      </w:pPr>
    </w:p>
    <w:p>
      <w:pPr>
        <w:pStyle w:val="BodyText"/>
        <w:spacing w:before="16"/>
        <w:rPr>
          <w:rFonts w:ascii="Malgun Gothic"/>
          <w:sz w:val="33"/>
        </w:rPr>
      </w:pPr>
    </w:p>
    <w:p>
      <w:pPr>
        <w:spacing w:before="0"/>
        <w:ind w:left="937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pgSz w:w="18360" w:h="23760"/>
          <w:pgMar w:top="760" w:right="1380" w:bottom="280" w:left="1760" w:header="708" w:footer="708"/>
          <w:pgNumType w:start="3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17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pStyle w:val="BodyText"/>
        <w:rPr>
          <w:rFonts w:ascii="Arial"/>
          <w:sz w:val="26"/>
        </w:rPr>
      </w:pPr>
    </w:p>
    <w:p>
      <w:pPr>
        <w:spacing w:before="232"/>
        <w:ind w:left="6910" w:right="0" w:firstLine="0"/>
        <w:jc w:val="left"/>
        <w:rPr>
          <w:b/>
          <w:sz w:val="42"/>
        </w:rPr>
      </w:pPr>
      <w:r>
        <w:rPr>
          <w:rFonts w:ascii="Malgun Gothic" w:eastAsia="Malgun Gothic" w:hint="eastAsia"/>
          <w:b/>
          <w:sz w:val="42"/>
        </w:rPr>
        <w:t xml:space="preserve">1 </w:t>
      </w:r>
      <w:r>
        <w:rPr>
          <w:b/>
          <w:sz w:val="42"/>
        </w:rPr>
        <w:t>概述</w:t>
      </w:r>
    </w:p>
    <w:p>
      <w:pPr>
        <w:pStyle w:val="Heading2"/>
        <w:tabs>
          <w:tab w:val="left" w:pos="1660"/>
        </w:tabs>
        <w:spacing w:before="379"/>
        <w:ind w:left="940" w:firstLine="0"/>
      </w:pPr>
      <w:bookmarkStart w:id="0" w:name="_TOC_250021"/>
      <w:r>
        <w:rPr>
          <w:rFonts w:ascii="Malgun Gothic" w:eastAsia="Malgun Gothic" w:hint="eastAsia"/>
        </w:rPr>
        <w:t>1.1</w:t>
        <w:tab/>
      </w:r>
      <w:bookmarkEnd w:id="0"/>
      <w:r>
        <w:t>项目概况</w:t>
      </w:r>
    </w:p>
    <w:p>
      <w:pPr>
        <w:pStyle w:val="BodyText"/>
        <w:spacing w:before="265"/>
        <w:ind w:left="940"/>
      </w:pPr>
      <w:r>
        <w:rPr>
          <w:rFonts w:ascii="Malgun Gothic" w:eastAsia="Malgun Gothic" w:hint="eastAsia"/>
        </w:rPr>
        <w:t>1、</w:t>
      </w:r>
      <w:r>
        <w:t>项目名称</w:t>
      </w:r>
    </w:p>
    <w:p>
      <w:pPr>
        <w:pStyle w:val="BodyText"/>
        <w:spacing w:before="269"/>
        <w:ind w:left="1840"/>
      </w:pPr>
      <w:r>
        <w:t xml:space="preserve">日处理 </w:t>
      </w:r>
      <w:r>
        <w:rPr>
          <w:rFonts w:ascii="Malgun Gothic" w:eastAsia="Malgun Gothic" w:hint="eastAsia"/>
        </w:rPr>
        <w:t xml:space="preserve">100 </w:t>
      </w:r>
      <w:r>
        <w:t>吨牛粪大型沼气工程</w:t>
      </w:r>
    </w:p>
    <w:p>
      <w:pPr>
        <w:pStyle w:val="BodyText"/>
        <w:spacing w:before="265"/>
        <w:ind w:left="940"/>
      </w:pPr>
      <w:r>
        <w:rPr>
          <w:rFonts w:ascii="Malgun Gothic" w:eastAsia="Malgun Gothic" w:hint="eastAsia"/>
        </w:rPr>
        <w:t>2、</w:t>
      </w:r>
      <w:r>
        <w:t>项目建设单位及建设地点</w:t>
      </w:r>
    </w:p>
    <w:p>
      <w:pPr>
        <w:pStyle w:val="BodyText"/>
        <w:spacing w:before="276" w:line="336" w:lineRule="auto"/>
        <w:ind w:left="1797" w:right="8806"/>
      </w:pPr>
      <w:r>
        <w:t>项目建设单位</w:t>
      </w:r>
      <w:r>
        <w:rPr>
          <w:rFonts w:ascii="Malgun Gothic" w:eastAsia="Malgun Gothic" w:hint="eastAsia"/>
        </w:rPr>
        <w:t xml:space="preserve">：XXXX </w:t>
      </w:r>
      <w:r>
        <w:t>养牛场项目建设地点</w:t>
      </w:r>
      <w:r>
        <w:rPr>
          <w:rFonts w:ascii="Malgun Gothic" w:eastAsia="Malgun Gothic" w:hint="eastAsia"/>
        </w:rPr>
        <w:t xml:space="preserve">：XXXX </w:t>
      </w:r>
      <w:r>
        <w:t>养牛场</w:t>
      </w:r>
    </w:p>
    <w:p>
      <w:pPr>
        <w:pStyle w:val="BodyText"/>
        <w:spacing w:line="660" w:lineRule="exact"/>
        <w:ind w:left="940"/>
      </w:pPr>
      <w:r>
        <w:rPr>
          <w:rFonts w:ascii="Malgun Gothic" w:eastAsia="Malgun Gothic" w:hint="eastAsia"/>
        </w:rPr>
        <w:t>3、</w:t>
      </w:r>
      <w:r>
        <w:t>项目简介</w:t>
      </w:r>
    </w:p>
    <w:p>
      <w:pPr>
        <w:pStyle w:val="BodyText"/>
        <w:spacing w:before="280" w:line="331" w:lineRule="auto"/>
        <w:ind w:left="940" w:right="994" w:firstLine="719"/>
        <w:rPr>
          <w:rFonts w:ascii="Malgun Gothic" w:eastAsia="Malgun Gothic" w:hint="eastAsia"/>
        </w:rPr>
      </w:pPr>
      <w:r>
        <w:rPr>
          <w:spacing w:val="27"/>
        </w:rPr>
        <w:t>建设</w:t>
      </w:r>
      <w:r>
        <w:rPr>
          <w:rFonts w:ascii="Malgun Gothic" w:eastAsia="Malgun Gothic" w:hint="eastAsia"/>
        </w:rPr>
        <w:t>4000m</w:t>
      </w:r>
      <w:r>
        <w:rPr>
          <w:rFonts w:ascii="Malgun Gothic" w:eastAsia="Malgun Gothic" w:hint="eastAsia"/>
          <w:sz w:val="24"/>
        </w:rPr>
        <w:t xml:space="preserve">3 </w:t>
      </w:r>
      <w:r>
        <w:rPr>
          <w:spacing w:val="-1"/>
        </w:rPr>
        <w:t>厌氧消化器及附属设施</w:t>
      </w:r>
      <w:r>
        <w:rPr>
          <w:rFonts w:ascii="Malgun Gothic" w:eastAsia="Malgun Gothic" w:hint="eastAsia"/>
        </w:rPr>
        <w:t>。</w:t>
      </w:r>
      <w:r>
        <w:rPr>
          <w:spacing w:val="6"/>
        </w:rPr>
        <w:t>年生产沼渣沼液约</w:t>
      </w:r>
      <w:r>
        <w:rPr>
          <w:rFonts w:ascii="Malgun Gothic" w:eastAsia="Malgun Gothic" w:hint="eastAsia"/>
        </w:rPr>
        <w:t>65700</w:t>
      </w:r>
      <w:r>
        <w:rPr>
          <w:rFonts w:ascii="Malgun Gothic" w:eastAsia="Malgun Gothic" w:hint="eastAsia"/>
          <w:spacing w:val="-78"/>
        </w:rPr>
        <w:t xml:space="preserve"> </w:t>
      </w:r>
      <w:r>
        <w:t>吨</w:t>
      </w:r>
      <w:r>
        <w:rPr>
          <w:rFonts w:ascii="Malgun Gothic" w:eastAsia="Malgun Gothic" w:hint="eastAsia"/>
        </w:rPr>
        <w:t>，</w:t>
      </w:r>
      <w:r>
        <w:t>建设配套的沼液综合利用设施</w:t>
      </w:r>
      <w:r>
        <w:rPr>
          <w:rFonts w:ascii="Malgun Gothic" w:eastAsia="Malgun Gothic" w:hint="eastAsia"/>
        </w:rPr>
        <w:t>，</w:t>
      </w:r>
      <w:r>
        <w:rPr>
          <w:spacing w:val="-4"/>
        </w:rPr>
        <w:t xml:space="preserve">年产沼气 </w:t>
      </w:r>
      <w:r>
        <w:rPr>
          <w:rFonts w:ascii="Malgun Gothic" w:eastAsia="Malgun Gothic" w:hint="eastAsia"/>
        </w:rPr>
        <w:t xml:space="preserve">116.8 </w:t>
      </w:r>
      <w:r>
        <w:rPr>
          <w:spacing w:val="-9"/>
        </w:rPr>
        <w:t xml:space="preserve">万 </w:t>
      </w:r>
      <w:r>
        <w:rPr>
          <w:rFonts w:ascii="Malgun Gothic" w:eastAsia="Malgun Gothic" w:hint="eastAsia"/>
        </w:rPr>
        <w:t>m</w:t>
      </w:r>
      <w:r>
        <w:rPr>
          <w:rFonts w:ascii="Malgun Gothic" w:eastAsia="Malgun Gothic" w:hint="eastAsia"/>
          <w:sz w:val="24"/>
        </w:rPr>
        <w:t>3</w:t>
      </w:r>
      <w:r>
        <w:rPr>
          <w:rFonts w:ascii="Malgun Gothic" w:eastAsia="Malgun Gothic" w:hint="eastAsia"/>
          <w:position w:val="1"/>
        </w:rPr>
        <w:t>，</w:t>
      </w:r>
      <w:r>
        <w:rPr>
          <w:position w:val="1"/>
        </w:rPr>
        <w:t>沼气用于发电</w:t>
      </w:r>
      <w:r>
        <w:rPr>
          <w:rFonts w:ascii="Malgun Gothic" w:eastAsia="Malgun Gothic" w:hint="eastAsia"/>
          <w:position w:val="1"/>
        </w:rPr>
        <w:t>。</w:t>
      </w:r>
    </w:p>
    <w:p>
      <w:pPr>
        <w:pStyle w:val="BodyText"/>
        <w:spacing w:before="16"/>
        <w:ind w:left="1660"/>
        <w:rPr>
          <w:rFonts w:ascii="Malgun Gothic" w:eastAsia="Malgun Gothic" w:hint="eastAsia"/>
        </w:rPr>
      </w:pPr>
      <w:r>
        <w:t>主要设施</w:t>
      </w:r>
      <w:r>
        <w:rPr>
          <w:rFonts w:ascii="Malgun Gothic" w:eastAsia="Malgun Gothic" w:hint="eastAsia"/>
        </w:rPr>
        <w:t>：</w:t>
      </w:r>
    </w:p>
    <w:p>
      <w:pPr>
        <w:pStyle w:val="BodyText"/>
        <w:spacing w:before="259"/>
        <w:ind w:left="1750"/>
        <w:rPr>
          <w:rFonts w:ascii="Malgun Gothic" w:eastAsia="Malgun Gothic" w:hint="eastAsia"/>
        </w:rPr>
      </w:pPr>
      <w:r>
        <w:t>预处理单元</w:t>
      </w:r>
      <w:r>
        <w:rPr>
          <w:rFonts w:ascii="Malgun Gothic" w:eastAsia="Malgun Gothic" w:hint="eastAsia"/>
        </w:rPr>
        <w:t>：</w:t>
      </w:r>
      <w:r>
        <w:t xml:space="preserve">调粪调节池 </w:t>
      </w:r>
      <w:r>
        <w:rPr>
          <w:rFonts w:ascii="Malgun Gothic" w:eastAsia="Malgun Gothic" w:hint="eastAsia"/>
        </w:rPr>
        <w:t>150m</w:t>
      </w:r>
      <w:r>
        <w:rPr>
          <w:rFonts w:ascii="Malgun Gothic" w:eastAsia="Malgun Gothic" w:hint="eastAsia"/>
          <w:sz w:val="24"/>
        </w:rPr>
        <w:t>3</w:t>
      </w:r>
      <w:r>
        <w:rPr>
          <w:rFonts w:ascii="Malgun Gothic" w:eastAsia="Malgun Gothic" w:hint="eastAsia"/>
          <w:position w:val="1"/>
        </w:rPr>
        <w:t>；</w:t>
      </w:r>
    </w:p>
    <w:p>
      <w:pPr>
        <w:pStyle w:val="BodyText"/>
        <w:spacing w:before="255"/>
        <w:ind w:left="1750"/>
        <w:rPr>
          <w:rFonts w:ascii="Malgun Gothic" w:eastAsia="Malgun Gothic" w:hint="eastAsia"/>
        </w:rPr>
      </w:pPr>
      <w:r>
        <w:t>沼气生产单元</w:t>
      </w:r>
      <w:r>
        <w:rPr>
          <w:rFonts w:ascii="Malgun Gothic" w:eastAsia="Malgun Gothic" w:hint="eastAsia"/>
        </w:rPr>
        <w:t xml:space="preserve">：CSTR </w:t>
      </w:r>
      <w:r>
        <w:t xml:space="preserve">反应罐 </w:t>
      </w:r>
      <w:r>
        <w:rPr>
          <w:rFonts w:ascii="Malgun Gothic" w:eastAsia="Malgun Gothic" w:hint="eastAsia"/>
        </w:rPr>
        <w:t>2000m</w:t>
      </w:r>
      <w:r>
        <w:rPr>
          <w:rFonts w:ascii="Malgun Gothic" w:eastAsia="Malgun Gothic" w:hint="eastAsia"/>
          <w:sz w:val="24"/>
        </w:rPr>
        <w:t xml:space="preserve">3 </w:t>
      </w:r>
      <w:r>
        <w:rPr>
          <w:rFonts w:ascii="Malgun Gothic" w:eastAsia="Malgun Gothic" w:hint="eastAsia"/>
          <w:position w:val="1"/>
        </w:rPr>
        <w:t xml:space="preserve">2 </w:t>
      </w:r>
      <w:r>
        <w:rPr>
          <w:position w:val="1"/>
        </w:rPr>
        <w:t>座</w:t>
      </w:r>
      <w:r>
        <w:rPr>
          <w:rFonts w:ascii="Malgun Gothic" w:eastAsia="Malgun Gothic" w:hint="eastAsia"/>
          <w:position w:val="1"/>
        </w:rPr>
        <w:t>；</w:t>
      </w:r>
      <w:r>
        <w:rPr>
          <w:position w:val="1"/>
        </w:rPr>
        <w:t xml:space="preserve">二次发酵池 </w:t>
      </w:r>
      <w:r>
        <w:rPr>
          <w:rFonts w:ascii="Malgun Gothic" w:eastAsia="Malgun Gothic" w:hint="eastAsia"/>
          <w:position w:val="1"/>
        </w:rPr>
        <w:t>1000m</w:t>
      </w:r>
      <w:r>
        <w:rPr>
          <w:rFonts w:ascii="Malgun Gothic" w:eastAsia="Malgun Gothic" w:hint="eastAsia"/>
          <w:sz w:val="24"/>
        </w:rPr>
        <w:t xml:space="preserve">3 </w:t>
      </w:r>
      <w:r>
        <w:rPr>
          <w:rFonts w:ascii="Malgun Gothic" w:eastAsia="Malgun Gothic" w:hint="eastAsia"/>
          <w:position w:val="1"/>
        </w:rPr>
        <w:t xml:space="preserve">2 </w:t>
      </w:r>
      <w:r>
        <w:rPr>
          <w:position w:val="1"/>
        </w:rPr>
        <w:t>座</w:t>
      </w:r>
      <w:r>
        <w:rPr>
          <w:rFonts w:ascii="Malgun Gothic" w:eastAsia="Malgun Gothic" w:hint="eastAsia"/>
          <w:position w:val="1"/>
        </w:rPr>
        <w:t>；</w:t>
      </w:r>
    </w:p>
    <w:p>
      <w:pPr>
        <w:pStyle w:val="BodyText"/>
        <w:spacing w:before="259" w:line="331" w:lineRule="auto"/>
        <w:ind w:left="1750" w:right="6473"/>
        <w:rPr>
          <w:rFonts w:ascii="Malgun Gothic" w:eastAsia="Malgun Gothic" w:hint="eastAsia"/>
        </w:rPr>
      </w:pPr>
      <w:r>
        <w:t>沼气存贮单元</w:t>
      </w:r>
      <w:r>
        <w:rPr>
          <w:rFonts w:ascii="Malgun Gothic" w:eastAsia="Malgun Gothic" w:hint="eastAsia"/>
        </w:rPr>
        <w:t>：</w:t>
      </w:r>
      <w:r>
        <w:t xml:space="preserve">柔性膜储气柜 </w:t>
      </w:r>
      <w:r>
        <w:rPr>
          <w:rFonts w:ascii="Malgun Gothic" w:eastAsia="Malgun Gothic" w:hint="eastAsia"/>
        </w:rPr>
        <w:t>660m</w:t>
      </w:r>
      <w:r>
        <w:rPr>
          <w:rFonts w:ascii="Malgun Gothic" w:eastAsia="Malgun Gothic" w:hint="eastAsia"/>
          <w:sz w:val="24"/>
        </w:rPr>
        <w:t xml:space="preserve">3 </w:t>
      </w:r>
      <w:r>
        <w:rPr>
          <w:rFonts w:ascii="Malgun Gothic" w:eastAsia="Malgun Gothic" w:hint="eastAsia"/>
          <w:position w:val="1"/>
        </w:rPr>
        <w:t xml:space="preserve">2 </w:t>
      </w:r>
      <w:r>
        <w:rPr>
          <w:position w:val="1"/>
        </w:rPr>
        <w:t>座</w:t>
      </w:r>
      <w:r>
        <w:rPr>
          <w:rFonts w:ascii="Malgun Gothic" w:eastAsia="Malgun Gothic" w:hint="eastAsia"/>
          <w:position w:val="1"/>
        </w:rPr>
        <w:t xml:space="preserve">； </w:t>
      </w:r>
      <w:r>
        <w:t>沼渣沼液利用单元</w:t>
      </w:r>
      <w:r>
        <w:rPr>
          <w:rFonts w:ascii="Malgun Gothic" w:eastAsia="Malgun Gothic" w:hint="eastAsia"/>
        </w:rPr>
        <w:t>：2400m</w:t>
      </w:r>
      <w:r>
        <w:rPr>
          <w:rFonts w:ascii="Malgun Gothic" w:eastAsia="Malgun Gothic" w:hint="eastAsia"/>
          <w:sz w:val="24"/>
        </w:rPr>
        <w:t>3</w:t>
      </w:r>
      <w:r>
        <w:rPr>
          <w:rFonts w:ascii="Malgun Gothic" w:eastAsia="Malgun Gothic" w:hint="eastAsia"/>
          <w:position w:val="1"/>
        </w:rPr>
        <w:t>。</w:t>
      </w:r>
    </w:p>
    <w:p>
      <w:pPr>
        <w:pStyle w:val="BodyText"/>
        <w:spacing w:before="19"/>
        <w:ind w:left="1660"/>
        <w:rPr>
          <w:rFonts w:ascii="Malgun Gothic" w:eastAsia="Malgun Gothic" w:hint="eastAsia"/>
        </w:rPr>
      </w:pPr>
      <w:r>
        <w:t>技术指标</w:t>
      </w:r>
      <w:r>
        <w:rPr>
          <w:rFonts w:ascii="Malgun Gothic" w:eastAsia="Malgun Gothic" w:hint="eastAsia"/>
        </w:rPr>
        <w:t>：</w:t>
      </w:r>
    </w:p>
    <w:p>
      <w:pPr>
        <w:pStyle w:val="BodyText"/>
        <w:spacing w:before="256"/>
        <w:ind w:left="1660"/>
        <w:rPr>
          <w:rFonts w:ascii="Malgun Gothic" w:eastAsia="Malgun Gothic" w:hint="eastAsia"/>
        </w:rPr>
      </w:pPr>
      <w:r>
        <w:rPr>
          <w:spacing w:val="-1"/>
        </w:rPr>
        <w:t>产气量</w:t>
      </w:r>
      <w:r>
        <w:rPr>
          <w:rFonts w:ascii="Malgun Gothic" w:eastAsia="Malgun Gothic" w:hint="eastAsia"/>
          <w:spacing w:val="-1"/>
        </w:rPr>
        <w:t>：3200-4800m</w:t>
      </w:r>
      <w:r>
        <w:rPr>
          <w:rFonts w:ascii="Malgun Gothic" w:eastAsia="Malgun Gothic" w:hint="eastAsia"/>
          <w:spacing w:val="-1"/>
          <w:sz w:val="24"/>
        </w:rPr>
        <w:t>3</w:t>
      </w:r>
      <w:r>
        <w:rPr>
          <w:rFonts w:ascii="Malgun Gothic" w:eastAsia="Malgun Gothic" w:hint="eastAsia"/>
          <w:spacing w:val="-1"/>
          <w:position w:val="1"/>
        </w:rPr>
        <w:t>/d；</w:t>
      </w:r>
    </w:p>
    <w:p>
      <w:pPr>
        <w:pStyle w:val="BodyText"/>
        <w:spacing w:before="256" w:line="336" w:lineRule="auto"/>
        <w:ind w:left="1660" w:right="6375"/>
        <w:rPr>
          <w:rFonts w:ascii="Malgun Gothic" w:eastAsia="Malgun Gothic" w:hint="eastAsia"/>
        </w:rPr>
      </w:pPr>
      <w:r>
        <w:rPr>
          <w:spacing w:val="-1"/>
        </w:rPr>
        <w:t>消化器有效容积单位产气率</w:t>
      </w:r>
      <w:r>
        <w:rPr>
          <w:rFonts w:ascii="Malgun Gothic" w:eastAsia="Malgun Gothic" w:hint="eastAsia"/>
        </w:rPr>
        <w:t>：0.8-1.2m</w:t>
      </w:r>
      <w:r>
        <w:rPr>
          <w:rFonts w:ascii="Malgun Gothic" w:eastAsia="Malgun Gothic" w:hint="eastAsia"/>
          <w:sz w:val="24"/>
        </w:rPr>
        <w:t>3</w:t>
      </w:r>
      <w:r>
        <w:rPr>
          <w:rFonts w:ascii="Malgun Gothic" w:eastAsia="Malgun Gothic" w:hint="eastAsia"/>
          <w:position w:val="1"/>
        </w:rPr>
        <w:t>/m</w:t>
      </w:r>
      <w:r>
        <w:rPr>
          <w:rFonts w:ascii="Malgun Gothic" w:eastAsia="Malgun Gothic" w:hint="eastAsia"/>
          <w:sz w:val="24"/>
        </w:rPr>
        <w:t>3</w:t>
      </w:r>
      <w:r>
        <w:rPr>
          <w:rFonts w:ascii="Malgun Gothic" w:eastAsia="Malgun Gothic" w:hint="eastAsia"/>
          <w:position w:val="1"/>
        </w:rPr>
        <w:t xml:space="preserve">； </w:t>
      </w:r>
      <w:r>
        <w:t>进料浓度</w:t>
      </w:r>
      <w:r>
        <w:rPr>
          <w:rFonts w:ascii="Malgun Gothic" w:eastAsia="Malgun Gothic" w:hint="eastAsia"/>
        </w:rPr>
        <w:t>：8-12%（TS）；</w:t>
      </w:r>
    </w:p>
    <w:p>
      <w:pPr>
        <w:pStyle w:val="BodyText"/>
        <w:spacing w:before="3" w:line="336" w:lineRule="auto"/>
        <w:ind w:left="1660" w:right="9957"/>
        <w:rPr>
          <w:rFonts w:ascii="Malgun Gothic" w:eastAsia="Malgun Gothic" w:hint="eastAsia"/>
        </w:rPr>
      </w:pPr>
      <w:r>
        <w:t>发酵温度</w:t>
      </w:r>
      <w:r>
        <w:rPr>
          <w:rFonts w:ascii="Malgun Gothic" w:eastAsia="Malgun Gothic" w:hint="eastAsia"/>
        </w:rPr>
        <w:t>：</w:t>
      </w:r>
      <w:r>
        <w:t>中温发酵</w:t>
      </w:r>
      <w:r>
        <w:rPr>
          <w:rFonts w:ascii="Malgun Gothic" w:eastAsia="Malgun Gothic" w:hint="eastAsia"/>
        </w:rPr>
        <w:t xml:space="preserve">； </w:t>
      </w:r>
      <w:r>
        <w:t>停留时间</w:t>
      </w:r>
      <w:r>
        <w:rPr>
          <w:rFonts w:ascii="Malgun Gothic" w:eastAsia="Malgun Gothic" w:hint="eastAsia"/>
        </w:rPr>
        <w:t xml:space="preserve">：25 </w:t>
      </w:r>
      <w:r>
        <w:t>天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7"/>
        <w:rPr>
          <w:rFonts w:ascii="Malgun Gothic"/>
          <w:sz w:val="31"/>
        </w:rPr>
      </w:pPr>
    </w:p>
    <w:p>
      <w:pPr>
        <w:spacing w:before="0"/>
        <w:ind w:left="940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pgSz w:w="18360" w:h="23760"/>
          <w:pgMar w:top="760" w:right="1380" w:bottom="280" w:left="1760" w:header="708" w:footer="708"/>
          <w:pgNumType w:start="4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17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pStyle w:val="BodyText"/>
        <w:rPr>
          <w:rFonts w:ascii="Arial"/>
          <w:sz w:val="26"/>
        </w:rPr>
      </w:pPr>
    </w:p>
    <w:p>
      <w:pPr>
        <w:pStyle w:val="Heading1"/>
        <w:numPr>
          <w:ilvl w:val="0"/>
          <w:numId w:val="25"/>
        </w:numPr>
        <w:tabs>
          <w:tab w:val="left" w:pos="6835"/>
        </w:tabs>
        <w:spacing w:before="232" w:after="0" w:line="240" w:lineRule="auto"/>
        <w:ind w:left="6834" w:right="0" w:hanging="379"/>
        <w:jc w:val="left"/>
      </w:pPr>
      <w:bookmarkStart w:id="1" w:name="_TOC_250020"/>
      <w:bookmarkEnd w:id="1"/>
      <w:r>
        <w:t>设计依据</w:t>
      </w:r>
    </w:p>
    <w:p>
      <w:pPr>
        <w:pStyle w:val="Heading2"/>
        <w:numPr>
          <w:ilvl w:val="1"/>
          <w:numId w:val="20"/>
        </w:numPr>
        <w:tabs>
          <w:tab w:val="left" w:pos="1542"/>
        </w:tabs>
        <w:spacing w:before="379" w:after="0" w:line="240" w:lineRule="auto"/>
        <w:ind w:left="1541" w:right="0" w:hanging="602"/>
        <w:jc w:val="left"/>
      </w:pPr>
      <w:bookmarkStart w:id="2" w:name="_TOC_250019"/>
      <w:r>
        <w:t>相关国家法律</w:t>
      </w:r>
      <w:r>
        <w:rPr>
          <w:rFonts w:ascii="Malgun Gothic" w:eastAsia="Malgun Gothic" w:hint="eastAsia"/>
        </w:rPr>
        <w:t>、</w:t>
      </w:r>
      <w:bookmarkEnd w:id="2"/>
      <w:r>
        <w:t>法规和政策</w:t>
      </w:r>
    </w:p>
    <w:p>
      <w:pPr>
        <w:pStyle w:val="ListParagraph"/>
        <w:numPr>
          <w:ilvl w:val="2"/>
          <w:numId w:val="20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中华人民共和国环境保护法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255"/>
        </w:tabs>
        <w:spacing w:before="269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中华人民共和国水污染防治法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中华人民共和国水污染防治法实施细则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中华人民共和国可再生能源法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255"/>
        </w:tabs>
        <w:spacing w:before="270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中华人民共和国畜牧法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畜禽养殖污染物防治管理办法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255"/>
        </w:tabs>
        <w:spacing w:before="269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中华人民共和国农业技术推广法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中华人民共和国电力法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中华人民共和国节约能源法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453"/>
        </w:tabs>
        <w:spacing w:before="269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中华人民共和国循环经济法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453"/>
        </w:tabs>
        <w:spacing w:before="265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资源综合利用条例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453"/>
        </w:tabs>
        <w:spacing w:before="269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中共中央关于制定国民经济和社会发展第十一个五年规划的建议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457"/>
          <w:tab w:val="left" w:pos="4325"/>
        </w:tabs>
        <w:spacing w:before="265" w:after="0" w:line="340" w:lineRule="auto"/>
        <w:ind w:left="940" w:right="1172" w:firstLine="719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pacing w:val="8"/>
          <w:sz w:val="36"/>
        </w:rPr>
        <w:t>《</w:t>
      </w:r>
      <w:r>
        <w:rPr>
          <w:sz w:val="36"/>
        </w:rPr>
        <w:t>中共中央</w:t>
        <w:tab/>
        <w:t>国务院关于积极发展现代农业扎实推进社会主义新农村建设</w:t>
      </w:r>
      <w:r>
        <w:rPr>
          <w:spacing w:val="-17"/>
          <w:sz w:val="36"/>
        </w:rPr>
        <w:t>的</w:t>
      </w:r>
      <w:r>
        <w:rPr>
          <w:sz w:val="36"/>
        </w:rPr>
        <w:t>若干意见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453"/>
        </w:tabs>
        <w:spacing w:before="0" w:after="0" w:line="645" w:lineRule="exact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全国生态环境保护纲要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453"/>
        </w:tabs>
        <w:spacing w:before="265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可再生能源发电价格和费用分摊管理试行办法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453"/>
        </w:tabs>
        <w:spacing w:before="269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关于发展生物能源和生物化工财税扶持政策的实施意见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453"/>
        </w:tabs>
        <w:spacing w:before="265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可再生能源发展专项资金管理暂行办法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0"/>
        </w:numPr>
        <w:tabs>
          <w:tab w:val="left" w:pos="2453"/>
        </w:tabs>
        <w:spacing w:before="269" w:after="0" w:line="240" w:lineRule="auto"/>
        <w:ind w:left="2452" w:right="0" w:hanging="793"/>
        <w:jc w:val="left"/>
        <w:rPr>
          <w:rFonts w:ascii="Malgun Gothic" w:eastAsia="Malgun Gothic" w:hAnsi="Malgun Gothic" w:hint="eastAsia"/>
          <w:sz w:val="36"/>
        </w:rPr>
      </w:pPr>
      <w:r>
        <w:rPr>
          <w:rFonts w:ascii="Malgun Gothic" w:eastAsia="Malgun Gothic" w:hAnsi="Malgun Gothic" w:hint="eastAsia"/>
          <w:sz w:val="36"/>
        </w:rPr>
        <w:t>《“</w:t>
      </w:r>
      <w:r>
        <w:rPr>
          <w:sz w:val="36"/>
        </w:rPr>
        <w:t>十一五</w:t>
      </w:r>
      <w:r>
        <w:rPr>
          <w:rFonts w:ascii="Malgun Gothic" w:eastAsia="Malgun Gothic" w:hAnsi="Malgun Gothic" w:hint="eastAsia"/>
          <w:sz w:val="36"/>
        </w:rPr>
        <w:t>”</w:t>
      </w:r>
      <w:r>
        <w:rPr>
          <w:sz w:val="36"/>
        </w:rPr>
        <w:t>资源综合利用指导意见</w:t>
      </w:r>
      <w:r>
        <w:rPr>
          <w:rFonts w:ascii="Malgun Gothic" w:eastAsia="Malgun Gothic" w:hAnsi="Malgun Gothic" w:hint="eastAsia"/>
          <w:sz w:val="36"/>
        </w:rPr>
        <w:t>》</w:t>
      </w:r>
    </w:p>
    <w:p>
      <w:pPr>
        <w:pStyle w:val="BodyText"/>
        <w:spacing w:before="9"/>
        <w:rPr>
          <w:rFonts w:ascii="Malgun Gothic"/>
          <w:sz w:val="46"/>
        </w:rPr>
      </w:pPr>
    </w:p>
    <w:p>
      <w:pPr>
        <w:spacing w:before="0"/>
        <w:ind w:left="940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pgSz w:w="18360" w:h="23760"/>
          <w:pgMar w:top="760" w:right="1380" w:bottom="280" w:left="1760" w:header="708" w:footer="708"/>
          <w:pgNumType w:start="5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17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ListParagraph"/>
        <w:numPr>
          <w:ilvl w:val="2"/>
          <w:numId w:val="26"/>
        </w:numPr>
        <w:tabs>
          <w:tab w:val="left" w:pos="2453"/>
        </w:tabs>
        <w:spacing w:before="0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国家鼓励的资源综合利用认定管理办法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Heading2"/>
        <w:numPr>
          <w:ilvl w:val="1"/>
          <w:numId w:val="26"/>
        </w:numPr>
        <w:tabs>
          <w:tab w:val="left" w:pos="1542"/>
        </w:tabs>
        <w:spacing w:before="265" w:after="0" w:line="240" w:lineRule="auto"/>
        <w:ind w:left="1541" w:right="0" w:hanging="602"/>
        <w:jc w:val="left"/>
        <w:rPr>
          <w:rFonts w:ascii="幼圆" w:eastAsia="幼圆" w:hint="eastAsia"/>
        </w:rPr>
      </w:pPr>
      <w:bookmarkStart w:id="3" w:name="_TOC_250018"/>
      <w:bookmarkEnd w:id="3"/>
      <w:r>
        <w:rPr>
          <w:rFonts w:ascii="幼圆" w:eastAsia="幼圆" w:hint="eastAsia"/>
        </w:rPr>
        <w:t>相关规范与标准</w:t>
      </w:r>
    </w:p>
    <w:p>
      <w:pPr>
        <w:pStyle w:val="ListParagraph"/>
        <w:numPr>
          <w:ilvl w:val="2"/>
          <w:numId w:val="26"/>
        </w:numPr>
        <w:tabs>
          <w:tab w:val="left" w:pos="2255"/>
        </w:tabs>
        <w:spacing w:before="283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沼气工程技术规范</w:t>
      </w:r>
      <w:r>
        <w:rPr>
          <w:rFonts w:ascii="Malgun Gothic" w:eastAsia="Malgun Gothic" w:hint="eastAsia"/>
          <w:sz w:val="36"/>
        </w:rPr>
        <w:t>》（NY/T</w:t>
      </w:r>
      <w:r>
        <w:rPr>
          <w:rFonts w:ascii="Malgun Gothic" w:eastAsia="Malgun Gothic" w:hint="eastAsia"/>
          <w:spacing w:val="-2"/>
          <w:sz w:val="36"/>
        </w:rPr>
        <w:t xml:space="preserve"> </w:t>
      </w:r>
      <w:r>
        <w:rPr>
          <w:rFonts w:ascii="Malgun Gothic" w:eastAsia="Malgun Gothic" w:hint="eastAsia"/>
          <w:sz w:val="36"/>
        </w:rPr>
        <w:t>1220-2006）</w:t>
      </w:r>
    </w:p>
    <w:p>
      <w:pPr>
        <w:pStyle w:val="ListParagraph"/>
        <w:numPr>
          <w:ilvl w:val="2"/>
          <w:numId w:val="26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室外排水设计规范</w:t>
      </w:r>
      <w:r>
        <w:rPr>
          <w:rFonts w:ascii="Malgun Gothic" w:eastAsia="Malgun Gothic" w:hint="eastAsia"/>
          <w:sz w:val="36"/>
        </w:rPr>
        <w:t>》（GB50014-2006）</w:t>
      </w:r>
    </w:p>
    <w:p>
      <w:pPr>
        <w:pStyle w:val="ListParagraph"/>
        <w:numPr>
          <w:ilvl w:val="2"/>
          <w:numId w:val="26"/>
        </w:numPr>
        <w:tabs>
          <w:tab w:val="left" w:pos="2255"/>
        </w:tabs>
        <w:spacing w:before="269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给水排水设计手册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6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环境工程设计手册</w:t>
      </w:r>
      <w:r>
        <w:rPr>
          <w:rFonts w:ascii="Malgun Gothic" w:eastAsia="Malgun Gothic" w:hint="eastAsia"/>
          <w:sz w:val="36"/>
        </w:rPr>
        <w:t>》（</w:t>
      </w:r>
      <w:r>
        <w:rPr>
          <w:sz w:val="36"/>
        </w:rPr>
        <w:t>水污染防治卷</w:t>
      </w:r>
      <w:r>
        <w:rPr>
          <w:rFonts w:ascii="Malgun Gothic" w:eastAsia="Malgun Gothic" w:hint="eastAsia"/>
          <w:sz w:val="36"/>
        </w:rPr>
        <w:t>）</w:t>
      </w:r>
    </w:p>
    <w:p>
      <w:pPr>
        <w:pStyle w:val="ListParagraph"/>
        <w:numPr>
          <w:ilvl w:val="2"/>
          <w:numId w:val="26"/>
        </w:numPr>
        <w:tabs>
          <w:tab w:val="left" w:pos="2255"/>
        </w:tabs>
        <w:spacing w:before="270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建筑设计防火规范</w:t>
      </w:r>
      <w:r>
        <w:rPr>
          <w:rFonts w:ascii="Malgun Gothic" w:eastAsia="Malgun Gothic" w:hint="eastAsia"/>
          <w:sz w:val="36"/>
        </w:rPr>
        <w:t>》（GB50016-2006）</w:t>
      </w:r>
    </w:p>
    <w:p>
      <w:pPr>
        <w:pStyle w:val="ListParagraph"/>
        <w:numPr>
          <w:ilvl w:val="2"/>
          <w:numId w:val="26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中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小型集约化养牛场建设的国家标准</w:t>
      </w:r>
      <w:r>
        <w:rPr>
          <w:rFonts w:ascii="Malgun Gothic" w:eastAsia="Malgun Gothic" w:hint="eastAsia"/>
          <w:sz w:val="36"/>
        </w:rPr>
        <w:t>》（GBT17824.1-1999）</w:t>
      </w:r>
    </w:p>
    <w:p>
      <w:pPr>
        <w:pStyle w:val="ListParagraph"/>
        <w:numPr>
          <w:ilvl w:val="2"/>
          <w:numId w:val="26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有机认证标准</w:t>
      </w:r>
      <w:r>
        <w:rPr>
          <w:rFonts w:ascii="Malgun Gothic" w:eastAsia="Malgun Gothic" w:hint="eastAsia"/>
          <w:sz w:val="36"/>
        </w:rPr>
        <w:t>-</w:t>
      </w:r>
      <w:r>
        <w:rPr>
          <w:sz w:val="36"/>
        </w:rPr>
        <w:t>畜牧生产</w:t>
      </w:r>
      <w:r>
        <w:rPr>
          <w:rFonts w:ascii="Malgun Gothic" w:eastAsia="Malgun Gothic" w:hint="eastAsia"/>
          <w:sz w:val="36"/>
        </w:rPr>
        <w:t>》</w:t>
      </w:r>
    </w:p>
    <w:p>
      <w:pPr>
        <w:pStyle w:val="ListParagraph"/>
        <w:numPr>
          <w:ilvl w:val="2"/>
          <w:numId w:val="26"/>
        </w:numPr>
        <w:tabs>
          <w:tab w:val="left" w:pos="2255"/>
        </w:tabs>
        <w:spacing w:before="269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畜禽养殖业污染物排放标准</w:t>
      </w:r>
      <w:r>
        <w:rPr>
          <w:rFonts w:ascii="Malgun Gothic" w:eastAsia="Malgun Gothic" w:hint="eastAsia"/>
          <w:sz w:val="36"/>
        </w:rPr>
        <w:t>》（GB18596-2001）</w:t>
      </w:r>
    </w:p>
    <w:p>
      <w:pPr>
        <w:pStyle w:val="ListParagraph"/>
        <w:numPr>
          <w:ilvl w:val="2"/>
          <w:numId w:val="26"/>
        </w:numPr>
        <w:tabs>
          <w:tab w:val="left" w:pos="2255"/>
        </w:tabs>
        <w:spacing w:before="265" w:after="0" w:line="240" w:lineRule="auto"/>
        <w:ind w:left="2254" w:right="0" w:hanging="595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建筑结构荷载规范</w:t>
      </w:r>
      <w:r>
        <w:rPr>
          <w:rFonts w:ascii="Malgun Gothic" w:eastAsia="Malgun Gothic" w:hint="eastAsia"/>
          <w:sz w:val="36"/>
        </w:rPr>
        <w:t>》（GB50009-2001）</w:t>
      </w:r>
    </w:p>
    <w:p>
      <w:pPr>
        <w:pStyle w:val="BodyText"/>
        <w:spacing w:before="269"/>
        <w:ind w:left="1660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(10) 《</w:t>
      </w:r>
      <w:r>
        <w:t>钢结构设计规范</w:t>
      </w:r>
      <w:r>
        <w:rPr>
          <w:rFonts w:ascii="Malgun Gothic" w:eastAsia="Malgun Gothic" w:hint="eastAsia"/>
        </w:rPr>
        <w:t>》（GB50017-2003）</w:t>
      </w:r>
    </w:p>
    <w:p>
      <w:pPr>
        <w:pStyle w:val="ListParagraph"/>
        <w:numPr>
          <w:ilvl w:val="0"/>
          <w:numId w:val="19"/>
        </w:numPr>
        <w:tabs>
          <w:tab w:val="left" w:pos="2453"/>
        </w:tabs>
        <w:spacing w:before="265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混凝土结构设计规范</w:t>
      </w:r>
      <w:r>
        <w:rPr>
          <w:rFonts w:ascii="Malgun Gothic" w:eastAsia="Malgun Gothic" w:hint="eastAsia"/>
          <w:sz w:val="36"/>
        </w:rPr>
        <w:t>》（GB50010-2002）</w:t>
      </w:r>
    </w:p>
    <w:p>
      <w:pPr>
        <w:pStyle w:val="ListParagraph"/>
        <w:numPr>
          <w:ilvl w:val="0"/>
          <w:numId w:val="19"/>
        </w:numPr>
        <w:tabs>
          <w:tab w:val="left" w:pos="2453"/>
        </w:tabs>
        <w:spacing w:before="269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建筑抗震设计规范</w:t>
      </w:r>
      <w:r>
        <w:rPr>
          <w:rFonts w:ascii="Malgun Gothic" w:eastAsia="Malgun Gothic" w:hint="eastAsia"/>
          <w:sz w:val="36"/>
        </w:rPr>
        <w:t>》（GB50011-2001）</w:t>
      </w:r>
    </w:p>
    <w:p>
      <w:pPr>
        <w:pStyle w:val="ListParagraph"/>
        <w:numPr>
          <w:ilvl w:val="0"/>
          <w:numId w:val="19"/>
        </w:numPr>
        <w:tabs>
          <w:tab w:val="left" w:pos="2453"/>
        </w:tabs>
        <w:spacing w:before="265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建筑地基基础设计规范</w:t>
      </w:r>
      <w:r>
        <w:rPr>
          <w:rFonts w:ascii="Malgun Gothic" w:eastAsia="Malgun Gothic" w:hint="eastAsia"/>
          <w:sz w:val="36"/>
        </w:rPr>
        <w:t>》（GB50007-2002）</w:t>
      </w:r>
    </w:p>
    <w:p>
      <w:pPr>
        <w:pStyle w:val="ListParagraph"/>
        <w:numPr>
          <w:ilvl w:val="0"/>
          <w:numId w:val="19"/>
        </w:numPr>
        <w:tabs>
          <w:tab w:val="left" w:pos="2453"/>
        </w:tabs>
        <w:spacing w:before="265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工业与民用建筑供配电系统设计规范</w:t>
      </w:r>
      <w:r>
        <w:rPr>
          <w:rFonts w:ascii="Malgun Gothic" w:eastAsia="Malgun Gothic" w:hint="eastAsia"/>
          <w:sz w:val="36"/>
        </w:rPr>
        <w:t>》（GB50052-19）</w:t>
      </w:r>
    </w:p>
    <w:p>
      <w:pPr>
        <w:pStyle w:val="ListParagraph"/>
        <w:numPr>
          <w:ilvl w:val="0"/>
          <w:numId w:val="19"/>
        </w:numPr>
        <w:tabs>
          <w:tab w:val="left" w:pos="2453"/>
        </w:tabs>
        <w:spacing w:before="269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砌体结构设计规范</w:t>
      </w:r>
      <w:r>
        <w:rPr>
          <w:rFonts w:ascii="Malgun Gothic" w:eastAsia="Malgun Gothic" w:hint="eastAsia"/>
          <w:sz w:val="36"/>
        </w:rPr>
        <w:t>》（GB50003-2001）</w:t>
      </w:r>
    </w:p>
    <w:p>
      <w:pPr>
        <w:pStyle w:val="ListParagraph"/>
        <w:numPr>
          <w:ilvl w:val="0"/>
          <w:numId w:val="19"/>
        </w:numPr>
        <w:tabs>
          <w:tab w:val="left" w:pos="2453"/>
        </w:tabs>
        <w:spacing w:before="266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金属焊接结构湿式气柜施工及验收规范</w:t>
      </w:r>
      <w:r>
        <w:rPr>
          <w:rFonts w:ascii="Malgun Gothic" w:eastAsia="Malgun Gothic" w:hint="eastAsia"/>
          <w:sz w:val="36"/>
        </w:rPr>
        <w:t>》（HGJ212-83）</w:t>
      </w:r>
    </w:p>
    <w:p>
      <w:pPr>
        <w:pStyle w:val="ListParagraph"/>
        <w:numPr>
          <w:ilvl w:val="0"/>
          <w:numId w:val="19"/>
        </w:numPr>
        <w:tabs>
          <w:tab w:val="left" w:pos="2453"/>
        </w:tabs>
        <w:spacing w:before="269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城镇燃气输配工程施工及验收规范</w:t>
      </w:r>
      <w:r>
        <w:rPr>
          <w:rFonts w:ascii="Malgun Gothic" w:eastAsia="Malgun Gothic" w:hint="eastAsia"/>
          <w:sz w:val="36"/>
        </w:rPr>
        <w:t>》（CJJ33-89）</w:t>
      </w:r>
    </w:p>
    <w:p>
      <w:pPr>
        <w:pStyle w:val="ListParagraph"/>
        <w:numPr>
          <w:ilvl w:val="0"/>
          <w:numId w:val="19"/>
        </w:numPr>
        <w:tabs>
          <w:tab w:val="left" w:pos="2453"/>
        </w:tabs>
        <w:spacing w:before="265" w:after="0" w:line="240" w:lineRule="auto"/>
        <w:ind w:left="2452" w:right="0" w:hanging="793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《</w:t>
      </w:r>
      <w:r>
        <w:rPr>
          <w:sz w:val="36"/>
        </w:rPr>
        <w:t>有机肥料标准</w:t>
      </w:r>
      <w:r>
        <w:rPr>
          <w:rFonts w:ascii="Malgun Gothic" w:eastAsia="Malgun Gothic" w:hint="eastAsia"/>
          <w:sz w:val="36"/>
        </w:rPr>
        <w:t>》（NY525-2002）</w:t>
      </w: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spacing w:before="11"/>
        <w:rPr>
          <w:rFonts w:ascii="Malgun Gothic"/>
          <w:sz w:val="58"/>
        </w:rPr>
      </w:pPr>
    </w:p>
    <w:p>
      <w:pPr>
        <w:spacing w:before="0"/>
        <w:ind w:left="940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pgSz w:w="18360" w:h="23760"/>
          <w:pgMar w:top="760" w:right="1380" w:bottom="280" w:left="1760" w:header="708" w:footer="708"/>
          <w:pgNumType w:start="6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17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Heading2"/>
        <w:numPr>
          <w:ilvl w:val="1"/>
          <w:numId w:val="27"/>
        </w:numPr>
        <w:tabs>
          <w:tab w:val="left" w:pos="1632"/>
        </w:tabs>
        <w:spacing w:before="138" w:after="0" w:line="240" w:lineRule="auto"/>
        <w:ind w:left="1631" w:right="0" w:hanging="692"/>
        <w:jc w:val="left"/>
      </w:pPr>
      <w:bookmarkStart w:id="4" w:name="_TOC_250017"/>
      <w:bookmarkEnd w:id="4"/>
      <w:r>
        <w:t>其他依据</w:t>
      </w:r>
    </w:p>
    <w:p>
      <w:pPr>
        <w:pStyle w:val="BodyText"/>
        <w:spacing w:before="265"/>
        <w:ind w:left="1660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（1）</w:t>
      </w:r>
      <w:r>
        <w:t>业主提供的基础资料</w:t>
      </w:r>
      <w:r>
        <w:rPr>
          <w:rFonts w:ascii="Malgun Gothic" w:eastAsia="Malgun Gothic" w:hint="eastAsia"/>
        </w:rPr>
        <w:t>；</w:t>
      </w:r>
    </w:p>
    <w:p>
      <w:pPr>
        <w:pStyle w:val="ListParagraph"/>
        <w:numPr>
          <w:ilvl w:val="0"/>
          <w:numId w:val="21"/>
        </w:numPr>
        <w:tabs>
          <w:tab w:val="left" w:pos="6774"/>
        </w:tabs>
        <w:spacing w:before="236" w:after="0" w:line="240" w:lineRule="auto"/>
        <w:ind w:left="6773" w:right="0" w:hanging="379"/>
        <w:jc w:val="left"/>
        <w:rPr>
          <w:b/>
          <w:sz w:val="29"/>
        </w:rPr>
      </w:pPr>
      <w:r>
        <w:rPr>
          <w:b/>
          <w:sz w:val="29"/>
        </w:rPr>
        <w:t>编制原则</w:t>
      </w:r>
    </w:p>
    <w:p>
      <w:pPr>
        <w:pStyle w:val="BodyText"/>
        <w:rPr>
          <w:b/>
          <w:sz w:val="23"/>
        </w:rPr>
      </w:pPr>
    </w:p>
    <w:p>
      <w:pPr>
        <w:pStyle w:val="Heading2"/>
        <w:numPr>
          <w:ilvl w:val="1"/>
          <w:numId w:val="18"/>
        </w:numPr>
        <w:tabs>
          <w:tab w:val="left" w:pos="1632"/>
        </w:tabs>
        <w:spacing w:before="13" w:after="0" w:line="240" w:lineRule="auto"/>
        <w:ind w:left="1631" w:right="0" w:hanging="692"/>
        <w:jc w:val="left"/>
      </w:pPr>
      <w:bookmarkStart w:id="5" w:name="_TOC_250016"/>
      <w:r>
        <w:t>技术先进性</w:t>
      </w:r>
      <w:r>
        <w:rPr>
          <w:rFonts w:ascii="Malgun Gothic" w:eastAsia="Malgun Gothic" w:hint="eastAsia"/>
        </w:rPr>
        <w:t>、</w:t>
      </w:r>
      <w:bookmarkEnd w:id="5"/>
      <w:r>
        <w:t>可靠性和适应性原则</w:t>
      </w:r>
    </w:p>
    <w:p>
      <w:pPr>
        <w:pStyle w:val="ListParagraph"/>
        <w:numPr>
          <w:ilvl w:val="2"/>
          <w:numId w:val="18"/>
        </w:numPr>
        <w:tabs>
          <w:tab w:val="left" w:pos="2079"/>
        </w:tabs>
        <w:spacing w:before="269" w:after="0" w:line="240" w:lineRule="auto"/>
        <w:ind w:left="2078" w:right="0" w:hanging="41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根据厂区实际情况</w:t>
      </w:r>
      <w:r>
        <w:rPr>
          <w:rFonts w:ascii="Malgun Gothic" w:eastAsia="Malgun Gothic" w:hint="eastAsia"/>
          <w:spacing w:val="3"/>
          <w:sz w:val="36"/>
        </w:rPr>
        <w:t>，</w:t>
      </w:r>
      <w:r>
        <w:rPr>
          <w:sz w:val="36"/>
        </w:rPr>
        <w:t>选择最先进的工艺方案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2"/>
          <w:numId w:val="18"/>
        </w:numPr>
        <w:tabs>
          <w:tab w:val="left" w:pos="2082"/>
        </w:tabs>
        <w:spacing w:before="265" w:after="0" w:line="338" w:lineRule="auto"/>
        <w:ind w:left="940" w:right="1099" w:firstLine="719"/>
        <w:jc w:val="left"/>
        <w:rPr>
          <w:rFonts w:ascii="Malgun Gothic" w:eastAsia="Malgun Gothic" w:hint="eastAsia"/>
          <w:sz w:val="36"/>
        </w:rPr>
      </w:pPr>
      <w:r>
        <w:rPr>
          <w:spacing w:val="6"/>
          <w:sz w:val="36"/>
        </w:rPr>
        <w:t>根据当地的实际情况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pacing w:val="-3"/>
          <w:sz w:val="36"/>
        </w:rPr>
        <w:t xml:space="preserve">选择有成功案例的工程方案 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pacing w:val="-2"/>
          <w:sz w:val="36"/>
        </w:rPr>
        <w:t>确保工程可以长期稳定</w:t>
      </w:r>
      <w:r>
        <w:rPr>
          <w:sz w:val="36"/>
        </w:rPr>
        <w:t>运行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2"/>
          <w:numId w:val="18"/>
        </w:numPr>
        <w:tabs>
          <w:tab w:val="left" w:pos="2082"/>
        </w:tabs>
        <w:spacing w:before="0" w:after="0" w:line="338" w:lineRule="auto"/>
        <w:ind w:left="940" w:right="1073" w:firstLine="71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 xml:space="preserve">根据业主经济条件和操作人员技能水平 </w:t>
      </w:r>
      <w:r>
        <w:rPr>
          <w:rFonts w:ascii="Malgun Gothic" w:eastAsia="Malgun Gothic" w:hint="eastAsia"/>
          <w:spacing w:val="3"/>
          <w:sz w:val="36"/>
        </w:rPr>
        <w:t>，</w:t>
      </w:r>
      <w:r>
        <w:rPr>
          <w:spacing w:val="6"/>
          <w:sz w:val="36"/>
        </w:rPr>
        <w:t>选择最适宜的方案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pacing w:val="-3"/>
          <w:sz w:val="36"/>
        </w:rPr>
        <w:t>便于实际运行</w:t>
      </w:r>
      <w:r>
        <w:rPr>
          <w:sz w:val="36"/>
        </w:rPr>
        <w:t>和维护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Heading2"/>
        <w:numPr>
          <w:ilvl w:val="1"/>
          <w:numId w:val="18"/>
        </w:numPr>
        <w:tabs>
          <w:tab w:val="left" w:pos="1632"/>
        </w:tabs>
        <w:spacing w:before="0" w:after="0" w:line="657" w:lineRule="exact"/>
        <w:ind w:left="1631" w:right="0" w:hanging="692"/>
        <w:jc w:val="left"/>
      </w:pPr>
      <w:bookmarkStart w:id="6" w:name="_TOC_250015"/>
      <w:bookmarkEnd w:id="6"/>
      <w:r>
        <w:t>经济效益最大化原则</w:t>
      </w:r>
    </w:p>
    <w:p>
      <w:pPr>
        <w:pStyle w:val="ListParagraph"/>
        <w:numPr>
          <w:ilvl w:val="2"/>
          <w:numId w:val="18"/>
        </w:numPr>
        <w:tabs>
          <w:tab w:val="left" w:pos="2082"/>
        </w:tabs>
        <w:spacing w:before="256" w:after="0" w:line="240" w:lineRule="auto"/>
        <w:ind w:left="2081" w:right="0" w:hanging="422"/>
        <w:jc w:val="left"/>
        <w:rPr>
          <w:rFonts w:ascii="Malgun Gothic" w:eastAsia="Malgun Gothic" w:hint="eastAsia"/>
          <w:sz w:val="36"/>
        </w:rPr>
      </w:pPr>
      <w:r>
        <w:rPr>
          <w:spacing w:val="-2"/>
          <w:sz w:val="36"/>
        </w:rPr>
        <w:t xml:space="preserve">在保证技术先进性的基础上 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pacing w:val="6"/>
          <w:sz w:val="36"/>
        </w:rPr>
        <w:t>优化工艺和各个单元设计</w:t>
      </w:r>
      <w:r>
        <w:rPr>
          <w:rFonts w:ascii="Malgun Gothic" w:eastAsia="Malgun Gothic" w:hint="eastAsia"/>
          <w:spacing w:val="3"/>
          <w:sz w:val="36"/>
        </w:rPr>
        <w:t>，</w:t>
      </w:r>
      <w:r>
        <w:rPr>
          <w:spacing w:val="6"/>
          <w:sz w:val="36"/>
        </w:rPr>
        <w:t>降低一次性投资</w:t>
      </w:r>
      <w:r>
        <w:rPr>
          <w:rFonts w:ascii="Malgun Gothic" w:eastAsia="Malgun Gothic" w:hint="eastAsia"/>
          <w:sz w:val="36"/>
        </w:rPr>
        <w:t>，</w:t>
      </w:r>
    </w:p>
    <w:p>
      <w:pPr>
        <w:pStyle w:val="BodyText"/>
        <w:spacing w:before="280"/>
        <w:ind w:left="940"/>
        <w:rPr>
          <w:rFonts w:ascii="Malgun Gothic" w:eastAsia="Malgun Gothic" w:hint="eastAsia"/>
        </w:rPr>
      </w:pPr>
      <w:r>
        <w:t>确保最佳性价比和最短的投资回收期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2"/>
          <w:numId w:val="18"/>
        </w:numPr>
        <w:tabs>
          <w:tab w:val="left" w:pos="2082"/>
        </w:tabs>
        <w:spacing w:before="255" w:after="0" w:line="338" w:lineRule="auto"/>
        <w:ind w:left="940" w:right="1082" w:firstLine="719"/>
        <w:jc w:val="left"/>
        <w:rPr>
          <w:rFonts w:ascii="Malgun Gothic" w:eastAsia="Malgun Gothic" w:hint="eastAsia"/>
          <w:sz w:val="36"/>
        </w:rPr>
      </w:pPr>
      <w:r>
        <w:rPr>
          <w:spacing w:val="6"/>
          <w:sz w:val="36"/>
        </w:rPr>
        <w:t>遵循循环经济理念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pacing w:val="-1"/>
          <w:sz w:val="36"/>
        </w:rPr>
        <w:t xml:space="preserve">对整个场区进行能流物流分析和设计 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pacing w:val="-3"/>
          <w:sz w:val="36"/>
        </w:rPr>
        <w:t>确保沼气工程为</w:t>
      </w:r>
      <w:r>
        <w:rPr>
          <w:sz w:val="36"/>
        </w:rPr>
        <w:t>企业带来整体最大效益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Heading2"/>
        <w:numPr>
          <w:ilvl w:val="1"/>
          <w:numId w:val="18"/>
        </w:numPr>
        <w:tabs>
          <w:tab w:val="left" w:pos="1632"/>
        </w:tabs>
        <w:spacing w:before="0" w:after="0" w:line="657" w:lineRule="exact"/>
        <w:ind w:left="1631" w:right="0" w:hanging="692"/>
        <w:jc w:val="left"/>
      </w:pPr>
      <w:bookmarkStart w:id="7" w:name="_TOC_250014"/>
      <w:bookmarkEnd w:id="7"/>
      <w:r>
        <w:t>环境和社会效益最大化原则</w:t>
      </w:r>
    </w:p>
    <w:p>
      <w:pPr>
        <w:pStyle w:val="ListParagraph"/>
        <w:numPr>
          <w:ilvl w:val="2"/>
          <w:numId w:val="18"/>
        </w:numPr>
        <w:tabs>
          <w:tab w:val="left" w:pos="2082"/>
        </w:tabs>
        <w:spacing w:before="265" w:after="0" w:line="240" w:lineRule="auto"/>
        <w:ind w:left="2081" w:right="0" w:hanging="422"/>
        <w:jc w:val="left"/>
        <w:rPr>
          <w:rFonts w:ascii="Malgun Gothic" w:eastAsia="Malgun Gothic" w:hint="eastAsia"/>
          <w:sz w:val="36"/>
        </w:rPr>
      </w:pPr>
      <w:r>
        <w:rPr>
          <w:spacing w:val="7"/>
          <w:sz w:val="36"/>
        </w:rPr>
        <w:t>对产品</w:t>
      </w:r>
      <w:r>
        <w:rPr>
          <w:rFonts w:ascii="Malgun Gothic" w:eastAsia="Malgun Gothic" w:hint="eastAsia"/>
          <w:spacing w:val="7"/>
          <w:sz w:val="36"/>
        </w:rPr>
        <w:t>（</w:t>
      </w:r>
      <w:r>
        <w:rPr>
          <w:spacing w:val="7"/>
          <w:sz w:val="36"/>
        </w:rPr>
        <w:t>沼气</w:t>
      </w:r>
      <w:r>
        <w:rPr>
          <w:rFonts w:ascii="Malgun Gothic" w:eastAsia="Malgun Gothic" w:hint="eastAsia"/>
          <w:spacing w:val="7"/>
          <w:sz w:val="36"/>
        </w:rPr>
        <w:t>、</w:t>
      </w:r>
      <w:r>
        <w:rPr>
          <w:spacing w:val="5"/>
          <w:sz w:val="36"/>
        </w:rPr>
        <w:t>沼渣</w:t>
      </w:r>
      <w:r>
        <w:rPr>
          <w:rFonts w:ascii="Malgun Gothic" w:eastAsia="Malgun Gothic" w:hint="eastAsia"/>
          <w:spacing w:val="7"/>
          <w:sz w:val="36"/>
        </w:rPr>
        <w:t>、</w:t>
      </w:r>
      <w:r>
        <w:rPr>
          <w:spacing w:val="7"/>
          <w:sz w:val="36"/>
        </w:rPr>
        <w:t>沼液</w:t>
      </w:r>
      <w:r>
        <w:rPr>
          <w:rFonts w:ascii="Malgun Gothic" w:eastAsia="Malgun Gothic" w:hint="eastAsia"/>
          <w:spacing w:val="7"/>
          <w:sz w:val="36"/>
        </w:rPr>
        <w:t>）</w:t>
      </w:r>
      <w:r>
        <w:rPr>
          <w:spacing w:val="6"/>
          <w:sz w:val="36"/>
        </w:rPr>
        <w:t>进行充分利用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pacing w:val="-3"/>
          <w:sz w:val="36"/>
        </w:rPr>
        <w:t xml:space="preserve">并注重外观设计和绿化美化 </w:t>
      </w:r>
      <w:r>
        <w:rPr>
          <w:rFonts w:ascii="Malgun Gothic" w:eastAsia="Malgun Gothic" w:hint="eastAsia"/>
          <w:sz w:val="36"/>
        </w:rPr>
        <w:t>，</w:t>
      </w:r>
    </w:p>
    <w:p>
      <w:pPr>
        <w:pStyle w:val="BodyText"/>
        <w:spacing w:before="280"/>
        <w:ind w:left="940"/>
        <w:rPr>
          <w:rFonts w:ascii="Malgun Gothic" w:eastAsia="Malgun Gothic" w:hint="eastAsia"/>
        </w:rPr>
      </w:pPr>
      <w:r>
        <w:t>使站区与场区总体环境协调统一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2"/>
          <w:numId w:val="18"/>
        </w:numPr>
        <w:tabs>
          <w:tab w:val="left" w:pos="2082"/>
        </w:tabs>
        <w:spacing w:before="255" w:after="0" w:line="338" w:lineRule="auto"/>
        <w:ind w:left="940" w:right="1049" w:firstLine="719"/>
        <w:jc w:val="both"/>
        <w:rPr>
          <w:rFonts w:ascii="Malgun Gothic" w:eastAsia="Malgun Gothic" w:hint="eastAsia"/>
          <w:sz w:val="36"/>
        </w:rPr>
      </w:pPr>
      <w:r>
        <w:rPr>
          <w:spacing w:val="2"/>
          <w:sz w:val="36"/>
        </w:rPr>
        <w:t xml:space="preserve">设计和实施过程中遵守国家及地方有关法律法规和产业政策 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z w:val="36"/>
        </w:rPr>
        <w:t>保证工程符合</w:t>
      </w:r>
      <w:r>
        <w:rPr>
          <w:spacing w:val="7"/>
          <w:sz w:val="36"/>
        </w:rPr>
        <w:t>地方环境</w:t>
      </w:r>
      <w:r>
        <w:rPr>
          <w:rFonts w:ascii="Malgun Gothic" w:eastAsia="Malgun Gothic" w:hint="eastAsia"/>
          <w:spacing w:val="7"/>
          <w:sz w:val="36"/>
        </w:rPr>
        <w:t>、</w:t>
      </w:r>
      <w:r>
        <w:rPr>
          <w:spacing w:val="8"/>
          <w:sz w:val="36"/>
        </w:rPr>
        <w:t>经济和社会发展规划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pacing w:val="-1"/>
          <w:sz w:val="36"/>
        </w:rPr>
        <w:t xml:space="preserve">工程建成后可改善公众取暖 </w:t>
      </w:r>
      <w:r>
        <w:rPr>
          <w:rFonts w:ascii="Malgun Gothic" w:eastAsia="Malgun Gothic" w:hint="eastAsia"/>
          <w:spacing w:val="7"/>
          <w:sz w:val="36"/>
        </w:rPr>
        <w:t>、</w:t>
      </w:r>
      <w:r>
        <w:rPr>
          <w:spacing w:val="8"/>
          <w:sz w:val="36"/>
        </w:rPr>
        <w:t>餐饮等用能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pacing w:val="-8"/>
          <w:sz w:val="36"/>
        </w:rPr>
        <w:t>并发</w:t>
      </w:r>
      <w:r>
        <w:rPr>
          <w:sz w:val="36"/>
        </w:rPr>
        <w:t>挥示范作用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带动地方经济和社会发展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spacing w:before="2"/>
        <w:rPr>
          <w:rFonts w:ascii="Malgun Gothic"/>
          <w:sz w:val="30"/>
        </w:rPr>
      </w:pPr>
    </w:p>
    <w:p>
      <w:pPr>
        <w:spacing w:before="0"/>
        <w:ind w:left="940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pgSz w:w="18360" w:h="23760"/>
          <w:pgMar w:top="760" w:right="1380" w:bottom="280" w:left="1760" w:header="708" w:footer="708"/>
          <w:pgNumType w:start="7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17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pStyle w:val="BodyText"/>
        <w:rPr>
          <w:rFonts w:ascii="Arial"/>
          <w:sz w:val="26"/>
        </w:rPr>
      </w:pPr>
    </w:p>
    <w:p>
      <w:pPr>
        <w:pStyle w:val="Heading1"/>
        <w:numPr>
          <w:ilvl w:val="0"/>
          <w:numId w:val="28"/>
        </w:numPr>
        <w:tabs>
          <w:tab w:val="left" w:pos="5921"/>
        </w:tabs>
        <w:spacing w:before="232" w:after="0" w:line="240" w:lineRule="auto"/>
        <w:ind w:left="5920" w:right="0" w:hanging="379"/>
        <w:jc w:val="left"/>
      </w:pPr>
      <w:bookmarkStart w:id="8" w:name="_TOC_250013"/>
      <w:bookmarkEnd w:id="8"/>
      <w:r>
        <w:t>工艺技术方案选择</w:t>
      </w:r>
    </w:p>
    <w:p>
      <w:pPr>
        <w:pStyle w:val="Heading2"/>
        <w:numPr>
          <w:ilvl w:val="1"/>
          <w:numId w:val="17"/>
        </w:numPr>
        <w:tabs>
          <w:tab w:val="left" w:pos="1632"/>
        </w:tabs>
        <w:spacing w:before="379" w:after="0" w:line="240" w:lineRule="auto"/>
        <w:ind w:left="1631" w:right="0" w:hanging="692"/>
        <w:jc w:val="left"/>
      </w:pPr>
      <w:bookmarkStart w:id="9" w:name="_TOC_250012"/>
      <w:bookmarkEnd w:id="9"/>
      <w:r>
        <w:t>几种主流沼气工程工艺比较</w:t>
      </w:r>
    </w:p>
    <w:p>
      <w:pPr>
        <w:pStyle w:val="BodyText"/>
        <w:spacing w:before="276" w:line="333" w:lineRule="auto"/>
        <w:ind w:left="674" w:right="1046" w:firstLine="899"/>
        <w:rPr>
          <w:rFonts w:ascii="Malgun Gothic" w:eastAsia="Malgun Gothic" w:hint="eastAsia"/>
        </w:rPr>
      </w:pPr>
      <w:r>
        <w:rPr>
          <w:spacing w:val="-4"/>
        </w:rPr>
        <w:t xml:space="preserve">国外常用的 </w:t>
      </w:r>
      <w:r>
        <w:rPr>
          <w:rFonts w:ascii="Malgun Gothic" w:eastAsia="Malgun Gothic" w:hint="eastAsia"/>
        </w:rPr>
        <w:t>CSTR</w:t>
      </w:r>
      <w:r>
        <w:rPr>
          <w:rFonts w:ascii="Malgun Gothic" w:eastAsia="Malgun Gothic" w:hint="eastAsia"/>
          <w:spacing w:val="-40"/>
        </w:rPr>
        <w:t xml:space="preserve"> </w:t>
      </w:r>
      <w:r>
        <w:rPr>
          <w:spacing w:val="-2"/>
        </w:rPr>
        <w:t xml:space="preserve">工艺及现今发展的 </w:t>
      </w:r>
      <w:r>
        <w:rPr>
          <w:rFonts w:ascii="Malgun Gothic" w:eastAsia="Malgun Gothic" w:hint="eastAsia"/>
        </w:rPr>
        <w:t>CSTR</w:t>
      </w:r>
      <w:r>
        <w:rPr>
          <w:rFonts w:ascii="Malgun Gothic" w:eastAsia="Malgun Gothic" w:hint="eastAsia"/>
          <w:spacing w:val="-42"/>
        </w:rPr>
        <w:t xml:space="preserve"> </w:t>
      </w:r>
      <w:r>
        <w:rPr>
          <w:spacing w:val="-2"/>
        </w:rPr>
        <w:t xml:space="preserve">一体化工艺同国内常用的 </w:t>
      </w:r>
      <w:r>
        <w:rPr>
          <w:rFonts w:ascii="Malgun Gothic" w:eastAsia="Malgun Gothic" w:hint="eastAsia"/>
        </w:rPr>
        <w:t>USR</w:t>
      </w:r>
      <w:r>
        <w:rPr>
          <w:rFonts w:ascii="Malgun Gothic" w:eastAsia="Malgun Gothic" w:hint="eastAsia"/>
          <w:spacing w:val="-40"/>
        </w:rPr>
        <w:t xml:space="preserve"> </w:t>
      </w:r>
      <w:r>
        <w:t>工艺</w:t>
      </w:r>
      <w:r>
        <w:rPr>
          <w:rFonts w:ascii="Malgun Gothic" w:eastAsia="Malgun Gothic" w:hint="eastAsia"/>
        </w:rPr>
        <w:t>、UASB</w:t>
      </w:r>
      <w:r>
        <w:rPr>
          <w:rFonts w:ascii="Malgun Gothic" w:eastAsia="Malgun Gothic" w:hint="eastAsia"/>
          <w:spacing w:val="-47"/>
        </w:rPr>
        <w:t xml:space="preserve"> </w:t>
      </w:r>
      <w:r>
        <w:rPr>
          <w:spacing w:val="-5"/>
        </w:rPr>
        <w:t xml:space="preserve">工艺和 </w:t>
      </w:r>
      <w:r>
        <w:rPr>
          <w:rFonts w:ascii="Malgun Gothic" w:eastAsia="Malgun Gothic" w:hint="eastAsia"/>
        </w:rPr>
        <w:t>HCF</w:t>
      </w:r>
      <w:r>
        <w:rPr>
          <w:rFonts w:ascii="Malgun Gothic" w:eastAsia="Malgun Gothic" w:hint="eastAsia"/>
          <w:spacing w:val="-36"/>
        </w:rPr>
        <w:t xml:space="preserve"> </w:t>
      </w:r>
      <w:r>
        <w:t>工艺列表比较如下</w:t>
      </w:r>
      <w:r>
        <w:rPr>
          <w:rFonts w:ascii="Malgun Gothic" w:eastAsia="Malgun Gothic" w:hint="eastAsia"/>
        </w:rPr>
        <w:t>：</w:t>
      </w: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spacing w:before="17"/>
        <w:rPr>
          <w:rFonts w:ascii="Malgun Gothic"/>
          <w:sz w:val="12"/>
        </w:rPr>
      </w:pPr>
    </w:p>
    <w:tbl>
      <w:tblPr>
        <w:tblStyle w:val="TableNormal0"/>
        <w:tblW w:w="0" w:type="auto"/>
        <w:jc w:val="left"/>
        <w:tblInd w:w="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60"/>
        <w:gridCol w:w="2402"/>
        <w:gridCol w:w="2432"/>
        <w:gridCol w:w="2482"/>
        <w:gridCol w:w="2333"/>
        <w:gridCol w:w="2340"/>
      </w:tblGrid>
      <w:tr>
        <w:tblPrEx>
          <w:tblW w:w="0" w:type="auto"/>
          <w:jc w:val="left"/>
          <w:tblInd w:w="1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779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482" w:type="dxa"/>
          </w:tcPr>
          <w:p>
            <w:pPr>
              <w:pStyle w:val="TableParagraph"/>
              <w:spacing w:line="569" w:lineRule="exact"/>
              <w:ind w:left="168" w:right="218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畜禽污水</w:t>
            </w:r>
          </w:p>
        </w:tc>
        <w:tc>
          <w:tcPr>
            <w:tcW w:w="4673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4"/>
          <w:jc w:val="left"/>
        </w:trPr>
        <w:tc>
          <w:tcPr>
            <w:tcW w:w="2960" w:type="dxa"/>
          </w:tcPr>
          <w:p>
            <w:pPr>
              <w:pStyle w:val="TableParagraph"/>
              <w:tabs>
                <w:tab w:val="left" w:pos="713"/>
              </w:tabs>
              <w:spacing w:before="78"/>
              <w:ind w:left="50"/>
              <w:jc w:val="left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2</w:t>
              <w:tab/>
            </w:r>
            <w:r>
              <w:rPr>
                <w:rFonts w:ascii="微软雅黑" w:eastAsia="微软雅黑" w:hint="eastAsia"/>
                <w:spacing w:val="-7"/>
                <w:sz w:val="36"/>
              </w:rPr>
              <w:t xml:space="preserve">原料 </w:t>
            </w:r>
            <w:r>
              <w:rPr>
                <w:sz w:val="36"/>
              </w:rPr>
              <w:t>TS</w:t>
            </w:r>
            <w:r>
              <w:rPr>
                <w:spacing w:val="-39"/>
                <w:sz w:val="36"/>
              </w:rPr>
              <w:t xml:space="preserve"> </w:t>
            </w:r>
            <w:r>
              <w:rPr>
                <w:rFonts w:ascii="微软雅黑" w:eastAsia="微软雅黑" w:hint="eastAsia"/>
                <w:sz w:val="36"/>
              </w:rPr>
              <w:t>浓度</w:t>
            </w:r>
          </w:p>
        </w:tc>
        <w:tc>
          <w:tcPr>
            <w:tcW w:w="2402" w:type="dxa"/>
          </w:tcPr>
          <w:p>
            <w:pPr>
              <w:pStyle w:val="TableParagraph"/>
              <w:spacing w:before="78"/>
              <w:ind w:left="141" w:right="169"/>
              <w:rPr>
                <w:sz w:val="36"/>
              </w:rPr>
            </w:pPr>
            <w:r>
              <w:rPr>
                <w:sz w:val="36"/>
              </w:rPr>
              <w:t>6-12%</w:t>
            </w:r>
          </w:p>
        </w:tc>
        <w:tc>
          <w:tcPr>
            <w:tcW w:w="2432" w:type="dxa"/>
          </w:tcPr>
          <w:p>
            <w:pPr>
              <w:pStyle w:val="TableParagraph"/>
              <w:spacing w:before="78"/>
              <w:ind w:left="170" w:right="171"/>
              <w:rPr>
                <w:sz w:val="36"/>
              </w:rPr>
            </w:pPr>
            <w:r>
              <w:rPr>
                <w:sz w:val="36"/>
              </w:rPr>
              <w:t>6-12%</w:t>
            </w:r>
          </w:p>
        </w:tc>
        <w:tc>
          <w:tcPr>
            <w:tcW w:w="2482" w:type="dxa"/>
          </w:tcPr>
          <w:p>
            <w:pPr>
              <w:pStyle w:val="TableParagraph"/>
              <w:spacing w:before="78"/>
              <w:ind w:left="168" w:right="216"/>
              <w:rPr>
                <w:sz w:val="36"/>
              </w:rPr>
            </w:pPr>
            <w:r>
              <w:rPr>
                <w:sz w:val="36"/>
              </w:rPr>
              <w:t>&lt;1%</w:t>
            </w:r>
          </w:p>
        </w:tc>
        <w:tc>
          <w:tcPr>
            <w:tcW w:w="2333" w:type="dxa"/>
          </w:tcPr>
          <w:p>
            <w:pPr>
              <w:pStyle w:val="TableParagraph"/>
              <w:spacing w:before="78"/>
              <w:ind w:left="216" w:right="222"/>
              <w:rPr>
                <w:sz w:val="36"/>
              </w:rPr>
            </w:pPr>
            <w:r>
              <w:rPr>
                <w:sz w:val="36"/>
              </w:rPr>
              <w:t>8-12%</w:t>
            </w:r>
          </w:p>
        </w:tc>
        <w:tc>
          <w:tcPr>
            <w:tcW w:w="2340" w:type="dxa"/>
          </w:tcPr>
          <w:p>
            <w:pPr>
              <w:pStyle w:val="TableParagraph"/>
              <w:spacing w:before="78"/>
              <w:ind w:left="213" w:right="30"/>
              <w:rPr>
                <w:sz w:val="36"/>
              </w:rPr>
            </w:pPr>
            <w:r>
              <w:rPr>
                <w:sz w:val="36"/>
              </w:rPr>
              <w:t>3-5%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3"/>
          <w:jc w:val="left"/>
        </w:trPr>
        <w:tc>
          <w:tcPr>
            <w:tcW w:w="2960" w:type="dxa"/>
          </w:tcPr>
          <w:p>
            <w:pPr>
              <w:pStyle w:val="TableParagraph"/>
              <w:tabs>
                <w:tab w:val="left" w:pos="997"/>
              </w:tabs>
              <w:spacing w:before="105"/>
              <w:ind w:left="50"/>
              <w:jc w:val="left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3</w:t>
              <w:tab/>
            </w:r>
            <w:r>
              <w:rPr>
                <w:rFonts w:ascii="微软雅黑" w:eastAsia="微软雅黑" w:hint="eastAsia"/>
                <w:sz w:val="36"/>
              </w:rPr>
              <w:t>应用区域</w:t>
            </w:r>
          </w:p>
        </w:tc>
        <w:tc>
          <w:tcPr>
            <w:tcW w:w="2402" w:type="dxa"/>
          </w:tcPr>
          <w:p>
            <w:pPr>
              <w:pStyle w:val="TableParagraph"/>
              <w:spacing w:before="109"/>
              <w:ind w:left="141" w:right="166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全国各地</w:t>
            </w:r>
          </w:p>
        </w:tc>
        <w:tc>
          <w:tcPr>
            <w:tcW w:w="2432" w:type="dxa"/>
          </w:tcPr>
          <w:p>
            <w:pPr>
              <w:pStyle w:val="TableParagraph"/>
              <w:spacing w:before="109"/>
              <w:ind w:left="170" w:right="170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全国各地</w:t>
            </w:r>
          </w:p>
        </w:tc>
        <w:tc>
          <w:tcPr>
            <w:tcW w:w="2482" w:type="dxa"/>
          </w:tcPr>
          <w:p>
            <w:pPr>
              <w:pStyle w:val="TableParagraph"/>
              <w:spacing w:before="105"/>
              <w:ind w:left="168" w:right="218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中部</w:t>
            </w:r>
            <w:r>
              <w:rPr>
                <w:sz w:val="36"/>
              </w:rPr>
              <w:t>、</w:t>
            </w:r>
            <w:r>
              <w:rPr>
                <w:rFonts w:ascii="微软雅黑" w:eastAsia="微软雅黑" w:hint="eastAsia"/>
                <w:sz w:val="36"/>
              </w:rPr>
              <w:t>南部</w:t>
            </w:r>
          </w:p>
        </w:tc>
        <w:tc>
          <w:tcPr>
            <w:tcW w:w="2333" w:type="dxa"/>
          </w:tcPr>
          <w:p>
            <w:pPr>
              <w:pStyle w:val="TableParagraph"/>
              <w:spacing w:before="109"/>
              <w:ind w:left="217" w:right="222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全国各地</w:t>
            </w:r>
          </w:p>
        </w:tc>
        <w:tc>
          <w:tcPr>
            <w:tcW w:w="2340" w:type="dxa"/>
          </w:tcPr>
          <w:p>
            <w:pPr>
              <w:pStyle w:val="TableParagraph"/>
              <w:spacing w:before="105"/>
              <w:ind w:left="213" w:right="32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中部</w:t>
            </w:r>
            <w:r>
              <w:rPr>
                <w:sz w:val="36"/>
              </w:rPr>
              <w:t>、</w:t>
            </w:r>
            <w:r>
              <w:rPr>
                <w:rFonts w:ascii="微软雅黑" w:eastAsia="微软雅黑" w:hint="eastAsia"/>
                <w:sz w:val="36"/>
              </w:rPr>
              <w:t>南部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1"/>
          <w:jc w:val="left"/>
        </w:trPr>
        <w:tc>
          <w:tcPr>
            <w:tcW w:w="2960" w:type="dxa"/>
          </w:tcPr>
          <w:p>
            <w:pPr>
              <w:pStyle w:val="TableParagraph"/>
              <w:tabs>
                <w:tab w:val="left" w:pos="637"/>
              </w:tabs>
              <w:spacing w:before="118"/>
              <w:ind w:left="50"/>
              <w:jc w:val="left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4</w:t>
              <w:tab/>
            </w:r>
            <w:r>
              <w:rPr>
                <w:rFonts w:ascii="微软雅黑" w:eastAsia="微软雅黑" w:hint="eastAsia"/>
                <w:sz w:val="36"/>
              </w:rPr>
              <w:t>水力停留时间</w:t>
            </w:r>
          </w:p>
        </w:tc>
        <w:tc>
          <w:tcPr>
            <w:tcW w:w="2402" w:type="dxa"/>
          </w:tcPr>
          <w:p>
            <w:pPr>
              <w:pStyle w:val="TableParagraph"/>
              <w:spacing w:before="118"/>
              <w:ind w:left="141" w:right="165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 xml:space="preserve">15-30 </w:t>
            </w:r>
            <w:r>
              <w:rPr>
                <w:rFonts w:ascii="微软雅黑" w:eastAsia="微软雅黑" w:hint="eastAsia"/>
                <w:sz w:val="36"/>
              </w:rPr>
              <w:t>天</w:t>
            </w:r>
          </w:p>
        </w:tc>
        <w:tc>
          <w:tcPr>
            <w:tcW w:w="2432" w:type="dxa"/>
          </w:tcPr>
          <w:p>
            <w:pPr>
              <w:pStyle w:val="TableParagraph"/>
              <w:spacing w:before="118"/>
              <w:ind w:left="170" w:right="170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 xml:space="preserve">15-30 </w:t>
            </w:r>
            <w:r>
              <w:rPr>
                <w:rFonts w:ascii="微软雅黑" w:eastAsia="微软雅黑" w:hint="eastAsia"/>
                <w:sz w:val="36"/>
              </w:rPr>
              <w:t>天</w:t>
            </w:r>
          </w:p>
        </w:tc>
        <w:tc>
          <w:tcPr>
            <w:tcW w:w="2482" w:type="dxa"/>
          </w:tcPr>
          <w:p>
            <w:pPr>
              <w:pStyle w:val="TableParagraph"/>
              <w:spacing w:before="118"/>
              <w:ind w:left="168" w:right="218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 xml:space="preserve">1-5 </w:t>
            </w:r>
            <w:r>
              <w:rPr>
                <w:rFonts w:ascii="微软雅黑" w:eastAsia="微软雅黑" w:hint="eastAsia"/>
                <w:sz w:val="36"/>
              </w:rPr>
              <w:t>天</w:t>
            </w:r>
          </w:p>
        </w:tc>
        <w:tc>
          <w:tcPr>
            <w:tcW w:w="2333" w:type="dxa"/>
          </w:tcPr>
          <w:p>
            <w:pPr>
              <w:pStyle w:val="TableParagraph"/>
              <w:spacing w:before="118"/>
              <w:ind w:left="217" w:right="221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 xml:space="preserve">10-30 </w:t>
            </w:r>
            <w:r>
              <w:rPr>
                <w:rFonts w:ascii="微软雅黑" w:eastAsia="微软雅黑" w:hint="eastAsia"/>
                <w:sz w:val="36"/>
              </w:rPr>
              <w:t>天</w:t>
            </w:r>
          </w:p>
        </w:tc>
        <w:tc>
          <w:tcPr>
            <w:tcW w:w="2340" w:type="dxa"/>
          </w:tcPr>
          <w:p>
            <w:pPr>
              <w:pStyle w:val="TableParagraph"/>
              <w:spacing w:before="118"/>
              <w:ind w:left="213" w:right="28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 xml:space="preserve">8-15 </w:t>
            </w:r>
            <w:r>
              <w:rPr>
                <w:rFonts w:ascii="微软雅黑" w:eastAsia="微软雅黑" w:hint="eastAsia"/>
                <w:sz w:val="36"/>
              </w:rPr>
              <w:t>天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6"/>
          <w:jc w:val="left"/>
        </w:trPr>
        <w:tc>
          <w:tcPr>
            <w:tcW w:w="2960" w:type="dxa"/>
          </w:tcPr>
          <w:p>
            <w:pPr>
              <w:pStyle w:val="TableParagraph"/>
              <w:tabs>
                <w:tab w:val="left" w:pos="997"/>
              </w:tabs>
              <w:spacing w:before="93"/>
              <w:ind w:left="50"/>
              <w:jc w:val="left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5</w:t>
              <w:tab/>
            </w:r>
            <w:r>
              <w:rPr>
                <w:rFonts w:ascii="微软雅黑" w:eastAsia="微软雅黑" w:hint="eastAsia"/>
                <w:sz w:val="36"/>
              </w:rPr>
              <w:t>单位能耗</w:t>
            </w:r>
          </w:p>
        </w:tc>
        <w:tc>
          <w:tcPr>
            <w:tcW w:w="2402" w:type="dxa"/>
          </w:tcPr>
          <w:p>
            <w:pPr>
              <w:pStyle w:val="TableParagraph"/>
              <w:spacing w:before="96"/>
              <w:ind w:left="141" w:right="166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中等</w:t>
            </w:r>
          </w:p>
        </w:tc>
        <w:tc>
          <w:tcPr>
            <w:tcW w:w="2432" w:type="dxa"/>
          </w:tcPr>
          <w:p>
            <w:pPr>
              <w:pStyle w:val="TableParagraph"/>
              <w:spacing w:before="96"/>
              <w:ind w:left="170" w:right="170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中等</w:t>
            </w:r>
          </w:p>
        </w:tc>
        <w:tc>
          <w:tcPr>
            <w:tcW w:w="2482" w:type="dxa"/>
          </w:tcPr>
          <w:p>
            <w:pPr>
              <w:pStyle w:val="TableParagraph"/>
              <w:spacing w:before="96"/>
              <w:ind w:left="168" w:right="218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中等</w:t>
            </w:r>
          </w:p>
        </w:tc>
        <w:tc>
          <w:tcPr>
            <w:tcW w:w="2333" w:type="dxa"/>
          </w:tcPr>
          <w:p>
            <w:pPr>
              <w:pStyle w:val="TableParagraph"/>
              <w:spacing w:before="96"/>
              <w:ind w:right="5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低</w:t>
            </w:r>
          </w:p>
        </w:tc>
        <w:tc>
          <w:tcPr>
            <w:tcW w:w="2340" w:type="dxa"/>
          </w:tcPr>
          <w:p>
            <w:pPr>
              <w:pStyle w:val="TableParagraph"/>
              <w:spacing w:before="96"/>
              <w:ind w:left="213" w:right="32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中等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0"/>
          <w:jc w:val="left"/>
        </w:trPr>
        <w:tc>
          <w:tcPr>
            <w:tcW w:w="2960" w:type="dxa"/>
          </w:tcPr>
          <w:p>
            <w:pPr>
              <w:pStyle w:val="TableParagraph"/>
              <w:tabs>
                <w:tab w:val="left" w:pos="997"/>
              </w:tabs>
              <w:spacing w:before="73"/>
              <w:ind w:left="50"/>
              <w:jc w:val="left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6</w:t>
              <w:tab/>
            </w:r>
            <w:r>
              <w:rPr>
                <w:rFonts w:ascii="微软雅黑" w:eastAsia="微软雅黑" w:hint="eastAsia"/>
                <w:sz w:val="36"/>
              </w:rPr>
              <w:t>单池容积</w:t>
            </w:r>
          </w:p>
        </w:tc>
        <w:tc>
          <w:tcPr>
            <w:tcW w:w="2402" w:type="dxa"/>
          </w:tcPr>
          <w:p>
            <w:pPr>
              <w:pStyle w:val="TableParagraph"/>
              <w:spacing w:before="73"/>
              <w:ind w:left="141" w:right="170"/>
              <w:rPr>
                <w:sz w:val="36"/>
              </w:rPr>
            </w:pPr>
            <w:r>
              <w:rPr>
                <w:sz w:val="36"/>
              </w:rPr>
              <w:t>500-4000m3</w:t>
            </w:r>
          </w:p>
        </w:tc>
        <w:tc>
          <w:tcPr>
            <w:tcW w:w="2432" w:type="dxa"/>
          </w:tcPr>
          <w:p>
            <w:pPr>
              <w:pStyle w:val="TableParagraph"/>
              <w:spacing w:before="73"/>
              <w:ind w:left="170" w:right="171"/>
              <w:rPr>
                <w:sz w:val="36"/>
              </w:rPr>
            </w:pPr>
            <w:r>
              <w:rPr>
                <w:sz w:val="36"/>
              </w:rPr>
              <w:t>300-1000m3</w:t>
            </w:r>
          </w:p>
        </w:tc>
        <w:tc>
          <w:tcPr>
            <w:tcW w:w="2482" w:type="dxa"/>
          </w:tcPr>
          <w:p>
            <w:pPr>
              <w:pStyle w:val="TableParagraph"/>
              <w:spacing w:before="73"/>
              <w:ind w:left="168" w:right="222"/>
              <w:rPr>
                <w:sz w:val="36"/>
              </w:rPr>
            </w:pPr>
            <w:r>
              <w:rPr>
                <w:sz w:val="36"/>
              </w:rPr>
              <w:t>200-5000m3</w:t>
            </w:r>
          </w:p>
        </w:tc>
        <w:tc>
          <w:tcPr>
            <w:tcW w:w="2333" w:type="dxa"/>
          </w:tcPr>
          <w:p>
            <w:pPr>
              <w:pStyle w:val="TableParagraph"/>
              <w:spacing w:before="73"/>
              <w:ind w:left="217" w:right="222"/>
              <w:rPr>
                <w:sz w:val="36"/>
              </w:rPr>
            </w:pPr>
            <w:r>
              <w:rPr>
                <w:sz w:val="36"/>
              </w:rPr>
              <w:t>100-300m3</w:t>
            </w:r>
          </w:p>
        </w:tc>
        <w:tc>
          <w:tcPr>
            <w:tcW w:w="2340" w:type="dxa"/>
          </w:tcPr>
          <w:p>
            <w:pPr>
              <w:pStyle w:val="TableParagraph"/>
              <w:spacing w:before="73"/>
              <w:ind w:left="213" w:right="36"/>
              <w:rPr>
                <w:sz w:val="36"/>
              </w:rPr>
            </w:pPr>
            <w:r>
              <w:rPr>
                <w:sz w:val="36"/>
              </w:rPr>
              <w:t>200-2000m3</w:t>
            </w:r>
          </w:p>
        </w:tc>
      </w:tr>
      <w:tr>
        <w:tblPrEx>
          <w:tblW w:w="0" w:type="auto"/>
          <w:jc w:val="left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9"/>
          <w:jc w:val="left"/>
        </w:trPr>
        <w:tc>
          <w:tcPr>
            <w:tcW w:w="2960" w:type="dxa"/>
          </w:tcPr>
          <w:p>
            <w:pPr>
              <w:pStyle w:val="TableParagraph"/>
              <w:tabs>
                <w:tab w:val="left" w:pos="997"/>
              </w:tabs>
              <w:spacing w:before="96" w:line="553" w:lineRule="exact"/>
              <w:ind w:left="50"/>
              <w:jc w:val="left"/>
              <w:rPr>
                <w:rFonts w:ascii="微软雅黑" w:eastAsia="微软雅黑" w:hint="eastAsia"/>
                <w:sz w:val="36"/>
              </w:rPr>
            </w:pPr>
            <w:r>
              <w:rPr>
                <w:sz w:val="36"/>
              </w:rPr>
              <w:t>7</w:t>
              <w:tab/>
            </w:r>
            <w:r>
              <w:rPr>
                <w:rFonts w:ascii="微软雅黑" w:eastAsia="微软雅黑" w:hint="eastAsia"/>
                <w:sz w:val="36"/>
              </w:rPr>
              <w:t>操作难度</w:t>
            </w:r>
          </w:p>
        </w:tc>
        <w:tc>
          <w:tcPr>
            <w:tcW w:w="2402" w:type="dxa"/>
          </w:tcPr>
          <w:p>
            <w:pPr>
              <w:pStyle w:val="TableParagraph"/>
              <w:spacing w:before="100" w:line="549" w:lineRule="exact"/>
              <w:ind w:right="23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高</w:t>
            </w:r>
          </w:p>
        </w:tc>
        <w:tc>
          <w:tcPr>
            <w:tcW w:w="2432" w:type="dxa"/>
          </w:tcPr>
          <w:p>
            <w:pPr>
              <w:pStyle w:val="TableParagraph"/>
              <w:spacing w:before="100" w:line="549" w:lineRule="exact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高</w:t>
            </w:r>
          </w:p>
        </w:tc>
        <w:tc>
          <w:tcPr>
            <w:tcW w:w="2482" w:type="dxa"/>
          </w:tcPr>
          <w:p>
            <w:pPr>
              <w:pStyle w:val="TableParagraph"/>
              <w:spacing w:before="100" w:line="549" w:lineRule="exact"/>
              <w:ind w:right="50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高</w:t>
            </w:r>
          </w:p>
        </w:tc>
        <w:tc>
          <w:tcPr>
            <w:tcW w:w="2333" w:type="dxa"/>
          </w:tcPr>
          <w:p>
            <w:pPr>
              <w:pStyle w:val="TableParagraph"/>
              <w:spacing w:before="100" w:line="549" w:lineRule="exact"/>
              <w:ind w:right="5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低</w:t>
            </w:r>
          </w:p>
        </w:tc>
        <w:tc>
          <w:tcPr>
            <w:tcW w:w="2340" w:type="dxa"/>
          </w:tcPr>
          <w:p>
            <w:pPr>
              <w:pStyle w:val="TableParagraph"/>
              <w:spacing w:before="100" w:line="549" w:lineRule="exact"/>
              <w:ind w:left="213" w:right="32"/>
              <w:rPr>
                <w:rFonts w:ascii="微软雅黑" w:eastAsia="微软雅黑" w:hint="eastAsia"/>
                <w:sz w:val="36"/>
              </w:rPr>
            </w:pPr>
            <w:r>
              <w:rPr>
                <w:rFonts w:ascii="微软雅黑" w:eastAsia="微软雅黑" w:hint="eastAsia"/>
                <w:sz w:val="36"/>
              </w:rPr>
              <w:t>中等</w:t>
            </w:r>
          </w:p>
        </w:tc>
      </w:tr>
    </w:tbl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rPr>
          <w:rFonts w:ascii="Malgun Gothic"/>
          <w:sz w:val="20"/>
        </w:rPr>
      </w:pPr>
    </w:p>
    <w:p>
      <w:pPr>
        <w:pStyle w:val="BodyText"/>
        <w:spacing w:before="12"/>
        <w:rPr>
          <w:rFonts w:ascii="Malgun Gothic"/>
          <w:sz w:val="24"/>
        </w:rPr>
      </w:pPr>
    </w:p>
    <w:p>
      <w:pPr>
        <w:spacing w:before="14"/>
        <w:ind w:left="5337" w:right="0" w:firstLine="0"/>
        <w:jc w:val="both"/>
        <w:rPr>
          <w:b/>
          <w:sz w:val="36"/>
        </w:rPr>
      </w:pPr>
      <w:r>
        <w:pict>
          <v:group id="_x0000_s1025" style="width:767pt;height:489pt;margin-top:-482.78pt;margin-left:83pt;mso-position-horizontal-relative:page;position:absolute;z-index:-251650048" coordorigin="1660,-9656" coordsize="15340,9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340;height:9780;left:1660;position:absolute;top:-9656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37;height:966;left:1864;position:absolute;top:-9587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2"/>
                        <w:sz w:val="31"/>
                      </w:rPr>
                      <w:t>序</w:t>
                    </w:r>
                  </w:p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2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028" type="#_x0000_t202" style="width:654;height:419;left:3276;position:absolute;top:-931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类别</w:t>
                    </w:r>
                  </w:p>
                </w:txbxContent>
              </v:textbox>
            </v:shape>
            <v:shape id="_x0000_s1029" type="#_x0000_t202" style="width:793;height:422;left:5634;position:absolute;top:-93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Malgun Gothic"/>
                        <w:b/>
                        <w:sz w:val="31"/>
                      </w:rPr>
                    </w:pPr>
                    <w:r>
                      <w:rPr>
                        <w:rFonts w:ascii="Malgun Gothic"/>
                        <w:b/>
                        <w:sz w:val="31"/>
                      </w:rPr>
                      <w:t>CSTR</w:t>
                    </w:r>
                  </w:p>
                </w:txbxContent>
              </v:textbox>
            </v:shape>
            <v:shape id="_x0000_s1030" type="#_x0000_t202" style="width:1821;height:428;left:7554;position:absolute;top:-9323" filled="f" stroked="f">
              <v:textbox inset="0,0,0,0">
                <w:txbxContent>
                  <w:p>
                    <w:pPr>
                      <w:spacing w:before="0" w:line="42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Malgun Gothic" w:eastAsia="Malgun Gothic" w:hint="eastAsia"/>
                        <w:b/>
                        <w:sz w:val="31"/>
                      </w:rPr>
                      <w:t xml:space="preserve">CSTR </w:t>
                    </w:r>
                    <w:r>
                      <w:rPr>
                        <w:b/>
                        <w:sz w:val="31"/>
                      </w:rPr>
                      <w:t>一体化</w:t>
                    </w:r>
                  </w:p>
                </w:txbxContent>
              </v:textbox>
            </v:shape>
            <v:shape id="_x0000_s1031" type="#_x0000_t202" style="width:855;height:422;left:10470;position:absolute;top:-93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Malgun Gothic"/>
                        <w:b/>
                        <w:sz w:val="31"/>
                      </w:rPr>
                    </w:pPr>
                    <w:r>
                      <w:rPr>
                        <w:rFonts w:ascii="Malgun Gothic"/>
                        <w:b/>
                        <w:sz w:val="31"/>
                      </w:rPr>
                      <w:t>UASB</w:t>
                    </w:r>
                  </w:p>
                </w:txbxContent>
              </v:textbox>
            </v:shape>
            <v:shape id="_x0000_s1032" type="#_x0000_t202" style="width:632;height:422;left:13008;position:absolute;top:-93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Malgun Gothic"/>
                        <w:b/>
                        <w:sz w:val="31"/>
                      </w:rPr>
                    </w:pPr>
                    <w:r>
                      <w:rPr>
                        <w:rFonts w:ascii="Malgun Gothic"/>
                        <w:b/>
                        <w:sz w:val="31"/>
                      </w:rPr>
                      <w:t>HCF</w:t>
                    </w:r>
                  </w:p>
                </w:txbxContent>
              </v:textbox>
            </v:shape>
            <v:shape id="_x0000_s1033" type="#_x0000_t202" style="width:638;height:422;left:15436;position:absolute;top:-93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Malgun Gothic"/>
                        <w:b/>
                        <w:sz w:val="31"/>
                      </w:rPr>
                    </w:pPr>
                    <w:r>
                      <w:rPr>
                        <w:rFonts w:ascii="Malgun Gothic"/>
                        <w:b/>
                        <w:sz w:val="31"/>
                      </w:rPr>
                      <w:t>USR</w:t>
                    </w:r>
                  </w:p>
                </w:txbxContent>
              </v:textbox>
            </v:shape>
            <v:shape id="_x0000_s1034" type="#_x0000_t202" style="width:219;height:479;left:1922;position:absolute;top:-815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Malgun Gothic"/>
                        <w:sz w:val="36"/>
                      </w:rPr>
                    </w:pPr>
                    <w:r>
                      <w:rPr>
                        <w:rFonts w:ascii="Malgun Gothic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35" type="#_x0000_t202" style="width:1460;height:476;left:2870;position:absolute;top:-814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原料范围</w:t>
                    </w:r>
                  </w:p>
                </w:txbxContent>
              </v:textbox>
            </v:shape>
            <v:shape id="_x0000_s1036" type="#_x0000_t202" style="width:9472;height:800;left:4939;position:absolute;top:-8461" filled="f" stroked="f">
              <v:textbox inset="0,0,0,0">
                <w:txbxContent>
                  <w:p>
                    <w:pPr>
                      <w:tabs>
                        <w:tab w:val="left" w:pos="2430"/>
                        <w:tab w:val="left" w:pos="4933"/>
                        <w:tab w:val="left" w:pos="7291"/>
                      </w:tabs>
                      <w:spacing w:before="0" w:line="7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1"/>
                        <w:sz w:val="36"/>
                      </w:rPr>
                      <w:t>所有畜禽原料</w:t>
                      <w:tab/>
                      <w:t>所有畜禽原料</w:t>
                      <w:tab/>
                    </w:r>
                    <w:r>
                      <w:rPr>
                        <w:position w:val="31"/>
                        <w:sz w:val="36"/>
                      </w:rPr>
                      <w:t xml:space="preserve">高 </w:t>
                    </w:r>
                    <w:r>
                      <w:rPr>
                        <w:rFonts w:ascii="Malgun Gothic" w:eastAsia="Malgun Gothic" w:hint="eastAsia"/>
                        <w:position w:val="31"/>
                        <w:sz w:val="36"/>
                      </w:rPr>
                      <w:t>COD</w:t>
                    </w:r>
                    <w:r>
                      <w:rPr>
                        <w:rFonts w:ascii="Malgun Gothic" w:eastAsia="Malgun Gothic" w:hint="eastAsia"/>
                        <w:spacing w:val="-60"/>
                        <w:position w:val="31"/>
                        <w:sz w:val="36"/>
                      </w:rPr>
                      <w:t xml:space="preserve"> </w:t>
                    </w:r>
                    <w:r>
                      <w:rPr>
                        <w:position w:val="31"/>
                        <w:sz w:val="36"/>
                      </w:rPr>
                      <w:t>污水</w:t>
                      <w:tab/>
                    </w:r>
                    <w:r>
                      <w:rPr>
                        <w:sz w:val="36"/>
                      </w:rPr>
                      <w:t>所有畜禽原料</w:t>
                    </w:r>
                  </w:p>
                </w:txbxContent>
              </v:textbox>
            </v:shape>
            <v:shape id="_x0000_s1037" type="#_x0000_t202" style="width:1820;height:487;left:14842;position:absolute;top:-8148" filled="f" stroked="f">
              <v:textbox inset="0,0,0,0">
                <w:txbxContent>
                  <w:p>
                    <w:pPr>
                      <w:spacing w:before="0" w:line="48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猪粪</w:t>
                    </w:r>
                    <w:r>
                      <w:rPr>
                        <w:rFonts w:ascii="Malgun Gothic" w:eastAsia="Malgun Gothic" w:hint="eastAsia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鸡粪</w:t>
                    </w:r>
                  </w:p>
                </w:txbxContent>
              </v:textbox>
            </v:shape>
            <v:shape id="_x0000_s1038" type="#_x0000_t202" style="width:219;height:479;left:1922;position:absolute;top:-169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Malgun Gothic"/>
                        <w:sz w:val="36"/>
                      </w:rPr>
                    </w:pPr>
                    <w:r>
                      <w:rPr>
                        <w:rFonts w:ascii="Malgun Gothic"/>
                        <w:sz w:val="36"/>
                      </w:rPr>
                      <w:t>8</w:t>
                    </w:r>
                  </w:p>
                </w:txbxContent>
              </v:textbox>
            </v:shape>
            <v:shape id="_x0000_s1039" type="#_x0000_t202" style="width:1100;height:476;left:3049;position:absolute;top:-168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产气率</w:t>
                    </w:r>
                  </w:p>
                </w:txbxContent>
              </v:textbox>
            </v:shape>
            <v:shape id="_x0000_s1040" type="#_x0000_t202" style="width:11930;height:789;left:4885;position:absolute;top:-2009" filled="f" stroked="f">
              <v:textbox inset="0,0,0,0">
                <w:txbxContent>
                  <w:p>
                    <w:pPr>
                      <w:spacing w:before="0" w:line="788" w:lineRule="exact"/>
                      <w:ind w:left="0" w:right="0" w:firstLine="0"/>
                      <w:jc w:val="left"/>
                      <w:rPr>
                        <w:rFonts w:ascii="Malgun Gothic"/>
                        <w:sz w:val="36"/>
                      </w:rPr>
                    </w:pPr>
                    <w:r>
                      <w:rPr>
                        <w:rFonts w:ascii="Malgun Gothic"/>
                        <w:position w:val="31"/>
                        <w:sz w:val="36"/>
                      </w:rPr>
                      <w:t xml:space="preserve">1.0-15.0m3/m 1.0-15.0m3/m </w:t>
                    </w:r>
                    <w:r>
                      <w:rPr>
                        <w:rFonts w:ascii="Malgun Gothic"/>
                        <w:sz w:val="36"/>
                      </w:rPr>
                      <w:t>0.2-0.8m3/m3 0.8-2.0m3/m3 0.4-1.2m3/m3</w:t>
                    </w:r>
                  </w:p>
                </w:txbxContent>
              </v:textbox>
            </v:shape>
            <v:shape id="_x0000_s1041" type="#_x0000_t202" style="width:219;height:479;left:1922;position:absolute;top:-64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Malgun Gothic"/>
                        <w:sz w:val="36"/>
                      </w:rPr>
                    </w:pPr>
                    <w:r>
                      <w:rPr>
                        <w:rFonts w:ascii="Malgun Gothic"/>
                        <w:sz w:val="36"/>
                      </w:rPr>
                      <w:t>9</w:t>
                    </w:r>
                  </w:p>
                </w:txbxContent>
              </v:textbox>
            </v:shape>
            <v:shape id="_x0000_s1042" type="#_x0000_t202" style="width:1460;height:476;left:2870;position:absolute;top:-63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经济效益</w:t>
                    </w:r>
                  </w:p>
                </w:txbxContent>
              </v:textbox>
            </v:shape>
            <v:shape id="_x0000_s1043" type="#_x0000_t202" style="width:740;height:1225;left:5659;position:absolute;top:-1386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12" w:firstLine="0"/>
                      <w:jc w:val="center"/>
                      <w:rPr>
                        <w:rFonts w:ascii="Malgun Gothic"/>
                        <w:sz w:val="36"/>
                      </w:rPr>
                    </w:pPr>
                    <w:r>
                      <w:rPr>
                        <w:rFonts w:ascii="Malgun Gothic"/>
                        <w:sz w:val="36"/>
                      </w:rPr>
                      <w:t>3</w:t>
                    </w:r>
                  </w:p>
                  <w:p>
                    <w:pPr>
                      <w:spacing w:before="89" w:line="569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较佳</w:t>
                    </w:r>
                  </w:p>
                </w:txbxContent>
              </v:textbox>
            </v:shape>
            <v:shape id="_x0000_s1044" type="#_x0000_t202" style="width:740;height:1225;left:8090;position:absolute;top:-1386" filled="f" stroked="f">
              <v:textbox inset="0,0,0,0">
                <w:txbxContent>
                  <w:p>
                    <w:pPr>
                      <w:spacing w:before="0" w:line="566" w:lineRule="exact"/>
                      <w:ind w:left="0" w:right="14" w:firstLine="0"/>
                      <w:jc w:val="center"/>
                      <w:rPr>
                        <w:rFonts w:ascii="Malgun Gothic"/>
                        <w:sz w:val="36"/>
                      </w:rPr>
                    </w:pPr>
                    <w:r>
                      <w:rPr>
                        <w:rFonts w:ascii="Malgun Gothic"/>
                        <w:sz w:val="36"/>
                      </w:rPr>
                      <w:t>3</w:t>
                    </w:r>
                  </w:p>
                  <w:p>
                    <w:pPr>
                      <w:spacing w:before="89" w:line="569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较佳</w:t>
                    </w:r>
                  </w:p>
                </w:txbxContent>
              </v:textbox>
            </v:shape>
            <v:shape id="_x0000_s1045" type="#_x0000_t202" style="width:740;height:476;left:10521;position:absolute;top:-63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中等</w:t>
                    </w:r>
                  </w:p>
                </w:txbxContent>
              </v:textbox>
            </v:shape>
            <v:shape id="_x0000_s1046" type="#_x0000_t202" style="width:740;height:476;left:12951;position:absolute;top:-63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中等</w:t>
                    </w:r>
                  </w:p>
                </w:txbxContent>
              </v:textbox>
            </v:shape>
            <v:shape id="_x0000_s1047" type="#_x0000_t202" style="width:740;height:476;left:15382;position:absolute;top:-63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偏低</w:t>
                    </w:r>
                  </w:p>
                </w:txbxContent>
              </v:textbox>
            </v:shape>
          </v:group>
        </w:pict>
      </w:r>
      <w:r>
        <w:rPr>
          <w:b/>
          <w:spacing w:val="-10"/>
          <w:sz w:val="36"/>
        </w:rPr>
        <w:t xml:space="preserve">表 </w:t>
      </w:r>
      <w:r>
        <w:rPr>
          <w:rFonts w:ascii="Malgun Gothic" w:eastAsia="Malgun Gothic" w:hint="eastAsia"/>
          <w:b/>
          <w:sz w:val="36"/>
        </w:rPr>
        <w:t>4-1</w:t>
      </w:r>
      <w:r>
        <w:rPr>
          <w:rFonts w:ascii="Malgun Gothic" w:eastAsia="Malgun Gothic" w:hint="eastAsia"/>
          <w:b/>
          <w:spacing w:val="52"/>
          <w:sz w:val="36"/>
        </w:rPr>
        <w:t xml:space="preserve"> </w:t>
      </w:r>
      <w:r>
        <w:rPr>
          <w:b/>
          <w:sz w:val="36"/>
        </w:rPr>
        <w:t>沼气工程工艺比较表</w:t>
      </w:r>
    </w:p>
    <w:p>
      <w:pPr>
        <w:pStyle w:val="BodyText"/>
        <w:spacing w:before="265" w:line="336" w:lineRule="auto"/>
        <w:ind w:left="674" w:right="1047" w:firstLine="899"/>
        <w:jc w:val="both"/>
        <w:rPr>
          <w:rFonts w:ascii="Malgun Gothic" w:eastAsia="Malgun Gothic" w:hint="eastAsia"/>
        </w:rPr>
      </w:pPr>
      <w:r>
        <w:t xml:space="preserve">经过以上对比分析可以看出几种工艺各有所长 </w:t>
      </w:r>
      <w:r>
        <w:rPr>
          <w:rFonts w:ascii="Malgun Gothic" w:eastAsia="Malgun Gothic" w:hint="eastAsia"/>
          <w:spacing w:val="10"/>
        </w:rPr>
        <w:t>，</w:t>
      </w:r>
      <w:r>
        <w:t>在畜禽养殖以产沼气为目的的</w:t>
      </w:r>
      <w:r>
        <w:rPr>
          <w:spacing w:val="-11"/>
        </w:rPr>
        <w:t xml:space="preserve">系统中 </w:t>
      </w:r>
      <w:r>
        <w:rPr>
          <w:rFonts w:ascii="Malgun Gothic" w:eastAsia="Malgun Gothic" w:hint="eastAsia"/>
        </w:rPr>
        <w:t>CSTR</w:t>
      </w:r>
      <w:r>
        <w:rPr>
          <w:rFonts w:ascii="Malgun Gothic" w:eastAsia="Malgun Gothic" w:hint="eastAsia"/>
          <w:spacing w:val="-66"/>
        </w:rPr>
        <w:t xml:space="preserve"> </w:t>
      </w:r>
      <w:r>
        <w:t>工艺应用范围最广</w:t>
      </w:r>
      <w:r>
        <w:rPr>
          <w:rFonts w:ascii="Malgun Gothic" w:eastAsia="Malgun Gothic" w:hint="eastAsia"/>
        </w:rPr>
        <w:t>、</w:t>
      </w:r>
      <w:r>
        <w:t>适应性强</w:t>
      </w:r>
      <w:r>
        <w:rPr>
          <w:rFonts w:ascii="Malgun Gothic" w:eastAsia="Malgun Gothic" w:hint="eastAsia"/>
        </w:rPr>
        <w:t>，</w:t>
      </w:r>
      <w:r>
        <w:t>效益高</w:t>
      </w:r>
      <w:r>
        <w:rPr>
          <w:rFonts w:ascii="Malgun Gothic" w:eastAsia="Malgun Gothic" w:hint="eastAsia"/>
        </w:rPr>
        <w:t>。</w:t>
      </w:r>
      <w:r>
        <w:rPr>
          <w:spacing w:val="-21"/>
        </w:rPr>
        <w:t xml:space="preserve">而 </w:t>
      </w:r>
      <w:r>
        <w:rPr>
          <w:rFonts w:ascii="Malgun Gothic" w:eastAsia="Malgun Gothic" w:hint="eastAsia"/>
        </w:rPr>
        <w:t>UASB</w:t>
      </w:r>
      <w:r>
        <w:rPr>
          <w:rFonts w:ascii="Malgun Gothic" w:eastAsia="Malgun Gothic" w:hint="eastAsia"/>
          <w:spacing w:val="-73"/>
        </w:rPr>
        <w:t xml:space="preserve"> </w:t>
      </w:r>
      <w:r>
        <w:rPr>
          <w:spacing w:val="-2"/>
        </w:rPr>
        <w:t>工艺适用于养猪场的污</w:t>
      </w:r>
      <w:r>
        <w:t>水处理能源环保型沼气工程</w:t>
      </w:r>
      <w:r>
        <w:rPr>
          <w:rFonts w:ascii="Malgun Gothic" w:eastAsia="Malgun Gothic" w:hint="eastAsia"/>
        </w:rPr>
        <w:t>，</w:t>
      </w:r>
      <w:r>
        <w:t>其处理效果较好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3" w:line="336" w:lineRule="auto"/>
        <w:ind w:left="674" w:right="1049" w:firstLine="719"/>
      </w:pPr>
      <w:r>
        <w:t>结合本工程特点</w:t>
      </w:r>
      <w:r>
        <w:rPr>
          <w:rFonts w:ascii="Malgun Gothic" w:eastAsia="Malgun Gothic" w:hint="eastAsia"/>
        </w:rPr>
        <w:t>，</w:t>
      </w:r>
      <w:r>
        <w:t>采用先进的有机废弃物联合高温消化</w:t>
      </w:r>
      <w:r>
        <w:rPr>
          <w:rFonts w:ascii="Malgun Gothic" w:eastAsia="Malgun Gothic" w:hint="eastAsia"/>
        </w:rPr>
        <w:t>（CSTR）</w:t>
      </w:r>
      <w:r>
        <w:t>技术</w:t>
      </w:r>
      <w:r>
        <w:rPr>
          <w:rFonts w:ascii="Malgun Gothic" w:eastAsia="Malgun Gothic" w:hint="eastAsia"/>
        </w:rPr>
        <w:t>，</w:t>
      </w:r>
      <w:r>
        <w:t>有效解决国内沼气工程单位反应器容积产气率低</w:t>
      </w:r>
      <w:r>
        <w:rPr>
          <w:rFonts w:ascii="Malgun Gothic" w:eastAsia="Malgun Gothic" w:hint="eastAsia"/>
        </w:rPr>
        <w:t>、</w:t>
      </w:r>
      <w:r>
        <w:t>运行不稳定</w:t>
      </w:r>
      <w:r>
        <w:rPr>
          <w:rFonts w:ascii="Malgun Gothic" w:eastAsia="Malgun Gothic" w:hint="eastAsia"/>
        </w:rPr>
        <w:t>、</w:t>
      </w:r>
      <w:r>
        <w:t>综合效益低等问题</w:t>
      </w:r>
      <w:r>
        <w:rPr>
          <w:rFonts w:ascii="Malgun Gothic" w:eastAsia="Malgun Gothic" w:hint="eastAsia"/>
        </w:rPr>
        <w:t>；</w:t>
      </w:r>
      <w:r>
        <w:t>本项目位</w:t>
      </w:r>
    </w:p>
    <w:p>
      <w:pPr>
        <w:pStyle w:val="BodyText"/>
        <w:spacing w:before="15"/>
        <w:rPr>
          <w:sz w:val="52"/>
        </w:rPr>
      </w:pPr>
    </w:p>
    <w:p>
      <w:pPr>
        <w:spacing w:before="0"/>
        <w:ind w:left="940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pgSz w:w="18360" w:h="23760"/>
          <w:pgMar w:top="760" w:right="1380" w:bottom="280" w:left="1760" w:header="708" w:footer="708"/>
          <w:pgNumType w:start="8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17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10"/>
        <w:rPr>
          <w:rFonts w:ascii="Arial"/>
          <w:sz w:val="26"/>
        </w:rPr>
      </w:pPr>
    </w:p>
    <w:p>
      <w:pPr>
        <w:pStyle w:val="BodyText"/>
        <w:spacing w:before="1" w:line="336" w:lineRule="auto"/>
        <w:ind w:left="674" w:right="1066"/>
        <w:rPr>
          <w:rFonts w:ascii="Malgun Gothic" w:eastAsia="Malgun Gothic" w:hint="eastAsia"/>
        </w:rPr>
      </w:pPr>
      <w:r>
        <w:t>于北方地带</w:t>
      </w:r>
      <w:r>
        <w:rPr>
          <w:rFonts w:ascii="Malgun Gothic" w:eastAsia="Malgun Gothic" w:hint="eastAsia"/>
        </w:rPr>
        <w:t>，</w:t>
      </w:r>
      <w:r>
        <w:t>温度维持及控制应充分考虑区域特点</w:t>
      </w:r>
      <w:r>
        <w:rPr>
          <w:rFonts w:ascii="Malgun Gothic" w:eastAsia="Malgun Gothic" w:hint="eastAsia"/>
        </w:rPr>
        <w:t>；</w:t>
      </w:r>
      <w:r>
        <w:t>为提高项目效益</w:t>
      </w:r>
      <w:r>
        <w:rPr>
          <w:rFonts w:ascii="Malgun Gothic" w:eastAsia="Malgun Gothic" w:hint="eastAsia"/>
        </w:rPr>
        <w:t>，</w:t>
      </w:r>
      <w:r>
        <w:t>充分利用发电机余热</w:t>
      </w:r>
      <w:r>
        <w:rPr>
          <w:rFonts w:ascii="Malgun Gothic" w:eastAsia="Malgun Gothic" w:hint="eastAsia"/>
        </w:rPr>
        <w:t>，</w:t>
      </w:r>
      <w:r>
        <w:t>能有效降低能耗</w:t>
      </w:r>
      <w:r>
        <w:rPr>
          <w:rFonts w:ascii="Malgun Gothic" w:eastAsia="Malgun Gothic" w:hint="eastAsia"/>
        </w:rPr>
        <w:t>，</w:t>
      </w:r>
      <w:r>
        <w:t>节约运行成本</w:t>
      </w:r>
      <w:r>
        <w:rPr>
          <w:rFonts w:ascii="Malgun Gothic" w:eastAsia="Malgun Gothic" w:hint="eastAsia"/>
        </w:rPr>
        <w:t>。</w:t>
      </w:r>
    </w:p>
    <w:p>
      <w:pPr>
        <w:pStyle w:val="Heading2"/>
        <w:numPr>
          <w:ilvl w:val="1"/>
          <w:numId w:val="29"/>
        </w:numPr>
        <w:tabs>
          <w:tab w:val="left" w:pos="1632"/>
        </w:tabs>
        <w:spacing w:before="0" w:after="0" w:line="645" w:lineRule="exact"/>
        <w:ind w:left="1631" w:right="0" w:hanging="692"/>
        <w:jc w:val="left"/>
        <w:rPr>
          <w:rFonts w:ascii="幼圆" w:eastAsia="幼圆" w:hint="eastAsia"/>
        </w:rPr>
      </w:pPr>
      <w:bookmarkStart w:id="10" w:name="_TOC_250011"/>
      <w:bookmarkEnd w:id="10"/>
      <w:r>
        <w:rPr>
          <w:rFonts w:ascii="幼圆" w:eastAsia="幼圆" w:hint="eastAsia"/>
        </w:rPr>
        <w:t>工艺技术选择</w:t>
      </w:r>
    </w:p>
    <w:p>
      <w:pPr>
        <w:pStyle w:val="ListParagraph"/>
        <w:numPr>
          <w:ilvl w:val="2"/>
          <w:numId w:val="29"/>
        </w:numPr>
        <w:tabs>
          <w:tab w:val="left" w:pos="2204"/>
        </w:tabs>
        <w:spacing w:before="279" w:after="0" w:line="336" w:lineRule="auto"/>
        <w:ind w:left="1660" w:right="6025" w:firstLine="0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XXXX</w:t>
      </w:r>
      <w:r>
        <w:rPr>
          <w:sz w:val="36"/>
        </w:rPr>
        <w:t>养殖有限公司的经济条件和投资目的</w:t>
      </w:r>
      <w:r>
        <w:rPr>
          <w:rFonts w:ascii="Malgun Gothic" w:eastAsia="Malgun Gothic" w:hint="eastAsia"/>
          <w:spacing w:val="-12"/>
          <w:sz w:val="36"/>
        </w:rPr>
        <w:t xml:space="preserve">； </w:t>
      </w:r>
      <w:r>
        <w:rPr>
          <w:rFonts w:ascii="Malgun Gothic" w:eastAsia="Malgun Gothic" w:hint="eastAsia"/>
          <w:spacing w:val="-2"/>
          <w:sz w:val="36"/>
        </w:rPr>
        <w:t>(2)</w:t>
      </w:r>
      <w:r>
        <w:rPr>
          <w:sz w:val="36"/>
        </w:rPr>
        <w:t>养殖场的地理位置</w:t>
      </w:r>
      <w:r>
        <w:rPr>
          <w:rFonts w:ascii="Malgun Gothic" w:eastAsia="Malgun Gothic" w:hint="eastAsia"/>
          <w:spacing w:val="3"/>
          <w:sz w:val="36"/>
        </w:rPr>
        <w:t>、</w:t>
      </w:r>
      <w:r>
        <w:rPr>
          <w:sz w:val="36"/>
        </w:rPr>
        <w:t>处理规模和粪污特点</w:t>
      </w:r>
      <w:r>
        <w:rPr>
          <w:rFonts w:ascii="Malgun Gothic" w:eastAsia="Malgun Gothic" w:hint="eastAsia"/>
          <w:sz w:val="36"/>
        </w:rPr>
        <w:t>；</w:t>
      </w:r>
    </w:p>
    <w:p>
      <w:pPr>
        <w:pStyle w:val="BodyText"/>
        <w:spacing w:before="3" w:line="336" w:lineRule="auto"/>
        <w:ind w:left="1300" w:right="1257" w:firstLine="360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(3)</w:t>
      </w:r>
      <w:r>
        <w:t>工艺路线的能量和物料衡算</w:t>
      </w:r>
      <w:r>
        <w:rPr>
          <w:rFonts w:ascii="Malgun Gothic" w:eastAsia="Malgun Gothic" w:hAnsi="Malgun Gothic" w:hint="eastAsia"/>
        </w:rPr>
        <w:t>，</w:t>
      </w:r>
      <w:r>
        <w:t>地方政府的要求和业主的实际操作水平</w:t>
      </w:r>
      <w:r>
        <w:rPr>
          <w:rFonts w:ascii="Malgun Gothic" w:eastAsia="Malgun Gothic" w:hAnsi="Malgun Gothic" w:hint="eastAsia"/>
        </w:rPr>
        <w:t>，</w:t>
      </w:r>
      <w:r>
        <w:t>创建</w:t>
      </w:r>
      <w:r>
        <w:rPr>
          <w:rFonts w:ascii="Malgun Gothic" w:eastAsia="Malgun Gothic" w:hAnsi="Malgun Gothic" w:hint="eastAsia"/>
        </w:rPr>
        <w:t>“</w:t>
      </w:r>
      <w:r>
        <w:t>示范工程</w:t>
      </w:r>
      <w:r>
        <w:rPr>
          <w:rFonts w:ascii="Malgun Gothic" w:eastAsia="Malgun Gothic" w:hAnsi="Malgun Gothic" w:hint="eastAsia"/>
        </w:rPr>
        <w:t>”、“</w:t>
      </w:r>
      <w:r>
        <w:t>样板工程</w:t>
      </w:r>
      <w:r>
        <w:rPr>
          <w:rFonts w:ascii="Malgun Gothic" w:eastAsia="Malgun Gothic" w:hAnsi="Malgun Gothic" w:hint="eastAsia"/>
        </w:rPr>
        <w:t>”</w:t>
      </w:r>
      <w:r>
        <w:t>和</w:t>
      </w:r>
      <w:r>
        <w:rPr>
          <w:rFonts w:ascii="Malgun Gothic" w:eastAsia="Malgun Gothic" w:hAnsi="Malgun Gothic" w:hint="eastAsia"/>
        </w:rPr>
        <w:t>“</w:t>
      </w:r>
      <w:r>
        <w:t>放心工程</w:t>
      </w:r>
      <w:r>
        <w:rPr>
          <w:rFonts w:ascii="Malgun Gothic" w:eastAsia="Malgun Gothic" w:hAnsi="Malgun Gothic" w:hint="eastAsia"/>
        </w:rPr>
        <w:t>”。</w:t>
      </w:r>
    </w:p>
    <w:p>
      <w:pPr>
        <w:pStyle w:val="ListParagraph"/>
        <w:numPr>
          <w:ilvl w:val="2"/>
          <w:numId w:val="16"/>
        </w:numPr>
        <w:tabs>
          <w:tab w:val="left" w:pos="1873"/>
        </w:tabs>
        <w:spacing w:before="4" w:after="0" w:line="240" w:lineRule="auto"/>
        <w:ind w:left="1873" w:right="0" w:hanging="933"/>
        <w:jc w:val="left"/>
        <w:rPr>
          <w:sz w:val="36"/>
        </w:rPr>
      </w:pPr>
      <w:r>
        <w:rPr>
          <w:sz w:val="36"/>
        </w:rPr>
        <w:t>粪污量计算</w:t>
      </w:r>
    </w:p>
    <w:p>
      <w:pPr>
        <w:pStyle w:val="BodyText"/>
        <w:spacing w:before="276" w:line="336" w:lineRule="auto"/>
        <w:ind w:left="1660" w:right="3479"/>
      </w:pPr>
      <w:r>
        <w:t>根据业主提供的数据</w:t>
      </w:r>
      <w:r>
        <w:rPr>
          <w:rFonts w:ascii="Malgun Gothic" w:eastAsia="Malgun Gothic" w:hint="eastAsia"/>
        </w:rPr>
        <w:t>，</w:t>
      </w:r>
      <w:r>
        <w:t>参照同行业数据</w:t>
      </w:r>
      <w:r>
        <w:rPr>
          <w:rFonts w:ascii="Malgun Gothic" w:eastAsia="Malgun Gothic" w:hint="eastAsia"/>
        </w:rPr>
        <w:t>，</w:t>
      </w:r>
      <w:r>
        <w:t>计算每日产粪量</w:t>
      </w:r>
      <w:r>
        <w:rPr>
          <w:rFonts w:ascii="Malgun Gothic" w:eastAsia="Malgun Gothic" w:hint="eastAsia"/>
        </w:rPr>
        <w:t>100t</w:t>
      </w:r>
      <w:r>
        <w:rPr>
          <w:rFonts w:ascii="Malgun Gothic" w:eastAsia="Malgun Gothic" w:hint="eastAsia"/>
          <w:spacing w:val="-13"/>
        </w:rPr>
        <w:t>。</w:t>
      </w:r>
      <w:r>
        <w:t>表</w:t>
      </w:r>
      <w:r>
        <w:rPr>
          <w:rFonts w:ascii="Malgun Gothic" w:eastAsia="Malgun Gothic" w:hint="eastAsia"/>
        </w:rPr>
        <w:t>3-2</w:t>
      </w:r>
      <w:r>
        <w:rPr>
          <w:rFonts w:ascii="Malgun Gothic" w:eastAsia="Malgun Gothic" w:hint="eastAsia"/>
          <w:spacing w:val="52"/>
        </w:rPr>
        <w:t xml:space="preserve"> </w:t>
      </w:r>
      <w:r>
        <w:t>粪污量</w:t>
      </w:r>
      <w:r>
        <w:rPr>
          <w:rFonts w:ascii="Malgun Gothic" w:eastAsia="Malgun Gothic" w:hint="eastAsia"/>
        </w:rPr>
        <w:t>/</w:t>
      </w:r>
      <w:r>
        <w:t>原料统计表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2"/>
        </w:rPr>
      </w:pPr>
    </w:p>
    <w:p>
      <w:pPr>
        <w:pStyle w:val="ListParagraph"/>
        <w:numPr>
          <w:ilvl w:val="2"/>
          <w:numId w:val="16"/>
        </w:numPr>
        <w:tabs>
          <w:tab w:val="left" w:pos="1873"/>
        </w:tabs>
        <w:spacing w:before="13" w:after="0" w:line="240" w:lineRule="auto"/>
        <w:ind w:left="1873" w:right="0" w:hanging="933"/>
        <w:jc w:val="left"/>
        <w:rPr>
          <w:sz w:val="36"/>
        </w:rPr>
      </w:pPr>
      <w:r>
        <w:pict>
          <v:group id="_x0000_s1048" style="width:607pt;height:97pt;margin-top:-90.83pt;margin-left:163pt;mso-position-horizontal-relative:page;position:absolute;z-index:-251648000" coordorigin="3260,-1817" coordsize="12140,1940">
            <v:shape id="_x0000_s1049" type="#_x0000_t75" style="width:12140;height:1940;left:3260;position:absolute;top:-1817" stroked="f">
              <v:imagedata r:id="rId6" o:title=""/>
            </v:shape>
            <v:shape id="_x0000_s1050" type="#_x0000_t202" style="width:1460;height:476;left:4158;position:absolute;top:-178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原料种类</w:t>
                    </w:r>
                  </w:p>
                </w:txbxContent>
              </v:textbox>
            </v:shape>
            <v:shape id="_x0000_s1051" type="#_x0000_t202" style="width:1820;height:476;left:7874;position:absolute;top:-178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干物质含量</w:t>
                    </w:r>
                  </w:p>
                </w:txbxContent>
              </v:textbox>
            </v:shape>
            <v:shape id="_x0000_s1052" type="#_x0000_t202" style="width:1460;height:476;left:12033;position:absolute;top:-178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原料小计</w:t>
                    </w:r>
                  </w:p>
                </w:txbxContent>
              </v:textbox>
            </v:shape>
            <v:shape id="_x0000_s1053" type="#_x0000_t202" style="width:740;height:476;left:4518;position:absolute;top:-82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牛粪</w:t>
                    </w:r>
                  </w:p>
                </w:txbxContent>
              </v:textbox>
            </v:shape>
            <v:shape id="_x0000_s1054" type="#_x0000_t202" style="width:1230;height:479;left:7874;position:absolute;top:-84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Malgun Gothic"/>
                        <w:sz w:val="36"/>
                      </w:rPr>
                    </w:pPr>
                    <w:r>
                      <w:rPr>
                        <w:rFonts w:ascii="Malgun Gothic"/>
                        <w:sz w:val="36"/>
                      </w:rPr>
                      <w:t>TS 18%</w:t>
                    </w:r>
                  </w:p>
                </w:txbxContent>
              </v:textbox>
            </v:shape>
            <v:shape id="_x0000_s1055" type="#_x0000_t202" style="width:1478;height:487;left:12213;position:absolute;top:-840" filled="f" stroked="f">
              <v:textbox inset="0,0,0,0">
                <w:txbxContent>
                  <w:p>
                    <w:pPr>
                      <w:spacing w:before="0" w:line="48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Malgun Gothic" w:eastAsia="Malgun Gothic" w:hint="eastAsia"/>
                        <w:sz w:val="36"/>
                      </w:rPr>
                      <w:t>100</w:t>
                    </w:r>
                    <w:r>
                      <w:rPr>
                        <w:sz w:val="36"/>
                      </w:rPr>
                      <w:t>吨</w:t>
                    </w:r>
                    <w:r>
                      <w:rPr>
                        <w:rFonts w:ascii="Malgun Gothic" w:eastAsia="Malgun Gothic" w:hint="eastAsia"/>
                        <w:sz w:val="36"/>
                      </w:rPr>
                      <w:t>/</w:t>
                    </w:r>
                    <w:r>
                      <w:rPr>
                        <w:sz w:val="3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工艺选择</w:t>
      </w:r>
    </w:p>
    <w:p>
      <w:pPr>
        <w:pStyle w:val="BodyText"/>
        <w:spacing w:before="276"/>
        <w:ind w:left="465" w:right="123"/>
        <w:jc w:val="center"/>
      </w:pPr>
      <w:r>
        <w:t>鲜粪通过铲车送入粉碎机中粉碎后进入调配池进行调配</w:t>
      </w:r>
      <w:r>
        <w:rPr>
          <w:rFonts w:ascii="Malgun Gothic" w:eastAsia="Malgun Gothic" w:hint="eastAsia"/>
        </w:rPr>
        <w:t>，</w:t>
      </w:r>
      <w:r>
        <w:t>调配池内设搅拌</w:t>
      </w:r>
    </w:p>
    <w:p>
      <w:pPr>
        <w:pStyle w:val="BodyText"/>
        <w:spacing w:before="265" w:line="283" w:lineRule="auto"/>
        <w:ind w:left="1300" w:right="1200"/>
      </w:pPr>
      <w:r>
        <w:t>机</w:t>
      </w:r>
      <w:r>
        <w:rPr>
          <w:rFonts w:ascii="Malgun Gothic" w:eastAsia="Malgun Gothic" w:hint="eastAsia"/>
        </w:rPr>
        <w:t>，</w:t>
      </w:r>
      <w:r>
        <w:t>搅拌均匀后由切割泵提升至</w:t>
      </w:r>
      <w:r>
        <w:rPr>
          <w:rFonts w:ascii="Malgun Gothic" w:eastAsia="Malgun Gothic" w:hint="eastAsia"/>
        </w:rPr>
        <w:t>CSTR</w:t>
      </w:r>
      <w:r>
        <w:t>厌氧反应器</w:t>
      </w:r>
      <w:r>
        <w:rPr>
          <w:rFonts w:ascii="Malgun Gothic" w:eastAsia="Malgun Gothic" w:hint="eastAsia"/>
        </w:rPr>
        <w:t>，</w:t>
      </w:r>
      <w:r>
        <w:t>用于生产沼气</w:t>
      </w:r>
      <w:r>
        <w:rPr>
          <w:rFonts w:ascii="Malgun Gothic" w:eastAsia="Malgun Gothic" w:hint="eastAsia"/>
        </w:rPr>
        <w:t>，</w:t>
      </w:r>
      <w:r>
        <w:t>降解污染物</w:t>
      </w:r>
      <w:r>
        <w:rPr>
          <w:rFonts w:ascii="Malgun Gothic" w:eastAsia="Malgun Gothic" w:hint="eastAsia"/>
          <w:spacing w:val="-13"/>
        </w:rPr>
        <w:t xml:space="preserve">， </w:t>
      </w:r>
      <w:r>
        <w:rPr>
          <w:rFonts w:ascii="Malgun Gothic" w:eastAsia="Malgun Gothic" w:hint="eastAsia"/>
        </w:rPr>
        <w:t>CSTR</w:t>
      </w:r>
      <w:r>
        <w:rPr>
          <w:rFonts w:ascii="Malgun Gothic" w:eastAsia="Malgun Gothic" w:hint="eastAsia"/>
          <w:color w:val="FF0000"/>
        </w:rPr>
        <w:t>（</w:t>
      </w:r>
      <w:r>
        <w:rPr>
          <w:color w:val="FF0000"/>
        </w:rPr>
        <w:t>连续搅拌式反应器</w:t>
      </w:r>
      <w:r>
        <w:rPr>
          <w:rFonts w:ascii="Malgun Gothic" w:eastAsia="Malgun Gothic" w:hint="eastAsia"/>
          <w:color w:val="FF0000"/>
        </w:rPr>
        <w:t>）（</w:t>
      </w:r>
      <w:r>
        <w:rPr>
          <w:rFonts w:ascii="Malgun Gothic" w:eastAsia="Malgun Gothic" w:hint="eastAsia"/>
          <w:color w:val="FF0000"/>
          <w:position w:val="13"/>
          <w:sz w:val="48"/>
        </w:rPr>
        <w:t>USR</w:t>
      </w:r>
      <w:r>
        <w:rPr>
          <w:color w:val="FF0000"/>
          <w:spacing w:val="1"/>
          <w:position w:val="13"/>
          <w:sz w:val="48"/>
        </w:rPr>
        <w:t>反应器升流式</w:t>
      </w:r>
      <w:r>
        <w:rPr>
          <w:rFonts w:ascii="Malgun Gothic" w:eastAsia="Malgun Gothic" w:hint="eastAsia"/>
          <w:color w:val="FF0000"/>
          <w:position w:val="13"/>
          <w:sz w:val="48"/>
        </w:rPr>
        <w:t>）</w:t>
      </w:r>
      <w:r>
        <w:t>产生的沼渣沼液进入二</w:t>
      </w:r>
    </w:p>
    <w:p>
      <w:pPr>
        <w:pStyle w:val="BodyText"/>
        <w:spacing w:before="280" w:line="336" w:lineRule="auto"/>
        <w:ind w:left="1300" w:right="1204"/>
        <w:jc w:val="both"/>
      </w:pPr>
      <w:r>
        <w:t>次发酵罐存储继续发酵</w:t>
      </w:r>
      <w:r>
        <w:rPr>
          <w:rFonts w:ascii="Malgun Gothic" w:eastAsia="Malgun Gothic" w:hint="eastAsia"/>
        </w:rPr>
        <w:t>，</w:t>
      </w:r>
      <w:r>
        <w:t>降解剩余污染物并提高产气量</w:t>
      </w:r>
      <w:r>
        <w:rPr>
          <w:rFonts w:ascii="Malgun Gothic" w:eastAsia="Malgun Gothic" w:hint="eastAsia"/>
        </w:rPr>
        <w:t>，</w:t>
      </w:r>
      <w:r>
        <w:t>二次发酵出水部分回流作为调粪配水用</w:t>
      </w:r>
      <w:r>
        <w:rPr>
          <w:rFonts w:ascii="Malgun Gothic" w:eastAsia="Malgun Gothic" w:hint="eastAsia"/>
        </w:rPr>
        <w:t>，</w:t>
      </w:r>
      <w:r>
        <w:t>部分作为沼液肥外运农田灌溉用</w:t>
      </w:r>
      <w:r>
        <w:rPr>
          <w:rFonts w:ascii="Malgun Gothic" w:eastAsia="Malgun Gothic" w:hint="eastAsia"/>
        </w:rPr>
        <w:t>。CSTR</w:t>
      </w:r>
      <w:r>
        <w:rPr>
          <w:spacing w:val="-2"/>
        </w:rPr>
        <w:t>产生的沼气存储于二次</w:t>
      </w:r>
      <w:r>
        <w:t>发酵顶部的气柜中</w:t>
      </w:r>
      <w:r>
        <w:rPr>
          <w:rFonts w:ascii="Malgun Gothic" w:eastAsia="Malgun Gothic" w:hint="eastAsia"/>
        </w:rPr>
        <w:t>，</w:t>
      </w:r>
      <w:r>
        <w:t>经干燥</w:t>
      </w:r>
      <w:r>
        <w:rPr>
          <w:rFonts w:ascii="Malgun Gothic" w:eastAsia="Malgun Gothic" w:hint="eastAsia"/>
        </w:rPr>
        <w:t>、</w:t>
      </w:r>
      <w:r>
        <w:t>脱硫等处理后输出用于发电</w:t>
      </w:r>
      <w:r>
        <w:rPr>
          <w:rFonts w:ascii="Malgun Gothic" w:eastAsia="Malgun Gothic" w:hint="eastAsia"/>
        </w:rPr>
        <w:t>，</w:t>
      </w:r>
      <w:r>
        <w:t>供给厂区用电</w:t>
      </w:r>
      <w:r>
        <w:rPr>
          <w:rFonts w:ascii="Malgun Gothic" w:eastAsia="Malgun Gothic" w:hint="eastAsia"/>
        </w:rPr>
        <w:t>。</w:t>
      </w:r>
      <w:r>
        <w:t>发电产生的余热经余热锅炉回收供罐体加热使用</w:t>
      </w:r>
      <w:r>
        <w:rPr>
          <w:rFonts w:ascii="Malgun Gothic" w:eastAsia="Malgun Gothic" w:hint="eastAsia"/>
        </w:rPr>
        <w:t>，</w:t>
      </w:r>
      <w:r>
        <w:t>多余可</w:t>
      </w:r>
      <w:r>
        <w:rPr>
          <w:color w:val="FF0000"/>
        </w:rPr>
        <w:t>供给园区沼渣发酵烘干装置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spacing w:before="96"/>
        <w:ind w:left="940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pgSz w:w="18360" w:h="23760"/>
          <w:pgMar w:top="760" w:right="1380" w:bottom="280" w:left="1760" w:header="708" w:footer="708"/>
          <w:pgNumType w:start="9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17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10"/>
        <w:rPr>
          <w:rFonts w:ascii="Arial"/>
          <w:sz w:val="26"/>
        </w:rPr>
      </w:pPr>
    </w:p>
    <w:p>
      <w:pPr>
        <w:pStyle w:val="BodyText"/>
        <w:spacing w:before="1"/>
        <w:ind w:left="1300"/>
        <w:rPr>
          <w:rFonts w:ascii="Malgun Gothic" w:eastAsia="Malgun Gothic" w:hint="eastAsia"/>
        </w:rPr>
      </w:pPr>
      <w:r>
        <w:t>供热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265"/>
        <w:ind w:left="1660"/>
        <w:rPr>
          <w:rFonts w:ascii="Malgun Gothic" w:eastAsia="Malgun Gothic" w:hint="eastAsia"/>
        </w:rPr>
      </w:pPr>
      <w:r>
        <w:t>本工程拟将沼渣沼液池与气柜合建</w:t>
      </w:r>
      <w:r>
        <w:rPr>
          <w:rFonts w:ascii="Malgun Gothic" w:eastAsia="Malgun Gothic" w:hint="eastAsia"/>
        </w:rPr>
        <w:t>，</w:t>
      </w:r>
      <w:r>
        <w:t>优点如下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3"/>
          <w:numId w:val="16"/>
        </w:numPr>
        <w:tabs>
          <w:tab w:val="left" w:pos="1939"/>
        </w:tabs>
        <w:spacing w:before="258" w:after="0" w:line="240" w:lineRule="auto"/>
        <w:ind w:left="1938" w:right="0" w:hanging="27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由于合建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延长了沼渣沼液的二次发酵时间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增加了约</w:t>
      </w:r>
      <w:r>
        <w:rPr>
          <w:rFonts w:ascii="Malgun Gothic" w:eastAsia="Malgun Gothic" w:hint="eastAsia"/>
          <w:sz w:val="36"/>
        </w:rPr>
        <w:t>10%-15%</w:t>
      </w:r>
      <w:r>
        <w:rPr>
          <w:sz w:val="36"/>
        </w:rPr>
        <w:t>的产气量</w:t>
      </w:r>
      <w:r>
        <w:rPr>
          <w:rFonts w:ascii="Malgun Gothic" w:eastAsia="Malgun Gothic" w:hint="eastAsia"/>
          <w:sz w:val="36"/>
        </w:rPr>
        <w:t>；</w:t>
      </w:r>
    </w:p>
    <w:p>
      <w:pPr>
        <w:pStyle w:val="ListParagraph"/>
        <w:numPr>
          <w:ilvl w:val="3"/>
          <w:numId w:val="16"/>
        </w:numPr>
        <w:tabs>
          <w:tab w:val="left" w:pos="1939"/>
        </w:tabs>
        <w:spacing w:before="265" w:after="0" w:line="340" w:lineRule="auto"/>
        <w:ind w:left="1300" w:right="1397" w:firstLine="36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应用的干式气柜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较湿式气柜既解决了冬季沼渣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沼液上冻问题</w:t>
      </w:r>
      <w:r>
        <w:rPr>
          <w:rFonts w:ascii="Malgun Gothic" w:eastAsia="Malgun Gothic" w:hint="eastAsia"/>
          <w:sz w:val="36"/>
        </w:rPr>
        <w:t>，</w:t>
      </w:r>
      <w:r>
        <w:rPr>
          <w:spacing w:val="-4"/>
          <w:sz w:val="36"/>
        </w:rPr>
        <w:t>又减少了</w:t>
      </w:r>
      <w:r>
        <w:rPr>
          <w:sz w:val="36"/>
        </w:rPr>
        <w:t>气柜保温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防腐等费用投资</w:t>
      </w:r>
      <w:r>
        <w:rPr>
          <w:rFonts w:ascii="Malgun Gothic" w:eastAsia="Malgun Gothic" w:hint="eastAsia"/>
          <w:sz w:val="36"/>
        </w:rPr>
        <w:t>；</w:t>
      </w:r>
    </w:p>
    <w:p>
      <w:pPr>
        <w:pStyle w:val="ListParagraph"/>
        <w:numPr>
          <w:ilvl w:val="3"/>
          <w:numId w:val="16"/>
        </w:numPr>
        <w:tabs>
          <w:tab w:val="left" w:pos="1939"/>
        </w:tabs>
        <w:spacing w:before="0" w:after="0" w:line="644" w:lineRule="exact"/>
        <w:ind w:left="1938" w:right="0" w:hanging="27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发电机余热回收利用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用于系统增温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降低能耗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BodyText"/>
        <w:spacing w:before="280"/>
        <w:ind w:left="1660"/>
        <w:rPr>
          <w:rFonts w:ascii="Malgun Gothic" w:eastAsia="Malgun Gothic" w:hint="eastAsia"/>
        </w:rPr>
      </w:pPr>
      <w:r>
        <w:t>工艺流程如下</w:t>
      </w:r>
      <w:r>
        <w:rPr>
          <w:rFonts w:ascii="Malgun Gothic" w:eastAsia="Malgun Gothic" w:hint="eastAsia"/>
        </w:rPr>
        <w:t>:</w:t>
      </w: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spacing w:before="9"/>
        <w:rPr>
          <w:rFonts w:ascii="Malgun Gothic"/>
          <w:sz w:val="55"/>
        </w:rPr>
      </w:pPr>
    </w:p>
    <w:p>
      <w:pPr>
        <w:spacing w:before="1"/>
        <w:ind w:left="940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pgSz w:w="18360" w:h="23760"/>
          <w:pgMar w:top="760" w:right="1380" w:bottom="280" w:left="1760" w:header="708" w:footer="708"/>
          <w:pgNumType w:start="10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3"/>
        </w:rPr>
      </w:pPr>
    </w:p>
    <w:p>
      <w:pPr>
        <w:tabs>
          <w:tab w:val="left" w:pos="9969"/>
          <w:tab w:val="left" w:pos="12261"/>
        </w:tabs>
        <w:spacing w:before="114"/>
        <w:ind w:left="781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..</w:t>
        <w:tab/>
        <w:t>..</w:t>
        <w:tab/>
        <w:t>..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8360" w:h="23760"/>
          <w:pgMar w:top="0" w:right="1380" w:bottom="280" w:left="1760" w:header="708" w:footer="708"/>
          <w:pgNumType w:start="11"/>
          <w:cols w:space="708"/>
        </w:sectPr>
      </w:pPr>
    </w:p>
    <w:p>
      <w:pPr>
        <w:spacing w:before="62"/>
        <w:ind w:left="4490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>牛粪</w:t>
      </w:r>
    </w:p>
    <w:p>
      <w:pPr>
        <w:spacing w:before="9"/>
        <w:ind w:left="4403" w:right="0" w:firstLine="0"/>
        <w:jc w:val="left"/>
        <w:rPr>
          <w:rFonts w:ascii="Times New Roman"/>
          <w:sz w:val="31"/>
        </w:rPr>
      </w:pPr>
      <w:r>
        <w:rPr>
          <w:rFonts w:ascii="Times New Roman"/>
          <w:sz w:val="31"/>
        </w:rPr>
        <w:t>100t/d</w:t>
      </w:r>
    </w:p>
    <w:p>
      <w:pPr>
        <w:pStyle w:val="BodyText"/>
        <w:spacing w:before="3"/>
        <w:rPr>
          <w:rFonts w:ascii="Times New Roman"/>
          <w:sz w:val="28"/>
        </w:rPr>
      </w:pPr>
      <w:r>
        <w:br w:type="column"/>
      </w:r>
    </w:p>
    <w:p>
      <w:pPr>
        <w:spacing w:before="0" w:line="292" w:lineRule="auto"/>
        <w:ind w:left="1034" w:right="7148" w:firstLine="83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调配池切割泵</w:t>
      </w:r>
    </w:p>
    <w:p>
      <w:pPr>
        <w:spacing w:after="0" w:line="292" w:lineRule="auto"/>
        <w:jc w:val="left"/>
        <w:rPr>
          <w:rFonts w:ascii="宋体" w:eastAsia="宋体" w:hint="eastAsia"/>
          <w:sz w:val="31"/>
        </w:rPr>
        <w:sectPr>
          <w:type w:val="continuous"/>
          <w:pgSz w:w="18360" w:h="23760"/>
          <w:pgMar w:top="760" w:right="1380" w:bottom="280" w:left="1760" w:header="708" w:footer="708"/>
          <w:pgNumType w:start="12"/>
          <w:cols w:num="2" w:space="708" w:equalWidth="0">
            <w:col w:w="5214" w:space="40"/>
            <w:col w:w="9966" w:space="0"/>
          </w:cols>
        </w:sectPr>
      </w:pPr>
    </w:p>
    <w:p>
      <w:pPr>
        <w:pStyle w:val="BodyText"/>
        <w:spacing w:before="3"/>
        <w:rPr>
          <w:rFonts w:ascii="宋体"/>
          <w:sz w:val="19"/>
        </w:rPr>
      </w:pPr>
    </w:p>
    <w:p>
      <w:pPr>
        <w:spacing w:after="0"/>
        <w:rPr>
          <w:rFonts w:ascii="宋体"/>
          <w:sz w:val="19"/>
        </w:rPr>
        <w:sectPr>
          <w:type w:val="continuous"/>
          <w:pgSz w:w="18360" w:h="23760"/>
          <w:pgMar w:top="760" w:right="1380" w:bottom="280" w:left="1760" w:header="708" w:footer="708"/>
          <w:pgNumType w:start="13"/>
          <w:cols w:space="708"/>
        </w:sectPr>
      </w:pPr>
    </w:p>
    <w:p>
      <w:pPr>
        <w:pStyle w:val="BodyText"/>
        <w:spacing w:before="6"/>
        <w:rPr>
          <w:rFonts w:ascii="宋体"/>
          <w:sz w:val="42"/>
        </w:rPr>
      </w:pPr>
    </w:p>
    <w:p>
      <w:pPr>
        <w:spacing w:before="1"/>
        <w:ind w:left="6276" w:right="929" w:firstLine="0"/>
        <w:jc w:val="center"/>
        <w:rPr>
          <w:rFonts w:ascii="宋体" w:eastAsia="宋体" w:hAnsi="宋体" w:hint="eastAsia"/>
          <w:sz w:val="31"/>
        </w:rPr>
      </w:pPr>
      <w:r>
        <w:rPr>
          <w:rFonts w:ascii="Times New Roman" w:eastAsia="Times New Roman" w:hAnsi="Times New Roman"/>
          <w:sz w:val="31"/>
        </w:rPr>
        <w:t xml:space="preserve">CSTR </w:t>
      </w:r>
      <w:r>
        <w:rPr>
          <w:rFonts w:ascii="宋体" w:eastAsia="宋体" w:hAnsi="宋体" w:hint="eastAsia"/>
          <w:sz w:val="31"/>
        </w:rPr>
        <w:t>反应器×</w:t>
      </w:r>
      <w:r>
        <w:rPr>
          <w:rFonts w:ascii="Times New Roman" w:eastAsia="Times New Roman" w:hAnsi="Times New Roman"/>
          <w:sz w:val="31"/>
        </w:rPr>
        <w:t xml:space="preserve">2 </w:t>
      </w:r>
      <w:r>
        <w:rPr>
          <w:rFonts w:ascii="宋体" w:eastAsia="宋体" w:hAnsi="宋体" w:hint="eastAsia"/>
          <w:sz w:val="31"/>
        </w:rPr>
        <w:t>座</w:t>
      </w:r>
    </w:p>
    <w:p>
      <w:pPr>
        <w:spacing w:before="8"/>
        <w:ind w:left="6275" w:right="929" w:firstLine="0"/>
        <w:jc w:val="center"/>
        <w:rPr>
          <w:rFonts w:ascii="Times New Roman"/>
          <w:sz w:val="31"/>
        </w:rPr>
      </w:pPr>
      <w:r>
        <w:rPr>
          <w:rFonts w:ascii="Times New Roman"/>
          <w:sz w:val="31"/>
        </w:rPr>
        <w:t>2000m3</w:t>
      </w:r>
    </w:p>
    <w:p>
      <w:pPr>
        <w:spacing w:before="13"/>
        <w:ind w:left="6276" w:right="918" w:firstLine="0"/>
        <w:jc w:val="center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（</w:t>
      </w:r>
      <w:r>
        <w:rPr>
          <w:rFonts w:ascii="Times New Roman" w:eastAsia="Times New Roman" w:hAnsi="Times New Roman"/>
          <w:sz w:val="31"/>
        </w:rPr>
        <w:t>35</w:t>
      </w:r>
      <w:r>
        <w:rPr>
          <w:rFonts w:ascii="宋体" w:eastAsia="宋体" w:hAnsi="宋体" w:hint="eastAsia"/>
          <w:sz w:val="31"/>
        </w:rPr>
        <w:t>℃中温发酵）</w:t>
      </w: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spacing w:before="307"/>
        <w:ind w:left="0" w:right="0" w:firstLine="0"/>
        <w:jc w:val="righ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热水循环泵</w:t>
      </w:r>
    </w:p>
    <w:p>
      <w:pPr>
        <w:spacing w:before="102"/>
        <w:ind w:left="2088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Times New Roman" w:eastAsia="Times New Roman"/>
          <w:sz w:val="31"/>
        </w:rPr>
        <w:t>660m</w:t>
      </w:r>
      <w:r>
        <w:rPr>
          <w:rFonts w:ascii="Times New Roman" w:eastAsia="Times New Roman"/>
          <w:position w:val="-2"/>
          <w:sz w:val="29"/>
        </w:rPr>
        <w:t>3</w:t>
      </w:r>
      <w:r>
        <w:rPr>
          <w:rFonts w:ascii="宋体" w:eastAsia="宋体" w:hint="eastAsia"/>
          <w:sz w:val="31"/>
        </w:rPr>
        <w:t>柔性气柜</w:t>
      </w:r>
    </w:p>
    <w:p>
      <w:pPr>
        <w:pStyle w:val="BodyText"/>
        <w:spacing w:before="1"/>
        <w:rPr>
          <w:rFonts w:ascii="宋体"/>
          <w:sz w:val="45"/>
        </w:rPr>
      </w:pPr>
    </w:p>
    <w:p>
      <w:pPr>
        <w:spacing w:before="0"/>
        <w:ind w:left="1922" w:right="0" w:firstLine="0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pacing w:val="-1"/>
          <w:sz w:val="31"/>
        </w:rPr>
        <w:t>二次发酵池×</w:t>
      </w:r>
      <w:r>
        <w:rPr>
          <w:rFonts w:ascii="Times New Roman" w:eastAsia="Times New Roman" w:hAnsi="Times New Roman"/>
          <w:spacing w:val="-4"/>
          <w:sz w:val="31"/>
        </w:rPr>
        <w:t>2</w:t>
      </w:r>
      <w:r>
        <w:rPr>
          <w:rFonts w:ascii="Times New Roman" w:eastAsia="Times New Roman" w:hAnsi="Times New Roman"/>
          <w:spacing w:val="49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座</w:t>
      </w:r>
    </w:p>
    <w:p>
      <w:pPr>
        <w:spacing w:before="17"/>
        <w:ind w:left="1944" w:right="0" w:firstLine="0"/>
        <w:jc w:val="left"/>
        <w:rPr>
          <w:rFonts w:ascii="宋体" w:eastAsia="宋体" w:hAnsi="宋体" w:hint="eastAsia"/>
          <w:sz w:val="31"/>
        </w:rPr>
      </w:pPr>
      <w:r>
        <w:rPr>
          <w:rFonts w:ascii="Times New Roman" w:eastAsia="Times New Roman" w:hAnsi="Times New Roman"/>
          <w:sz w:val="31"/>
        </w:rPr>
        <w:t>1000m</w:t>
      </w:r>
      <w:r>
        <w:rPr>
          <w:rFonts w:ascii="Times New Roman" w:eastAsia="Times New Roman" w:hAnsi="Times New Roman"/>
          <w:position w:val="1"/>
          <w:sz w:val="29"/>
        </w:rPr>
        <w:t xml:space="preserve">3 </w:t>
      </w:r>
      <w:r>
        <w:rPr>
          <w:rFonts w:ascii="Times New Roman" w:eastAsia="Times New Roman" w:hAnsi="Times New Roman"/>
          <w:spacing w:val="12"/>
          <w:position w:val="1"/>
          <w:sz w:val="29"/>
        </w:rPr>
        <w:t xml:space="preserve"> </w:t>
      </w:r>
      <w:r>
        <w:rPr>
          <w:rFonts w:ascii="宋体" w:eastAsia="宋体" w:hAnsi="宋体" w:hint="eastAsia"/>
          <w:sz w:val="31"/>
        </w:rPr>
        <w:t>（</w:t>
      </w:r>
      <w:r>
        <w:rPr>
          <w:rFonts w:ascii="Times New Roman" w:eastAsia="Times New Roman" w:hAnsi="Times New Roman"/>
          <w:sz w:val="31"/>
        </w:rPr>
        <w:t>35</w:t>
      </w:r>
      <w:r>
        <w:rPr>
          <w:rFonts w:ascii="宋体" w:eastAsia="宋体" w:hAnsi="宋体" w:hint="eastAsia"/>
          <w:sz w:val="31"/>
        </w:rPr>
        <w:t>℃）</w:t>
      </w:r>
    </w:p>
    <w:p>
      <w:pPr>
        <w:tabs>
          <w:tab w:val="left" w:pos="3247"/>
        </w:tabs>
        <w:spacing w:before="91" w:line="172" w:lineRule="auto"/>
        <w:ind w:left="1314" w:right="149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position w:val="12"/>
          <w:sz w:val="31"/>
        </w:rPr>
        <w:t>热</w:t>
        <w:tab/>
      </w:r>
      <w:r>
        <w:rPr>
          <w:rFonts w:ascii="宋体" w:eastAsia="宋体" w:hint="eastAsia"/>
          <w:sz w:val="31"/>
        </w:rPr>
        <w:t>沼渣沼液储</w:t>
      </w:r>
      <w:r>
        <w:rPr>
          <w:rFonts w:ascii="宋体" w:eastAsia="宋体" w:hint="eastAsia"/>
          <w:spacing w:val="-17"/>
          <w:sz w:val="31"/>
        </w:rPr>
        <w:t>池</w:t>
      </w:r>
      <w:r>
        <w:rPr>
          <w:rFonts w:ascii="宋体" w:eastAsia="宋体" w:hint="eastAsia"/>
          <w:sz w:val="31"/>
        </w:rPr>
        <w:t>水</w:t>
      </w:r>
    </w:p>
    <w:p>
      <w:pPr>
        <w:tabs>
          <w:tab w:val="left" w:pos="3279"/>
        </w:tabs>
        <w:spacing w:before="88" w:line="201" w:lineRule="auto"/>
        <w:ind w:left="1314" w:right="118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position w:val="7"/>
          <w:sz w:val="31"/>
        </w:rPr>
        <w:t>循</w:t>
        <w:tab/>
      </w:r>
      <w:r>
        <w:rPr>
          <w:rFonts w:ascii="宋体" w:eastAsia="宋体" w:hint="eastAsia"/>
          <w:sz w:val="31"/>
        </w:rPr>
        <w:t>作为农肥出</w:t>
      </w:r>
      <w:r>
        <w:rPr>
          <w:rFonts w:ascii="宋体" w:eastAsia="宋体" w:hint="eastAsia"/>
          <w:spacing w:val="-18"/>
          <w:sz w:val="31"/>
        </w:rPr>
        <w:t>售</w:t>
      </w:r>
      <w:r>
        <w:rPr>
          <w:rFonts w:ascii="宋体" w:eastAsia="宋体" w:hint="eastAsia"/>
          <w:sz w:val="31"/>
        </w:rPr>
        <w:t>环</w:t>
      </w:r>
    </w:p>
    <w:p>
      <w:pPr>
        <w:spacing w:before="202" w:line="108" w:lineRule="auto"/>
        <w:ind w:left="600" w:right="3429" w:firstLine="71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泵余热锅炉</w:t>
      </w:r>
    </w:p>
    <w:p>
      <w:pPr>
        <w:spacing w:after="0" w:line="108" w:lineRule="auto"/>
        <w:jc w:val="left"/>
        <w:rPr>
          <w:rFonts w:ascii="宋体" w:eastAsia="宋体" w:hint="eastAsia"/>
          <w:sz w:val="31"/>
        </w:rPr>
        <w:sectPr>
          <w:type w:val="continuous"/>
          <w:pgSz w:w="18360" w:h="23760"/>
          <w:pgMar w:top="760" w:right="1380" w:bottom="280" w:left="1760" w:header="708" w:footer="708"/>
          <w:pgNumType w:start="14"/>
          <w:cols w:num="2" w:space="708" w:equalWidth="0">
            <w:col w:w="9881" w:space="40"/>
            <w:col w:w="5299" w:space="0"/>
          </w:cols>
        </w:sectPr>
      </w:pPr>
    </w:p>
    <w:p>
      <w:pPr>
        <w:pStyle w:val="BodyText"/>
        <w:spacing w:before="5"/>
        <w:rPr>
          <w:rFonts w:ascii="宋体"/>
          <w:sz w:val="19"/>
        </w:rPr>
      </w:pPr>
      <w:r>
        <w:pict>
          <v:group id="_x0000_s1056" style="width:918pt;height:903pt;margin-top:0;margin-left:0;mso-position-horizontal-relative:page;mso-position-vertical-relative:page;position:absolute;z-index:-251645952" coordorigin="0,0" coordsize="18360,18060">
            <v:shape id="_x0000_s1057" type="#_x0000_t75" style="width:18360;height:18060;position:absolute" stroked="f">
              <v:imagedata r:id="rId7" o:title=""/>
            </v:shape>
            <v:shape id="_x0000_s1058" type="#_x0000_t75" style="width:13040;height:7840;left:5320;position:absolute;top:2680" stroked="f">
              <v:imagedata r:id="rId8" o:title=""/>
            </v:shape>
            <v:shape id="_x0000_s1059" type="#_x0000_t75" style="width:1740;height:200;left:3480;position:absolute;top:8820" stroked="f">
              <v:imagedata r:id="rId9" o:title=""/>
            </v:shape>
            <v:shape id="_x0000_s1060" type="#_x0000_t75" style="width:1740;height:200;left:3460;position:absolute;top:9580" stroked="f">
              <v:imagedata r:id="rId10" o:title=""/>
            </v:shape>
            <v:shape id="_x0000_s1061" type="#_x0000_t75" style="width:1740;height:200;left:3480;position:absolute;top:10300" stroked="f">
              <v:imagedata r:id="rId11" o:title=""/>
            </v:shape>
          </v:group>
        </w:pict>
      </w:r>
    </w:p>
    <w:p>
      <w:pPr>
        <w:spacing w:before="63" w:line="432" w:lineRule="auto"/>
        <w:ind w:left="3809" w:right="10119" w:firstLine="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粪污管道沼气管道热水管道</w:t>
      </w:r>
    </w:p>
    <w:p>
      <w:pPr>
        <w:pStyle w:val="BodyText"/>
        <w:rPr>
          <w:rFonts w:ascii="宋体"/>
          <w:sz w:val="26"/>
        </w:rPr>
      </w:pPr>
    </w:p>
    <w:p>
      <w:pPr>
        <w:tabs>
          <w:tab w:val="left" w:pos="11403"/>
        </w:tabs>
        <w:spacing w:before="26"/>
        <w:ind w:left="9851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>图</w:t>
      </w:r>
      <w:r>
        <w:rPr>
          <w:rFonts w:ascii="宋体" w:eastAsia="宋体" w:hint="eastAsia"/>
          <w:b/>
          <w:spacing w:val="-71"/>
          <w:sz w:val="31"/>
        </w:rPr>
        <w:t xml:space="preserve"> </w:t>
      </w:r>
      <w:r>
        <w:rPr>
          <w:b/>
          <w:sz w:val="31"/>
        </w:rPr>
        <w:t>4-1</w:t>
        <w:tab/>
      </w:r>
      <w:r>
        <w:rPr>
          <w:rFonts w:ascii="宋体" w:eastAsia="宋体" w:hint="eastAsia"/>
          <w:b/>
          <w:sz w:val="31"/>
        </w:rPr>
        <w:t>工艺流程图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5"/>
        <w:rPr>
          <w:rFonts w:ascii="宋体"/>
          <w:b/>
          <w:sz w:val="18"/>
        </w:rPr>
      </w:pPr>
    </w:p>
    <w:p>
      <w:pPr>
        <w:spacing w:before="96"/>
        <w:ind w:left="374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sz w:val="27"/>
        </w:rPr>
        <w:t>.</w:t>
      </w:r>
      <w:r>
        <w:rPr>
          <w:rFonts w:ascii="宋体" w:eastAsia="宋体" w:hint="eastAsia"/>
          <w:sz w:val="27"/>
        </w:rPr>
        <w:t>专业资料</w:t>
      </w:r>
      <w:r>
        <w:rPr>
          <w:rFonts w:ascii="Times New Roman" w:eastAsia="Times New Roman"/>
          <w:sz w:val="27"/>
        </w:rPr>
        <w:t>.</w:t>
      </w:r>
    </w:p>
    <w:p>
      <w:pPr>
        <w:spacing w:after="0"/>
        <w:jc w:val="left"/>
        <w:rPr>
          <w:rFonts w:ascii="Times New Roman" w:eastAsia="Times New Roman"/>
          <w:sz w:val="27"/>
        </w:rPr>
        <w:sectPr>
          <w:type w:val="continuous"/>
          <w:pgSz w:w="18360" w:h="23760"/>
          <w:pgMar w:top="760" w:right="1380" w:bottom="280" w:left="1760" w:header="708" w:footer="708"/>
          <w:pgNumType w:start="15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23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2"/>
        <w:rPr>
          <w:rFonts w:ascii="Arial"/>
          <w:sz w:val="23"/>
        </w:rPr>
      </w:pPr>
    </w:p>
    <w:p>
      <w:pPr>
        <w:pStyle w:val="ListParagraph"/>
        <w:numPr>
          <w:ilvl w:val="0"/>
          <w:numId w:val="30"/>
        </w:numPr>
        <w:tabs>
          <w:tab w:val="left" w:pos="6770"/>
        </w:tabs>
        <w:spacing w:before="0" w:after="0" w:line="240" w:lineRule="auto"/>
        <w:ind w:left="6769" w:right="0" w:hanging="379"/>
        <w:jc w:val="left"/>
        <w:rPr>
          <w:b/>
          <w:sz w:val="29"/>
        </w:rPr>
      </w:pPr>
      <w:r>
        <w:rPr>
          <w:b/>
          <w:sz w:val="29"/>
        </w:rPr>
        <w:t>结构设计</w:t>
      </w:r>
    </w:p>
    <w:p>
      <w:pPr>
        <w:pStyle w:val="Heading2"/>
        <w:numPr>
          <w:ilvl w:val="1"/>
          <w:numId w:val="15"/>
        </w:numPr>
        <w:tabs>
          <w:tab w:val="left" w:pos="1539"/>
        </w:tabs>
        <w:spacing w:before="437" w:after="0" w:line="240" w:lineRule="auto"/>
        <w:ind w:left="1538" w:right="0" w:hanging="602"/>
        <w:jc w:val="both"/>
      </w:pPr>
      <w:bookmarkStart w:id="11" w:name="_TOC_250010"/>
      <w:bookmarkEnd w:id="11"/>
      <w:r>
        <w:t>地基处理</w:t>
      </w:r>
    </w:p>
    <w:p>
      <w:pPr>
        <w:pStyle w:val="BodyText"/>
        <w:spacing w:before="280" w:line="336" w:lineRule="auto"/>
        <w:ind w:left="1297" w:right="1318" w:firstLine="720"/>
        <w:jc w:val="both"/>
      </w:pPr>
      <w:r>
        <w:t>工程拟建场地无特殊地基处理的需要</w:t>
      </w:r>
      <w:r>
        <w:rPr>
          <w:rFonts w:ascii="Malgun Gothic" w:eastAsia="Malgun Gothic" w:hint="eastAsia"/>
        </w:rPr>
        <w:t>，</w:t>
      </w:r>
      <w:r>
        <w:t>如需处理由企业负责地基处理</w:t>
      </w:r>
      <w:r>
        <w:rPr>
          <w:rFonts w:ascii="Malgun Gothic" w:eastAsia="Malgun Gothic" w:hint="eastAsia"/>
        </w:rPr>
        <w:t>。</w:t>
      </w:r>
      <w:r>
        <w:t>本方案在土建报价中未包括特殊地基处理费用</w:t>
      </w:r>
      <w:r>
        <w:rPr>
          <w:rFonts w:ascii="Malgun Gothic" w:eastAsia="Malgun Gothic" w:hint="eastAsia"/>
        </w:rPr>
        <w:t>。</w:t>
      </w:r>
      <w:r>
        <w:t>如果无特殊或不良地基</w:t>
      </w:r>
      <w:r>
        <w:rPr>
          <w:rFonts w:ascii="Malgun Gothic" w:eastAsia="Malgun Gothic" w:hint="eastAsia"/>
        </w:rPr>
        <w:t>，</w:t>
      </w:r>
      <w:r>
        <w:t>按常规做法可采用级配砂石换土</w:t>
      </w:r>
      <w:r>
        <w:rPr>
          <w:rFonts w:ascii="Malgun Gothic" w:eastAsia="Malgun Gothic" w:hint="eastAsia"/>
        </w:rPr>
        <w:t>、</w:t>
      </w:r>
      <w:r>
        <w:t>压实挤密</w:t>
      </w:r>
      <w:r>
        <w:rPr>
          <w:rFonts w:ascii="Malgun Gothic" w:eastAsia="Malgun Gothic" w:hint="eastAsia"/>
        </w:rPr>
        <w:t>，</w:t>
      </w:r>
      <w:r>
        <w:t>以改变地质状况</w:t>
      </w:r>
      <w:r>
        <w:rPr>
          <w:rFonts w:ascii="Malgun Gothic" w:eastAsia="Malgun Gothic" w:hint="eastAsia"/>
        </w:rPr>
        <w:t>，</w:t>
      </w:r>
      <w:r>
        <w:t>提高地基承载力</w:t>
      </w:r>
      <w:r>
        <w:rPr>
          <w:rFonts w:ascii="Malgun Gothic" w:eastAsia="Malgun Gothic" w:hint="eastAsia"/>
        </w:rPr>
        <w:t>。</w:t>
      </w:r>
      <w:r>
        <w:t>另外</w:t>
      </w:r>
      <w:r>
        <w:rPr>
          <w:rFonts w:ascii="Malgun Gothic" w:eastAsia="Malgun Gothic" w:hint="eastAsia"/>
        </w:rPr>
        <w:t>，</w:t>
      </w:r>
      <w:r>
        <w:t>如果地下水水位较高</w:t>
      </w:r>
      <w:r>
        <w:rPr>
          <w:rFonts w:ascii="Malgun Gothic" w:eastAsia="Malgun Gothic" w:hint="eastAsia"/>
        </w:rPr>
        <w:t>，</w:t>
      </w:r>
      <w:r>
        <w:t>施工时可采用井点降水</w:t>
      </w:r>
      <w:r>
        <w:rPr>
          <w:rFonts w:ascii="Malgun Gothic" w:eastAsia="Malgun Gothic" w:hint="eastAsia"/>
        </w:rPr>
        <w:t>（</w:t>
      </w:r>
      <w:r>
        <w:t>此时报价按常规地基处理来报</w:t>
      </w:r>
    </w:p>
    <w:p>
      <w:pPr>
        <w:pStyle w:val="BodyText"/>
        <w:spacing w:before="3"/>
        <w:ind w:left="1297"/>
        <w:rPr>
          <w:rFonts w:ascii="Malgun Gothic" w:eastAsia="Malgun Gothic" w:hint="eastAsia"/>
        </w:rPr>
      </w:pPr>
      <w:r>
        <w:t>价</w:t>
      </w:r>
      <w:r>
        <w:rPr>
          <w:rFonts w:ascii="Malgun Gothic" w:eastAsia="Malgun Gothic" w:hint="eastAsia"/>
        </w:rPr>
        <w:t>）。</w:t>
      </w:r>
    </w:p>
    <w:p>
      <w:pPr>
        <w:pStyle w:val="Heading2"/>
        <w:numPr>
          <w:ilvl w:val="1"/>
          <w:numId w:val="15"/>
        </w:numPr>
        <w:tabs>
          <w:tab w:val="left" w:pos="1539"/>
        </w:tabs>
        <w:spacing w:before="258" w:after="0" w:line="240" w:lineRule="auto"/>
        <w:ind w:left="1538" w:right="0" w:hanging="602"/>
        <w:jc w:val="left"/>
      </w:pPr>
      <w:bookmarkStart w:id="12" w:name="_TOC_250009"/>
      <w:bookmarkEnd w:id="12"/>
      <w:r>
        <w:t>结构选型及措施</w:t>
      </w:r>
    </w:p>
    <w:p>
      <w:pPr>
        <w:pStyle w:val="BodyText"/>
        <w:spacing w:before="276" w:line="336" w:lineRule="auto"/>
        <w:ind w:left="1297" w:right="1095" w:firstLine="720"/>
        <w:rPr>
          <w:rFonts w:ascii="Malgun Gothic" w:eastAsia="Malgun Gothic" w:hint="eastAsia"/>
        </w:rPr>
      </w:pPr>
      <w:r>
        <w:t>水池一律采用</w:t>
      </w:r>
      <w:r>
        <w:rPr>
          <w:rFonts w:ascii="Malgun Gothic" w:eastAsia="Malgun Gothic" w:hint="eastAsia"/>
        </w:rPr>
        <w:t>C30</w:t>
      </w:r>
      <w:r>
        <w:t>抗渗混凝土加膨胀剂</w:t>
      </w:r>
      <w:r>
        <w:rPr>
          <w:rFonts w:ascii="Malgun Gothic" w:eastAsia="Malgun Gothic" w:hint="eastAsia"/>
        </w:rPr>
        <w:t>UEA，</w:t>
      </w:r>
      <w:r>
        <w:t>采用钢制止水带进行止水处理</w:t>
      </w:r>
      <w:r>
        <w:rPr>
          <w:rFonts w:ascii="Malgun Gothic" w:eastAsia="Malgun Gothic" w:hint="eastAsia"/>
        </w:rPr>
        <w:t>。</w:t>
      </w:r>
      <w:r>
        <w:t>辅助生产建筑物均采用砖混结构形式</w:t>
      </w:r>
      <w:r>
        <w:rPr>
          <w:rFonts w:ascii="Malgun Gothic" w:eastAsia="Malgun Gothic" w:hint="eastAsia"/>
        </w:rPr>
        <w:t>，</w:t>
      </w:r>
      <w:r>
        <w:t>砖墙承重</w:t>
      </w:r>
      <w:r>
        <w:rPr>
          <w:rFonts w:ascii="Malgun Gothic" w:eastAsia="Malgun Gothic" w:hint="eastAsia"/>
        </w:rPr>
        <w:t>，</w:t>
      </w:r>
      <w:r>
        <w:t>适当设置构造柱和圈梁</w:t>
      </w:r>
      <w:r>
        <w:rPr>
          <w:rFonts w:ascii="Malgun Gothic" w:eastAsia="Malgun Gothic" w:hint="eastAsia"/>
        </w:rPr>
        <w:t>，</w:t>
      </w:r>
      <w:r>
        <w:t>加强建筑物的刚度以利抗震</w:t>
      </w:r>
      <w:r>
        <w:rPr>
          <w:rFonts w:ascii="Malgun Gothic" w:eastAsia="Malgun Gothic" w:hint="eastAsia"/>
        </w:rPr>
        <w:t>，</w:t>
      </w:r>
      <w:r>
        <w:t>基础采用钢筋混凝土基础</w:t>
      </w:r>
      <w:r>
        <w:rPr>
          <w:rFonts w:ascii="Malgun Gothic" w:eastAsia="Malgun Gothic" w:hint="eastAsia"/>
        </w:rPr>
        <w:t>，</w:t>
      </w:r>
      <w:r>
        <w:t>屋面采用预制钢混凝土空心板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6" w:line="336" w:lineRule="auto"/>
        <w:ind w:left="1297" w:right="1319" w:firstLine="720"/>
        <w:rPr>
          <w:rFonts w:ascii="Malgun Gothic" w:eastAsia="Malgun Gothic" w:hint="eastAsia"/>
        </w:rPr>
      </w:pPr>
      <w:r>
        <w:t>本工程中的调粪池</w:t>
      </w:r>
      <w:r>
        <w:rPr>
          <w:rFonts w:ascii="Malgun Gothic" w:eastAsia="Malgun Gothic" w:hint="eastAsia"/>
        </w:rPr>
        <w:t>、</w:t>
      </w:r>
      <w:r>
        <w:t>反应器</w:t>
      </w:r>
      <w:r>
        <w:rPr>
          <w:rFonts w:ascii="Malgun Gothic" w:eastAsia="Malgun Gothic" w:hint="eastAsia"/>
        </w:rPr>
        <w:t>、</w:t>
      </w:r>
      <w:r>
        <w:t>二次发酵罐采用钢筋混凝土结构</w:t>
      </w:r>
      <w:r>
        <w:rPr>
          <w:rFonts w:ascii="Malgun Gothic" w:eastAsia="Malgun Gothic" w:hint="eastAsia"/>
        </w:rPr>
        <w:t>，</w:t>
      </w:r>
      <w:r>
        <w:t>结构设计按工艺及其它专业要求</w:t>
      </w:r>
      <w:r>
        <w:rPr>
          <w:rFonts w:ascii="Malgun Gothic" w:eastAsia="Malgun Gothic" w:hint="eastAsia"/>
        </w:rPr>
        <w:t>，</w:t>
      </w:r>
      <w:r>
        <w:t>遵循国家现行有关规范制定结构方案及其结构设计</w:t>
      </w:r>
      <w:r>
        <w:rPr>
          <w:rFonts w:ascii="Malgun Gothic" w:eastAsia="Malgun Gothic" w:hint="eastAsia"/>
        </w:rPr>
        <w:t>。</w:t>
      </w:r>
    </w:p>
    <w:p>
      <w:pPr>
        <w:pStyle w:val="Heading1"/>
        <w:numPr>
          <w:ilvl w:val="0"/>
          <w:numId w:val="30"/>
        </w:numPr>
        <w:tabs>
          <w:tab w:val="left" w:pos="6831"/>
        </w:tabs>
        <w:spacing w:before="0" w:after="0" w:line="703" w:lineRule="exact"/>
        <w:ind w:left="6831" w:right="0" w:hanging="378"/>
        <w:jc w:val="left"/>
      </w:pPr>
      <w:bookmarkStart w:id="13" w:name="_TOC_250008"/>
      <w:bookmarkEnd w:id="13"/>
      <w:r>
        <w:t>结构设计</w:t>
      </w:r>
    </w:p>
    <w:p>
      <w:pPr>
        <w:pStyle w:val="Heading2"/>
        <w:numPr>
          <w:ilvl w:val="1"/>
          <w:numId w:val="14"/>
        </w:numPr>
        <w:tabs>
          <w:tab w:val="left" w:pos="1629"/>
        </w:tabs>
        <w:spacing w:before="376" w:after="0" w:line="240" w:lineRule="auto"/>
        <w:ind w:left="1628" w:right="0" w:hanging="692"/>
        <w:jc w:val="left"/>
      </w:pPr>
      <w:bookmarkStart w:id="14" w:name="_TOC_250007"/>
      <w:bookmarkEnd w:id="14"/>
      <w:r>
        <w:t>总体布置</w:t>
      </w:r>
    </w:p>
    <w:p>
      <w:pPr>
        <w:pStyle w:val="ListParagraph"/>
        <w:numPr>
          <w:ilvl w:val="2"/>
          <w:numId w:val="14"/>
        </w:numPr>
        <w:tabs>
          <w:tab w:val="left" w:pos="1870"/>
        </w:tabs>
        <w:spacing w:before="270" w:after="0" w:line="240" w:lineRule="auto"/>
        <w:ind w:left="1869" w:right="0" w:hanging="933"/>
        <w:jc w:val="left"/>
        <w:rPr>
          <w:sz w:val="36"/>
        </w:rPr>
      </w:pPr>
      <w:r>
        <w:rPr>
          <w:sz w:val="36"/>
        </w:rPr>
        <w:t>工程选址</w:t>
      </w:r>
    </w:p>
    <w:p>
      <w:pPr>
        <w:pStyle w:val="BodyText"/>
        <w:tabs>
          <w:tab w:val="left" w:pos="10863"/>
        </w:tabs>
        <w:spacing w:before="276" w:line="336" w:lineRule="auto"/>
        <w:ind w:left="937" w:right="1107" w:firstLine="719"/>
        <w:rPr>
          <w:rFonts w:ascii="Malgun Gothic" w:eastAsia="Malgun Gothic" w:hint="eastAsia"/>
        </w:rPr>
      </w:pPr>
      <w:r>
        <w:t>沼气工程的选址应符合养殖场整个生产系统的规划和要求</w:t>
        <w:tab/>
      </w:r>
      <w:r>
        <w:rPr>
          <w:rFonts w:ascii="Malgun Gothic" w:eastAsia="Malgun Gothic" w:hint="eastAsia"/>
          <w:spacing w:val="7"/>
        </w:rPr>
        <w:t>，</w:t>
      </w:r>
      <w:r>
        <w:t>并应根据以下因</w:t>
      </w:r>
      <w:r>
        <w:rPr>
          <w:spacing w:val="-17"/>
        </w:rPr>
        <w:t>素</w:t>
      </w:r>
      <w:r>
        <w:t>综合考虑确定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3"/>
          <w:numId w:val="14"/>
        </w:numPr>
        <w:tabs>
          <w:tab w:val="left" w:pos="2755"/>
        </w:tabs>
        <w:spacing w:before="0" w:after="0" w:line="659" w:lineRule="exact"/>
        <w:ind w:left="2755" w:right="0" w:hanging="10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在畜禽养殖场和附近居民区主导风向的下风侧</w:t>
      </w:r>
      <w:r>
        <w:rPr>
          <w:rFonts w:ascii="Malgun Gothic" w:eastAsia="Malgun Gothic" w:hint="eastAsia"/>
          <w:sz w:val="36"/>
        </w:rPr>
        <w:t>；</w:t>
      </w:r>
    </w:p>
    <w:p>
      <w:pPr>
        <w:pStyle w:val="BodyText"/>
        <w:rPr>
          <w:rFonts w:ascii="Malgun Gothic"/>
          <w:sz w:val="48"/>
        </w:rPr>
      </w:pPr>
    </w:p>
    <w:p>
      <w:pPr>
        <w:pStyle w:val="BodyText"/>
        <w:spacing w:before="3"/>
        <w:rPr>
          <w:rFonts w:ascii="Malgun Gothic"/>
          <w:sz w:val="37"/>
        </w:rPr>
      </w:pPr>
    </w:p>
    <w:p>
      <w:pPr>
        <w:spacing w:before="1"/>
        <w:ind w:left="937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  <w:sectPr>
          <w:pgSz w:w="18360" w:h="23760"/>
          <w:pgMar w:top="760" w:right="1380" w:bottom="280" w:left="1760" w:header="708" w:footer="708"/>
          <w:pgNumType w:start="16"/>
          <w:cols w:space="708"/>
        </w:sectPr>
      </w:pPr>
    </w:p>
    <w:p>
      <w:pPr>
        <w:tabs>
          <w:tab w:val="left" w:pos="2158"/>
          <w:tab w:val="left" w:pos="4451"/>
        </w:tabs>
        <w:spacing w:before="86"/>
        <w:ind w:left="0" w:right="123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658600" cy="148971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..</w:t>
        <w:tab/>
        <w:t>..</w:t>
        <w:tab/>
        <w:t>..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ListParagraph"/>
        <w:numPr>
          <w:ilvl w:val="3"/>
          <w:numId w:val="31"/>
        </w:numPr>
        <w:tabs>
          <w:tab w:val="left" w:pos="2755"/>
        </w:tabs>
        <w:spacing w:before="0" w:after="0" w:line="240" w:lineRule="auto"/>
        <w:ind w:left="2755" w:right="0" w:hanging="10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在畜禽养殖场的标高较低处</w:t>
      </w:r>
      <w:r>
        <w:rPr>
          <w:rFonts w:ascii="Malgun Gothic" w:eastAsia="Malgun Gothic" w:hint="eastAsia"/>
          <w:sz w:val="36"/>
        </w:rPr>
        <w:t>；</w:t>
      </w:r>
    </w:p>
    <w:p>
      <w:pPr>
        <w:pStyle w:val="ListParagraph"/>
        <w:numPr>
          <w:ilvl w:val="3"/>
          <w:numId w:val="31"/>
        </w:numPr>
        <w:tabs>
          <w:tab w:val="left" w:pos="2755"/>
        </w:tabs>
        <w:spacing w:before="265" w:after="0" w:line="240" w:lineRule="auto"/>
        <w:ind w:left="2755" w:right="0" w:hanging="10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有较好的工程地质条件</w:t>
      </w:r>
      <w:r>
        <w:rPr>
          <w:rFonts w:ascii="Malgun Gothic" w:eastAsia="Malgun Gothic" w:hint="eastAsia"/>
          <w:sz w:val="36"/>
        </w:rPr>
        <w:t>；</w:t>
      </w:r>
    </w:p>
    <w:p>
      <w:pPr>
        <w:pStyle w:val="ListParagraph"/>
        <w:numPr>
          <w:ilvl w:val="3"/>
          <w:numId w:val="31"/>
        </w:numPr>
        <w:tabs>
          <w:tab w:val="left" w:pos="2755"/>
        </w:tabs>
        <w:spacing w:before="269" w:after="0" w:line="240" w:lineRule="auto"/>
        <w:ind w:left="2755" w:right="0" w:hanging="10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满足防疫要求</w:t>
      </w:r>
      <w:r>
        <w:rPr>
          <w:rFonts w:ascii="Malgun Gothic" w:eastAsia="Malgun Gothic" w:hint="eastAsia"/>
          <w:sz w:val="36"/>
        </w:rPr>
        <w:t>；</w:t>
      </w:r>
    </w:p>
    <w:p>
      <w:pPr>
        <w:pStyle w:val="ListParagraph"/>
        <w:numPr>
          <w:ilvl w:val="3"/>
          <w:numId w:val="31"/>
        </w:numPr>
        <w:tabs>
          <w:tab w:val="left" w:pos="2755"/>
        </w:tabs>
        <w:spacing w:before="265" w:after="0" w:line="240" w:lineRule="auto"/>
        <w:ind w:left="2755" w:right="0" w:hanging="10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有方便的交通运输和供水供电条件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2"/>
          <w:numId w:val="31"/>
        </w:numPr>
        <w:tabs>
          <w:tab w:val="left" w:pos="1870"/>
        </w:tabs>
        <w:spacing w:before="269" w:after="0" w:line="240" w:lineRule="auto"/>
        <w:ind w:left="1869" w:right="0" w:hanging="933"/>
        <w:jc w:val="left"/>
        <w:rPr>
          <w:sz w:val="36"/>
        </w:rPr>
      </w:pPr>
      <w:r>
        <w:rPr>
          <w:sz w:val="36"/>
        </w:rPr>
        <w:t>总体布置求</w:t>
      </w:r>
    </w:p>
    <w:p>
      <w:pPr>
        <w:pStyle w:val="ListParagraph"/>
        <w:numPr>
          <w:ilvl w:val="0"/>
          <w:numId w:val="13"/>
        </w:numPr>
        <w:tabs>
          <w:tab w:val="left" w:pos="2619"/>
          <w:tab w:val="left" w:pos="13071"/>
        </w:tabs>
        <w:spacing w:before="265" w:after="0" w:line="340" w:lineRule="auto"/>
        <w:ind w:left="937" w:right="1055" w:firstLine="71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沼气工程的总体布置应考虑到养殖场远期生产规模扩展的可能性</w:t>
        <w:tab/>
      </w:r>
      <w:r>
        <w:rPr>
          <w:rFonts w:ascii="Malgun Gothic" w:eastAsia="Malgun Gothic" w:hint="eastAsia"/>
          <w:spacing w:val="10"/>
          <w:sz w:val="36"/>
        </w:rPr>
        <w:t>，</w:t>
      </w:r>
      <w:r>
        <w:rPr>
          <w:sz w:val="36"/>
        </w:rPr>
        <w:t>如</w:t>
      </w:r>
      <w:r>
        <w:rPr>
          <w:spacing w:val="-16"/>
          <w:sz w:val="36"/>
        </w:rPr>
        <w:t>必</w:t>
      </w:r>
      <w:r>
        <w:rPr>
          <w:sz w:val="36"/>
        </w:rPr>
        <w:t>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应依此作出分期建设方案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2619"/>
          <w:tab w:val="left" w:pos="8588"/>
        </w:tabs>
        <w:spacing w:before="0" w:after="0" w:line="645" w:lineRule="exact"/>
        <w:ind w:left="2618" w:right="0" w:hanging="962"/>
        <w:jc w:val="left"/>
        <w:rPr>
          <w:sz w:val="36"/>
        </w:rPr>
      </w:pPr>
      <w:r>
        <w:rPr>
          <w:sz w:val="36"/>
        </w:rPr>
        <w:t>总体布置应满足沼气工程工艺的要求</w:t>
        <w:tab/>
      </w:r>
      <w:r>
        <w:rPr>
          <w:rFonts w:ascii="Malgun Gothic" w:eastAsia="Malgun Gothic" w:hint="eastAsia"/>
          <w:spacing w:val="14"/>
          <w:sz w:val="36"/>
        </w:rPr>
        <w:t>，</w:t>
      </w:r>
      <w:r>
        <w:rPr>
          <w:sz w:val="36"/>
        </w:rPr>
        <w:t>布置紧</w:t>
      </w:r>
      <w:r>
        <w:rPr>
          <w:spacing w:val="53"/>
          <w:sz w:val="36"/>
        </w:rPr>
        <w:t>凑</w:t>
      </w:r>
      <w:r>
        <w:rPr>
          <w:rFonts w:ascii="Malgun Gothic" w:eastAsia="Malgun Gothic" w:hint="eastAsia"/>
          <w:spacing w:val="14"/>
          <w:sz w:val="36"/>
        </w:rPr>
        <w:t>，</w:t>
      </w:r>
      <w:r>
        <w:rPr>
          <w:sz w:val="36"/>
        </w:rPr>
        <w:t>便于施</w:t>
      </w:r>
      <w:r>
        <w:rPr>
          <w:spacing w:val="50"/>
          <w:sz w:val="36"/>
        </w:rPr>
        <w:t>工</w:t>
      </w:r>
      <w:r>
        <w:rPr>
          <w:rFonts w:ascii="Malgun Gothic" w:eastAsia="Malgun Gothic" w:hint="eastAsia"/>
          <w:spacing w:val="14"/>
          <w:sz w:val="36"/>
        </w:rPr>
        <w:t>、</w:t>
      </w:r>
      <w:r>
        <w:rPr>
          <w:sz w:val="36"/>
        </w:rPr>
        <w:t>运行和管</w:t>
      </w:r>
    </w:p>
    <w:p>
      <w:pPr>
        <w:pStyle w:val="BodyText"/>
        <w:spacing w:before="276"/>
        <w:ind w:left="937"/>
        <w:rPr>
          <w:rFonts w:ascii="Malgun Gothic" w:eastAsia="Malgun Gothic" w:hint="eastAsia"/>
        </w:rPr>
      </w:pPr>
      <w:r>
        <w:t>理</w:t>
      </w:r>
      <w:r>
        <w:rPr>
          <w:rFonts w:ascii="Malgun Gothic" w:eastAsia="Malgun Gothic" w:hint="eastAsia"/>
        </w:rPr>
        <w:t>。</w:t>
      </w:r>
      <w:r>
        <w:t>应结合地形</w:t>
      </w:r>
      <w:r>
        <w:rPr>
          <w:rFonts w:ascii="Malgun Gothic" w:eastAsia="Malgun Gothic" w:hint="eastAsia"/>
        </w:rPr>
        <w:t>、</w:t>
      </w:r>
      <w:r>
        <w:t>气象和地质条件等因素</w:t>
      </w:r>
      <w:r>
        <w:rPr>
          <w:rFonts w:ascii="Malgun Gothic" w:eastAsia="Malgun Gothic" w:hint="eastAsia"/>
        </w:rPr>
        <w:t>，</w:t>
      </w:r>
      <w:r>
        <w:t>经过技术经济分析确定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2586"/>
        </w:tabs>
        <w:spacing w:before="258" w:after="0" w:line="338" w:lineRule="auto"/>
        <w:ind w:left="937" w:right="1049" w:firstLine="719"/>
        <w:jc w:val="left"/>
        <w:rPr>
          <w:rFonts w:ascii="Malgun Gothic" w:eastAsia="Malgun Gothic" w:hint="eastAsia"/>
          <w:sz w:val="36"/>
        </w:rPr>
      </w:pPr>
      <w:r>
        <w:rPr>
          <w:spacing w:val="1"/>
          <w:sz w:val="36"/>
        </w:rPr>
        <w:t>竖向设计应充分利用原有地形坡度</w:t>
      </w:r>
      <w:r>
        <w:rPr>
          <w:rFonts w:ascii="Malgun Gothic" w:eastAsia="Malgun Gothic" w:hint="eastAsia"/>
          <w:spacing w:val="3"/>
          <w:sz w:val="36"/>
        </w:rPr>
        <w:t>，</w:t>
      </w:r>
      <w:r>
        <w:rPr>
          <w:spacing w:val="2"/>
          <w:sz w:val="36"/>
        </w:rPr>
        <w:t>并达到排水畅通</w:t>
      </w:r>
      <w:r>
        <w:rPr>
          <w:rFonts w:ascii="Malgun Gothic" w:eastAsia="Malgun Gothic" w:hint="eastAsia"/>
          <w:spacing w:val="3"/>
          <w:sz w:val="36"/>
        </w:rPr>
        <w:t>、</w:t>
      </w:r>
      <w:r>
        <w:rPr>
          <w:spacing w:val="1"/>
          <w:sz w:val="36"/>
        </w:rPr>
        <w:t>降低能耗</w:t>
      </w:r>
      <w:r>
        <w:rPr>
          <w:rFonts w:ascii="Malgun Gothic" w:eastAsia="Malgun Gothic" w:hint="eastAsia"/>
          <w:spacing w:val="3"/>
          <w:sz w:val="36"/>
        </w:rPr>
        <w:t>、</w:t>
      </w:r>
      <w:r>
        <w:rPr>
          <w:spacing w:val="-5"/>
          <w:sz w:val="36"/>
        </w:rPr>
        <w:t>土方平</w:t>
      </w:r>
      <w:r>
        <w:rPr>
          <w:sz w:val="36"/>
        </w:rPr>
        <w:t>衡的要求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2586"/>
        </w:tabs>
        <w:spacing w:before="0" w:after="0" w:line="338" w:lineRule="auto"/>
        <w:ind w:left="937" w:right="1052" w:firstLine="719"/>
        <w:jc w:val="left"/>
        <w:rPr>
          <w:rFonts w:ascii="Malgun Gothic" w:eastAsia="Malgun Gothic" w:hint="eastAsia"/>
          <w:sz w:val="36"/>
        </w:rPr>
      </w:pPr>
      <w:r>
        <w:rPr>
          <w:spacing w:val="2"/>
          <w:sz w:val="36"/>
        </w:rPr>
        <w:t>构筑物的间距应紧凑</w:t>
      </w:r>
      <w:r>
        <w:rPr>
          <w:rFonts w:ascii="Malgun Gothic" w:eastAsia="Malgun Gothic" w:hint="eastAsia"/>
          <w:sz w:val="36"/>
        </w:rPr>
        <w:t>、</w:t>
      </w:r>
      <w:r>
        <w:rPr>
          <w:spacing w:val="3"/>
          <w:sz w:val="36"/>
        </w:rPr>
        <w:t>合理</w:t>
      </w:r>
      <w:r>
        <w:rPr>
          <w:rFonts w:ascii="Malgun Gothic" w:eastAsia="Malgun Gothic" w:hint="eastAsia"/>
          <w:sz w:val="36"/>
        </w:rPr>
        <w:t>，</w:t>
      </w:r>
      <w:r>
        <w:rPr>
          <w:spacing w:val="2"/>
          <w:sz w:val="36"/>
        </w:rPr>
        <w:t>并应满足施工</w:t>
      </w:r>
      <w:r>
        <w:rPr>
          <w:rFonts w:ascii="Malgun Gothic" w:eastAsia="Malgun Gothic" w:hint="eastAsia"/>
          <w:sz w:val="36"/>
        </w:rPr>
        <w:t>、</w:t>
      </w:r>
      <w:r>
        <w:rPr>
          <w:spacing w:val="2"/>
          <w:sz w:val="36"/>
        </w:rPr>
        <w:t>设备安装与维护</w:t>
      </w:r>
      <w:r>
        <w:rPr>
          <w:rFonts w:ascii="Malgun Gothic" w:eastAsia="Malgun Gothic" w:hint="eastAsia"/>
          <w:spacing w:val="3"/>
          <w:sz w:val="36"/>
        </w:rPr>
        <w:t>、</w:t>
      </w:r>
      <w:r>
        <w:rPr>
          <w:spacing w:val="-4"/>
          <w:sz w:val="36"/>
        </w:rPr>
        <w:t>安全的要</w:t>
      </w:r>
      <w:r>
        <w:rPr>
          <w:sz w:val="36"/>
        </w:rPr>
        <w:t>求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2576"/>
        </w:tabs>
        <w:spacing w:before="0" w:after="0" w:line="657" w:lineRule="exact"/>
        <w:ind w:left="2576" w:right="0" w:hanging="91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附属建筑物宜集中布置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并应与生产设备和处理构筑物保持一定距离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2590"/>
        </w:tabs>
        <w:spacing w:before="255" w:after="0" w:line="338" w:lineRule="auto"/>
        <w:ind w:left="937" w:right="1066" w:firstLine="719"/>
        <w:jc w:val="both"/>
        <w:rPr>
          <w:rFonts w:ascii="Malgun Gothic" w:eastAsia="Malgun Gothic" w:hint="eastAsia"/>
          <w:sz w:val="36"/>
        </w:rPr>
      </w:pPr>
      <w:r>
        <w:rPr>
          <w:spacing w:val="5"/>
          <w:sz w:val="36"/>
        </w:rPr>
        <w:t>厌氧消化器</w:t>
      </w:r>
      <w:r>
        <w:rPr>
          <w:rFonts w:ascii="Malgun Gothic" w:eastAsia="Malgun Gothic" w:hint="eastAsia"/>
          <w:spacing w:val="7"/>
          <w:sz w:val="36"/>
        </w:rPr>
        <w:t>、</w:t>
      </w:r>
      <w:r>
        <w:rPr>
          <w:spacing w:val="4"/>
          <w:sz w:val="36"/>
        </w:rPr>
        <w:t>贮气柜</w:t>
      </w:r>
      <w:r>
        <w:rPr>
          <w:rFonts w:ascii="Malgun Gothic" w:eastAsia="Malgun Gothic" w:hint="eastAsia"/>
          <w:spacing w:val="7"/>
          <w:sz w:val="36"/>
        </w:rPr>
        <w:t>、</w:t>
      </w:r>
      <w:r>
        <w:rPr>
          <w:spacing w:val="2"/>
          <w:sz w:val="36"/>
        </w:rPr>
        <w:t xml:space="preserve">输气管道的设计及防火要求见 </w:t>
      </w:r>
      <w:r>
        <w:rPr>
          <w:rFonts w:ascii="Malgun Gothic" w:eastAsia="Malgun Gothic" w:hint="eastAsia"/>
          <w:sz w:val="36"/>
        </w:rPr>
        <w:t>GBJ16</w:t>
      </w:r>
      <w:r>
        <w:rPr>
          <w:rFonts w:ascii="Malgun Gothic" w:eastAsia="Malgun Gothic" w:hint="eastAsia"/>
          <w:spacing w:val="62"/>
          <w:sz w:val="36"/>
        </w:rPr>
        <w:t xml:space="preserve"> </w:t>
      </w:r>
      <w:r>
        <w:rPr>
          <w:sz w:val="36"/>
        </w:rPr>
        <w:t>中的相关规定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2586"/>
        </w:tabs>
        <w:spacing w:before="0" w:after="0" w:line="338" w:lineRule="auto"/>
        <w:ind w:left="937" w:right="1056" w:firstLine="719"/>
        <w:jc w:val="both"/>
        <w:rPr>
          <w:rFonts w:ascii="Malgun Gothic" w:eastAsia="Malgun Gothic" w:hint="eastAsia"/>
          <w:sz w:val="36"/>
        </w:rPr>
      </w:pPr>
      <w:r>
        <w:rPr>
          <w:spacing w:val="2"/>
          <w:sz w:val="36"/>
        </w:rPr>
        <w:t>各种管线应全面安排</w:t>
      </w:r>
      <w:r>
        <w:rPr>
          <w:rFonts w:ascii="Malgun Gothic" w:eastAsia="Malgun Gothic" w:hint="eastAsia"/>
          <w:sz w:val="36"/>
        </w:rPr>
        <w:t>，</w:t>
      </w:r>
      <w:r>
        <w:rPr>
          <w:spacing w:val="2"/>
          <w:sz w:val="36"/>
        </w:rPr>
        <w:t>避免迂回曲折和相互干扰</w:t>
      </w:r>
      <w:r>
        <w:rPr>
          <w:rFonts w:ascii="Malgun Gothic" w:eastAsia="Malgun Gothic" w:hint="eastAsia"/>
          <w:spacing w:val="3"/>
          <w:sz w:val="36"/>
        </w:rPr>
        <w:t>，</w:t>
      </w:r>
      <w:r>
        <w:rPr>
          <w:spacing w:val="1"/>
          <w:sz w:val="36"/>
        </w:rPr>
        <w:t>输送污水</w:t>
      </w:r>
      <w:r>
        <w:rPr>
          <w:rFonts w:ascii="Malgun Gothic" w:eastAsia="Malgun Gothic" w:hint="eastAsia"/>
          <w:sz w:val="36"/>
        </w:rPr>
        <w:t>、</w:t>
      </w:r>
      <w:r>
        <w:rPr>
          <w:spacing w:val="-3"/>
          <w:sz w:val="36"/>
        </w:rPr>
        <w:t>污泥和沼气</w:t>
      </w:r>
      <w:r>
        <w:rPr>
          <w:spacing w:val="-1"/>
          <w:sz w:val="36"/>
        </w:rPr>
        <w:t xml:space="preserve">管线布置应尽量减少管道弯头 </w:t>
      </w:r>
      <w:r>
        <w:rPr>
          <w:rFonts w:ascii="Malgun Gothic" w:eastAsia="Malgun Gothic" w:hint="eastAsia"/>
          <w:spacing w:val="7"/>
          <w:sz w:val="36"/>
        </w:rPr>
        <w:t>，</w:t>
      </w:r>
      <w:r>
        <w:rPr>
          <w:spacing w:val="-1"/>
          <w:sz w:val="36"/>
        </w:rPr>
        <w:t xml:space="preserve">以减少能量损耗和便于清通 </w:t>
      </w:r>
      <w:r>
        <w:rPr>
          <w:rFonts w:ascii="Malgun Gothic" w:eastAsia="Malgun Gothic" w:hint="eastAsia"/>
          <w:spacing w:val="7"/>
          <w:sz w:val="36"/>
        </w:rPr>
        <w:t>。</w:t>
      </w:r>
      <w:r>
        <w:rPr>
          <w:sz w:val="36"/>
        </w:rPr>
        <w:t>各种管线应用不同颜色加以区别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2576"/>
        </w:tabs>
        <w:spacing w:before="0" w:after="0" w:line="651" w:lineRule="exact"/>
        <w:ind w:left="2576" w:right="0" w:hanging="91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应设置废渣等物料堆放及停车的场地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2586"/>
        </w:tabs>
        <w:spacing w:before="255" w:after="0" w:line="240" w:lineRule="auto"/>
        <w:ind w:left="2585" w:right="0" w:hanging="929"/>
        <w:jc w:val="left"/>
        <w:rPr>
          <w:sz w:val="36"/>
        </w:rPr>
      </w:pPr>
      <w:r>
        <w:rPr>
          <w:spacing w:val="2"/>
          <w:sz w:val="36"/>
        </w:rPr>
        <w:t>平面布置应留有汽车进出通道</w:t>
      </w:r>
      <w:r>
        <w:rPr>
          <w:rFonts w:ascii="Malgun Gothic" w:eastAsia="Malgun Gothic" w:hint="eastAsia"/>
          <w:spacing w:val="3"/>
          <w:sz w:val="36"/>
        </w:rPr>
        <w:t>，</w:t>
      </w:r>
      <w:r>
        <w:rPr>
          <w:spacing w:val="2"/>
          <w:sz w:val="36"/>
        </w:rPr>
        <w:t>各建筑物间应留有连接通道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其设计应符</w:t>
      </w:r>
    </w:p>
    <w:p>
      <w:pPr>
        <w:pStyle w:val="BodyText"/>
        <w:spacing w:before="6"/>
        <w:rPr>
          <w:sz w:val="54"/>
        </w:rPr>
      </w:pPr>
    </w:p>
    <w:p>
      <w:pPr>
        <w:spacing w:before="0"/>
        <w:ind w:left="937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t>.</w:t>
      </w:r>
      <w:r>
        <w:rPr>
          <w:rFonts w:ascii="幼圆" w:eastAsia="幼圆" w:hint="eastAsia"/>
          <w:sz w:val="27"/>
        </w:rPr>
        <w:t>专业资料</w:t>
      </w:r>
      <w:r>
        <w:rPr>
          <w:rFonts w:ascii="Arial" w:eastAsia="Arial"/>
          <w:sz w:val="27"/>
        </w:rPr>
        <w:t>.</w:t>
      </w:r>
    </w:p>
    <w:p>
      <w:pPr>
        <w:spacing w:after="0"/>
        <w:jc w:val="left"/>
        <w:rPr>
          <w:rFonts w:ascii="Arial" w:eastAsia="Arial"/>
          <w:sz w:val="27"/>
        </w:rPr>
      </w:pPr>
      <w:r>
        <w:rPr>
          <w:rFonts w:ascii="Arial" w:eastAsia="Arial"/>
          <w:sz w:val="27"/>
        </w:rPr>
        <w:br/>
      </w:r>
      <w:r>
        <w:rPr>
          <w:rFonts w:ascii="Arial" w:eastAsia="Arial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https://d.book118.com/937161135140006024</w:t>
        </w:r>
      </w:hyperlink>
    </w:p>
    <w:p>
      <w:pPr>
        <w:spacing w:after="0"/>
        <w:jc w:val="left"/>
        <w:rPr>
          <w:rFonts w:ascii="Arial" w:eastAsia="Arial"/>
          <w:sz w:val="27"/>
        </w:rPr>
      </w:pPr>
    </w:p>
    <w:sectPr>
      <w:pgSz w:w="18360" w:h="23760"/>
      <w:pgMar w:top="760" w:right="1380" w:bottom="280" w:left="1760" w:header="708" w:footer="70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404CD"/>
    <w:multiLevelType w:val="hybridMultilevel"/>
    <w:tmpl w:val="00000000"/>
    <w:lvl w:ilvl="0">
      <w:start w:val="1"/>
      <w:numFmt w:val="decimal"/>
      <w:lvlText w:val="（%1）"/>
      <w:lvlJc w:val="left"/>
      <w:pPr>
        <w:ind w:left="937" w:hanging="926"/>
        <w:jc w:val="left"/>
      </w:pPr>
      <w:rPr>
        <w:rFonts w:ascii="Malgun Gothic" w:eastAsia="Malgun Gothic" w:hAnsi="Malgun Gothic" w:cs="Malgun Gothic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68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6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4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2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0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8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6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4" w:hanging="926"/>
      </w:pPr>
      <w:rPr>
        <w:rFonts w:hint="default"/>
      </w:rPr>
    </w:lvl>
  </w:abstractNum>
  <w:abstractNum w:abstractNumId="1">
    <w:nsid w:val="04FB9CC3"/>
    <w:multiLevelType w:val="hybridMultilevel"/>
    <w:tmpl w:val="00000000"/>
    <w:lvl w:ilvl="0">
      <w:start w:val="1"/>
      <w:numFmt w:val="decimal"/>
      <w:lvlText w:val="（%1）"/>
      <w:lvlJc w:val="left"/>
      <w:pPr>
        <w:ind w:left="2644" w:hanging="919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98" w:hanging="9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56" w:hanging="9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4" w:hanging="9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2" w:hanging="9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0" w:hanging="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8" w:hanging="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6" w:hanging="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4" w:hanging="919"/>
      </w:pPr>
      <w:rPr>
        <w:rFonts w:hint="default"/>
      </w:rPr>
    </w:lvl>
  </w:abstractNum>
  <w:abstractNum w:abstractNumId="2">
    <w:nsid w:val="0582E94A"/>
    <w:multiLevelType w:val="hybridMultilevel"/>
    <w:tmpl w:val="00000000"/>
    <w:lvl w:ilvl="0">
      <w:start w:val="3"/>
      <w:numFmt w:val="decimal"/>
      <w:lvlText w:val="%1"/>
      <w:lvlJc w:val="left"/>
      <w:pPr>
        <w:ind w:left="1631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1" w:hanging="69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(%3)"/>
      <w:lvlJc w:val="left"/>
      <w:pPr>
        <w:ind w:left="2078" w:hanging="419"/>
        <w:jc w:val="left"/>
      </w:pPr>
      <w:rPr>
        <w:rFonts w:ascii="Malgun Gothic" w:eastAsia="Malgun Gothic" w:hAnsi="Malgun Gothic" w:cs="Malgun Gothic" w:hint="default"/>
        <w:spacing w:val="-4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000" w:hanging="4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0" w:hanging="4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0" w:hanging="4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0" w:hanging="4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0" w:hanging="4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0" w:hanging="419"/>
      </w:pPr>
      <w:rPr>
        <w:rFonts w:hint="default"/>
      </w:rPr>
    </w:lvl>
  </w:abstractNum>
  <w:abstractNum w:abstractNumId="3">
    <w:nsid w:val="09816542"/>
    <w:multiLevelType w:val="hybridMultilevel"/>
    <w:tmpl w:val="00000000"/>
    <w:lvl w:ilvl="0">
      <w:start w:val="2"/>
      <w:numFmt w:val="decimal"/>
      <w:lvlText w:val="%1"/>
      <w:lvlJc w:val="left"/>
      <w:pPr>
        <w:ind w:left="154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1" w:hanging="60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(%3)"/>
      <w:lvlJc w:val="left"/>
      <w:pPr>
        <w:ind w:left="2254" w:hanging="594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140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0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0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0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0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0" w:hanging="594"/>
      </w:pPr>
      <w:rPr>
        <w:rFonts w:hint="default"/>
      </w:rPr>
    </w:lvl>
  </w:abstractNum>
  <w:abstractNum w:abstractNumId="4">
    <w:nsid w:val="0BD6731F"/>
    <w:multiLevelType w:val="hybridMultilevel"/>
    <w:tmpl w:val="00000000"/>
    <w:lvl w:ilvl="0">
      <w:start w:val="6"/>
      <w:numFmt w:val="decimal"/>
      <w:lvlText w:val="%1"/>
      <w:lvlJc w:val="left"/>
      <w:pPr>
        <w:ind w:left="1628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8" w:hanging="69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869" w:hanging="933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3">
      <w:start w:val="1"/>
      <w:numFmt w:val="decimal"/>
      <w:lvlText w:val="（%4）"/>
      <w:lvlJc w:val="left"/>
      <w:pPr>
        <w:ind w:left="2755" w:hanging="1098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875" w:hanging="10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2" w:hanging="10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0" w:hanging="10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7" w:hanging="10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5" w:hanging="1098"/>
      </w:pPr>
      <w:rPr>
        <w:rFonts w:hint="default"/>
      </w:rPr>
    </w:lvl>
  </w:abstractNum>
  <w:abstractNum w:abstractNumId="5">
    <w:nsid w:val="0CAB40E4"/>
    <w:multiLevelType w:val="hybridMultilevel"/>
    <w:tmpl w:val="00000000"/>
    <w:lvl w:ilvl="0">
      <w:start w:val="2"/>
      <w:numFmt w:val="decimal"/>
      <w:lvlText w:val="%1"/>
      <w:lvlJc w:val="left"/>
      <w:pPr>
        <w:ind w:left="154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1" w:hanging="60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(%3)"/>
      <w:lvlJc w:val="left"/>
      <w:pPr>
        <w:ind w:left="2254" w:hanging="594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140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0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0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0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0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0" w:hanging="594"/>
      </w:pPr>
      <w:rPr>
        <w:rFonts w:hint="default"/>
      </w:rPr>
    </w:lvl>
  </w:abstractNum>
  <w:abstractNum w:abstractNumId="6">
    <w:nsid w:val="163D3BBD"/>
    <w:multiLevelType w:val="hybridMultilevel"/>
    <w:tmpl w:val="00000000"/>
    <w:lvl w:ilvl="0">
      <w:start w:val="1"/>
      <w:numFmt w:val="decimal"/>
      <w:lvlText w:val="%1"/>
      <w:lvlJc w:val="left"/>
      <w:pPr>
        <w:ind w:left="1271" w:hanging="335"/>
        <w:jc w:val="left"/>
      </w:pPr>
      <w:rPr>
        <w:rFonts w:ascii="Malgun Gothic" w:eastAsia="Malgun Gothic" w:hAnsi="Malgun Gothic" w:cs="Malgun Gothic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2222" w:hanging="656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220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0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8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7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5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4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2" w:hanging="656"/>
      </w:pPr>
      <w:rPr>
        <w:rFonts w:hint="default"/>
      </w:rPr>
    </w:lvl>
  </w:abstractNum>
  <w:abstractNum w:abstractNumId="7">
    <w:nsid w:val="1F3C2083"/>
    <w:multiLevelType w:val="hybridMultilevel"/>
    <w:tmpl w:val="00000000"/>
    <w:lvl w:ilvl="0">
      <w:start w:val="1"/>
      <w:numFmt w:val="decimal"/>
      <w:lvlText w:val="%1）"/>
      <w:lvlJc w:val="left"/>
      <w:pPr>
        <w:ind w:left="2216" w:hanging="559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20" w:hanging="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0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0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0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0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0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0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0" w:hanging="559"/>
      </w:pPr>
      <w:rPr>
        <w:rFonts w:hint="default"/>
      </w:rPr>
    </w:lvl>
  </w:abstractNum>
  <w:abstractNum w:abstractNumId="8">
    <w:nsid w:val="217979E1"/>
    <w:multiLevelType w:val="hybridMultilevel"/>
    <w:tmpl w:val="00000000"/>
    <w:lvl w:ilvl="0">
      <w:start w:val="19"/>
      <w:numFmt w:val="decimal"/>
      <w:lvlText w:val="（%1）"/>
      <w:lvlJc w:val="left"/>
      <w:pPr>
        <w:ind w:left="937" w:hanging="1138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68" w:hanging="11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6" w:hanging="11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4" w:hanging="11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2" w:hanging="11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0" w:hanging="11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8" w:hanging="11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6" w:hanging="11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4" w:hanging="1138"/>
      </w:pPr>
      <w:rPr>
        <w:rFonts w:hint="default"/>
      </w:rPr>
    </w:lvl>
  </w:abstractNum>
  <w:abstractNum w:abstractNumId="9">
    <w:nsid w:val="24E351EB"/>
    <w:multiLevelType w:val="hybridMultilevel"/>
    <w:tmpl w:val="00000000"/>
    <w:lvl w:ilvl="0">
      <w:start w:val="1"/>
      <w:numFmt w:val="decimal"/>
      <w:lvlText w:val="%1"/>
      <w:lvlJc w:val="left"/>
      <w:pPr>
        <w:ind w:left="1271" w:hanging="335"/>
        <w:jc w:val="left"/>
      </w:pPr>
      <w:rPr>
        <w:rFonts w:ascii="Malgun Gothic" w:eastAsia="Malgun Gothic" w:hAnsi="Malgun Gothic" w:cs="Malgun Gothic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2222" w:hanging="656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220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0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8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7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5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4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2" w:hanging="656"/>
      </w:pPr>
      <w:rPr>
        <w:rFonts w:hint="default"/>
      </w:rPr>
    </w:lvl>
  </w:abstractNum>
  <w:abstractNum w:abstractNumId="10">
    <w:nsid w:val="26879DA2"/>
    <w:multiLevelType w:val="hybridMultilevel"/>
    <w:tmpl w:val="00000000"/>
    <w:lvl w:ilvl="0">
      <w:start w:val="10"/>
      <w:numFmt w:val="decimal"/>
      <w:lvlText w:val="%1"/>
      <w:lvlJc w:val="left"/>
      <w:pPr>
        <w:ind w:left="1837" w:hanging="90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37" w:hanging="900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（%3）"/>
      <w:lvlJc w:val="left"/>
      <w:pPr>
        <w:ind w:left="2644" w:hanging="919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435" w:hanging="9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3" w:hanging="9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1" w:hanging="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8" w:hanging="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6" w:hanging="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4" w:hanging="919"/>
      </w:pPr>
      <w:rPr>
        <w:rFonts w:hint="default"/>
      </w:rPr>
    </w:lvl>
  </w:abstractNum>
  <w:abstractNum w:abstractNumId="11">
    <w:nsid w:val="2735415C"/>
    <w:multiLevelType w:val="hybridMultilevel"/>
    <w:tmpl w:val="00000000"/>
    <w:lvl w:ilvl="0">
      <w:start w:val="2"/>
      <w:numFmt w:val="decimal"/>
      <w:lvlText w:val="%1"/>
      <w:lvlJc w:val="left"/>
      <w:pPr>
        <w:ind w:left="6834" w:hanging="378"/>
        <w:jc w:val="right"/>
      </w:pPr>
      <w:rPr>
        <w:rFonts w:ascii="Malgun Gothic" w:eastAsia="Malgun Gothic" w:hAnsi="Malgun Gothic" w:cs="Malgun Gothic" w:hint="default"/>
        <w:b/>
        <w:bCs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7678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16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54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2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0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8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6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378"/>
      </w:pPr>
      <w:rPr>
        <w:rFonts w:hint="default"/>
      </w:rPr>
    </w:lvl>
  </w:abstractNum>
  <w:abstractNum w:abstractNumId="12">
    <w:nsid w:val="29E4883C"/>
    <w:multiLevelType w:val="hybridMultilevel"/>
    <w:tmpl w:val="00000000"/>
    <w:lvl w:ilvl="0">
      <w:start w:val="2"/>
      <w:numFmt w:val="decimal"/>
      <w:lvlText w:val="%1"/>
      <w:lvlJc w:val="left"/>
      <w:pPr>
        <w:ind w:left="154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1" w:hanging="60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(%3)"/>
      <w:lvlJc w:val="left"/>
      <w:pPr>
        <w:ind w:left="2254" w:hanging="594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140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0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0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0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0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0" w:hanging="594"/>
      </w:pPr>
      <w:rPr>
        <w:rFonts w:hint="default"/>
      </w:rPr>
    </w:lvl>
  </w:abstractNum>
  <w:abstractNum w:abstractNumId="13">
    <w:nsid w:val="37E45478"/>
    <w:multiLevelType w:val="hybridMultilevel"/>
    <w:tmpl w:val="00000000"/>
    <w:lvl w:ilvl="0">
      <w:start w:val="10"/>
      <w:numFmt w:val="decimal"/>
      <w:lvlText w:val="%1"/>
      <w:lvlJc w:val="left"/>
      <w:pPr>
        <w:ind w:left="2420" w:hanging="85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420" w:hanging="854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980" w:hanging="8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0" w:hanging="8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0" w:hanging="8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20" w:hanging="8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00" w:hanging="8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0" w:hanging="8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0" w:hanging="854"/>
      </w:pPr>
      <w:rPr>
        <w:rFonts w:hint="default"/>
      </w:rPr>
    </w:lvl>
  </w:abstractNum>
  <w:abstractNum w:abstractNumId="14">
    <w:nsid w:val="38ACCF4F"/>
    <w:multiLevelType w:val="hybridMultilevel"/>
    <w:tmpl w:val="00000000"/>
    <w:lvl w:ilvl="0">
      <w:start w:val="1"/>
      <w:numFmt w:val="decimal"/>
      <w:lvlText w:val="（%1）"/>
      <w:lvlJc w:val="left"/>
      <w:pPr>
        <w:ind w:left="937" w:hanging="962"/>
        <w:jc w:val="left"/>
      </w:pPr>
      <w:rPr>
        <w:rFonts w:ascii="Malgun Gothic" w:eastAsia="Malgun Gothic" w:hAnsi="Malgun Gothic" w:cs="Malgun Gothic" w:hint="default"/>
        <w:spacing w:val="1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68" w:hanging="9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6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4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2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0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8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6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4" w:hanging="962"/>
      </w:pPr>
      <w:rPr>
        <w:rFonts w:hint="default"/>
      </w:rPr>
    </w:lvl>
  </w:abstractNum>
  <w:abstractNum w:abstractNumId="15">
    <w:nsid w:val="3EC359E4"/>
    <w:multiLevelType w:val="hybridMultilevel"/>
    <w:tmpl w:val="00000000"/>
    <w:lvl w:ilvl="0">
      <w:start w:val="11"/>
      <w:numFmt w:val="decimal"/>
      <w:lvlText w:val="(%1)"/>
      <w:lvlJc w:val="left"/>
      <w:pPr>
        <w:ind w:left="2452" w:hanging="792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36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2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8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4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0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6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2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8" w:hanging="792"/>
      </w:pPr>
      <w:rPr>
        <w:rFonts w:hint="default"/>
      </w:rPr>
    </w:lvl>
  </w:abstractNum>
  <w:abstractNum w:abstractNumId="16">
    <w:nsid w:val="4009E32B"/>
    <w:multiLevelType w:val="hybridMultilevel"/>
    <w:tmpl w:val="00000000"/>
    <w:lvl w:ilvl="0">
      <w:start w:val="7"/>
      <w:numFmt w:val="decimal"/>
      <w:lvlText w:val="%1"/>
      <w:lvlJc w:val="left"/>
      <w:pPr>
        <w:ind w:left="1628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8" w:hanging="69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40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0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0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0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0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0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0" w:hanging="691"/>
      </w:pPr>
      <w:rPr>
        <w:rFonts w:hint="default"/>
      </w:rPr>
    </w:lvl>
  </w:abstractNum>
  <w:abstractNum w:abstractNumId="17">
    <w:nsid w:val="416798AB"/>
    <w:multiLevelType w:val="hybridMultilevel"/>
    <w:tmpl w:val="00000000"/>
    <w:lvl w:ilvl="0">
      <w:start w:val="11"/>
      <w:numFmt w:val="decimal"/>
      <w:lvlText w:val="%1"/>
      <w:lvlJc w:val="left"/>
      <w:pPr>
        <w:ind w:left="1837" w:hanging="9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37" w:hanging="900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（%3）"/>
      <w:lvlJc w:val="left"/>
      <w:pPr>
        <w:ind w:left="2644" w:hanging="919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435" w:hanging="9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3" w:hanging="9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1" w:hanging="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8" w:hanging="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6" w:hanging="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4" w:hanging="919"/>
      </w:pPr>
      <w:rPr>
        <w:rFonts w:hint="default"/>
      </w:rPr>
    </w:lvl>
  </w:abstractNum>
  <w:abstractNum w:abstractNumId="18">
    <w:nsid w:val="439C76EE"/>
    <w:multiLevelType w:val="hybridMultilevel"/>
    <w:tmpl w:val="00000000"/>
    <w:lvl w:ilvl="0">
      <w:start w:val="2"/>
      <w:numFmt w:val="decimal"/>
      <w:lvlText w:val="%1"/>
      <w:lvlJc w:val="left"/>
      <w:pPr>
        <w:ind w:left="6834" w:hanging="378"/>
        <w:jc w:val="right"/>
      </w:pPr>
      <w:rPr>
        <w:rFonts w:ascii="Malgun Gothic" w:eastAsia="Malgun Gothic" w:hAnsi="Malgun Gothic" w:cs="Malgun Gothic" w:hint="default"/>
        <w:b/>
        <w:bCs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7678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16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54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2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0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8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6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378"/>
      </w:pPr>
      <w:rPr>
        <w:rFonts w:hint="default"/>
      </w:rPr>
    </w:lvl>
  </w:abstractNum>
  <w:abstractNum w:abstractNumId="19">
    <w:nsid w:val="51051C17"/>
    <w:multiLevelType w:val="hybridMultilevel"/>
    <w:tmpl w:val="00000000"/>
    <w:lvl w:ilvl="0">
      <w:start w:val="4"/>
      <w:numFmt w:val="decimal"/>
      <w:lvlText w:val="%1"/>
      <w:lvlJc w:val="left"/>
      <w:pPr>
        <w:ind w:left="1631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1" w:hanging="69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(%3)"/>
      <w:lvlJc w:val="left"/>
      <w:pPr>
        <w:ind w:left="1660" w:hanging="543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73" w:hanging="5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0" w:hanging="5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6" w:hanging="5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3" w:hanging="5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0" w:hanging="5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6" w:hanging="543"/>
      </w:pPr>
      <w:rPr>
        <w:rFonts w:hint="default"/>
      </w:rPr>
    </w:lvl>
  </w:abstractNum>
  <w:abstractNum w:abstractNumId="20">
    <w:nsid w:val="528321A2"/>
    <w:multiLevelType w:val="hybridMultilevel"/>
    <w:tmpl w:val="00000000"/>
    <w:lvl w:ilvl="0">
      <w:start w:val="2"/>
      <w:numFmt w:val="decimal"/>
      <w:lvlText w:val="%1"/>
      <w:lvlJc w:val="left"/>
      <w:pPr>
        <w:ind w:left="6834" w:hanging="378"/>
        <w:jc w:val="right"/>
      </w:pPr>
      <w:rPr>
        <w:rFonts w:ascii="Malgun Gothic" w:eastAsia="Malgun Gothic" w:hAnsi="Malgun Gothic" w:cs="Malgun Gothic" w:hint="default"/>
        <w:b/>
        <w:bCs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7678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16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54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2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0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8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6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378"/>
      </w:pPr>
      <w:rPr>
        <w:rFonts w:hint="default"/>
      </w:rPr>
    </w:lvl>
  </w:abstractNum>
  <w:abstractNum w:abstractNumId="21">
    <w:nsid w:val="55F4C8A1"/>
    <w:multiLevelType w:val="hybridMultilevel"/>
    <w:tmpl w:val="00000000"/>
    <w:lvl w:ilvl="0">
      <w:start w:val="1"/>
      <w:numFmt w:val="decimal"/>
      <w:lvlText w:val="（%1）"/>
      <w:lvlJc w:val="left"/>
      <w:pPr>
        <w:ind w:left="1856" w:hanging="919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6" w:hanging="9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2" w:hanging="9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8" w:hanging="9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4" w:hanging="9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0" w:hanging="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6" w:hanging="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2" w:hanging="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8" w:hanging="919"/>
      </w:pPr>
      <w:rPr>
        <w:rFonts w:hint="default"/>
      </w:rPr>
    </w:lvl>
  </w:abstractNum>
  <w:abstractNum w:abstractNumId="22">
    <w:nsid w:val="59F47B2F"/>
    <w:multiLevelType w:val="hybridMultilevel"/>
    <w:tmpl w:val="00000000"/>
    <w:lvl w:ilvl="0">
      <w:start w:val="4"/>
      <w:numFmt w:val="decimal"/>
      <w:lvlText w:val="%1"/>
      <w:lvlJc w:val="left"/>
      <w:pPr>
        <w:ind w:left="1873" w:hanging="93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73" w:hanging="933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73" w:hanging="933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3">
      <w:start w:val="1"/>
      <w:numFmt w:val="decimal"/>
      <w:lvlText w:val="%4."/>
      <w:lvlJc w:val="left"/>
      <w:pPr>
        <w:ind w:left="1938" w:hanging="278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6366" w:hanging="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2" w:hanging="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7" w:hanging="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8" w:hanging="278"/>
      </w:pPr>
      <w:rPr>
        <w:rFonts w:hint="default"/>
      </w:rPr>
    </w:lvl>
  </w:abstractNum>
  <w:abstractNum w:abstractNumId="23">
    <w:nsid w:val="5F167422"/>
    <w:multiLevelType w:val="hybridMultilevel"/>
    <w:tmpl w:val="00000000"/>
    <w:lvl w:ilvl="0">
      <w:start w:val="6"/>
      <w:numFmt w:val="decimal"/>
      <w:lvlText w:val="%1"/>
      <w:lvlJc w:val="left"/>
      <w:pPr>
        <w:ind w:left="1628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8" w:hanging="69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869" w:hanging="933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3">
      <w:start w:val="1"/>
      <w:numFmt w:val="decimal"/>
      <w:lvlText w:val="（%4）"/>
      <w:lvlJc w:val="left"/>
      <w:pPr>
        <w:ind w:left="2755" w:hanging="1098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875" w:hanging="10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2" w:hanging="10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0" w:hanging="10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7" w:hanging="10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5" w:hanging="1098"/>
      </w:pPr>
      <w:rPr>
        <w:rFonts w:hint="default"/>
      </w:rPr>
    </w:lvl>
  </w:abstractNum>
  <w:abstractNum w:abstractNumId="24">
    <w:nsid w:val="62DF1140"/>
    <w:multiLevelType w:val="hybridMultilevel"/>
    <w:tmpl w:val="00000000"/>
    <w:lvl w:ilvl="0">
      <w:start w:val="1"/>
      <w:numFmt w:val="decimal"/>
      <w:lvlText w:val="（%1）"/>
      <w:lvlJc w:val="left"/>
      <w:pPr>
        <w:ind w:left="1856" w:hanging="919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6" w:hanging="9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2" w:hanging="9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8" w:hanging="9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4" w:hanging="9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0" w:hanging="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6" w:hanging="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2" w:hanging="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8" w:hanging="919"/>
      </w:pPr>
      <w:rPr>
        <w:rFonts w:hint="default"/>
      </w:rPr>
    </w:lvl>
  </w:abstractNum>
  <w:abstractNum w:abstractNumId="25">
    <w:nsid w:val="63BF3397"/>
    <w:multiLevelType w:val="hybridMultilevel"/>
    <w:tmpl w:val="00000000"/>
    <w:lvl w:ilvl="0">
      <w:start w:val="5"/>
      <w:numFmt w:val="decimal"/>
      <w:lvlText w:val="%1"/>
      <w:lvlJc w:val="left"/>
      <w:pPr>
        <w:ind w:left="1538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38" w:hanging="60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276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0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8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6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4" w:hanging="601"/>
      </w:pPr>
      <w:rPr>
        <w:rFonts w:hint="default"/>
      </w:rPr>
    </w:lvl>
  </w:abstractNum>
  <w:abstractNum w:abstractNumId="26">
    <w:nsid w:val="69055B2A"/>
    <w:multiLevelType w:val="hybridMultilevel"/>
    <w:tmpl w:val="00000000"/>
    <w:lvl w:ilvl="0">
      <w:start w:val="1"/>
      <w:numFmt w:val="decimal"/>
      <w:lvlText w:val="（%1）"/>
      <w:lvlJc w:val="left"/>
      <w:pPr>
        <w:ind w:left="937" w:hanging="929"/>
        <w:jc w:val="left"/>
      </w:pPr>
      <w:rPr>
        <w:rFonts w:ascii="Malgun Gothic" w:eastAsia="Malgun Gothic" w:hAnsi="Malgun Gothic" w:cs="Malgun Gothic" w:hint="default"/>
        <w:spacing w:val="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68" w:hanging="9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6" w:hanging="9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4" w:hanging="9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2" w:hanging="9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0" w:hanging="9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8" w:hanging="9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6" w:hanging="9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4" w:hanging="929"/>
      </w:pPr>
      <w:rPr>
        <w:rFonts w:hint="default"/>
      </w:rPr>
    </w:lvl>
  </w:abstractNum>
  <w:abstractNum w:abstractNumId="27">
    <w:nsid w:val="726A51BB"/>
    <w:multiLevelType w:val="hybridMultilevel"/>
    <w:tmpl w:val="00000000"/>
    <w:lvl w:ilvl="0">
      <w:start w:val="9"/>
      <w:numFmt w:val="decimal"/>
      <w:lvlText w:val="%1"/>
      <w:lvlJc w:val="left"/>
      <w:pPr>
        <w:ind w:left="1628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8" w:hanging="69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%3."/>
      <w:lvlJc w:val="left"/>
      <w:pPr>
        <w:ind w:left="2003" w:hanging="278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937" w:hanging="2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6" w:hanging="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5" w:hanging="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4" w:hanging="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3" w:hanging="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2" w:hanging="278"/>
      </w:pPr>
      <w:rPr>
        <w:rFonts w:hint="default"/>
      </w:rPr>
    </w:lvl>
  </w:abstractNum>
  <w:abstractNum w:abstractNumId="28">
    <w:nsid w:val="72912F1A"/>
    <w:multiLevelType w:val="hybridMultilevel"/>
    <w:tmpl w:val="00000000"/>
    <w:lvl w:ilvl="0">
      <w:start w:val="4"/>
      <w:numFmt w:val="decimal"/>
      <w:lvlText w:val="%1"/>
      <w:lvlJc w:val="left"/>
      <w:pPr>
        <w:ind w:left="1631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1" w:hanging="691"/>
        <w:jc w:val="left"/>
      </w:pPr>
      <w:rPr>
        <w:rFonts w:ascii="Malgun Gothic" w:eastAsia="Malgun Gothic" w:hAnsi="Malgun Gothic" w:cs="Malgun Gothic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(%3)"/>
      <w:lvlJc w:val="left"/>
      <w:pPr>
        <w:ind w:left="1660" w:hanging="543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73" w:hanging="5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0" w:hanging="5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6" w:hanging="5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3" w:hanging="5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0" w:hanging="5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6" w:hanging="543"/>
      </w:pPr>
      <w:rPr>
        <w:rFonts w:hint="default"/>
      </w:rPr>
    </w:lvl>
  </w:abstractNum>
  <w:abstractNum w:abstractNumId="29">
    <w:nsid w:val="76515C39"/>
    <w:multiLevelType w:val="hybridMultilevel"/>
    <w:tmpl w:val="00000000"/>
    <w:lvl w:ilvl="0">
      <w:start w:val="10"/>
      <w:numFmt w:val="decimal"/>
      <w:lvlText w:val="%1"/>
      <w:lvlJc w:val="left"/>
      <w:pPr>
        <w:ind w:left="2855" w:hanging="113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855" w:hanging="113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5" w:hanging="1131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6568" w:hanging="11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4" w:hanging="11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0" w:hanging="11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6" w:hanging="11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2" w:hanging="11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8" w:hanging="1131"/>
      </w:pPr>
      <w:rPr>
        <w:rFonts w:hint="default"/>
      </w:rPr>
    </w:lvl>
  </w:abstractNum>
  <w:abstractNum w:abstractNumId="30">
    <w:nsid w:val="7BAF9FF5"/>
    <w:multiLevelType w:val="hybridMultilevel"/>
    <w:tmpl w:val="00000000"/>
    <w:lvl w:ilvl="0">
      <w:start w:val="2"/>
      <w:numFmt w:val="decimal"/>
      <w:lvlText w:val="%1"/>
      <w:lvlJc w:val="left"/>
      <w:pPr>
        <w:ind w:left="6834" w:hanging="378"/>
        <w:jc w:val="right"/>
      </w:pPr>
      <w:rPr>
        <w:rFonts w:ascii="Malgun Gothic" w:eastAsia="Malgun Gothic" w:hAnsi="Malgun Gothic" w:cs="Malgun Gothic" w:hint="default"/>
        <w:b/>
        <w:bCs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7678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16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54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2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0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8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6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378"/>
      </w:pPr>
      <w:rPr>
        <w:rFonts w:hint="default"/>
      </w:rPr>
    </w:lvl>
  </w:abstractNum>
  <w:num w:numId="1">
    <w:abstractNumId w:val="1"/>
  </w:num>
  <w:num w:numId="2">
    <w:abstractNumId w:val="17"/>
  </w:num>
  <w:num w:numId="3">
    <w:abstractNumId w:val="29"/>
  </w:num>
  <w:num w:numId="4">
    <w:abstractNumId w:val="10"/>
  </w:num>
  <w:num w:numId="5">
    <w:abstractNumId w:val="27"/>
  </w:num>
  <w:num w:numId="6">
    <w:abstractNumId w:val="16"/>
  </w:num>
  <w:num w:numId="7">
    <w:abstractNumId w:val="24"/>
  </w:num>
  <w:num w:numId="8">
    <w:abstractNumId w:val="21"/>
  </w:num>
  <w:num w:numId="9">
    <w:abstractNumId w:val="0"/>
  </w:num>
  <w:num w:numId="10">
    <w:abstractNumId w:val="26"/>
  </w:num>
  <w:num w:numId="11">
    <w:abstractNumId w:val="7"/>
  </w:num>
  <w:num w:numId="12">
    <w:abstractNumId w:val="8"/>
  </w:num>
  <w:num w:numId="13">
    <w:abstractNumId w:val="14"/>
  </w:num>
  <w:num w:numId="14">
    <w:abstractNumId w:val="4"/>
  </w:num>
  <w:num w:numId="15">
    <w:abstractNumId w:val="25"/>
  </w:num>
  <w:num w:numId="16">
    <w:abstractNumId w:val="22"/>
  </w:num>
  <w:num w:numId="17">
    <w:abstractNumId w:val="28"/>
  </w:num>
  <w:num w:numId="18">
    <w:abstractNumId w:val="2"/>
  </w:num>
  <w:num w:numId="19">
    <w:abstractNumId w:val="15"/>
  </w:num>
  <w:num w:numId="20">
    <w:abstractNumId w:val="3"/>
  </w:num>
  <w:num w:numId="21">
    <w:abstractNumId w:val="30"/>
  </w:num>
  <w:num w:numId="22">
    <w:abstractNumId w:val="13"/>
  </w:num>
  <w:num w:numId="23">
    <w:abstractNumId w:val="9"/>
  </w:num>
  <w:num w:numId="24">
    <w:abstractNumId w:val="6"/>
  </w:num>
  <w:num w:numId="25">
    <w:abstractNumId w:val="20"/>
  </w:num>
  <w:num w:numId="26">
    <w:abstractNumId w:val="12"/>
  </w:num>
  <w:num w:numId="27">
    <w:abstractNumId w:val="5"/>
  </w:num>
  <w:num w:numId="28">
    <w:abstractNumId w:val="18"/>
  </w:num>
  <w:num w:numId="29">
    <w:abstractNumId w:val="19"/>
  </w:num>
  <w:num w:numId="30">
    <w:abstractNumId w:val="11"/>
  </w:num>
  <w:num w:numId="31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6831" w:hanging="378"/>
      <w:outlineLvl w:val="0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1628" w:hanging="692"/>
      <w:outlineLvl w:val="1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54"/>
      <w:ind w:left="1271" w:hanging="335"/>
    </w:pPr>
    <w:rPr>
      <w:rFonts w:ascii="微软雅黑" w:eastAsia="微软雅黑" w:hAnsi="微软雅黑" w:cs="微软雅黑"/>
      <w:sz w:val="42"/>
      <w:szCs w:val="42"/>
    </w:rPr>
  </w:style>
  <w:style w:type="paragraph" w:styleId="TOC2">
    <w:name w:val="toc 2"/>
    <w:basedOn w:val="Normal"/>
    <w:uiPriority w:val="1"/>
    <w:qFormat/>
    <w:pPr>
      <w:spacing w:before="81"/>
      <w:ind w:left="2222" w:hanging="656"/>
    </w:pPr>
    <w:rPr>
      <w:rFonts w:ascii="微软雅黑" w:eastAsia="微软雅黑" w:hAnsi="微软雅黑" w:cs="微软雅黑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ind w:right="922"/>
      <w:jc w:val="center"/>
    </w:pPr>
    <w:rPr>
      <w:rFonts w:ascii="微软雅黑" w:eastAsia="微软雅黑" w:hAnsi="微软雅黑" w:cs="微软雅黑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937" w:hanging="692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Malgun Gothic" w:eastAsia="Malgun Gothic" w:hAnsi="Malgun Gothic" w:cs="Malgun Gothic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937161135140006024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2023-12-08T00:51:02Z</dcterms:created>
  <dcterms:modified xsi:type="dcterms:W3CDTF">2023-12-08T00:51:02Z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2022-10-20T00:00:00Z</vt:filetime>
  </property>
  <property fmtid="{D5CDD505-2E9C-101B-9397-08002B2CF9AE}" pid="3" name="LastSaved">
    <vt:filetime>2023-12-08T00:00:00Z</vt:filetime>
  </property>
</Properties>
</file>