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jc w:val="center"/>
        <w:rPr>
          <w:rFonts w:ascii="黑体" w:eastAsia="隶书" w:hAnsi="黑体" w:cs="黑体" w:hint="eastAsia"/>
          <w:b/>
          <w:sz w:val="48"/>
          <w:szCs w:val="48"/>
        </w:rPr>
      </w:pPr>
    </w:p>
    <w:p>
      <w:pPr>
        <w:jc w:val="center"/>
        <w:rPr>
          <w:rFonts w:ascii="黑体" w:eastAsia="黑体" w:hAnsi="黑体" w:cs="黑体"/>
          <w:b/>
          <w:sz w:val="72"/>
          <w:szCs w:val="72"/>
        </w:rPr>
      </w:pPr>
      <w:r>
        <w:rPr>
          <w:rFonts w:ascii="黑体" w:eastAsia="隶书" w:hAnsi="黑体" w:cs="黑体" w:hint="eastAsia"/>
          <w:b/>
          <w:sz w:val="72"/>
          <w:szCs w:val="72"/>
        </w:rPr>
        <w:t>现场临时用电施工组织设计</w:t>
      </w:r>
    </w:p>
    <w:p>
      <w:pPr>
        <w:jc w:val="center"/>
        <w:rPr>
          <w:rFonts w:ascii="宋体" w:hAnsi="宋体"/>
          <w:b/>
          <w:sz w:val="56"/>
          <w:szCs w:val="56"/>
        </w:rPr>
      </w:pPr>
    </w:p>
    <w:p>
      <w:pPr>
        <w:ind w:left="1680" w:hanging="1680" w:hangingChars="700"/>
        <w:jc w:val="center"/>
        <w:rPr>
          <w:rFonts w:ascii="宋体" w:hAnsi="宋体"/>
        </w:rPr>
      </w:pPr>
    </w:p>
    <w:p>
      <w:pPr>
        <w:snapToGrid w:val="0"/>
        <w:spacing w:line="288" w:lineRule="auto"/>
        <w:rPr>
          <w:rFonts w:ascii="宋体" w:hAnsi="宋体"/>
          <w:b/>
          <w:sz w:val="32"/>
          <w:szCs w:val="32"/>
        </w:rPr>
      </w:pPr>
    </w:p>
    <w:p>
      <w:pPr>
        <w:snapToGrid w:val="0"/>
        <w:spacing w:line="288" w:lineRule="auto"/>
        <w:rPr>
          <w:rFonts w:ascii="宋体" w:hAnsi="宋体"/>
          <w:bCs/>
          <w:sz w:val="32"/>
          <w:szCs w:val="32"/>
        </w:rPr>
      </w:pPr>
    </w:p>
    <w:p>
      <w:pPr>
        <w:snapToGrid w:val="0"/>
        <w:spacing w:line="288" w:lineRule="auto"/>
        <w:ind w:firstLine="1280" w:firstLineChars="400"/>
        <w:rPr>
          <w:rFonts w:ascii="宋体" w:hAnsi="宋体"/>
          <w:bCs/>
          <w:sz w:val="32"/>
          <w:szCs w:val="32"/>
        </w:rPr>
      </w:pPr>
      <w:r>
        <w:rPr>
          <w:rFonts w:ascii="宋体" w:hAnsi="宋体" w:hint="eastAsia"/>
          <w:bCs/>
          <w:sz w:val="32"/>
          <w:szCs w:val="32"/>
        </w:rPr>
        <w:t>编制单位：</w:t>
      </w:r>
      <w:r>
        <w:rPr>
          <w:rFonts w:ascii="宋体" w:hAnsi="宋体" w:hint="eastAsia"/>
          <w:bCs/>
          <w:sz w:val="32"/>
          <w:szCs w:val="32"/>
          <w:u w:val="single"/>
        </w:rPr>
        <w:t xml:space="preserve"> </w:t>
      </w:r>
      <w:r>
        <w:rPr>
          <w:rFonts w:ascii="宋体" w:hAnsi="宋体"/>
          <w:bCs/>
          <w:sz w:val="32"/>
          <w:szCs w:val="32"/>
          <w:u w:val="single"/>
        </w:rPr>
        <w:t xml:space="preserve"> </w:t>
      </w:r>
    </w:p>
    <w:p>
      <w:pPr>
        <w:snapToGrid w:val="0"/>
        <w:spacing w:before="163" w:beforeLines="50" w:after="163" w:afterLines="50"/>
        <w:rPr>
          <w:bCs/>
          <w:sz w:val="32"/>
          <w:szCs w:val="32"/>
          <w:u w:val="single"/>
        </w:rPr>
      </w:pPr>
      <w:r>
        <w:rPr>
          <w:rFonts w:ascii="宋体" w:hAnsi="宋体" w:hint="eastAsia"/>
          <w:bCs/>
          <w:sz w:val="32"/>
          <w:szCs w:val="32"/>
        </w:rPr>
        <w:t xml:space="preserve">        编 制 时 间：</w:t>
      </w:r>
      <w:r>
        <w:rPr>
          <w:bCs/>
          <w:sz w:val="32"/>
          <w:szCs w:val="32"/>
          <w:u w:val="single"/>
        </w:rPr>
        <w:t xml:space="preserve">        2020.08.10       </w:t>
      </w:r>
    </w:p>
    <w:p>
      <w:pPr>
        <w:snapToGrid w:val="0"/>
        <w:spacing w:before="163" w:beforeLines="50" w:after="163" w:afterLines="50"/>
        <w:ind w:firstLine="320" w:firstLineChars="100"/>
        <w:rPr>
          <w:rFonts w:ascii="宋体" w:hAnsi="宋体"/>
          <w:bCs/>
          <w:sz w:val="32"/>
          <w:szCs w:val="32"/>
        </w:rPr>
      </w:pPr>
      <w:r>
        <w:rPr>
          <w:rFonts w:hint="eastAsia"/>
          <w:bCs/>
          <w:sz w:val="32"/>
          <w:szCs w:val="32"/>
        </w:rPr>
        <w:t xml:space="preserve">      编  制  人 ：</w:t>
      </w:r>
      <w:r>
        <w:rPr>
          <w:rFonts w:hint="eastAsia"/>
          <w:bCs/>
          <w:sz w:val="32"/>
          <w:szCs w:val="32"/>
          <w:u w:val="single"/>
        </w:rPr>
        <w:t xml:space="preserve">     </w:t>
      </w:r>
      <w:r>
        <w:rPr>
          <w:bCs/>
          <w:sz w:val="32"/>
          <w:szCs w:val="32"/>
          <w:u w:val="single"/>
        </w:rPr>
        <w:t xml:space="preserve">  </w:t>
      </w:r>
      <w:r>
        <w:rPr>
          <w:rFonts w:ascii="宋体" w:hAnsi="宋体" w:hint="eastAsia"/>
          <w:bCs/>
          <w:sz w:val="32"/>
          <w:szCs w:val="32"/>
          <w:u w:val="single"/>
        </w:rPr>
        <w:t xml:space="preserve">        </w:t>
      </w:r>
    </w:p>
    <w:p>
      <w:pPr>
        <w:snapToGrid w:val="0"/>
        <w:spacing w:before="163" w:beforeLines="50" w:after="163" w:afterLines="50"/>
        <w:rPr>
          <w:rFonts w:ascii="宋体" w:hAnsi="宋体"/>
          <w:bCs/>
          <w:sz w:val="32"/>
          <w:szCs w:val="32"/>
          <w:u w:val="single"/>
        </w:rPr>
      </w:pPr>
      <w:r>
        <w:rPr>
          <w:rFonts w:ascii="宋体" w:hAnsi="宋体" w:hint="eastAsia"/>
          <w:bCs/>
          <w:sz w:val="32"/>
          <w:szCs w:val="32"/>
        </w:rPr>
        <w:t xml:space="preserve">        审  核  人 ：</w:t>
      </w:r>
      <w:r>
        <w:rPr>
          <w:rFonts w:hint="eastAsia"/>
          <w:bCs/>
          <w:sz w:val="32"/>
          <w:szCs w:val="32"/>
          <w:u w:val="single"/>
        </w:rPr>
        <w:t xml:space="preserve">      </w:t>
      </w:r>
      <w:r>
        <w:rPr>
          <w:bCs/>
          <w:sz w:val="32"/>
          <w:szCs w:val="32"/>
          <w:u w:val="single"/>
        </w:rPr>
        <w:t xml:space="preserve"> </w:t>
      </w:r>
      <w:r>
        <w:rPr>
          <w:rFonts w:hint="eastAsia"/>
          <w:bCs/>
          <w:sz w:val="32"/>
          <w:szCs w:val="32"/>
          <w:u w:val="single"/>
        </w:rPr>
        <w:t xml:space="preserve"> </w:t>
      </w:r>
      <w:r>
        <w:rPr>
          <w:bCs/>
          <w:sz w:val="32"/>
          <w:szCs w:val="32"/>
          <w:u w:val="single"/>
        </w:rPr>
        <w:t xml:space="preserve">       </w:t>
      </w:r>
      <w:r>
        <w:rPr>
          <w:rFonts w:ascii="宋体" w:hAnsi="宋体"/>
          <w:bCs/>
          <w:sz w:val="32"/>
          <w:szCs w:val="32"/>
        </w:rPr>
        <w:t xml:space="preserve">  </w:t>
      </w:r>
      <w:r>
        <w:rPr>
          <w:rFonts w:ascii="宋体" w:hAnsi="宋体" w:hint="eastAsia"/>
          <w:bCs/>
          <w:sz w:val="32"/>
          <w:szCs w:val="32"/>
        </w:rPr>
        <w:t xml:space="preserve">     </w:t>
      </w:r>
    </w:p>
    <w:p>
      <w:pPr>
        <w:snapToGrid w:val="0"/>
        <w:spacing w:before="163" w:beforeLines="50" w:after="163" w:afterLines="50"/>
        <w:rPr>
          <w:rFonts w:ascii="宋体" w:hAnsi="宋体" w:cs="宋体"/>
          <w:b/>
          <w:kern w:val="0"/>
        </w:rPr>
      </w:pPr>
      <w:r>
        <w:rPr>
          <w:rFonts w:ascii="宋体" w:hAnsi="宋体" w:hint="eastAsia"/>
          <w:bCs/>
          <w:sz w:val="32"/>
          <w:szCs w:val="32"/>
        </w:rPr>
        <w:t xml:space="preserve">        审  批  人 ：</w:t>
      </w:r>
      <w:r>
        <w:rPr>
          <w:rFonts w:ascii="宋体" w:hAnsi="宋体" w:hint="eastAsia"/>
          <w:bCs/>
          <w:sz w:val="32"/>
          <w:szCs w:val="32"/>
          <w:u w:val="single"/>
        </w:rPr>
        <w:t xml:space="preserve">   </w:t>
      </w:r>
      <w:r>
        <w:rPr>
          <w:rFonts w:ascii="宋体" w:hAnsi="宋体"/>
          <w:bCs/>
          <w:sz w:val="32"/>
          <w:szCs w:val="32"/>
          <w:u w:val="single"/>
        </w:rPr>
        <w:t xml:space="preserve">    </w:t>
      </w:r>
      <w:r>
        <w:rPr>
          <w:rFonts w:ascii="宋体" w:hAnsi="宋体" w:hint="eastAsia"/>
          <w:bCs/>
          <w:sz w:val="32"/>
          <w:szCs w:val="32"/>
          <w:u w:val="single"/>
        </w:rPr>
        <w:t xml:space="preserve">        </w:t>
      </w:r>
      <w:bookmarkStart w:id="0" w:name="_Toc17236"/>
      <w:r>
        <w:rPr>
          <w:rFonts w:ascii="宋体" w:hAnsi="宋体"/>
          <w:bCs/>
          <w:sz w:val="32"/>
          <w:szCs w:val="32"/>
          <w:u w:val="single"/>
        </w:rPr>
        <w:t xml:space="preserve">         </w:t>
      </w:r>
    </w:p>
    <w:p>
      <w:pPr>
        <w:snapToGrid w:val="0"/>
        <w:spacing w:before="163" w:beforeLines="50" w:after="163" w:afterLines="50"/>
        <w:rPr>
          <w:sz w:val="32"/>
          <w:szCs w:val="32"/>
          <w:u w:val="single"/>
        </w:rPr>
      </w:pPr>
    </w:p>
    <w:p>
      <w:pPr>
        <w:snapToGrid w:val="0"/>
        <w:spacing w:before="163" w:beforeLines="50" w:after="163" w:afterLines="50"/>
        <w:rPr>
          <w:sz w:val="32"/>
          <w:szCs w:val="32"/>
          <w:u w:val="single"/>
        </w:rPr>
      </w:pPr>
    </w:p>
    <w:p>
      <w:pPr>
        <w:snapToGrid w:val="0"/>
        <w:spacing w:before="163" w:beforeLines="50" w:after="163" w:afterLines="50"/>
        <w:rPr>
          <w:sz w:val="32"/>
          <w:szCs w:val="32"/>
          <w:u w:val="single"/>
        </w:rPr>
        <w:sectPr>
          <w:headerReference w:type="default" r:id="rId5"/>
          <w:footerReference w:type="default" r:id="rId6"/>
          <w:pgSz w:w="11850" w:h="16783"/>
          <w:pgMar w:top="1440" w:right="1080" w:bottom="1440" w:left="1080" w:header="851" w:footer="992" w:gutter="567"/>
          <w:pgNumType w:start="1"/>
          <w:cols w:num="1" w:space="720"/>
          <w:docGrid w:type="linesAndChars" w:linePitch="326" w:charSpace="0"/>
        </w:sectPr>
      </w:pPr>
    </w:p>
    <w:p>
      <w:pPr>
        <w:snapToGrid w:val="0"/>
        <w:spacing w:before="163" w:beforeLines="50" w:after="163" w:afterLines="50"/>
        <w:rPr>
          <w:rFonts w:ascii="宋体" w:hAnsi="宋体"/>
          <w:bCs/>
          <w:sz w:val="32"/>
          <w:szCs w:val="32"/>
          <w:u w:val="single"/>
        </w:rPr>
      </w:pPr>
    </w:p>
    <w:p>
      <w:pPr>
        <w:spacing w:line="360" w:lineRule="auto"/>
        <w:ind w:firstLine="640" w:firstLineChars="200"/>
        <w:jc w:val="center"/>
        <w:rPr>
          <w:rFonts w:ascii="宋体" w:hAnsi="宋体" w:cs="宋体"/>
          <w:sz w:val="32"/>
          <w:szCs w:val="32"/>
        </w:rPr>
      </w:pPr>
      <w:r>
        <w:rPr>
          <w:rFonts w:ascii="宋体" w:hAnsi="宋体" w:cs="宋体" w:hint="eastAsia"/>
          <w:sz w:val="32"/>
          <w:szCs w:val="32"/>
        </w:rPr>
        <w:t>目录</w:t>
      </w:r>
    </w:p>
    <w:p>
      <w:pPr>
        <w:pStyle w:val="TOC1"/>
        <w:tabs>
          <w:tab w:val="right" w:leader="dot" w:pos="9113"/>
        </w:tabs>
        <w:spacing w:line="340" w:lineRule="exact"/>
        <w:rPr>
          <w:rFonts w:asciiTheme="minorHAnsi" w:eastAsiaTheme="minorEastAsia" w:hAnsiTheme="minorHAnsi" w:cstheme="minorBidi"/>
          <w:b w:val="0"/>
          <w:sz w:val="24"/>
        </w:rPr>
      </w:pPr>
      <w:r>
        <w:rPr>
          <w:rFonts w:ascii="宋体" w:hAnsi="宋体" w:cs="宋体"/>
          <w:sz w:val="32"/>
          <w:szCs w:val="32"/>
        </w:rPr>
        <w:fldChar w:fldCharType="begin"/>
      </w:r>
      <w:r>
        <w:rPr>
          <w:rFonts w:ascii="宋体" w:hAnsi="宋体" w:cs="宋体"/>
          <w:sz w:val="32"/>
          <w:szCs w:val="32"/>
        </w:rPr>
        <w:instrText xml:space="preserve"> TOC \o "1-2" \h \z \u </w:instrText>
      </w:r>
      <w:r>
        <w:rPr>
          <w:rFonts w:ascii="宋体" w:hAnsi="宋体" w:cs="宋体"/>
          <w:sz w:val="32"/>
          <w:szCs w:val="32"/>
        </w:rPr>
        <w:fldChar w:fldCharType="separate"/>
      </w:r>
      <w:hyperlink w:anchor="_Toc52134196" w:history="1">
        <w:r>
          <w:rPr>
            <w:rStyle w:val="Hyperlink"/>
            <w:rFonts w:ascii="宋体" w:hAnsi="宋体" w:cs="宋体"/>
            <w:sz w:val="24"/>
          </w:rPr>
          <w:t>一、工程概况</w:t>
        </w:r>
        <w:r>
          <w:rPr>
            <w:sz w:val="24"/>
          </w:rPr>
          <w:tab/>
        </w:r>
        <w:r>
          <w:rPr>
            <w:sz w:val="24"/>
          </w:rPr>
          <w:fldChar w:fldCharType="begin"/>
        </w:r>
        <w:r>
          <w:rPr>
            <w:sz w:val="24"/>
          </w:rPr>
          <w:instrText xml:space="preserve"> PAGEREF _Toc52134196 \h </w:instrText>
        </w:r>
        <w:r>
          <w:rPr>
            <w:sz w:val="24"/>
          </w:rPr>
          <w:fldChar w:fldCharType="separate"/>
        </w:r>
        <w:r>
          <w:rPr>
            <w:sz w:val="24"/>
          </w:rPr>
          <w:t>3</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197" w:history="1">
        <w:r>
          <w:rPr>
            <w:rStyle w:val="Hyperlink"/>
            <w:rFonts w:ascii="宋体" w:hAnsi="宋体" w:cs="宋体"/>
            <w:kern w:val="44"/>
            <w:sz w:val="24"/>
          </w:rPr>
          <w:t>1、工程简介</w:t>
        </w:r>
        <w:r>
          <w:rPr>
            <w:sz w:val="24"/>
          </w:rPr>
          <w:tab/>
        </w:r>
        <w:r>
          <w:rPr>
            <w:sz w:val="24"/>
          </w:rPr>
          <w:fldChar w:fldCharType="begin"/>
        </w:r>
        <w:r>
          <w:rPr>
            <w:sz w:val="24"/>
          </w:rPr>
          <w:instrText xml:space="preserve"> PAGEREF _Toc52134197 \h </w:instrText>
        </w:r>
        <w:r>
          <w:rPr>
            <w:sz w:val="24"/>
          </w:rPr>
          <w:fldChar w:fldCharType="separate"/>
        </w:r>
        <w:r>
          <w:rPr>
            <w:sz w:val="24"/>
          </w:rPr>
          <w:t>3</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198" w:history="1">
        <w:r>
          <w:rPr>
            <w:rStyle w:val="Hyperlink"/>
            <w:sz w:val="24"/>
          </w:rPr>
          <w:t>2、编制依据</w:t>
        </w:r>
        <w:r>
          <w:rPr>
            <w:sz w:val="24"/>
          </w:rPr>
          <w:tab/>
        </w:r>
        <w:r>
          <w:rPr>
            <w:sz w:val="24"/>
          </w:rPr>
          <w:fldChar w:fldCharType="begin"/>
        </w:r>
        <w:r>
          <w:rPr>
            <w:sz w:val="24"/>
          </w:rPr>
          <w:instrText xml:space="preserve"> PAGEREF _Toc52134198 \h </w:instrText>
        </w:r>
        <w:r>
          <w:rPr>
            <w:sz w:val="24"/>
          </w:rPr>
          <w:fldChar w:fldCharType="separate"/>
        </w:r>
        <w:r>
          <w:rPr>
            <w:sz w:val="24"/>
          </w:rPr>
          <w:t>3</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199" w:history="1">
        <w:r>
          <w:rPr>
            <w:rStyle w:val="Hyperlink"/>
            <w:sz w:val="24"/>
          </w:rPr>
          <w:t>3、设计原则</w:t>
        </w:r>
        <w:r>
          <w:rPr>
            <w:sz w:val="24"/>
          </w:rPr>
          <w:tab/>
        </w:r>
        <w:r>
          <w:rPr>
            <w:sz w:val="24"/>
          </w:rPr>
          <w:fldChar w:fldCharType="begin"/>
        </w:r>
        <w:r>
          <w:rPr>
            <w:sz w:val="24"/>
          </w:rPr>
          <w:instrText xml:space="preserve"> PAGEREF _Toc52134199 \h </w:instrText>
        </w:r>
        <w:r>
          <w:rPr>
            <w:sz w:val="24"/>
          </w:rPr>
          <w:fldChar w:fldCharType="separate"/>
        </w:r>
        <w:r>
          <w:rPr>
            <w:sz w:val="24"/>
          </w:rPr>
          <w:t>3</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00" w:history="1">
        <w:r>
          <w:rPr>
            <w:rStyle w:val="Hyperlink"/>
            <w:sz w:val="24"/>
          </w:rPr>
          <w:t>4、临时用电现场勘测</w:t>
        </w:r>
        <w:r>
          <w:rPr>
            <w:sz w:val="24"/>
          </w:rPr>
          <w:tab/>
        </w:r>
        <w:r>
          <w:rPr>
            <w:sz w:val="24"/>
          </w:rPr>
          <w:fldChar w:fldCharType="begin"/>
        </w:r>
        <w:r>
          <w:rPr>
            <w:sz w:val="24"/>
          </w:rPr>
          <w:instrText xml:space="preserve"> PAGEREF _Toc52134200 \h </w:instrText>
        </w:r>
        <w:r>
          <w:rPr>
            <w:sz w:val="24"/>
          </w:rPr>
          <w:fldChar w:fldCharType="separate"/>
        </w:r>
        <w:r>
          <w:rPr>
            <w:sz w:val="24"/>
          </w:rPr>
          <w:t>3</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01" w:history="1">
        <w:r>
          <w:rPr>
            <w:rStyle w:val="Hyperlink"/>
            <w:sz w:val="24"/>
          </w:rPr>
          <w:t>5、临时用电总体部署</w:t>
        </w:r>
        <w:r>
          <w:rPr>
            <w:sz w:val="24"/>
          </w:rPr>
          <w:tab/>
        </w:r>
        <w:r>
          <w:rPr>
            <w:sz w:val="24"/>
          </w:rPr>
          <w:fldChar w:fldCharType="begin"/>
        </w:r>
        <w:r>
          <w:rPr>
            <w:sz w:val="24"/>
          </w:rPr>
          <w:instrText xml:space="preserve"> PAGEREF _Toc52134201 \h </w:instrText>
        </w:r>
        <w:r>
          <w:rPr>
            <w:sz w:val="24"/>
          </w:rPr>
          <w:fldChar w:fldCharType="separate"/>
        </w:r>
        <w:r>
          <w:rPr>
            <w:sz w:val="24"/>
          </w:rPr>
          <w:t>4</w:t>
        </w:r>
        <w:r>
          <w:rPr>
            <w:sz w:val="24"/>
          </w:rPr>
          <w:fldChar w:fldCharType="end"/>
        </w:r>
      </w:hyperlink>
    </w:p>
    <w:p>
      <w:pPr>
        <w:pStyle w:val="TOC1"/>
        <w:tabs>
          <w:tab w:val="right" w:leader="dot" w:pos="9113"/>
        </w:tabs>
        <w:spacing w:line="340" w:lineRule="exact"/>
        <w:rPr>
          <w:rFonts w:asciiTheme="minorHAnsi" w:eastAsiaTheme="minorEastAsia" w:hAnsiTheme="minorHAnsi" w:cstheme="minorBidi"/>
          <w:b w:val="0"/>
          <w:sz w:val="24"/>
        </w:rPr>
      </w:pPr>
      <w:hyperlink w:anchor="_Toc52134202" w:history="1">
        <w:r>
          <w:rPr>
            <w:rStyle w:val="Hyperlink"/>
            <w:rFonts w:ascii="宋体" w:hAnsi="宋体" w:cs="宋体"/>
            <w:sz w:val="24"/>
          </w:rPr>
          <w:t>二、施工现场临时用电负荷计算</w:t>
        </w:r>
        <w:r>
          <w:rPr>
            <w:sz w:val="24"/>
          </w:rPr>
          <w:tab/>
        </w:r>
        <w:r>
          <w:rPr>
            <w:sz w:val="24"/>
          </w:rPr>
          <w:fldChar w:fldCharType="begin"/>
        </w:r>
        <w:r>
          <w:rPr>
            <w:sz w:val="24"/>
          </w:rPr>
          <w:instrText xml:space="preserve"> PAGEREF _Toc52134202 \h </w:instrText>
        </w:r>
        <w:r>
          <w:rPr>
            <w:sz w:val="24"/>
          </w:rPr>
          <w:fldChar w:fldCharType="separate"/>
        </w:r>
        <w:r>
          <w:rPr>
            <w:sz w:val="24"/>
          </w:rPr>
          <w:t>4</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03" w:history="1">
        <w:r>
          <w:rPr>
            <w:rStyle w:val="Hyperlink"/>
            <w:sz w:val="24"/>
          </w:rPr>
          <w:t>1、各施工阶段用电设备投入情况</w:t>
        </w:r>
        <w:r>
          <w:rPr>
            <w:sz w:val="24"/>
          </w:rPr>
          <w:tab/>
        </w:r>
        <w:r>
          <w:rPr>
            <w:sz w:val="24"/>
          </w:rPr>
          <w:fldChar w:fldCharType="begin"/>
        </w:r>
        <w:r>
          <w:rPr>
            <w:sz w:val="24"/>
          </w:rPr>
          <w:instrText xml:space="preserve"> PAGEREF _Toc52134203 \h </w:instrText>
        </w:r>
        <w:r>
          <w:rPr>
            <w:sz w:val="24"/>
          </w:rPr>
          <w:fldChar w:fldCharType="separate"/>
        </w:r>
        <w:r>
          <w:rPr>
            <w:sz w:val="24"/>
          </w:rPr>
          <w:t>4</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04" w:history="1">
        <w:r>
          <w:rPr>
            <w:rStyle w:val="Hyperlink"/>
            <w:sz w:val="24"/>
          </w:rPr>
          <w:t>2、变压器选择及容量复核</w:t>
        </w:r>
        <w:r>
          <w:rPr>
            <w:sz w:val="24"/>
          </w:rPr>
          <w:tab/>
        </w:r>
        <w:r>
          <w:rPr>
            <w:sz w:val="24"/>
          </w:rPr>
          <w:fldChar w:fldCharType="begin"/>
        </w:r>
        <w:r>
          <w:rPr>
            <w:sz w:val="24"/>
          </w:rPr>
          <w:instrText xml:space="preserve"> PAGEREF _Toc52134204 \h </w:instrText>
        </w:r>
        <w:r>
          <w:rPr>
            <w:sz w:val="24"/>
          </w:rPr>
          <w:fldChar w:fldCharType="separate"/>
        </w:r>
        <w:r>
          <w:rPr>
            <w:sz w:val="24"/>
          </w:rPr>
          <w:t>5</w:t>
        </w:r>
        <w:r>
          <w:rPr>
            <w:sz w:val="24"/>
          </w:rPr>
          <w:fldChar w:fldCharType="end"/>
        </w:r>
      </w:hyperlink>
    </w:p>
    <w:p>
      <w:pPr>
        <w:pStyle w:val="TOC1"/>
        <w:tabs>
          <w:tab w:val="right" w:leader="dot" w:pos="9113"/>
        </w:tabs>
        <w:spacing w:line="340" w:lineRule="exact"/>
        <w:rPr>
          <w:rFonts w:asciiTheme="minorHAnsi" w:eastAsiaTheme="minorEastAsia" w:hAnsiTheme="minorHAnsi" w:cstheme="minorBidi"/>
          <w:b w:val="0"/>
          <w:sz w:val="24"/>
        </w:rPr>
      </w:pPr>
      <w:hyperlink w:anchor="_Toc52134205" w:history="1">
        <w:r>
          <w:rPr>
            <w:rStyle w:val="Hyperlink"/>
            <w:rFonts w:ascii="宋体" w:hAnsi="宋体" w:cs="宋体"/>
            <w:sz w:val="24"/>
          </w:rPr>
          <w:t>三、 施工现场临时用电准备工作及线路布设</w:t>
        </w:r>
        <w:r>
          <w:rPr>
            <w:sz w:val="24"/>
          </w:rPr>
          <w:tab/>
        </w:r>
        <w:r>
          <w:rPr>
            <w:sz w:val="24"/>
          </w:rPr>
          <w:fldChar w:fldCharType="begin"/>
        </w:r>
        <w:r>
          <w:rPr>
            <w:sz w:val="24"/>
          </w:rPr>
          <w:instrText xml:space="preserve"> PAGEREF _Toc52134205 \h </w:instrText>
        </w:r>
        <w:r>
          <w:rPr>
            <w:sz w:val="24"/>
          </w:rPr>
          <w:fldChar w:fldCharType="separate"/>
        </w:r>
        <w:r>
          <w:rPr>
            <w:sz w:val="24"/>
          </w:rPr>
          <w:t>7</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06" w:history="1">
        <w:r>
          <w:rPr>
            <w:rStyle w:val="Hyperlink"/>
            <w:sz w:val="24"/>
          </w:rPr>
          <w:t>1、临时用电材料准备</w:t>
        </w:r>
        <w:r>
          <w:rPr>
            <w:sz w:val="24"/>
          </w:rPr>
          <w:tab/>
        </w:r>
        <w:r>
          <w:rPr>
            <w:sz w:val="24"/>
          </w:rPr>
          <w:fldChar w:fldCharType="begin"/>
        </w:r>
        <w:r>
          <w:rPr>
            <w:sz w:val="24"/>
          </w:rPr>
          <w:instrText xml:space="preserve"> PAGEREF _Toc52134206 \h </w:instrText>
        </w:r>
        <w:r>
          <w:rPr>
            <w:sz w:val="24"/>
          </w:rPr>
          <w:fldChar w:fldCharType="separate"/>
        </w:r>
        <w:r>
          <w:rPr>
            <w:sz w:val="24"/>
          </w:rPr>
          <w:t>7</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07" w:history="1">
        <w:r>
          <w:rPr>
            <w:rStyle w:val="Hyperlink"/>
            <w:sz w:val="24"/>
          </w:rPr>
          <w:t>2、临时用电布设及各回路所承担负荷</w:t>
        </w:r>
        <w:r>
          <w:rPr>
            <w:sz w:val="24"/>
          </w:rPr>
          <w:tab/>
        </w:r>
        <w:r>
          <w:rPr>
            <w:sz w:val="24"/>
          </w:rPr>
          <w:fldChar w:fldCharType="begin"/>
        </w:r>
        <w:r>
          <w:rPr>
            <w:sz w:val="24"/>
          </w:rPr>
          <w:instrText xml:space="preserve"> PAGEREF _Toc52134207 \h </w:instrText>
        </w:r>
        <w:r>
          <w:rPr>
            <w:sz w:val="24"/>
          </w:rPr>
          <w:fldChar w:fldCharType="separate"/>
        </w:r>
        <w:r>
          <w:rPr>
            <w:sz w:val="24"/>
          </w:rPr>
          <w:t>8</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08" w:history="1">
        <w:r>
          <w:rPr>
            <w:rStyle w:val="Hyperlink"/>
            <w:sz w:val="24"/>
          </w:rPr>
          <w:t>3、电缆规格型号的选择</w:t>
        </w:r>
        <w:r>
          <w:rPr>
            <w:sz w:val="24"/>
          </w:rPr>
          <w:tab/>
        </w:r>
        <w:r>
          <w:rPr>
            <w:sz w:val="24"/>
          </w:rPr>
          <w:fldChar w:fldCharType="begin"/>
        </w:r>
        <w:r>
          <w:rPr>
            <w:sz w:val="24"/>
          </w:rPr>
          <w:instrText xml:space="preserve"> PAGEREF _Toc52134208 \h </w:instrText>
        </w:r>
        <w:r>
          <w:rPr>
            <w:sz w:val="24"/>
          </w:rPr>
          <w:fldChar w:fldCharType="separate"/>
        </w:r>
        <w:r>
          <w:rPr>
            <w:sz w:val="24"/>
          </w:rPr>
          <w:t>10</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09" w:history="1">
        <w:r>
          <w:rPr>
            <w:rStyle w:val="Hyperlink"/>
            <w:sz w:val="24"/>
          </w:rPr>
          <w:t>4、临时用电室内导线敷设及照明装置</w:t>
        </w:r>
        <w:r>
          <w:rPr>
            <w:sz w:val="24"/>
          </w:rPr>
          <w:tab/>
        </w:r>
        <w:r>
          <w:rPr>
            <w:sz w:val="24"/>
          </w:rPr>
          <w:fldChar w:fldCharType="begin"/>
        </w:r>
        <w:r>
          <w:rPr>
            <w:sz w:val="24"/>
          </w:rPr>
          <w:instrText xml:space="preserve"> PAGEREF _Toc52134209 \h </w:instrText>
        </w:r>
        <w:r>
          <w:rPr>
            <w:sz w:val="24"/>
          </w:rPr>
          <w:fldChar w:fldCharType="separate"/>
        </w:r>
        <w:r>
          <w:rPr>
            <w:sz w:val="24"/>
          </w:rPr>
          <w:t>13</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10" w:history="1">
        <w:r>
          <w:rPr>
            <w:rStyle w:val="Hyperlink"/>
            <w:sz w:val="24"/>
          </w:rPr>
          <w:t>5、临时用电接地与防雷设计</w:t>
        </w:r>
        <w:r>
          <w:rPr>
            <w:sz w:val="24"/>
          </w:rPr>
          <w:tab/>
        </w:r>
        <w:r>
          <w:rPr>
            <w:sz w:val="24"/>
          </w:rPr>
          <w:fldChar w:fldCharType="begin"/>
        </w:r>
        <w:r>
          <w:rPr>
            <w:sz w:val="24"/>
          </w:rPr>
          <w:instrText xml:space="preserve"> PAGEREF _Toc52134210 \h </w:instrText>
        </w:r>
        <w:r>
          <w:rPr>
            <w:sz w:val="24"/>
          </w:rPr>
          <w:fldChar w:fldCharType="separate"/>
        </w:r>
        <w:r>
          <w:rPr>
            <w:sz w:val="24"/>
          </w:rPr>
          <w:t>14</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11" w:history="1">
        <w:r>
          <w:rPr>
            <w:rStyle w:val="Hyperlink"/>
            <w:sz w:val="24"/>
          </w:rPr>
          <w:t>6、配电室的电气要求</w:t>
        </w:r>
        <w:r>
          <w:rPr>
            <w:sz w:val="24"/>
          </w:rPr>
          <w:tab/>
        </w:r>
        <w:r>
          <w:rPr>
            <w:sz w:val="24"/>
          </w:rPr>
          <w:fldChar w:fldCharType="begin"/>
        </w:r>
        <w:r>
          <w:rPr>
            <w:sz w:val="24"/>
          </w:rPr>
          <w:instrText xml:space="preserve"> PAGEREF _Toc52134211 \h </w:instrText>
        </w:r>
        <w:r>
          <w:rPr>
            <w:sz w:val="24"/>
          </w:rPr>
          <w:fldChar w:fldCharType="separate"/>
        </w:r>
        <w:r>
          <w:rPr>
            <w:sz w:val="24"/>
          </w:rPr>
          <w:t>15</w:t>
        </w:r>
        <w:r>
          <w:rPr>
            <w:sz w:val="24"/>
          </w:rPr>
          <w:fldChar w:fldCharType="end"/>
        </w:r>
      </w:hyperlink>
    </w:p>
    <w:p>
      <w:pPr>
        <w:pStyle w:val="TOC1"/>
        <w:tabs>
          <w:tab w:val="right" w:leader="dot" w:pos="9113"/>
        </w:tabs>
        <w:spacing w:line="340" w:lineRule="exact"/>
        <w:rPr>
          <w:rFonts w:asciiTheme="minorHAnsi" w:eastAsiaTheme="minorEastAsia" w:hAnsiTheme="minorHAnsi" w:cstheme="minorBidi"/>
          <w:b w:val="0"/>
          <w:sz w:val="24"/>
        </w:rPr>
      </w:pPr>
      <w:hyperlink w:anchor="_Toc52134212" w:history="1">
        <w:r>
          <w:rPr>
            <w:rStyle w:val="Hyperlink"/>
            <w:sz w:val="24"/>
          </w:rPr>
          <w:t>四、施工现场临时用电配电箱、开关箱设置</w:t>
        </w:r>
        <w:r>
          <w:rPr>
            <w:sz w:val="24"/>
          </w:rPr>
          <w:tab/>
        </w:r>
        <w:r>
          <w:rPr>
            <w:sz w:val="24"/>
          </w:rPr>
          <w:fldChar w:fldCharType="begin"/>
        </w:r>
        <w:r>
          <w:rPr>
            <w:sz w:val="24"/>
          </w:rPr>
          <w:instrText xml:space="preserve"> PAGEREF _Toc52134212 \h </w:instrText>
        </w:r>
        <w:r>
          <w:rPr>
            <w:sz w:val="24"/>
          </w:rPr>
          <w:fldChar w:fldCharType="separate"/>
        </w:r>
        <w:r>
          <w:rPr>
            <w:sz w:val="24"/>
          </w:rPr>
          <w:t>15</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13" w:history="1">
        <w:r>
          <w:rPr>
            <w:rStyle w:val="Hyperlink"/>
            <w:sz w:val="24"/>
          </w:rPr>
          <w:t>1、总原则</w:t>
        </w:r>
        <w:r>
          <w:rPr>
            <w:sz w:val="24"/>
          </w:rPr>
          <w:tab/>
        </w:r>
        <w:r>
          <w:rPr>
            <w:sz w:val="24"/>
          </w:rPr>
          <w:fldChar w:fldCharType="begin"/>
        </w:r>
        <w:r>
          <w:rPr>
            <w:sz w:val="24"/>
          </w:rPr>
          <w:instrText xml:space="preserve"> PAGEREF _Toc52134213 \h </w:instrText>
        </w:r>
        <w:r>
          <w:rPr>
            <w:sz w:val="24"/>
          </w:rPr>
          <w:fldChar w:fldCharType="separate"/>
        </w:r>
        <w:r>
          <w:rPr>
            <w:sz w:val="24"/>
          </w:rPr>
          <w:t>15</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14" w:history="1">
        <w:r>
          <w:rPr>
            <w:rStyle w:val="Hyperlink"/>
            <w:sz w:val="24"/>
          </w:rPr>
          <w:t>2、漏电保护器配置</w:t>
        </w:r>
        <w:r>
          <w:rPr>
            <w:sz w:val="24"/>
          </w:rPr>
          <w:tab/>
        </w:r>
        <w:r>
          <w:rPr>
            <w:sz w:val="24"/>
          </w:rPr>
          <w:fldChar w:fldCharType="begin"/>
        </w:r>
        <w:r>
          <w:rPr>
            <w:sz w:val="24"/>
          </w:rPr>
          <w:instrText xml:space="preserve"> PAGEREF _Toc52134214 \h </w:instrText>
        </w:r>
        <w:r>
          <w:rPr>
            <w:sz w:val="24"/>
          </w:rPr>
          <w:fldChar w:fldCharType="separate"/>
        </w:r>
        <w:r>
          <w:rPr>
            <w:sz w:val="24"/>
          </w:rPr>
          <w:t>16</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15" w:history="1">
        <w:r>
          <w:rPr>
            <w:rStyle w:val="Hyperlink"/>
            <w:sz w:val="24"/>
          </w:rPr>
          <w:t>3、电箱标识及内容分布</w:t>
        </w:r>
        <w:r>
          <w:rPr>
            <w:sz w:val="24"/>
          </w:rPr>
          <w:tab/>
        </w:r>
        <w:r>
          <w:rPr>
            <w:sz w:val="24"/>
          </w:rPr>
          <w:fldChar w:fldCharType="begin"/>
        </w:r>
        <w:r>
          <w:rPr>
            <w:sz w:val="24"/>
          </w:rPr>
          <w:instrText xml:space="preserve"> PAGEREF _Toc52134215 \h </w:instrText>
        </w:r>
        <w:r>
          <w:rPr>
            <w:sz w:val="24"/>
          </w:rPr>
          <w:fldChar w:fldCharType="separate"/>
        </w:r>
        <w:r>
          <w:rPr>
            <w:sz w:val="24"/>
          </w:rPr>
          <w:t>16</w:t>
        </w:r>
        <w:r>
          <w:rPr>
            <w:sz w:val="24"/>
          </w:rPr>
          <w:fldChar w:fldCharType="end"/>
        </w:r>
      </w:hyperlink>
    </w:p>
    <w:p>
      <w:pPr>
        <w:pStyle w:val="TOC1"/>
        <w:tabs>
          <w:tab w:val="right" w:leader="dot" w:pos="9113"/>
        </w:tabs>
        <w:spacing w:line="340" w:lineRule="exact"/>
        <w:rPr>
          <w:rFonts w:asciiTheme="minorHAnsi" w:eastAsiaTheme="minorEastAsia" w:hAnsiTheme="minorHAnsi" w:cstheme="minorBidi"/>
          <w:b w:val="0"/>
          <w:sz w:val="24"/>
        </w:rPr>
      </w:pPr>
      <w:hyperlink w:anchor="_Toc52134216" w:history="1">
        <w:r>
          <w:rPr>
            <w:rStyle w:val="Hyperlink"/>
            <w:sz w:val="24"/>
          </w:rPr>
          <w:t>五、施工现场安全用电措施和电气防火措施</w:t>
        </w:r>
        <w:r>
          <w:rPr>
            <w:sz w:val="24"/>
          </w:rPr>
          <w:tab/>
        </w:r>
        <w:r>
          <w:rPr>
            <w:sz w:val="24"/>
          </w:rPr>
          <w:fldChar w:fldCharType="begin"/>
        </w:r>
        <w:r>
          <w:rPr>
            <w:sz w:val="24"/>
          </w:rPr>
          <w:instrText xml:space="preserve"> PAGEREF _Toc52134216 \h </w:instrText>
        </w:r>
        <w:r>
          <w:rPr>
            <w:sz w:val="24"/>
          </w:rPr>
          <w:fldChar w:fldCharType="separate"/>
        </w:r>
        <w:r>
          <w:rPr>
            <w:sz w:val="24"/>
          </w:rPr>
          <w:t>17</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17" w:history="1">
        <w:r>
          <w:rPr>
            <w:rStyle w:val="Hyperlink"/>
            <w:sz w:val="24"/>
          </w:rPr>
          <w:t>1、安全用电技术措施</w:t>
        </w:r>
        <w:r>
          <w:rPr>
            <w:sz w:val="24"/>
          </w:rPr>
          <w:tab/>
        </w:r>
        <w:r>
          <w:rPr>
            <w:sz w:val="24"/>
          </w:rPr>
          <w:fldChar w:fldCharType="begin"/>
        </w:r>
        <w:r>
          <w:rPr>
            <w:sz w:val="24"/>
          </w:rPr>
          <w:instrText xml:space="preserve"> PAGEREF _Toc52134217 \h </w:instrText>
        </w:r>
        <w:r>
          <w:rPr>
            <w:sz w:val="24"/>
          </w:rPr>
          <w:fldChar w:fldCharType="separate"/>
        </w:r>
        <w:r>
          <w:rPr>
            <w:sz w:val="24"/>
          </w:rPr>
          <w:t>17</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18" w:history="1">
        <w:r>
          <w:rPr>
            <w:rStyle w:val="Hyperlink"/>
            <w:sz w:val="24"/>
          </w:rPr>
          <w:t>2、安全用电组织措施</w:t>
        </w:r>
        <w:r>
          <w:rPr>
            <w:sz w:val="24"/>
          </w:rPr>
          <w:tab/>
        </w:r>
        <w:r>
          <w:rPr>
            <w:sz w:val="24"/>
          </w:rPr>
          <w:fldChar w:fldCharType="begin"/>
        </w:r>
        <w:r>
          <w:rPr>
            <w:sz w:val="24"/>
          </w:rPr>
          <w:instrText xml:space="preserve"> PAGEREF _Toc52134218 \h </w:instrText>
        </w:r>
        <w:r>
          <w:rPr>
            <w:sz w:val="24"/>
          </w:rPr>
          <w:fldChar w:fldCharType="separate"/>
        </w:r>
        <w:r>
          <w:rPr>
            <w:sz w:val="24"/>
          </w:rPr>
          <w:t>18</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19" w:history="1">
        <w:r>
          <w:rPr>
            <w:rStyle w:val="Hyperlink"/>
            <w:sz w:val="24"/>
          </w:rPr>
          <w:t>3、电气防火技术措施</w:t>
        </w:r>
        <w:r>
          <w:rPr>
            <w:sz w:val="24"/>
          </w:rPr>
          <w:tab/>
        </w:r>
        <w:r>
          <w:rPr>
            <w:sz w:val="24"/>
          </w:rPr>
          <w:fldChar w:fldCharType="begin"/>
        </w:r>
        <w:r>
          <w:rPr>
            <w:sz w:val="24"/>
          </w:rPr>
          <w:instrText xml:space="preserve"> PAGEREF _Toc52134219 \h </w:instrText>
        </w:r>
        <w:r>
          <w:rPr>
            <w:sz w:val="24"/>
          </w:rPr>
          <w:fldChar w:fldCharType="separate"/>
        </w:r>
        <w:r>
          <w:rPr>
            <w:sz w:val="24"/>
          </w:rPr>
          <w:t>19</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20" w:history="1">
        <w:r>
          <w:rPr>
            <w:rStyle w:val="Hyperlink"/>
            <w:sz w:val="24"/>
          </w:rPr>
          <w:t>4、电气防火组织措施</w:t>
        </w:r>
        <w:r>
          <w:rPr>
            <w:sz w:val="24"/>
          </w:rPr>
          <w:tab/>
        </w:r>
        <w:r>
          <w:rPr>
            <w:sz w:val="24"/>
          </w:rPr>
          <w:fldChar w:fldCharType="begin"/>
        </w:r>
        <w:r>
          <w:rPr>
            <w:sz w:val="24"/>
          </w:rPr>
          <w:instrText xml:space="preserve"> PAGEREF _Toc52134220 \h </w:instrText>
        </w:r>
        <w:r>
          <w:rPr>
            <w:sz w:val="24"/>
          </w:rPr>
          <w:fldChar w:fldCharType="separate"/>
        </w:r>
        <w:r>
          <w:rPr>
            <w:sz w:val="24"/>
          </w:rPr>
          <w:t>19</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21" w:history="1">
        <w:r>
          <w:rPr>
            <w:rStyle w:val="Hyperlink"/>
            <w:rFonts w:ascii="黑体" w:hAnsi="黑体" w:cs="黑体"/>
            <w:sz w:val="24"/>
          </w:rPr>
          <w:t>5现场节能措施</w:t>
        </w:r>
        <w:r>
          <w:rPr>
            <w:sz w:val="24"/>
          </w:rPr>
          <w:tab/>
        </w:r>
        <w:r>
          <w:rPr>
            <w:sz w:val="24"/>
          </w:rPr>
          <w:fldChar w:fldCharType="begin"/>
        </w:r>
        <w:r>
          <w:rPr>
            <w:sz w:val="24"/>
          </w:rPr>
          <w:instrText xml:space="preserve"> PAGEREF _Toc52134221 \h </w:instrText>
        </w:r>
        <w:r>
          <w:rPr>
            <w:sz w:val="24"/>
          </w:rPr>
          <w:fldChar w:fldCharType="separate"/>
        </w:r>
        <w:r>
          <w:rPr>
            <w:sz w:val="24"/>
          </w:rPr>
          <w:t>19</w:t>
        </w:r>
        <w:r>
          <w:rPr>
            <w:sz w:val="24"/>
          </w:rPr>
          <w:fldChar w:fldCharType="end"/>
        </w:r>
      </w:hyperlink>
    </w:p>
    <w:p>
      <w:pPr>
        <w:pStyle w:val="TOC1"/>
        <w:tabs>
          <w:tab w:val="right" w:leader="dot" w:pos="9113"/>
        </w:tabs>
        <w:spacing w:line="340" w:lineRule="exact"/>
        <w:rPr>
          <w:rFonts w:asciiTheme="minorHAnsi" w:eastAsiaTheme="minorEastAsia" w:hAnsiTheme="minorHAnsi" w:cstheme="minorBidi"/>
          <w:b w:val="0"/>
          <w:sz w:val="24"/>
        </w:rPr>
      </w:pPr>
      <w:hyperlink w:anchor="_Toc52134222" w:history="1">
        <w:r>
          <w:rPr>
            <w:rStyle w:val="Hyperlink"/>
            <w:sz w:val="24"/>
          </w:rPr>
          <w:t>六、施工现场安全用电注意事项与安全用电技术档案资料</w:t>
        </w:r>
        <w:r>
          <w:rPr>
            <w:sz w:val="24"/>
          </w:rPr>
          <w:tab/>
        </w:r>
        <w:r>
          <w:rPr>
            <w:sz w:val="24"/>
          </w:rPr>
          <w:fldChar w:fldCharType="begin"/>
        </w:r>
        <w:r>
          <w:rPr>
            <w:sz w:val="24"/>
          </w:rPr>
          <w:instrText xml:space="preserve"> PAGEREF _Toc52134222 \h </w:instrText>
        </w:r>
        <w:r>
          <w:rPr>
            <w:sz w:val="24"/>
          </w:rPr>
          <w:fldChar w:fldCharType="separate"/>
        </w:r>
        <w:r>
          <w:rPr>
            <w:sz w:val="24"/>
          </w:rPr>
          <w:t>21</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23" w:history="1">
        <w:r>
          <w:rPr>
            <w:rStyle w:val="Hyperlink"/>
            <w:sz w:val="24"/>
          </w:rPr>
          <w:t>1、安全用电注意事项</w:t>
        </w:r>
        <w:r>
          <w:rPr>
            <w:sz w:val="24"/>
          </w:rPr>
          <w:tab/>
        </w:r>
        <w:r>
          <w:rPr>
            <w:sz w:val="24"/>
          </w:rPr>
          <w:fldChar w:fldCharType="begin"/>
        </w:r>
        <w:r>
          <w:rPr>
            <w:sz w:val="24"/>
          </w:rPr>
          <w:instrText xml:space="preserve"> PAGEREF _Toc52134223 \h </w:instrText>
        </w:r>
        <w:r>
          <w:rPr>
            <w:sz w:val="24"/>
          </w:rPr>
          <w:fldChar w:fldCharType="separate"/>
        </w:r>
        <w:r>
          <w:rPr>
            <w:sz w:val="24"/>
          </w:rPr>
          <w:t>21</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24" w:history="1">
        <w:r>
          <w:rPr>
            <w:rStyle w:val="Hyperlink"/>
            <w:sz w:val="24"/>
          </w:rPr>
          <w:t>2、安全用电技术档案资料</w:t>
        </w:r>
        <w:r>
          <w:rPr>
            <w:sz w:val="24"/>
          </w:rPr>
          <w:tab/>
        </w:r>
        <w:r>
          <w:rPr>
            <w:sz w:val="24"/>
          </w:rPr>
          <w:fldChar w:fldCharType="begin"/>
        </w:r>
        <w:r>
          <w:rPr>
            <w:sz w:val="24"/>
          </w:rPr>
          <w:instrText xml:space="preserve"> PAGEREF _Toc52134224 \h </w:instrText>
        </w:r>
        <w:r>
          <w:rPr>
            <w:sz w:val="24"/>
          </w:rPr>
          <w:fldChar w:fldCharType="separate"/>
        </w:r>
        <w:r>
          <w:rPr>
            <w:sz w:val="24"/>
          </w:rPr>
          <w:t>21</w:t>
        </w:r>
        <w:r>
          <w:rPr>
            <w:sz w:val="24"/>
          </w:rPr>
          <w:fldChar w:fldCharType="end"/>
        </w:r>
      </w:hyperlink>
    </w:p>
    <w:p>
      <w:pPr>
        <w:pStyle w:val="TOC1"/>
        <w:tabs>
          <w:tab w:val="right" w:leader="dot" w:pos="9113"/>
        </w:tabs>
        <w:spacing w:line="340" w:lineRule="exact"/>
        <w:rPr>
          <w:rFonts w:asciiTheme="minorHAnsi" w:eastAsiaTheme="minorEastAsia" w:hAnsiTheme="minorHAnsi" w:cstheme="minorBidi"/>
          <w:b w:val="0"/>
          <w:sz w:val="24"/>
        </w:rPr>
      </w:pPr>
      <w:hyperlink w:anchor="_Toc52134225" w:history="1">
        <w:r>
          <w:rPr>
            <w:rStyle w:val="Hyperlink"/>
            <w:sz w:val="24"/>
          </w:rPr>
          <w:t>七、 临时用电应急预案</w:t>
        </w:r>
        <w:r>
          <w:rPr>
            <w:sz w:val="24"/>
          </w:rPr>
          <w:tab/>
        </w:r>
        <w:r>
          <w:rPr>
            <w:sz w:val="24"/>
          </w:rPr>
          <w:fldChar w:fldCharType="begin"/>
        </w:r>
        <w:r>
          <w:rPr>
            <w:sz w:val="24"/>
          </w:rPr>
          <w:instrText xml:space="preserve"> PAGEREF _Toc52134225 \h </w:instrText>
        </w:r>
        <w:r>
          <w:rPr>
            <w:sz w:val="24"/>
          </w:rPr>
          <w:fldChar w:fldCharType="separate"/>
        </w:r>
        <w:r>
          <w:rPr>
            <w:sz w:val="24"/>
          </w:rPr>
          <w:t>22</w:t>
        </w:r>
        <w:r>
          <w:rPr>
            <w:sz w:val="24"/>
          </w:rPr>
          <w:fldChar w:fldCharType="end"/>
        </w:r>
      </w:hyperlink>
    </w:p>
    <w:p>
      <w:pPr>
        <w:pStyle w:val="TOC1"/>
        <w:tabs>
          <w:tab w:val="right" w:leader="dot" w:pos="9113"/>
        </w:tabs>
        <w:spacing w:line="340" w:lineRule="exact"/>
        <w:rPr>
          <w:rFonts w:asciiTheme="minorHAnsi" w:eastAsiaTheme="minorEastAsia" w:hAnsiTheme="minorHAnsi" w:cstheme="minorBidi"/>
          <w:b w:val="0"/>
          <w:sz w:val="24"/>
        </w:rPr>
      </w:pPr>
      <w:hyperlink w:anchor="_Toc52134226" w:history="1">
        <w:r>
          <w:rPr>
            <w:rStyle w:val="Hyperlink"/>
            <w:sz w:val="24"/>
          </w:rPr>
          <w:t>八、临电施组管理要求</w:t>
        </w:r>
        <w:r>
          <w:rPr>
            <w:sz w:val="24"/>
          </w:rPr>
          <w:tab/>
        </w:r>
        <w:r>
          <w:rPr>
            <w:sz w:val="24"/>
          </w:rPr>
          <w:fldChar w:fldCharType="begin"/>
        </w:r>
        <w:r>
          <w:rPr>
            <w:sz w:val="24"/>
          </w:rPr>
          <w:instrText xml:space="preserve"> PAGEREF _Toc52134226 \h </w:instrText>
        </w:r>
        <w:r>
          <w:rPr>
            <w:sz w:val="24"/>
          </w:rPr>
          <w:fldChar w:fldCharType="separate"/>
        </w:r>
        <w:r>
          <w:rPr>
            <w:sz w:val="24"/>
          </w:rPr>
          <w:t>24</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27" w:history="1">
        <w:r>
          <w:rPr>
            <w:rStyle w:val="Hyperlink"/>
            <w:rFonts w:ascii="黑体" w:hAnsi="黑体" w:cs="黑体"/>
            <w:sz w:val="24"/>
          </w:rPr>
          <w:t>1 临电验收要求</w:t>
        </w:r>
        <w:r>
          <w:rPr>
            <w:sz w:val="24"/>
          </w:rPr>
          <w:tab/>
        </w:r>
        <w:r>
          <w:rPr>
            <w:sz w:val="24"/>
          </w:rPr>
          <w:fldChar w:fldCharType="begin"/>
        </w:r>
        <w:r>
          <w:rPr>
            <w:sz w:val="24"/>
          </w:rPr>
          <w:instrText xml:space="preserve"> PAGEREF _Toc52134227 \h </w:instrText>
        </w:r>
        <w:r>
          <w:rPr>
            <w:sz w:val="24"/>
          </w:rPr>
          <w:fldChar w:fldCharType="separate"/>
        </w:r>
        <w:r>
          <w:rPr>
            <w:sz w:val="24"/>
          </w:rPr>
          <w:t>24</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28" w:history="1">
        <w:r>
          <w:rPr>
            <w:rStyle w:val="Hyperlink"/>
            <w:rFonts w:ascii="黑体" w:hAnsi="黑体" w:cs="黑体"/>
            <w:sz w:val="24"/>
          </w:rPr>
          <w:t>2 临电施组审批及变更</w:t>
        </w:r>
        <w:r>
          <w:rPr>
            <w:sz w:val="24"/>
          </w:rPr>
          <w:tab/>
        </w:r>
        <w:r>
          <w:rPr>
            <w:sz w:val="24"/>
          </w:rPr>
          <w:fldChar w:fldCharType="begin"/>
        </w:r>
        <w:r>
          <w:rPr>
            <w:sz w:val="24"/>
          </w:rPr>
          <w:instrText xml:space="preserve"> PAGEREF _Toc52134228 \h </w:instrText>
        </w:r>
        <w:r>
          <w:rPr>
            <w:sz w:val="24"/>
          </w:rPr>
          <w:fldChar w:fldCharType="separate"/>
        </w:r>
        <w:r>
          <w:rPr>
            <w:sz w:val="24"/>
          </w:rPr>
          <w:t>24</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29" w:history="1">
        <w:r>
          <w:rPr>
            <w:rStyle w:val="Hyperlink"/>
            <w:rFonts w:ascii="黑体" w:hAnsi="黑体"/>
            <w:sz w:val="24"/>
          </w:rPr>
          <w:t xml:space="preserve">3 </w:t>
        </w:r>
        <w:r>
          <w:rPr>
            <w:rStyle w:val="Hyperlink"/>
            <w:sz w:val="24"/>
          </w:rPr>
          <w:t>执行期限</w:t>
        </w:r>
        <w:r>
          <w:rPr>
            <w:sz w:val="24"/>
          </w:rPr>
          <w:tab/>
        </w:r>
        <w:r>
          <w:rPr>
            <w:sz w:val="24"/>
          </w:rPr>
          <w:fldChar w:fldCharType="begin"/>
        </w:r>
        <w:r>
          <w:rPr>
            <w:sz w:val="24"/>
          </w:rPr>
          <w:instrText xml:space="preserve"> PAGEREF _Toc52134229 \h </w:instrText>
        </w:r>
        <w:r>
          <w:rPr>
            <w:sz w:val="24"/>
          </w:rPr>
          <w:fldChar w:fldCharType="separate"/>
        </w:r>
        <w:r>
          <w:rPr>
            <w:sz w:val="24"/>
          </w:rPr>
          <w:t>24</w:t>
        </w:r>
        <w:r>
          <w:rPr>
            <w:sz w:val="24"/>
          </w:rPr>
          <w:fldChar w:fldCharType="end"/>
        </w:r>
      </w:hyperlink>
    </w:p>
    <w:p>
      <w:pPr>
        <w:pStyle w:val="TOC1"/>
        <w:tabs>
          <w:tab w:val="right" w:leader="dot" w:pos="9113"/>
        </w:tabs>
        <w:spacing w:line="340" w:lineRule="exact"/>
        <w:rPr>
          <w:rFonts w:asciiTheme="minorHAnsi" w:eastAsiaTheme="minorEastAsia" w:hAnsiTheme="minorHAnsi" w:cstheme="minorBidi"/>
          <w:b w:val="0"/>
          <w:sz w:val="24"/>
        </w:rPr>
      </w:pPr>
      <w:hyperlink w:anchor="_Toc52134230" w:history="1">
        <w:r>
          <w:rPr>
            <w:rStyle w:val="Hyperlink"/>
            <w:sz w:val="24"/>
          </w:rPr>
          <w:t>九、附图</w:t>
        </w:r>
        <w:r>
          <w:rPr>
            <w:sz w:val="24"/>
          </w:rPr>
          <w:tab/>
        </w:r>
        <w:r>
          <w:rPr>
            <w:sz w:val="24"/>
          </w:rPr>
          <w:fldChar w:fldCharType="begin"/>
        </w:r>
        <w:r>
          <w:rPr>
            <w:sz w:val="24"/>
          </w:rPr>
          <w:instrText xml:space="preserve"> PAGEREF _Toc52134230 \h </w:instrText>
        </w:r>
        <w:r>
          <w:rPr>
            <w:sz w:val="24"/>
          </w:rPr>
          <w:fldChar w:fldCharType="separate"/>
        </w:r>
        <w:r>
          <w:rPr>
            <w:sz w:val="24"/>
          </w:rPr>
          <w:t>25</w:t>
        </w:r>
        <w:r>
          <w:rPr>
            <w:sz w:val="24"/>
          </w:rPr>
          <w:fldChar w:fldCharType="end"/>
        </w:r>
      </w:hyperlink>
    </w:p>
    <w:p>
      <w:pPr>
        <w:pStyle w:val="TOC2"/>
        <w:spacing w:line="340" w:lineRule="exact"/>
        <w:ind w:left="480"/>
        <w:rPr>
          <w:rFonts w:asciiTheme="minorHAnsi" w:eastAsiaTheme="minorEastAsia" w:hAnsiTheme="minorHAnsi" w:cstheme="minorBidi"/>
          <w:sz w:val="24"/>
        </w:rPr>
      </w:pPr>
      <w:hyperlink w:anchor="_Toc52134231" w:history="1">
        <w:r>
          <w:rPr>
            <w:rStyle w:val="Hyperlink"/>
            <w:sz w:val="24"/>
          </w:rPr>
          <w:t>附图A:临电平面布置图</w:t>
        </w:r>
        <w:r>
          <w:rPr>
            <w:sz w:val="24"/>
          </w:rPr>
          <w:tab/>
        </w:r>
        <w:r>
          <w:rPr>
            <w:sz w:val="24"/>
          </w:rPr>
          <w:fldChar w:fldCharType="begin"/>
        </w:r>
        <w:r>
          <w:rPr>
            <w:sz w:val="24"/>
          </w:rPr>
          <w:instrText xml:space="preserve"> PAGEREF _Toc52134231 \h </w:instrText>
        </w:r>
        <w:r>
          <w:rPr>
            <w:sz w:val="24"/>
          </w:rPr>
          <w:fldChar w:fldCharType="separate"/>
        </w:r>
        <w:r>
          <w:rPr>
            <w:sz w:val="24"/>
          </w:rPr>
          <w:t>25</w:t>
        </w:r>
        <w:r>
          <w:rPr>
            <w:sz w:val="24"/>
          </w:rPr>
          <w:fldChar w:fldCharType="end"/>
        </w:r>
      </w:hyperlink>
    </w:p>
    <w:p>
      <w:pPr>
        <w:pStyle w:val="TOC2"/>
        <w:spacing w:line="340" w:lineRule="exact"/>
        <w:ind w:left="480"/>
        <w:rPr>
          <w:rFonts w:asciiTheme="minorHAnsi" w:eastAsiaTheme="minorEastAsia" w:hAnsiTheme="minorHAnsi" w:cstheme="minorBidi"/>
          <w:sz w:val="21"/>
          <w:szCs w:val="22"/>
        </w:rPr>
        <w:sectPr>
          <w:headerReference w:type="default" r:id="rId7"/>
          <w:footerReference w:type="default" r:id="rId8"/>
          <w:type w:val="nextPage"/>
          <w:pgSz w:w="11850" w:h="16783"/>
          <w:pgMar w:top="1440" w:right="1080" w:bottom="1440" w:left="1080" w:header="851" w:footer="992" w:gutter="567"/>
          <w:pgNumType w:start="2"/>
          <w:cols w:num="1" w:space="720"/>
          <w:titlePg w:val="0"/>
          <w:docGrid w:type="linesAndChars" w:linePitch="326" w:charSpace="0"/>
        </w:sectPr>
      </w:pPr>
      <w:hyperlink w:anchor="_Toc52134232" w:history="1">
        <w:r>
          <w:rPr>
            <w:rStyle w:val="Hyperlink"/>
            <w:sz w:val="24"/>
          </w:rPr>
          <w:t>附图B:临电箱系统图</w:t>
        </w:r>
        <w:r>
          <w:rPr>
            <w:sz w:val="24"/>
          </w:rPr>
          <w:tab/>
        </w:r>
        <w:r>
          <w:rPr>
            <w:sz w:val="24"/>
          </w:rPr>
          <w:fldChar w:fldCharType="begin"/>
        </w:r>
        <w:r>
          <w:rPr>
            <w:sz w:val="24"/>
          </w:rPr>
          <w:instrText xml:space="preserve"> PAGEREF _Toc52134232 \h </w:instrText>
        </w:r>
        <w:r>
          <w:rPr>
            <w:sz w:val="24"/>
          </w:rPr>
          <w:fldChar w:fldCharType="separate"/>
        </w:r>
        <w:r>
          <w:rPr>
            <w:sz w:val="24"/>
          </w:rPr>
          <w:t>25</w:t>
        </w:r>
        <w:r>
          <w:rPr>
            <w:sz w:val="24"/>
          </w:rPr>
          <w:fldChar w:fldCharType="end"/>
        </w:r>
      </w:hyperlink>
    </w:p>
    <w:p>
      <w:pPr>
        <w:spacing w:line="360" w:lineRule="auto"/>
        <w:ind w:firstLine="640" w:firstLineChars="200"/>
        <w:rPr>
          <w:rFonts w:ascii="宋体" w:hAnsi="宋体" w:cs="宋体"/>
          <w:sz w:val="32"/>
          <w:szCs w:val="32"/>
        </w:rPr>
      </w:pPr>
      <w:r>
        <w:rPr>
          <w:rFonts w:ascii="宋体" w:hAnsi="宋体" w:cs="宋体"/>
          <w:sz w:val="32"/>
          <w:szCs w:val="32"/>
        </w:rPr>
        <w:fldChar w:fldCharType="end"/>
      </w:r>
    </w:p>
    <w:p>
      <w:pPr>
        <w:pStyle w:val="Heading1"/>
        <w:spacing w:before="0" w:after="0" w:line="360" w:lineRule="auto"/>
        <w:rPr>
          <w:rFonts w:ascii="宋体" w:eastAsia="宋体" w:hAnsi="宋体" w:cs="宋体"/>
          <w:sz w:val="32"/>
          <w:szCs w:val="32"/>
        </w:rPr>
      </w:pPr>
      <w:bookmarkStart w:id="1" w:name="_Toc52134196"/>
      <w:r>
        <w:rPr>
          <w:rFonts w:ascii="宋体" w:eastAsia="宋体" w:hAnsi="宋体" w:cs="宋体" w:hint="eastAsia"/>
          <w:sz w:val="32"/>
          <w:szCs w:val="32"/>
        </w:rPr>
        <w:t>一、</w:t>
      </w:r>
      <w:r>
        <w:rPr>
          <w:rFonts w:ascii="宋体" w:eastAsia="宋体" w:hAnsi="宋体" w:cs="宋体" w:hint="eastAsia"/>
          <w:b/>
          <w:bCs/>
          <w:sz w:val="32"/>
          <w:szCs w:val="32"/>
        </w:rPr>
        <w:t>工程概况</w:t>
      </w:r>
      <w:bookmarkEnd w:id="0"/>
      <w:bookmarkEnd w:id="1"/>
    </w:p>
    <w:p>
      <w:pPr>
        <w:pStyle w:val="Heading2"/>
        <w:spacing w:before="0" w:after="0" w:line="360" w:lineRule="auto"/>
        <w:rPr>
          <w:rFonts w:ascii="宋体" w:hAnsi="宋体"/>
        </w:rPr>
      </w:pPr>
      <w:bookmarkStart w:id="2" w:name="_Toc52134197"/>
      <w:bookmarkStart w:id="3" w:name="_Toc18294"/>
      <w:bookmarkStart w:id="4" w:name="_Toc3383"/>
      <w:r>
        <w:rPr>
          <w:rFonts w:ascii="宋体" w:eastAsia="宋体" w:hAnsi="宋体" w:cs="宋体" w:hint="eastAsia"/>
          <w:kern w:val="44"/>
          <w:sz w:val="32"/>
        </w:rPr>
        <w:t>1、</w:t>
      </w:r>
      <w:r>
        <w:rPr>
          <w:rFonts w:ascii="宋体" w:eastAsia="宋体" w:hAnsi="宋体" w:cs="宋体" w:hint="eastAsia"/>
          <w:b/>
          <w:bCs/>
          <w:kern w:val="44"/>
        </w:rPr>
        <w:t>工程简介</w:t>
      </w:r>
      <w:bookmarkEnd w:id="2"/>
      <w:bookmarkEnd w:id="3"/>
      <w:bookmarkEnd w:id="4"/>
    </w:p>
    <w:p>
      <w:pPr>
        <w:pStyle w:val="Heading2"/>
        <w:spacing w:before="0" w:after="0" w:line="360" w:lineRule="auto"/>
      </w:pPr>
      <w:bookmarkStart w:id="5" w:name="_Toc3379"/>
      <w:bookmarkStart w:id="6" w:name="_Toc13820"/>
      <w:bookmarkStart w:id="7" w:name="_Toc52134198"/>
      <w:r>
        <w:rPr>
          <w:rFonts w:hint="eastAsia"/>
        </w:rPr>
        <w:t>2、编制依据</w:t>
      </w:r>
      <w:bookmarkEnd w:id="5"/>
      <w:bookmarkEnd w:id="6"/>
      <w:bookmarkEnd w:id="7"/>
    </w:p>
    <w:p>
      <w:pPr>
        <w:spacing w:line="360" w:lineRule="auto"/>
        <w:ind w:firstLine="480" w:firstLineChars="200"/>
        <w:jc w:val="left"/>
        <w:rPr>
          <w:rFonts w:ascii="宋体" w:hAnsi="宋体"/>
        </w:rPr>
      </w:pPr>
      <w:r>
        <w:rPr>
          <w:rFonts w:ascii="宋体" w:hAnsi="宋体" w:hint="eastAsia"/>
        </w:rPr>
        <w:t>2.1 《供配电系统设计规范》GB50052-2009。</w:t>
      </w:r>
    </w:p>
    <w:p>
      <w:pPr>
        <w:spacing w:line="360" w:lineRule="auto"/>
        <w:ind w:firstLine="480" w:firstLineChars="200"/>
        <w:jc w:val="left"/>
        <w:rPr>
          <w:rFonts w:ascii="宋体" w:hAnsi="宋体"/>
        </w:rPr>
      </w:pPr>
      <w:r>
        <w:rPr>
          <w:rFonts w:ascii="宋体" w:hAnsi="宋体" w:hint="eastAsia"/>
        </w:rPr>
        <w:t xml:space="preserve">2.2 </w:t>
      </w:r>
      <w:r>
        <w:rPr>
          <w:rFonts w:hint="eastAsia"/>
          <w:bCs/>
          <w:spacing w:val="2"/>
        </w:rPr>
        <w:t>《</w:t>
      </w:r>
      <w:r>
        <w:rPr>
          <w:rFonts w:ascii="宋体" w:hAnsi="宋体" w:hint="eastAsia"/>
        </w:rPr>
        <w:t>低压配电设计规范》GB50054-2011。</w:t>
      </w:r>
    </w:p>
    <w:p>
      <w:pPr>
        <w:spacing w:line="360" w:lineRule="auto"/>
        <w:ind w:firstLine="480" w:firstLineChars="200"/>
        <w:jc w:val="left"/>
        <w:rPr>
          <w:rFonts w:ascii="宋体" w:hAnsi="宋体"/>
        </w:rPr>
      </w:pPr>
      <w:r>
        <w:rPr>
          <w:rFonts w:ascii="宋体" w:hAnsi="宋体" w:hint="eastAsia"/>
        </w:rPr>
        <w:t>2.3 《通用用电设备配电设计规范》GB50055-2011。</w:t>
      </w:r>
    </w:p>
    <w:p>
      <w:pPr>
        <w:spacing w:line="360" w:lineRule="auto"/>
        <w:ind w:firstLine="480" w:firstLineChars="200"/>
        <w:jc w:val="left"/>
        <w:rPr>
          <w:rFonts w:ascii="宋体" w:hAnsi="宋体"/>
        </w:rPr>
      </w:pPr>
      <w:r>
        <w:rPr>
          <w:rFonts w:ascii="宋体" w:hAnsi="宋体" w:hint="eastAsia"/>
        </w:rPr>
        <w:t>2.4 《建筑工程施工现场供用电安全规范》GB50194-2014。</w:t>
      </w:r>
    </w:p>
    <w:p>
      <w:pPr>
        <w:spacing w:line="360" w:lineRule="auto"/>
        <w:ind w:firstLine="480" w:firstLineChars="200"/>
        <w:jc w:val="left"/>
        <w:rPr>
          <w:rFonts w:ascii="宋体" w:hAnsi="宋体"/>
        </w:rPr>
      </w:pPr>
      <w:r>
        <w:rPr>
          <w:rFonts w:ascii="宋体" w:hAnsi="宋体" w:hint="eastAsia"/>
        </w:rPr>
        <w:t>2.5 《施工现场临时用电安全技术规范》JGJ46－2</w:t>
      </w:r>
      <w:r>
        <w:rPr>
          <w:rFonts w:ascii="宋体" w:hAnsi="宋体"/>
        </w:rPr>
        <w:t>005</w:t>
      </w:r>
      <w:r>
        <w:rPr>
          <w:rFonts w:ascii="宋体" w:hAnsi="宋体" w:hint="eastAsia"/>
        </w:rPr>
        <w:t>。</w:t>
      </w:r>
    </w:p>
    <w:p>
      <w:pPr>
        <w:spacing w:line="360" w:lineRule="auto"/>
        <w:ind w:firstLine="480" w:firstLineChars="200"/>
        <w:jc w:val="left"/>
        <w:rPr>
          <w:rFonts w:ascii="宋体" w:hAnsi="宋体"/>
        </w:rPr>
      </w:pPr>
      <w:r>
        <w:rPr>
          <w:rFonts w:ascii="宋体" w:hAnsi="宋体" w:hint="eastAsia"/>
        </w:rPr>
        <w:t>2.6 《建筑施工安全检查标准》JGJ59－2011。</w:t>
      </w:r>
    </w:p>
    <w:p>
      <w:pPr>
        <w:spacing w:line="360" w:lineRule="auto"/>
        <w:ind w:firstLine="480" w:firstLineChars="200"/>
        <w:jc w:val="left"/>
        <w:rPr>
          <w:rFonts w:ascii="宋体" w:hAnsi="宋体"/>
        </w:rPr>
      </w:pPr>
      <w:r>
        <w:rPr>
          <w:rFonts w:ascii="宋体" w:hAnsi="宋体" w:hint="eastAsia"/>
        </w:rPr>
        <w:t>2.7 工程现场勘测资料。</w:t>
      </w:r>
    </w:p>
    <w:p>
      <w:pPr>
        <w:spacing w:line="360" w:lineRule="auto"/>
        <w:ind w:firstLine="480" w:firstLineChars="200"/>
        <w:jc w:val="left"/>
        <w:rPr>
          <w:rFonts w:ascii="宋体" w:hAnsi="宋体"/>
        </w:rPr>
      </w:pPr>
      <w:r>
        <w:rPr>
          <w:rFonts w:ascii="宋体" w:hAnsi="宋体" w:hint="eastAsia"/>
        </w:rPr>
        <w:t>2.8 工程施工部署情况。</w:t>
      </w:r>
    </w:p>
    <w:p>
      <w:pPr>
        <w:spacing w:line="360" w:lineRule="auto"/>
        <w:ind w:firstLine="480" w:firstLineChars="200"/>
        <w:jc w:val="left"/>
        <w:rPr>
          <w:rFonts w:ascii="宋体" w:hAnsi="宋体"/>
        </w:rPr>
      </w:pPr>
      <w:r>
        <w:rPr>
          <w:rFonts w:ascii="宋体" w:hAnsi="宋体" w:hint="eastAsia"/>
        </w:rPr>
        <w:t>2.9 其他有关的国家现行规范、标准、规程和规定。</w:t>
      </w:r>
    </w:p>
    <w:p>
      <w:pPr>
        <w:pStyle w:val="Heading2"/>
        <w:spacing w:before="0" w:after="0" w:line="360" w:lineRule="auto"/>
      </w:pPr>
      <w:bookmarkStart w:id="8" w:name="_Toc19048"/>
      <w:bookmarkStart w:id="9" w:name="_Toc12484"/>
      <w:bookmarkStart w:id="10" w:name="_Toc52134199"/>
      <w:r>
        <w:rPr>
          <w:rFonts w:hint="eastAsia"/>
        </w:rPr>
        <w:t>3、设计原则</w:t>
      </w:r>
      <w:bookmarkEnd w:id="8"/>
      <w:bookmarkEnd w:id="9"/>
      <w:bookmarkEnd w:id="10"/>
    </w:p>
    <w:p>
      <w:pPr>
        <w:spacing w:line="360" w:lineRule="auto"/>
        <w:ind w:firstLine="480" w:firstLineChars="200"/>
        <w:rPr>
          <w:rFonts w:ascii="宋体" w:hAnsi="宋体"/>
        </w:rPr>
      </w:pPr>
      <w:r>
        <w:rPr>
          <w:rFonts w:ascii="宋体" w:hAnsi="宋体" w:hint="eastAsia"/>
        </w:rPr>
        <w:t>3.1 供电系统采用TN-S保护接零系统（三相五线制）</w:t>
      </w:r>
    </w:p>
    <w:p>
      <w:pPr>
        <w:spacing w:line="360" w:lineRule="auto"/>
        <w:ind w:firstLine="480" w:firstLineChars="200"/>
        <w:rPr>
          <w:rFonts w:ascii="宋体" w:hAnsi="宋体"/>
        </w:rPr>
      </w:pPr>
      <w:r>
        <w:rPr>
          <w:rFonts w:ascii="宋体" w:hAnsi="宋体" w:hint="eastAsia"/>
        </w:rPr>
        <w:t>3.2 实行三级配电、三级保护。</w:t>
      </w:r>
    </w:p>
    <w:p>
      <w:pPr>
        <w:spacing w:line="360" w:lineRule="auto"/>
        <w:ind w:firstLine="480" w:firstLineChars="200"/>
        <w:rPr>
          <w:rFonts w:ascii="宋体" w:hAnsi="宋体"/>
        </w:rPr>
      </w:pPr>
      <w:r>
        <w:rPr>
          <w:rFonts w:ascii="宋体" w:hAnsi="宋体" w:hint="eastAsia"/>
        </w:rPr>
        <w:t>3.3 所有施工设备必须配“一机、一闸、一漏、一箱”开关箱。</w:t>
      </w:r>
    </w:p>
    <w:p>
      <w:pPr>
        <w:pStyle w:val="Heading2"/>
        <w:spacing w:before="0" w:after="0" w:line="360" w:lineRule="auto"/>
      </w:pPr>
      <w:bookmarkStart w:id="11" w:name="_Toc19868"/>
      <w:bookmarkStart w:id="12" w:name="_Toc26168"/>
      <w:bookmarkStart w:id="13" w:name="_Toc52134200"/>
      <w:r>
        <w:rPr>
          <w:rFonts w:hint="eastAsia"/>
        </w:rPr>
        <w:t>4、临时用电现场勘测</w:t>
      </w:r>
      <w:bookmarkEnd w:id="11"/>
      <w:bookmarkEnd w:id="12"/>
      <w:bookmarkEnd w:id="13"/>
    </w:p>
    <w:p>
      <w:pPr>
        <w:spacing w:line="360" w:lineRule="auto"/>
        <w:ind w:firstLine="480" w:firstLineChars="200"/>
        <w:jc w:val="left"/>
        <w:rPr>
          <w:rFonts w:ascii="宋体" w:hAnsi="宋体"/>
        </w:rPr>
      </w:pPr>
      <w:r>
        <w:rPr>
          <w:rFonts w:ascii="宋体" w:hAnsi="宋体" w:hint="eastAsia"/>
        </w:rPr>
        <w:t>4.1 经现场勘查，在现场靠近大街一侧，提供一处10KV电源接入点。</w:t>
      </w:r>
    </w:p>
    <w:p>
      <w:pPr>
        <w:spacing w:line="360" w:lineRule="auto"/>
        <w:rPr>
          <w:rFonts w:ascii="宋体" w:hAnsi="宋体"/>
        </w:rPr>
      </w:pPr>
      <w:r>
        <w:rPr>
          <w:rFonts w:ascii="宋体" w:hAnsi="宋体" w:hint="eastAsia"/>
        </w:rPr>
        <w:t>4.2 该施工现场采用放射式配电线路，配备</w:t>
      </w:r>
      <w:r>
        <w:rPr>
          <w:rFonts w:ascii="宋体" w:hAnsi="宋体"/>
        </w:rPr>
        <w:t>2</w:t>
      </w:r>
      <w:r>
        <w:rPr>
          <w:rFonts w:ascii="宋体" w:hAnsi="宋体" w:hint="eastAsia"/>
        </w:rPr>
        <w:t>个</w:t>
      </w:r>
      <w:r>
        <w:rPr>
          <w:rFonts w:ascii="宋体" w:hAnsi="宋体"/>
        </w:rPr>
        <w:t>1000</w:t>
      </w:r>
      <w:r>
        <w:rPr>
          <w:rFonts w:ascii="宋体" w:hAnsi="宋体" w:hint="eastAsia"/>
        </w:rPr>
        <w:t>千伏安箱式变压器，</w:t>
      </w:r>
      <w:r>
        <w:rPr>
          <w:rFonts w:ascii="宋体" w:hAnsi="宋体"/>
        </w:rPr>
        <w:t>2</w:t>
      </w:r>
      <w:r>
        <w:rPr>
          <w:rFonts w:ascii="宋体" w:hAnsi="宋体" w:hint="eastAsia"/>
        </w:rPr>
        <w:t>个配电室，每个配电室配2个总配电柜，7个分配电箱（根据各施工阶段现场实际需要进行调整），各开关箱分别从最近的分配电箱引电。线路走向为：总配电柜—分配电箱—开关箱。根据施工现场的实际情况，为保证施工用电安全，电缆线采用直埋方式敷设，局部有条件部位采用架空方式敷设。</w:t>
      </w:r>
    </w:p>
    <w:p>
      <w:pPr>
        <w:spacing w:line="360" w:lineRule="auto"/>
        <w:rPr>
          <w:rFonts w:ascii="宋体" w:hAnsi="宋体"/>
        </w:rPr>
        <w:sectPr>
          <w:headerReference w:type="default" r:id="rId9"/>
          <w:footerReference w:type="default" r:id="rId10"/>
          <w:type w:val="nextPage"/>
          <w:pgSz w:w="11850" w:h="16783"/>
          <w:pgMar w:top="1440" w:right="1080" w:bottom="1440" w:left="1080" w:header="851" w:footer="992" w:gutter="567"/>
          <w:pgNumType w:start="3"/>
          <w:cols w:num="1" w:space="720"/>
          <w:titlePg w:val="0"/>
          <w:docGrid w:type="linesAndChars" w:linePitch="326" w:charSpace="0"/>
        </w:sectPr>
      </w:pPr>
      <w:r>
        <w:rPr>
          <w:rFonts w:ascii="宋体" w:hAnsi="宋体" w:hint="eastAsia"/>
        </w:rPr>
        <w:t>4</w:t>
      </w:r>
      <w:r>
        <w:rPr>
          <w:rFonts w:ascii="宋体" w:hAnsi="宋体"/>
        </w:rPr>
        <w:t>.3</w:t>
      </w:r>
      <w:r>
        <w:rPr>
          <w:rFonts w:ascii="宋体" w:hAnsi="宋体" w:hint="eastAsia"/>
        </w:rPr>
        <w:t>项目部生活和办公区，工人生活区分别由白方提供4</w:t>
      </w:r>
      <w:r>
        <w:rPr>
          <w:rFonts w:ascii="宋体" w:hAnsi="宋体"/>
        </w:rPr>
        <w:t>00</w:t>
      </w:r>
      <w:r>
        <w:rPr>
          <w:rFonts w:ascii="宋体" w:hAnsi="宋体" w:hint="eastAsia"/>
        </w:rPr>
        <w:t>千伏安两台变压器供电。</w:t>
      </w:r>
    </w:p>
    <w:p>
      <w:pPr>
        <w:pStyle w:val="Heading2"/>
        <w:spacing w:before="0" w:after="0" w:line="360" w:lineRule="auto"/>
      </w:pPr>
      <w:bookmarkStart w:id="14" w:name="_Toc1366"/>
      <w:bookmarkStart w:id="15" w:name="_Toc52134201"/>
      <w:r>
        <w:rPr>
          <w:rFonts w:hint="eastAsia"/>
        </w:rPr>
        <w:t>5、临时用电总体部署</w:t>
      </w:r>
      <w:bookmarkEnd w:id="14"/>
      <w:bookmarkEnd w:id="15"/>
    </w:p>
    <w:p>
      <w:pPr>
        <w:spacing w:line="360" w:lineRule="auto"/>
        <w:ind w:firstLine="480" w:firstLineChars="200"/>
        <w:rPr>
          <w:rFonts w:ascii="宋体" w:hAnsi="宋体"/>
        </w:rPr>
      </w:pPr>
      <w:r>
        <w:rPr>
          <w:rFonts w:ascii="宋体" w:hAnsi="宋体" w:hint="eastAsia"/>
        </w:rPr>
        <w:t>主电源由靠近大街一侧10KV高压干线引来，在红线内就近设2台箱式变压器、</w:t>
      </w:r>
      <w:r>
        <w:rPr>
          <w:rFonts w:ascii="宋体" w:hAnsi="宋体"/>
        </w:rPr>
        <w:t>2</w:t>
      </w:r>
      <w:r>
        <w:rPr>
          <w:rFonts w:ascii="宋体" w:hAnsi="宋体" w:hint="eastAsia"/>
        </w:rPr>
        <w:t>座配电室，其中一座配电室设置在建筑物北面钢筋加工厂负荷集中处，一座设置在箱式变压器处。现场配备1座4</w:t>
      </w:r>
      <w:r>
        <w:rPr>
          <w:rFonts w:ascii="宋体" w:hAnsi="宋体"/>
        </w:rPr>
        <w:t>00</w:t>
      </w:r>
      <w:r>
        <w:rPr>
          <w:rFonts w:ascii="宋体" w:hAnsi="宋体" w:hint="eastAsia"/>
        </w:rPr>
        <w:t>千伏安柴油发电机，作为施工现场应急备用电源。</w:t>
      </w:r>
    </w:p>
    <w:p>
      <w:pPr>
        <w:spacing w:line="360" w:lineRule="auto"/>
        <w:ind w:firstLine="480" w:firstLineChars="200"/>
        <w:rPr>
          <w:rFonts w:ascii="宋体" w:hAnsi="宋体"/>
        </w:rPr>
      </w:pPr>
      <w:r>
        <w:rPr>
          <w:rFonts w:ascii="宋体" w:hAnsi="宋体" w:hint="eastAsia"/>
        </w:rPr>
        <w:t>本项目临时设施分3个板块，第一板块为待建体育场外围施工操作区、材料堆放区，第二板块为在建建筑物内各楼层作业区域，第三个板块为管理人员生活区及部分工人生活区。工程桩施工机械总功率共计2</w:t>
      </w:r>
      <w:r>
        <w:rPr>
          <w:rFonts w:ascii="宋体" w:hAnsi="宋体"/>
        </w:rPr>
        <w:t>30</w:t>
      </w:r>
      <w:r>
        <w:rPr>
          <w:rFonts w:ascii="宋体" w:hAnsi="宋体" w:hint="eastAsia"/>
        </w:rPr>
        <w:t>千瓦，施工时间和工期与现场其它大型用电机械不再同以时间段，不影响我现场最高峰负荷，所以在设计现场临时用电系统时，只设计第一板块和第二板块负荷。</w:t>
      </w:r>
    </w:p>
    <w:p>
      <w:pPr>
        <w:pStyle w:val="Heading1"/>
        <w:numPr>
          <w:ilvl w:val="0"/>
          <w:numId w:val="3"/>
        </w:numPr>
        <w:spacing w:before="0" w:after="0" w:line="360" w:lineRule="auto"/>
        <w:rPr>
          <w:rFonts w:ascii="宋体" w:eastAsia="宋体" w:hAnsi="宋体" w:cs="宋体"/>
          <w:b/>
          <w:bCs/>
          <w:sz w:val="32"/>
          <w:szCs w:val="32"/>
        </w:rPr>
      </w:pPr>
      <w:bookmarkStart w:id="16" w:name="_Toc29274"/>
      <w:bookmarkStart w:id="17" w:name="_Toc18877"/>
      <w:bookmarkStart w:id="18" w:name="_Toc52134202"/>
      <w:r>
        <w:rPr>
          <w:rFonts w:ascii="宋体" w:eastAsia="宋体" w:hAnsi="宋体" w:cs="宋体" w:hint="eastAsia"/>
          <w:b/>
          <w:bCs/>
          <w:sz w:val="32"/>
          <w:szCs w:val="32"/>
        </w:rPr>
        <w:t>施工现场临时用电负荷计算</w:t>
      </w:r>
      <w:bookmarkEnd w:id="16"/>
      <w:bookmarkEnd w:id="17"/>
      <w:bookmarkEnd w:id="18"/>
    </w:p>
    <w:p>
      <w:pPr>
        <w:pStyle w:val="Heading2"/>
        <w:spacing w:before="0" w:after="0" w:line="360" w:lineRule="auto"/>
      </w:pPr>
      <w:bookmarkStart w:id="19" w:name="_Toc52134203"/>
      <w:bookmarkStart w:id="20" w:name="_Toc14004"/>
      <w:r>
        <w:rPr>
          <w:rFonts w:hint="eastAsia"/>
        </w:rPr>
        <w:t>1</w:t>
      </w:r>
      <w:r>
        <w:t xml:space="preserve">.1  </w:t>
      </w:r>
      <w:r>
        <w:rPr>
          <w:rFonts w:hint="eastAsia"/>
        </w:rPr>
        <w:t>各施工阶段用电设备投入情况</w:t>
      </w:r>
    </w:p>
    <w:tbl>
      <w:tblPr>
        <w:tblStyle w:val="TableNormal"/>
        <w:tblpPr w:leftFromText="180" w:rightFromText="180" w:vertAnchor="text" w:horzAnchor="margin" w:tblpX="-537" w:tblpY="314"/>
        <w:tblOverlap w:val="never"/>
        <w:tblW w:w="9654" w:type="dxa"/>
        <w:tblInd w:w="0" w:type="dxa"/>
        <w:tblLayout w:type="fixed"/>
        <w:tblCellMar>
          <w:top w:w="0" w:type="dxa"/>
          <w:left w:w="0" w:type="dxa"/>
          <w:bottom w:w="0" w:type="dxa"/>
          <w:right w:w="0" w:type="dxa"/>
        </w:tblCellMar>
      </w:tblPr>
      <w:tblGrid>
        <w:gridCol w:w="582"/>
        <w:gridCol w:w="1560"/>
        <w:gridCol w:w="1275"/>
        <w:gridCol w:w="426"/>
        <w:gridCol w:w="425"/>
        <w:gridCol w:w="709"/>
        <w:gridCol w:w="567"/>
        <w:gridCol w:w="567"/>
        <w:gridCol w:w="567"/>
        <w:gridCol w:w="567"/>
        <w:gridCol w:w="567"/>
        <w:gridCol w:w="567"/>
        <w:gridCol w:w="708"/>
        <w:gridCol w:w="567"/>
      </w:tblGrid>
      <w:tr>
        <w:tblPrEx>
          <w:tblW w:w="9654" w:type="dxa"/>
          <w:tblInd w:w="0" w:type="dxa"/>
          <w:tblLayout w:type="fixed"/>
          <w:tblCellMar>
            <w:top w:w="0" w:type="dxa"/>
            <w:left w:w="0" w:type="dxa"/>
            <w:bottom w:w="0" w:type="dxa"/>
            <w:right w:w="0" w:type="dxa"/>
          </w:tblCellMar>
        </w:tblPrEx>
        <w:trPr>
          <w:trHeight w:val="271"/>
        </w:trPr>
        <w:tc>
          <w:tcPr>
            <w:tcW w:w="582"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bookmarkEnd w:id="19"/>
            <w:bookmarkEnd w:id="20"/>
            <w:r>
              <w:rPr>
                <w:rFonts w:ascii="宋体" w:hAnsi="宋体" w:cs="宋体" w:hint="eastAsia"/>
                <w:b/>
                <w:color w:val="000000"/>
                <w:kern w:val="0"/>
                <w:szCs w:val="21"/>
                <w:lang w:bidi="ar"/>
              </w:rPr>
              <w:t>序号</w:t>
            </w:r>
          </w:p>
        </w:tc>
        <w:tc>
          <w:tcPr>
            <w:tcW w:w="156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设备名称</w:t>
            </w:r>
          </w:p>
        </w:tc>
        <w:tc>
          <w:tcPr>
            <w:tcW w:w="1275"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规格或型号</w:t>
            </w:r>
          </w:p>
        </w:tc>
        <w:tc>
          <w:tcPr>
            <w:tcW w:w="42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单位</w:t>
            </w:r>
          </w:p>
        </w:tc>
        <w:tc>
          <w:tcPr>
            <w:tcW w:w="425"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szCs w:val="21"/>
              </w:rPr>
              <w:t>电压</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单台功率</w:t>
            </w:r>
            <w:r>
              <w:rPr>
                <w:rFonts w:ascii="宋体" w:hAnsi="宋体" w:cs="宋体" w:hint="eastAsia"/>
                <w:b/>
                <w:color w:val="000000"/>
                <w:kern w:val="0"/>
                <w:szCs w:val="21"/>
                <w:lang w:bidi="ar"/>
              </w:rPr>
              <w:br/>
            </w:r>
            <w:r>
              <w:rPr>
                <w:rFonts w:ascii="宋体" w:hAnsi="宋体" w:cs="宋体" w:hint="eastAsia"/>
                <w:b/>
                <w:color w:val="000000"/>
                <w:kern w:val="0"/>
                <w:szCs w:val="21"/>
                <w:lang w:bidi="ar"/>
              </w:rPr>
              <w:t>(KW/KVA)</w:t>
            </w:r>
          </w:p>
        </w:tc>
        <w:tc>
          <w:tcPr>
            <w:tcW w:w="1134"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kern w:val="0"/>
                <w:szCs w:val="21"/>
                <w:lang w:bidi="ar"/>
              </w:rPr>
            </w:pPr>
            <w:r>
              <w:rPr>
                <w:rFonts w:ascii="宋体" w:hAnsi="宋体" w:cs="宋体" w:hint="eastAsia"/>
                <w:b/>
                <w:color w:val="000000"/>
                <w:kern w:val="0"/>
                <w:szCs w:val="21"/>
                <w:lang w:bidi="ar"/>
              </w:rPr>
              <w:t>地基</w:t>
            </w:r>
          </w:p>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阶段</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b/>
                <w:color w:val="000000"/>
                <w:kern w:val="0"/>
                <w:szCs w:val="21"/>
                <w:lang w:bidi="ar"/>
              </w:rPr>
            </w:pPr>
            <w:r>
              <w:rPr>
                <w:rFonts w:ascii="宋体" w:hAnsi="宋体" w:cs="宋体" w:hint="eastAsia"/>
                <w:b/>
                <w:color w:val="000000"/>
                <w:kern w:val="0"/>
                <w:szCs w:val="21"/>
                <w:lang w:bidi="ar"/>
              </w:rPr>
              <w:t>主体</w:t>
            </w:r>
          </w:p>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阶段</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b/>
                <w:color w:val="000000"/>
                <w:kern w:val="0"/>
                <w:szCs w:val="21"/>
                <w:lang w:bidi="ar"/>
              </w:rPr>
            </w:pPr>
            <w:r>
              <w:rPr>
                <w:rFonts w:ascii="宋体" w:hAnsi="宋体" w:cs="宋体" w:hint="eastAsia"/>
                <w:b/>
                <w:color w:val="000000"/>
                <w:kern w:val="0"/>
                <w:szCs w:val="21"/>
                <w:lang w:bidi="ar"/>
              </w:rPr>
              <w:t>钢结构</w:t>
            </w:r>
          </w:p>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阶段</w:t>
            </w:r>
          </w:p>
        </w:tc>
        <w:tc>
          <w:tcPr>
            <w:tcW w:w="12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b/>
                <w:color w:val="000000"/>
                <w:kern w:val="0"/>
                <w:szCs w:val="21"/>
                <w:lang w:bidi="ar"/>
              </w:rPr>
            </w:pPr>
            <w:r>
              <w:rPr>
                <w:rFonts w:ascii="宋体" w:hAnsi="宋体" w:cs="宋体" w:hint="eastAsia"/>
                <w:b/>
                <w:color w:val="000000"/>
                <w:kern w:val="0"/>
                <w:szCs w:val="21"/>
                <w:lang w:bidi="ar"/>
              </w:rPr>
              <w:t>安装及装修</w:t>
            </w:r>
          </w:p>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阶段</w:t>
            </w:r>
          </w:p>
        </w:tc>
      </w:tr>
      <w:tr>
        <w:tblPrEx>
          <w:tblW w:w="9654" w:type="dxa"/>
          <w:tblInd w:w="0" w:type="dxa"/>
          <w:tblLayout w:type="fixed"/>
          <w:tblCellMar>
            <w:top w:w="0" w:type="dxa"/>
            <w:left w:w="0" w:type="dxa"/>
            <w:bottom w:w="0" w:type="dxa"/>
            <w:right w:w="0" w:type="dxa"/>
          </w:tblCellMar>
        </w:tblPrEx>
        <w:trPr>
          <w:trHeight w:val="523"/>
        </w:trPr>
        <w:tc>
          <w:tcPr>
            <w:tcW w:w="582"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b/>
                <w:color w:val="000000"/>
                <w:szCs w:val="21"/>
              </w:rPr>
            </w:pPr>
          </w:p>
        </w:tc>
        <w:tc>
          <w:tcPr>
            <w:tcW w:w="156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b/>
                <w:color w:val="000000"/>
                <w:szCs w:val="21"/>
              </w:rPr>
            </w:pPr>
          </w:p>
        </w:tc>
        <w:tc>
          <w:tcPr>
            <w:tcW w:w="127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b/>
                <w:color w:val="000000"/>
                <w:szCs w:val="21"/>
              </w:rPr>
            </w:pPr>
          </w:p>
        </w:tc>
        <w:tc>
          <w:tcPr>
            <w:tcW w:w="42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b/>
                <w:color w:val="000000"/>
                <w:szCs w:val="21"/>
              </w:rPr>
            </w:pPr>
          </w:p>
        </w:tc>
        <w:tc>
          <w:tcPr>
            <w:tcW w:w="4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b/>
                <w:color w:val="000000"/>
                <w:szCs w:val="21"/>
              </w:rPr>
            </w:pPr>
          </w:p>
        </w:tc>
        <w:tc>
          <w:tcPr>
            <w:tcW w:w="70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b/>
                <w:color w:val="000000"/>
                <w:szCs w:val="21"/>
              </w:rPr>
            </w:pP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textAlignment w:val="center"/>
              <w:rPr>
                <w:rFonts w:ascii="宋体" w:hAnsi="宋体" w:cs="宋体"/>
                <w:b/>
                <w:color w:val="000000"/>
                <w:szCs w:val="21"/>
              </w:rPr>
            </w:pPr>
            <w:r>
              <w:rPr>
                <w:rFonts w:ascii="宋体" w:hAnsi="宋体" w:cs="宋体" w:hint="eastAsia"/>
                <w:b/>
                <w:color w:val="000000"/>
                <w:kern w:val="0"/>
                <w:szCs w:val="21"/>
                <w:lang w:bidi="ar"/>
              </w:rPr>
              <w:t>数量</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负荷</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数量</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负荷</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b/>
                <w:color w:val="000000"/>
                <w:szCs w:val="21"/>
              </w:rPr>
            </w:pPr>
            <w:r>
              <w:rPr>
                <w:rFonts w:ascii="宋体" w:hAnsi="宋体" w:cs="宋体" w:hint="eastAsia"/>
                <w:b/>
                <w:color w:val="000000"/>
                <w:kern w:val="0"/>
                <w:szCs w:val="21"/>
                <w:lang w:bidi="ar"/>
              </w:rPr>
              <w:t>数量</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负荷</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数量</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b/>
                <w:color w:val="000000"/>
                <w:szCs w:val="21"/>
              </w:rPr>
            </w:pPr>
            <w:r>
              <w:rPr>
                <w:rFonts w:ascii="宋体" w:hAnsi="宋体" w:cs="宋体" w:hint="eastAsia"/>
                <w:b/>
                <w:color w:val="000000"/>
                <w:kern w:val="0"/>
                <w:szCs w:val="21"/>
                <w:lang w:bidi="ar"/>
              </w:rPr>
              <w:t>负荷</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蛙式打夯机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3.0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立式打夯机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3.0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塔吊</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T</w:t>
            </w:r>
            <w:r>
              <w:rPr>
                <w:rFonts w:ascii="宋体" w:hAnsi="宋体" w:cs="宋体"/>
                <w:color w:val="000000"/>
                <w:kern w:val="0"/>
                <w:szCs w:val="21"/>
                <w:lang w:bidi="ar"/>
              </w:rPr>
              <w:t>7035</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color w:val="000000"/>
                <w:kern w:val="0"/>
                <w:lang w:bidi="ar"/>
              </w:rPr>
              <w:t>105</w:t>
            </w:r>
            <w:r>
              <w:rPr>
                <w:rFonts w:ascii="宋体" w:hAnsi="宋体" w:cs="宋体" w:hint="eastAsia"/>
                <w:color w:val="000000"/>
                <w:kern w:val="0"/>
                <w:lang w:bidi="ar"/>
              </w:rPr>
              <w:t xml:space="preserve">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315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315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315</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塔吊</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T</w:t>
            </w:r>
            <w:r>
              <w:rPr>
                <w:rFonts w:ascii="宋体" w:hAnsi="宋体" w:cs="宋体"/>
                <w:color w:val="000000"/>
                <w:kern w:val="0"/>
                <w:szCs w:val="21"/>
                <w:lang w:bidi="ar"/>
              </w:rPr>
              <w:t>7035</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color w:val="000000"/>
                <w:kern w:val="0"/>
                <w:lang w:bidi="ar"/>
              </w:rPr>
              <w:t>105</w:t>
            </w:r>
            <w:r>
              <w:rPr>
                <w:rFonts w:ascii="宋体" w:hAnsi="宋体" w:cs="宋体" w:hint="eastAsia"/>
                <w:color w:val="000000"/>
                <w:kern w:val="0"/>
                <w:lang w:bidi="ar"/>
              </w:rPr>
              <w:t xml:space="preserve">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315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315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315</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室内电梯</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ind w:firstLine="720" w:firstLineChars="300"/>
              <w:textAlignment w:val="center"/>
              <w:rPr>
                <w:rFonts w:ascii="宋体" w:hAnsi="宋体" w:cs="宋体"/>
                <w:color w:val="000000"/>
                <w:szCs w:val="21"/>
              </w:rPr>
            </w:pPr>
            <w:r>
              <w:rPr>
                <w:rFonts w:ascii="宋体" w:hAnsi="宋体" w:cs="宋体" w:hint="eastAsia"/>
                <w:color w:val="000000"/>
                <w:kern w:val="0"/>
                <w:szCs w:val="21"/>
                <w:lang w:bidi="ar"/>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color w:val="000000"/>
                <w:kern w:val="0"/>
                <w:lang w:bidi="ar"/>
              </w:rPr>
              <w:t>1</w:t>
            </w:r>
            <w:r>
              <w:rPr>
                <w:rFonts w:ascii="宋体" w:hAnsi="宋体" w:cs="宋体" w:hint="eastAsia"/>
                <w:color w:val="000000"/>
                <w:kern w:val="0"/>
                <w:lang w:bidi="ar"/>
              </w:rPr>
              <w:t xml:space="preserve">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45</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混凝土振捣棒</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50型4米</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个</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left"/>
              <w:rPr>
                <w:rFonts w:ascii="宋体" w:hAnsi="宋体" w:cs="宋体"/>
                <w:color w:val="000000"/>
                <w:szCs w:val="21"/>
              </w:rPr>
            </w:pPr>
            <w:r>
              <w:rPr>
                <w:rFonts w:ascii="宋体" w:hAnsi="宋体" w:cs="宋体" w:hint="eastAsia"/>
                <w:color w:val="000000"/>
                <w:kern w:val="0"/>
                <w:szCs w:val="21"/>
                <w:lang w:bidi="ar"/>
              </w:rPr>
              <w:t>混凝土振捣棒</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35型4米</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个</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8</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混凝土振捣器</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2.0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9</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钢筋套丝机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HGS-40</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5.5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10</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钢筋切断机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GQ40</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2.2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r>
              <w:rPr>
                <w:rFonts w:ascii="宋体" w:hAnsi="宋体" w:cs="宋体" w:hint="eastAsia"/>
                <w:color w:val="000000"/>
                <w:kern w:val="0"/>
                <w:szCs w:val="21"/>
                <w:lang w:bidi="ar"/>
              </w:rPr>
              <w:t>.</w:t>
            </w:r>
            <w:r>
              <w:rPr>
                <w:rFonts w:ascii="宋体" w:hAnsi="宋体" w:cs="宋体"/>
                <w:color w:val="000000"/>
                <w:kern w:val="0"/>
                <w:szCs w:val="21"/>
                <w:lang w:bidi="ar"/>
              </w:rPr>
              <w:t>2</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2.2</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11</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钢筋调直机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GT4-14</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16.5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16.5</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16</w:t>
            </w:r>
            <w:r>
              <w:rPr>
                <w:rFonts w:ascii="宋体" w:hAnsi="宋体" w:cs="宋体" w:hint="eastAsia"/>
                <w:color w:val="000000"/>
                <w:kern w:val="0"/>
                <w:szCs w:val="21"/>
                <w:lang w:bidi="ar"/>
              </w:rPr>
              <w:t>．5</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12</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钢筋弯曲机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GW40A</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3.0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13</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平刨</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MB504</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2.2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8.8</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14</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LED灯</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color w:val="000000"/>
                <w:kern w:val="0"/>
                <w:lang w:bidi="ar"/>
              </w:rPr>
              <w:t>0.5</w:t>
            </w:r>
            <w:r>
              <w:rPr>
                <w:rFonts w:ascii="宋体" w:hAnsi="宋体" w:cs="宋体" w:hint="eastAsia"/>
                <w:color w:val="000000"/>
                <w:kern w:val="0"/>
                <w:lang w:bidi="ar"/>
              </w:rPr>
              <w:t xml:space="preserve">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15</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15</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15</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圆盘锯</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3.5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7</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textAlignment w:val="center"/>
              <w:rPr>
                <w:rFonts w:ascii="宋体" w:hAnsi="宋体" w:cs="宋体"/>
                <w:color w:val="000000"/>
                <w:szCs w:val="21"/>
              </w:rPr>
            </w:pPr>
            <w:r>
              <w:rPr>
                <w:rFonts w:ascii="宋体" w:hAnsi="宋体" w:cs="宋体"/>
                <w:color w:val="000000"/>
                <w:kern w:val="0"/>
                <w:szCs w:val="21"/>
                <w:lang w:bidi="ar"/>
              </w:rPr>
              <w:t xml:space="preserve"> 16</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电动套丝机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SQ100A-G</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1.3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2.6</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5.2</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r>
              <w:rPr>
                <w:rFonts w:ascii="宋体" w:hAnsi="宋体" w:cs="宋体"/>
                <w:color w:val="000000"/>
                <w:kern w:val="0"/>
                <w:szCs w:val="21"/>
                <w:lang w:bidi="ar"/>
              </w:rPr>
              <w:t>7</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电动套丝机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SQ50A-G</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r>
              <w:rPr>
                <w:rFonts w:ascii="宋体" w:hAnsi="宋体" w:cs="宋体"/>
                <w:color w:val="000000"/>
                <w:kern w:val="0"/>
                <w:szCs w:val="21"/>
                <w:lang w:bidi="ar"/>
              </w:rPr>
              <w:t>8</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沟槽机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65-219</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1.1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w:t>
            </w:r>
          </w:p>
        </w:tc>
      </w:tr>
    </w:tbl>
    <w:p>
      <w:pPr>
        <w:sectPr>
          <w:headerReference w:type="default" r:id="rId11"/>
          <w:footerReference w:type="default" r:id="rId12"/>
          <w:type w:val="nextPage"/>
          <w:pgSz w:w="11850" w:h="16783"/>
          <w:pgMar w:top="1440" w:right="1080" w:bottom="1440" w:left="1080" w:header="851" w:footer="992" w:gutter="567"/>
          <w:pgNumType w:start="4"/>
          <w:cols w:num="1" w:space="720"/>
          <w:titlePg w:val="0"/>
          <w:docGrid w:type="linesAndChars" w:linePitch="326" w:charSpace="0"/>
        </w:sectPr>
      </w:pPr>
    </w:p>
    <w:tbl>
      <w:tblPr>
        <w:tblStyle w:val="TableNormal"/>
        <w:tblpPr w:leftFromText="180" w:rightFromText="180" w:vertAnchor="text" w:horzAnchor="margin" w:tblpX="-537" w:tblpY="314"/>
        <w:tblOverlap w:val="never"/>
        <w:tblW w:w="9654" w:type="dxa"/>
        <w:tblInd w:w="0" w:type="dxa"/>
        <w:tblLayout w:type="fixed"/>
        <w:tblCellMar>
          <w:top w:w="0" w:type="dxa"/>
          <w:left w:w="0" w:type="dxa"/>
          <w:bottom w:w="0" w:type="dxa"/>
          <w:right w:w="0" w:type="dxa"/>
        </w:tblCellMar>
      </w:tblPr>
      <w:tblGrid>
        <w:gridCol w:w="582"/>
        <w:gridCol w:w="1560"/>
        <w:gridCol w:w="1275"/>
        <w:gridCol w:w="426"/>
        <w:gridCol w:w="425"/>
        <w:gridCol w:w="709"/>
        <w:gridCol w:w="567"/>
        <w:gridCol w:w="567"/>
        <w:gridCol w:w="567"/>
        <w:gridCol w:w="567"/>
        <w:gridCol w:w="567"/>
        <w:gridCol w:w="567"/>
        <w:gridCol w:w="708"/>
        <w:gridCol w:w="567"/>
      </w:tblGrid>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19</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切管机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0.8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r>
              <w:rPr>
                <w:rFonts w:ascii="宋体" w:hAnsi="宋体" w:cs="宋体"/>
                <w:color w:val="000000"/>
                <w:kern w:val="0"/>
                <w:szCs w:val="21"/>
                <w:lang w:bidi="ar"/>
              </w:rPr>
              <w:t>6</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3.2</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color w:val="000000"/>
                <w:kern w:val="0"/>
                <w:szCs w:val="21"/>
                <w:lang w:bidi="ar"/>
              </w:rPr>
              <w:t>0</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热熔机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0.8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0.8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0.8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r>
              <w:rPr>
                <w:rFonts w:ascii="宋体" w:hAnsi="宋体" w:cs="宋体"/>
                <w:color w:val="000000"/>
                <w:kern w:val="0"/>
                <w:szCs w:val="21"/>
                <w:lang w:bidi="ar"/>
              </w:rPr>
              <w:t>6</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textAlignment w:val="center"/>
              <w:rPr>
                <w:rFonts w:ascii="宋体" w:hAnsi="宋体" w:cs="宋体"/>
                <w:color w:val="000000"/>
                <w:szCs w:val="21"/>
              </w:rPr>
            </w:pPr>
            <w:r>
              <w:rPr>
                <w:rFonts w:ascii="宋体" w:hAnsi="宋体" w:cs="宋体"/>
                <w:color w:val="000000"/>
                <w:kern w:val="0"/>
                <w:szCs w:val="21"/>
                <w:lang w:bidi="ar"/>
              </w:rPr>
              <w:t>3.2</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color w:val="000000"/>
                <w:kern w:val="0"/>
                <w:szCs w:val="21"/>
                <w:lang w:bidi="ar"/>
              </w:rPr>
              <w:t>1</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热熔机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color w:val="000000"/>
                <w:kern w:val="0"/>
                <w:szCs w:val="21"/>
                <w:lang w:bidi="ar"/>
              </w:rPr>
              <w:t>2</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砂轮切割机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2.2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4.4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8.8</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color w:val="000000"/>
                <w:kern w:val="0"/>
                <w:szCs w:val="21"/>
                <w:lang w:bidi="ar"/>
              </w:rPr>
              <w:t>3</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消防水泵</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XBD5.0/13.9-65L</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15.0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color w:val="000000"/>
                <w:kern w:val="0"/>
                <w:szCs w:val="21"/>
                <w:lang w:bidi="ar"/>
              </w:rPr>
              <w:t>4</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潜水泵</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0.8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r>
              <w:rPr>
                <w:rFonts w:ascii="宋体" w:hAnsi="宋体" w:cs="宋体"/>
                <w:color w:val="000000"/>
                <w:kern w:val="0"/>
                <w:szCs w:val="21"/>
                <w:lang w:bidi="ar"/>
              </w:rPr>
              <w:t>.2</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r>
              <w:rPr>
                <w:rFonts w:ascii="宋体" w:hAnsi="宋体" w:cs="宋体"/>
                <w:color w:val="000000"/>
                <w:kern w:val="0"/>
                <w:szCs w:val="21"/>
                <w:lang w:bidi="ar"/>
              </w:rPr>
              <w:t>.2</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color w:val="000000"/>
                <w:kern w:val="0"/>
                <w:szCs w:val="21"/>
                <w:lang w:bidi="ar"/>
              </w:rPr>
              <w:t>5</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两用试压泵</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DSY-25</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0.2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r>
              <w:rPr>
                <w:rFonts w:ascii="宋体" w:hAnsi="宋体" w:cs="宋体"/>
                <w:color w:val="000000"/>
                <w:kern w:val="0"/>
                <w:szCs w:val="21"/>
                <w:lang w:bidi="ar"/>
              </w:rPr>
              <w:t>4</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color w:val="000000"/>
                <w:kern w:val="0"/>
                <w:szCs w:val="21"/>
                <w:lang w:bidi="ar"/>
              </w:rPr>
              <w:t>6</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电动打压泵</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DSY-25</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0.2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r>
              <w:rPr>
                <w:rFonts w:ascii="宋体" w:hAnsi="宋体" w:cs="宋体"/>
                <w:color w:val="000000"/>
                <w:kern w:val="0"/>
                <w:szCs w:val="21"/>
                <w:lang w:bidi="ar"/>
              </w:rPr>
              <w:t>4</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27</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手提两用焊机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ZX7-160S/T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5.6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11.2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44.8</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67.2</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28</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C02焊机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NBC630</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32.0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32.0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32.0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256</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128</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29</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熔焊栓钉机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RSN-2500</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80.0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160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160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80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80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空气压缩机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color w:val="000000"/>
                <w:kern w:val="0"/>
                <w:lang w:bidi="ar"/>
              </w:rPr>
              <w:t>22.5</w:t>
            </w:r>
            <w:r>
              <w:rPr>
                <w:rFonts w:ascii="宋体" w:hAnsi="宋体" w:cs="宋体" w:hint="eastAsia"/>
                <w:color w:val="000000"/>
                <w:kern w:val="0"/>
                <w:lang w:bidi="ar"/>
              </w:rPr>
              <w:t xml:space="preserve">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45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45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67.5</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67.5</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31</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锚喷喷浆机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 xml:space="preserve">PZ-7喷浆机 </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7.5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333333"/>
                <w:szCs w:val="21"/>
              </w:rPr>
            </w:pPr>
            <w:r>
              <w:rPr>
                <w:rFonts w:ascii="宋体" w:hAnsi="宋体" w:cs="宋体" w:hint="eastAsia"/>
                <w:color w:val="333333"/>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333333"/>
                <w:szCs w:val="21"/>
              </w:rPr>
            </w:pPr>
            <w:r>
              <w:rPr>
                <w:rFonts w:ascii="宋体" w:hAnsi="宋体" w:cs="宋体" w:hint="eastAsia"/>
                <w:color w:val="333333"/>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32</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喷浆搅拌机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JZM500</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16.6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333333"/>
                <w:szCs w:val="21"/>
              </w:rPr>
            </w:pPr>
            <w:r>
              <w:rPr>
                <w:rFonts w:ascii="宋体" w:hAnsi="宋体" w:cs="宋体" w:hint="eastAsia"/>
                <w:color w:val="333333"/>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49.8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333333"/>
                <w:szCs w:val="21"/>
              </w:rPr>
            </w:pPr>
            <w:r>
              <w:rPr>
                <w:rFonts w:ascii="宋体" w:hAnsi="宋体" w:cs="宋体" w:hint="eastAsia"/>
                <w:color w:val="333333"/>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33</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锚固人造草机</w:t>
            </w:r>
          </w:p>
        </w:tc>
        <w:tc>
          <w:tcPr>
            <w:tcW w:w="1275" w:type="dxa"/>
            <w:tcBorders>
              <w:top w:val="single" w:sz="4" w:space="0" w:color="000000"/>
              <w:left w:val="single" w:sz="4" w:space="0" w:color="000000"/>
              <w:bottom w:val="single" w:sz="4" w:space="0" w:color="000000"/>
              <w:right w:val="nil"/>
            </w:tcBorders>
            <w:tcMar>
              <w:top w:w="15" w:type="dxa"/>
              <w:left w:w="15" w:type="dxa"/>
              <w:right w:w="15" w:type="dxa"/>
            </w:tcMar>
            <w:vAlign w:val="center"/>
          </w:tcPr>
          <w:p>
            <w:pPr>
              <w:rPr>
                <w:rFonts w:ascii="宋体" w:hAnsi="宋体" w:cs="宋体"/>
                <w:color w:val="000000"/>
                <w:szCs w:val="21"/>
              </w:rPr>
            </w:pP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3.0 </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34</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穿束机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40.5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81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35</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砂轮切割机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台</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220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1.0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color w:val="000000"/>
                <w:szCs w:val="21"/>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color w:val="000000"/>
                <w:szCs w:val="21"/>
              </w:rPr>
              <w:t>20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20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color w:val="000000"/>
                <w:szCs w:val="21"/>
              </w:rPr>
              <w:t>30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36</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高压油泵</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套</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3.0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37</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灰浆泵</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HUB3</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套</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4.0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38</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搅拌机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JW200</w:t>
            </w: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套</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3.0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39</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挤压机</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套</w:t>
            </w: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380</w:t>
            </w: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rPr>
            </w:pPr>
            <w:r>
              <w:rPr>
                <w:rFonts w:ascii="宋体" w:hAnsi="宋体" w:cs="宋体" w:hint="eastAsia"/>
                <w:color w:val="000000"/>
                <w:kern w:val="0"/>
                <w:lang w:bidi="ar"/>
              </w:rPr>
              <w:t xml:space="preserve">5.5 </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1</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5.5</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0</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r>
              <w:rPr>
                <w:rFonts w:ascii="宋体" w:hAnsi="宋体" w:cs="宋体" w:hint="eastAsia"/>
                <w:color w:val="000000"/>
                <w:szCs w:val="21"/>
              </w:rPr>
              <w:t>0</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kern w:val="0"/>
                <w:szCs w:val="21"/>
                <w:lang w:bidi="ar"/>
              </w:rPr>
            </w:pPr>
            <w:r>
              <w:rPr>
                <w:rFonts w:ascii="宋体" w:hAnsi="宋体" w:cs="宋体"/>
                <w:color w:val="000000"/>
                <w:kern w:val="0"/>
                <w:szCs w:val="21"/>
                <w:lang w:bidi="ar"/>
              </w:rPr>
              <w:t>0</w:t>
            </w:r>
          </w:p>
        </w:tc>
      </w:tr>
      <w:tr>
        <w:tblPrEx>
          <w:tblW w:w="9654" w:type="dxa"/>
          <w:tblInd w:w="0" w:type="dxa"/>
          <w:tblLayout w:type="fixed"/>
          <w:tblCellMar>
            <w:top w:w="0" w:type="dxa"/>
            <w:left w:w="0" w:type="dxa"/>
            <w:bottom w:w="0" w:type="dxa"/>
            <w:right w:w="0" w:type="dxa"/>
          </w:tblCellMar>
        </w:tblPrEx>
        <w:trPr>
          <w:trHeight w:val="271"/>
        </w:trPr>
        <w:tc>
          <w:tcPr>
            <w:tcW w:w="5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40</w:t>
            </w:r>
          </w:p>
        </w:tc>
        <w:tc>
          <w:tcPr>
            <w:tcW w:w="15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Cs w:val="21"/>
              </w:rPr>
            </w:pPr>
            <w:r>
              <w:rPr>
                <w:rFonts w:ascii="宋体" w:hAnsi="宋体" w:cs="宋体" w:hint="eastAsia"/>
                <w:color w:val="000000"/>
                <w:kern w:val="0"/>
                <w:szCs w:val="21"/>
                <w:lang w:bidi="ar"/>
              </w:rPr>
              <w:t>合计</w:t>
            </w:r>
          </w:p>
        </w:tc>
        <w:tc>
          <w:tcPr>
            <w:tcW w:w="12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rPr>
                <w:rFonts w:ascii="宋体" w:hAnsi="宋体" w:cs="宋体"/>
                <w:color w:val="000000"/>
                <w:szCs w:val="21"/>
              </w:rPr>
            </w:pPr>
          </w:p>
        </w:tc>
        <w:tc>
          <w:tcPr>
            <w:tcW w:w="42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4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7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1212.3</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1129.8</w:t>
            </w: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1315.7</w:t>
            </w:r>
          </w:p>
        </w:tc>
        <w:tc>
          <w:tcPr>
            <w:tcW w:w="7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Cs w:val="21"/>
              </w:rPr>
            </w:pPr>
          </w:p>
        </w:tc>
        <w:tc>
          <w:tcPr>
            <w:tcW w:w="56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ascii="宋体" w:hAnsi="宋体" w:cs="宋体"/>
                <w:color w:val="000000"/>
                <w:kern w:val="0"/>
                <w:szCs w:val="21"/>
                <w:lang w:bidi="ar"/>
              </w:rPr>
              <w:t>544</w:t>
            </w:r>
          </w:p>
        </w:tc>
      </w:tr>
    </w:tbl>
    <w:p>
      <w:pPr>
        <w:pStyle w:val="Heading2"/>
        <w:spacing w:before="0" w:after="0" w:line="360" w:lineRule="auto"/>
      </w:pPr>
      <w:bookmarkStart w:id="21" w:name="_Toc8954"/>
      <w:bookmarkStart w:id="22" w:name="_Toc52134204"/>
      <w:bookmarkStart w:id="23" w:name="_Toc12048"/>
      <w:r>
        <w:rPr>
          <w:rFonts w:hint="eastAsia"/>
        </w:rPr>
        <w:t>1</w:t>
      </w:r>
      <w:r>
        <w:t>.2</w:t>
      </w:r>
      <w:r>
        <w:rPr>
          <w:rFonts w:hint="eastAsia"/>
        </w:rPr>
        <w:t>项目部办公区和生活区及工人生活区用电设备</w:t>
      </w:r>
    </w:p>
    <w:tbl>
      <w:tblPr>
        <w:tblStyle w:val="TableGrid0"/>
        <w:tblW w:w="97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9"/>
        <w:gridCol w:w="1559"/>
        <w:gridCol w:w="709"/>
        <w:gridCol w:w="1418"/>
        <w:gridCol w:w="1134"/>
        <w:gridCol w:w="1275"/>
        <w:gridCol w:w="1418"/>
        <w:gridCol w:w="1559"/>
        <w:gridCol w:w="17"/>
      </w:tblGrid>
      <w:tr>
        <w:tblPrEx>
          <w:tblW w:w="97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709" w:type="dxa"/>
          </w:tcPr>
          <w:p>
            <w:pPr>
              <w:pStyle w:val="NormalIndent"/>
              <w:ind w:firstLine="0" w:firstLineChars="0"/>
            </w:pPr>
            <w:r>
              <w:rPr>
                <w:rFonts w:hint="eastAsia"/>
              </w:rPr>
              <w:t>序号</w:t>
            </w:r>
          </w:p>
        </w:tc>
        <w:tc>
          <w:tcPr>
            <w:tcW w:w="1559" w:type="dxa"/>
          </w:tcPr>
          <w:p>
            <w:pPr>
              <w:pStyle w:val="NormalIndent"/>
              <w:ind w:firstLine="240" w:firstLineChars="100"/>
            </w:pPr>
            <w:r>
              <w:rPr>
                <w:rFonts w:hint="eastAsia"/>
              </w:rPr>
              <w:t>设备名称</w:t>
            </w:r>
          </w:p>
        </w:tc>
        <w:tc>
          <w:tcPr>
            <w:tcW w:w="709" w:type="dxa"/>
          </w:tcPr>
          <w:p>
            <w:pPr>
              <w:pStyle w:val="NormalIndent"/>
              <w:ind w:firstLine="0" w:firstLineChars="0"/>
            </w:pPr>
            <w:r>
              <w:rPr>
                <w:rFonts w:hint="eastAsia"/>
              </w:rPr>
              <w:t>电压</w:t>
            </w:r>
          </w:p>
        </w:tc>
        <w:tc>
          <w:tcPr>
            <w:tcW w:w="1418" w:type="dxa"/>
          </w:tcPr>
          <w:p>
            <w:pPr>
              <w:pStyle w:val="NormalIndent"/>
              <w:ind w:left="480" w:hanging="480" w:hangingChars="200"/>
              <w:jc w:val="center"/>
            </w:pPr>
            <w:r>
              <w:rPr>
                <w:rFonts w:hint="eastAsia"/>
              </w:rPr>
              <w:t>工人生活区台数</w:t>
            </w:r>
          </w:p>
        </w:tc>
        <w:tc>
          <w:tcPr>
            <w:tcW w:w="1134" w:type="dxa"/>
          </w:tcPr>
          <w:p>
            <w:pPr>
              <w:pStyle w:val="NormalIndent"/>
              <w:ind w:left="240" w:hanging="240" w:hangingChars="100"/>
              <w:jc w:val="center"/>
            </w:pPr>
            <w:r>
              <w:rPr>
                <w:rFonts w:hint="eastAsia"/>
              </w:rPr>
              <w:t>项目部台数</w:t>
            </w:r>
          </w:p>
        </w:tc>
        <w:tc>
          <w:tcPr>
            <w:tcW w:w="1275" w:type="dxa"/>
          </w:tcPr>
          <w:p>
            <w:pPr>
              <w:pStyle w:val="NormalIndent"/>
              <w:ind w:left="240" w:hanging="240" w:hangingChars="100"/>
              <w:jc w:val="center"/>
            </w:pPr>
            <w:r>
              <w:rPr>
                <w:rFonts w:hint="eastAsia"/>
              </w:rPr>
              <w:t>单台容量</w:t>
            </w:r>
          </w:p>
          <w:p>
            <w:pPr>
              <w:pStyle w:val="NormalIndent"/>
              <w:ind w:left="240" w:hanging="240" w:hangingChars="100"/>
              <w:jc w:val="center"/>
            </w:pPr>
            <w:r>
              <w:rPr>
                <w:rFonts w:hint="eastAsia"/>
              </w:rPr>
              <w:t>（KW）</w:t>
            </w:r>
          </w:p>
        </w:tc>
        <w:tc>
          <w:tcPr>
            <w:tcW w:w="1418" w:type="dxa"/>
          </w:tcPr>
          <w:p>
            <w:pPr>
              <w:pStyle w:val="NormalIndent"/>
              <w:ind w:left="240" w:hanging="240" w:hangingChars="100"/>
              <w:jc w:val="center"/>
            </w:pPr>
            <w:r>
              <w:rPr>
                <w:rFonts w:hint="eastAsia"/>
              </w:rPr>
              <w:t>工人容量合计（KW）</w:t>
            </w:r>
          </w:p>
        </w:tc>
        <w:tc>
          <w:tcPr>
            <w:tcW w:w="1576" w:type="dxa"/>
            <w:gridSpan w:val="2"/>
          </w:tcPr>
          <w:p>
            <w:pPr>
              <w:pStyle w:val="NormalIndent"/>
              <w:ind w:left="240" w:hanging="240" w:hangingChars="100"/>
              <w:jc w:val="center"/>
            </w:pPr>
            <w:r>
              <w:rPr>
                <w:rFonts w:hint="eastAsia"/>
              </w:rPr>
              <w:t>项目部容量合计（KW）</w:t>
            </w:r>
          </w:p>
        </w:tc>
      </w:tr>
      <w:tr>
        <w:tblPrEx>
          <w:tblW w:w="9798" w:type="dxa"/>
          <w:tblInd w:w="-459" w:type="dxa"/>
          <w:tblCellMar>
            <w:top w:w="0" w:type="dxa"/>
            <w:left w:w="108" w:type="dxa"/>
            <w:bottom w:w="0" w:type="dxa"/>
            <w:right w:w="108" w:type="dxa"/>
          </w:tblCellMar>
        </w:tblPrEx>
        <w:tc>
          <w:tcPr>
            <w:tcW w:w="709" w:type="dxa"/>
          </w:tcPr>
          <w:p>
            <w:pPr>
              <w:pStyle w:val="NormalIndent"/>
              <w:ind w:firstLine="0" w:firstLineChars="0"/>
              <w:jc w:val="center"/>
            </w:pPr>
            <w:r>
              <w:rPr>
                <w:rFonts w:hint="eastAsia"/>
              </w:rPr>
              <w:t>1</w:t>
            </w:r>
          </w:p>
        </w:tc>
        <w:tc>
          <w:tcPr>
            <w:tcW w:w="1559" w:type="dxa"/>
          </w:tcPr>
          <w:p>
            <w:pPr>
              <w:pStyle w:val="NormalIndent"/>
              <w:ind w:firstLine="0" w:firstLineChars="0"/>
              <w:jc w:val="center"/>
            </w:pPr>
            <w:r>
              <w:rPr>
                <w:rFonts w:hint="eastAsia"/>
              </w:rPr>
              <w:t>饮水机</w:t>
            </w:r>
          </w:p>
        </w:tc>
        <w:tc>
          <w:tcPr>
            <w:tcW w:w="709" w:type="dxa"/>
          </w:tcPr>
          <w:p>
            <w:pPr>
              <w:pStyle w:val="NormalIndent"/>
              <w:ind w:firstLine="0" w:firstLineChars="0"/>
              <w:jc w:val="center"/>
            </w:pPr>
            <w:r>
              <w:rPr>
                <w:rFonts w:hint="eastAsia"/>
              </w:rPr>
              <w:t>2</w:t>
            </w:r>
            <w:r>
              <w:t>20</w:t>
            </w:r>
          </w:p>
        </w:tc>
        <w:tc>
          <w:tcPr>
            <w:tcW w:w="1418" w:type="dxa"/>
          </w:tcPr>
          <w:p>
            <w:pPr>
              <w:pStyle w:val="NormalIndent"/>
              <w:ind w:firstLine="0" w:firstLineChars="0"/>
              <w:jc w:val="center"/>
            </w:pPr>
            <w:r>
              <w:rPr>
                <w:rFonts w:hint="eastAsia"/>
              </w:rPr>
              <w:t>/</w:t>
            </w:r>
          </w:p>
        </w:tc>
        <w:tc>
          <w:tcPr>
            <w:tcW w:w="1134" w:type="dxa"/>
          </w:tcPr>
          <w:p>
            <w:pPr>
              <w:pStyle w:val="NormalIndent"/>
              <w:ind w:firstLine="0" w:firstLineChars="0"/>
              <w:jc w:val="center"/>
            </w:pPr>
            <w:r>
              <w:rPr>
                <w:rFonts w:hint="eastAsia"/>
              </w:rPr>
              <w:t>2</w:t>
            </w:r>
            <w:r>
              <w:t>0</w:t>
            </w:r>
          </w:p>
        </w:tc>
        <w:tc>
          <w:tcPr>
            <w:tcW w:w="1275" w:type="dxa"/>
          </w:tcPr>
          <w:p>
            <w:pPr>
              <w:pStyle w:val="NormalIndent"/>
              <w:ind w:firstLine="0" w:firstLineChars="0"/>
              <w:jc w:val="center"/>
            </w:pPr>
            <w:r>
              <w:rPr>
                <w:rFonts w:hint="eastAsia"/>
              </w:rPr>
              <w:t>1</w:t>
            </w:r>
            <w:r>
              <w:t>.5</w:t>
            </w:r>
          </w:p>
        </w:tc>
        <w:tc>
          <w:tcPr>
            <w:tcW w:w="1418" w:type="dxa"/>
          </w:tcPr>
          <w:p>
            <w:pPr>
              <w:pStyle w:val="NormalIndent"/>
              <w:ind w:firstLine="0" w:firstLineChars="0"/>
              <w:jc w:val="center"/>
            </w:pPr>
            <w:r>
              <w:rPr>
                <w:rFonts w:hint="eastAsia"/>
              </w:rPr>
              <w:t>/</w:t>
            </w:r>
          </w:p>
        </w:tc>
        <w:tc>
          <w:tcPr>
            <w:tcW w:w="1576" w:type="dxa"/>
            <w:gridSpan w:val="2"/>
          </w:tcPr>
          <w:p>
            <w:pPr>
              <w:pStyle w:val="NormalIndent"/>
              <w:ind w:firstLine="0" w:firstLineChars="0"/>
              <w:jc w:val="center"/>
            </w:pPr>
            <w:r>
              <w:rPr>
                <w:rFonts w:hint="eastAsia"/>
              </w:rPr>
              <w:t>3</w:t>
            </w:r>
            <w:r>
              <w:t>0</w:t>
            </w:r>
          </w:p>
        </w:tc>
      </w:tr>
      <w:tr>
        <w:tblPrEx>
          <w:tblW w:w="9798" w:type="dxa"/>
          <w:tblInd w:w="-459" w:type="dxa"/>
          <w:tblCellMar>
            <w:top w:w="0" w:type="dxa"/>
            <w:left w:w="108" w:type="dxa"/>
            <w:bottom w:w="0" w:type="dxa"/>
            <w:right w:w="108" w:type="dxa"/>
          </w:tblCellMar>
        </w:tblPrEx>
        <w:tc>
          <w:tcPr>
            <w:tcW w:w="709" w:type="dxa"/>
          </w:tcPr>
          <w:p>
            <w:pPr>
              <w:pStyle w:val="NormalIndent"/>
              <w:ind w:firstLine="0" w:firstLineChars="0"/>
              <w:jc w:val="center"/>
            </w:pPr>
            <w:r>
              <w:rPr>
                <w:rFonts w:hint="eastAsia"/>
              </w:rPr>
              <w:t>2</w:t>
            </w:r>
          </w:p>
        </w:tc>
        <w:tc>
          <w:tcPr>
            <w:tcW w:w="1559" w:type="dxa"/>
          </w:tcPr>
          <w:p>
            <w:pPr>
              <w:pStyle w:val="NormalIndent"/>
              <w:ind w:firstLine="0" w:firstLineChars="0"/>
              <w:jc w:val="center"/>
            </w:pPr>
            <w:r>
              <w:rPr>
                <w:rFonts w:hint="eastAsia"/>
              </w:rPr>
              <w:t>蒸饭车</w:t>
            </w:r>
          </w:p>
        </w:tc>
        <w:tc>
          <w:tcPr>
            <w:tcW w:w="709" w:type="dxa"/>
          </w:tcPr>
          <w:p>
            <w:pPr>
              <w:pStyle w:val="NormalIndent"/>
              <w:ind w:firstLine="0" w:firstLineChars="0"/>
              <w:jc w:val="center"/>
            </w:pPr>
            <w:r>
              <w:rPr>
                <w:rFonts w:hint="eastAsia"/>
              </w:rPr>
              <w:t>3</w:t>
            </w:r>
            <w:r>
              <w:t>80</w:t>
            </w:r>
          </w:p>
        </w:tc>
        <w:tc>
          <w:tcPr>
            <w:tcW w:w="1418" w:type="dxa"/>
          </w:tcPr>
          <w:p>
            <w:pPr>
              <w:pStyle w:val="NormalIndent"/>
              <w:ind w:firstLine="0" w:firstLineChars="0"/>
              <w:jc w:val="center"/>
            </w:pPr>
            <w:r>
              <w:rPr>
                <w:rFonts w:hint="eastAsia"/>
              </w:rPr>
              <w:t>4</w:t>
            </w:r>
          </w:p>
        </w:tc>
        <w:tc>
          <w:tcPr>
            <w:tcW w:w="1134" w:type="dxa"/>
          </w:tcPr>
          <w:p>
            <w:pPr>
              <w:pStyle w:val="NormalIndent"/>
              <w:ind w:firstLine="0" w:firstLineChars="0"/>
              <w:jc w:val="center"/>
            </w:pPr>
            <w:r>
              <w:rPr>
                <w:rFonts w:hint="eastAsia"/>
              </w:rPr>
              <w:t>2</w:t>
            </w:r>
          </w:p>
        </w:tc>
        <w:tc>
          <w:tcPr>
            <w:tcW w:w="1275" w:type="dxa"/>
          </w:tcPr>
          <w:p>
            <w:pPr>
              <w:pStyle w:val="NormalIndent"/>
              <w:ind w:firstLine="0" w:firstLineChars="0"/>
              <w:jc w:val="center"/>
            </w:pPr>
            <w:r>
              <w:rPr>
                <w:rFonts w:hint="eastAsia"/>
              </w:rPr>
              <w:t>2</w:t>
            </w:r>
            <w:r>
              <w:t>4</w:t>
            </w:r>
          </w:p>
        </w:tc>
        <w:tc>
          <w:tcPr>
            <w:tcW w:w="1418" w:type="dxa"/>
          </w:tcPr>
          <w:p>
            <w:pPr>
              <w:pStyle w:val="NormalIndent"/>
              <w:ind w:firstLine="0" w:firstLineChars="0"/>
              <w:jc w:val="center"/>
            </w:pPr>
            <w:r>
              <w:rPr>
                <w:rFonts w:hint="eastAsia"/>
              </w:rPr>
              <w:t>9</w:t>
            </w:r>
            <w:r>
              <w:t>6</w:t>
            </w:r>
          </w:p>
        </w:tc>
        <w:tc>
          <w:tcPr>
            <w:tcW w:w="1576" w:type="dxa"/>
            <w:gridSpan w:val="2"/>
          </w:tcPr>
          <w:p>
            <w:pPr>
              <w:pStyle w:val="NormalIndent"/>
              <w:ind w:firstLine="0" w:firstLineChars="0"/>
              <w:jc w:val="center"/>
            </w:pPr>
            <w:r>
              <w:rPr>
                <w:rFonts w:hint="eastAsia"/>
              </w:rPr>
              <w:t>4</w:t>
            </w:r>
            <w:r>
              <w:t>8</w:t>
            </w:r>
          </w:p>
        </w:tc>
      </w:tr>
      <w:tr>
        <w:tblPrEx>
          <w:tblW w:w="9798" w:type="dxa"/>
          <w:tblInd w:w="-459" w:type="dxa"/>
          <w:tblCellMar>
            <w:top w:w="0" w:type="dxa"/>
            <w:left w:w="108" w:type="dxa"/>
            <w:bottom w:w="0" w:type="dxa"/>
            <w:right w:w="108" w:type="dxa"/>
          </w:tblCellMar>
        </w:tblPrEx>
        <w:tc>
          <w:tcPr>
            <w:tcW w:w="709" w:type="dxa"/>
          </w:tcPr>
          <w:p>
            <w:pPr>
              <w:pStyle w:val="NormalIndent"/>
              <w:ind w:firstLine="0" w:firstLineChars="0"/>
              <w:jc w:val="center"/>
            </w:pPr>
            <w:r>
              <w:rPr>
                <w:rFonts w:hint="eastAsia"/>
              </w:rPr>
              <w:t>3</w:t>
            </w:r>
          </w:p>
        </w:tc>
        <w:tc>
          <w:tcPr>
            <w:tcW w:w="1559" w:type="dxa"/>
          </w:tcPr>
          <w:p>
            <w:pPr>
              <w:pStyle w:val="NormalIndent"/>
              <w:ind w:firstLine="0" w:firstLineChars="0"/>
              <w:jc w:val="center"/>
            </w:pPr>
            <w:r>
              <w:rPr>
                <w:rFonts w:hint="eastAsia"/>
              </w:rPr>
              <w:t>冰箱</w:t>
            </w:r>
          </w:p>
        </w:tc>
        <w:tc>
          <w:tcPr>
            <w:tcW w:w="709" w:type="dxa"/>
          </w:tcPr>
          <w:p>
            <w:pPr>
              <w:pStyle w:val="NormalIndent"/>
              <w:ind w:firstLine="0" w:firstLineChars="0"/>
              <w:jc w:val="center"/>
            </w:pPr>
            <w:r>
              <w:rPr>
                <w:rFonts w:hint="eastAsia"/>
              </w:rPr>
              <w:t>2</w:t>
            </w:r>
            <w:r>
              <w:t>20</w:t>
            </w:r>
          </w:p>
        </w:tc>
        <w:tc>
          <w:tcPr>
            <w:tcW w:w="1418" w:type="dxa"/>
          </w:tcPr>
          <w:p>
            <w:pPr>
              <w:pStyle w:val="NormalIndent"/>
              <w:ind w:firstLine="0" w:firstLineChars="0"/>
              <w:jc w:val="center"/>
            </w:pPr>
            <w:r>
              <w:rPr>
                <w:rFonts w:hint="eastAsia"/>
              </w:rPr>
              <w:t>2</w:t>
            </w:r>
          </w:p>
        </w:tc>
        <w:tc>
          <w:tcPr>
            <w:tcW w:w="1134" w:type="dxa"/>
          </w:tcPr>
          <w:p>
            <w:pPr>
              <w:pStyle w:val="NormalIndent"/>
              <w:ind w:firstLine="0" w:firstLineChars="0"/>
              <w:jc w:val="center"/>
            </w:pPr>
            <w:r>
              <w:rPr>
                <w:rFonts w:hint="eastAsia"/>
              </w:rPr>
              <w:t>1</w:t>
            </w:r>
          </w:p>
        </w:tc>
        <w:tc>
          <w:tcPr>
            <w:tcW w:w="1275" w:type="dxa"/>
          </w:tcPr>
          <w:p>
            <w:pPr>
              <w:pStyle w:val="NormalIndent"/>
              <w:ind w:firstLine="0" w:firstLineChars="0"/>
              <w:jc w:val="center"/>
            </w:pPr>
            <w:r>
              <w:rPr>
                <w:rFonts w:hint="eastAsia"/>
              </w:rPr>
              <w:t>1</w:t>
            </w:r>
          </w:p>
        </w:tc>
        <w:tc>
          <w:tcPr>
            <w:tcW w:w="1418" w:type="dxa"/>
          </w:tcPr>
          <w:p>
            <w:pPr>
              <w:pStyle w:val="NormalIndent"/>
              <w:ind w:firstLine="0" w:firstLineChars="0"/>
              <w:jc w:val="center"/>
            </w:pPr>
            <w:r>
              <w:rPr>
                <w:rFonts w:hint="eastAsia"/>
              </w:rPr>
              <w:t>2</w:t>
            </w:r>
          </w:p>
        </w:tc>
        <w:tc>
          <w:tcPr>
            <w:tcW w:w="1576" w:type="dxa"/>
            <w:gridSpan w:val="2"/>
          </w:tcPr>
          <w:p>
            <w:pPr>
              <w:pStyle w:val="NormalIndent"/>
              <w:ind w:firstLine="0" w:firstLineChars="0"/>
              <w:jc w:val="center"/>
            </w:pPr>
            <w:r>
              <w:rPr>
                <w:rFonts w:hint="eastAsia"/>
              </w:rPr>
              <w:t>1</w:t>
            </w:r>
          </w:p>
        </w:tc>
      </w:tr>
      <w:tr>
        <w:tblPrEx>
          <w:tblW w:w="9798" w:type="dxa"/>
          <w:tblInd w:w="-459" w:type="dxa"/>
          <w:tblCellMar>
            <w:top w:w="0" w:type="dxa"/>
            <w:left w:w="108" w:type="dxa"/>
            <w:bottom w:w="0" w:type="dxa"/>
            <w:right w:w="108" w:type="dxa"/>
          </w:tblCellMar>
        </w:tblPrEx>
        <w:tc>
          <w:tcPr>
            <w:tcW w:w="709" w:type="dxa"/>
          </w:tcPr>
          <w:p>
            <w:pPr>
              <w:pStyle w:val="NormalIndent"/>
              <w:ind w:firstLine="0" w:firstLineChars="0"/>
              <w:jc w:val="center"/>
            </w:pPr>
            <w:r>
              <w:rPr>
                <w:rFonts w:hint="eastAsia"/>
              </w:rPr>
              <w:t>4</w:t>
            </w:r>
          </w:p>
        </w:tc>
        <w:tc>
          <w:tcPr>
            <w:tcW w:w="1559" w:type="dxa"/>
          </w:tcPr>
          <w:p>
            <w:pPr>
              <w:pStyle w:val="NormalIndent"/>
              <w:ind w:firstLine="0" w:firstLineChars="0"/>
              <w:jc w:val="center"/>
            </w:pPr>
            <w:r>
              <w:rPr>
                <w:rFonts w:hint="eastAsia"/>
              </w:rPr>
              <w:t>冰柜</w:t>
            </w:r>
          </w:p>
        </w:tc>
        <w:tc>
          <w:tcPr>
            <w:tcW w:w="709" w:type="dxa"/>
          </w:tcPr>
          <w:p>
            <w:pPr>
              <w:pStyle w:val="NormalIndent"/>
              <w:ind w:firstLine="0" w:firstLineChars="0"/>
              <w:jc w:val="center"/>
            </w:pPr>
            <w:r>
              <w:rPr>
                <w:rFonts w:hint="eastAsia"/>
              </w:rPr>
              <w:t>2</w:t>
            </w:r>
            <w:r>
              <w:t>20</w:t>
            </w:r>
          </w:p>
        </w:tc>
        <w:tc>
          <w:tcPr>
            <w:tcW w:w="1418" w:type="dxa"/>
          </w:tcPr>
          <w:p>
            <w:pPr>
              <w:pStyle w:val="NormalIndent"/>
              <w:ind w:firstLine="0" w:firstLineChars="0"/>
              <w:jc w:val="center"/>
            </w:pPr>
            <w:r>
              <w:rPr>
                <w:rFonts w:hint="eastAsia"/>
              </w:rPr>
              <w:t>4</w:t>
            </w:r>
          </w:p>
        </w:tc>
        <w:tc>
          <w:tcPr>
            <w:tcW w:w="1134" w:type="dxa"/>
          </w:tcPr>
          <w:p>
            <w:pPr>
              <w:pStyle w:val="NormalIndent"/>
              <w:ind w:firstLine="0" w:firstLineChars="0"/>
              <w:jc w:val="center"/>
            </w:pPr>
            <w:r>
              <w:rPr>
                <w:rFonts w:hint="eastAsia"/>
              </w:rPr>
              <w:t>2</w:t>
            </w:r>
          </w:p>
        </w:tc>
        <w:tc>
          <w:tcPr>
            <w:tcW w:w="1275" w:type="dxa"/>
          </w:tcPr>
          <w:p>
            <w:pPr>
              <w:pStyle w:val="NormalIndent"/>
              <w:ind w:firstLine="0" w:firstLineChars="0"/>
              <w:jc w:val="center"/>
            </w:pPr>
            <w:r>
              <w:rPr>
                <w:rFonts w:hint="eastAsia"/>
              </w:rPr>
              <w:t>2</w:t>
            </w:r>
          </w:p>
        </w:tc>
        <w:tc>
          <w:tcPr>
            <w:tcW w:w="1418" w:type="dxa"/>
          </w:tcPr>
          <w:p>
            <w:pPr>
              <w:pStyle w:val="NormalIndent"/>
              <w:ind w:firstLine="0" w:firstLineChars="0"/>
              <w:jc w:val="center"/>
            </w:pPr>
            <w:r>
              <w:rPr>
                <w:rFonts w:hint="eastAsia"/>
              </w:rPr>
              <w:t>8</w:t>
            </w:r>
          </w:p>
        </w:tc>
        <w:tc>
          <w:tcPr>
            <w:tcW w:w="1576" w:type="dxa"/>
            <w:gridSpan w:val="2"/>
          </w:tcPr>
          <w:p>
            <w:pPr>
              <w:pStyle w:val="NormalIndent"/>
              <w:ind w:firstLine="0" w:firstLineChars="0"/>
              <w:jc w:val="center"/>
            </w:pPr>
            <w:r>
              <w:rPr>
                <w:rFonts w:hint="eastAsia"/>
              </w:rPr>
              <w:t>4</w:t>
            </w:r>
          </w:p>
        </w:tc>
      </w:tr>
      <w:tr>
        <w:tblPrEx>
          <w:tblW w:w="9798" w:type="dxa"/>
          <w:tblInd w:w="-459" w:type="dxa"/>
          <w:tblCellMar>
            <w:top w:w="0" w:type="dxa"/>
            <w:left w:w="108" w:type="dxa"/>
            <w:bottom w:w="0" w:type="dxa"/>
            <w:right w:w="108" w:type="dxa"/>
          </w:tblCellMar>
        </w:tblPrEx>
        <w:tc>
          <w:tcPr>
            <w:tcW w:w="709" w:type="dxa"/>
          </w:tcPr>
          <w:p>
            <w:pPr>
              <w:pStyle w:val="NormalIndent"/>
              <w:ind w:firstLine="0" w:firstLineChars="0"/>
              <w:jc w:val="center"/>
            </w:pPr>
            <w:r>
              <w:rPr>
                <w:rFonts w:hint="eastAsia"/>
              </w:rPr>
              <w:t>5</w:t>
            </w:r>
          </w:p>
        </w:tc>
        <w:tc>
          <w:tcPr>
            <w:tcW w:w="1559" w:type="dxa"/>
          </w:tcPr>
          <w:p>
            <w:pPr>
              <w:pStyle w:val="NormalIndent"/>
              <w:ind w:firstLine="0" w:firstLineChars="0"/>
              <w:jc w:val="center"/>
            </w:pPr>
            <w:r>
              <w:rPr>
                <w:rFonts w:hint="eastAsia"/>
              </w:rPr>
              <w:t>热水器</w:t>
            </w:r>
          </w:p>
        </w:tc>
        <w:tc>
          <w:tcPr>
            <w:tcW w:w="709" w:type="dxa"/>
          </w:tcPr>
          <w:p>
            <w:pPr>
              <w:pStyle w:val="NormalIndent"/>
              <w:ind w:firstLine="0" w:firstLineChars="0"/>
              <w:jc w:val="center"/>
            </w:pPr>
            <w:r>
              <w:rPr>
                <w:rFonts w:hint="eastAsia"/>
              </w:rPr>
              <w:t>3</w:t>
            </w:r>
            <w:r>
              <w:t>80</w:t>
            </w:r>
          </w:p>
        </w:tc>
        <w:tc>
          <w:tcPr>
            <w:tcW w:w="1418" w:type="dxa"/>
          </w:tcPr>
          <w:p>
            <w:pPr>
              <w:pStyle w:val="NormalIndent"/>
              <w:ind w:firstLine="0" w:firstLineChars="0"/>
              <w:jc w:val="center"/>
            </w:pPr>
            <w:r>
              <w:rPr>
                <w:rFonts w:hint="eastAsia"/>
              </w:rPr>
              <w:t>4</w:t>
            </w:r>
          </w:p>
        </w:tc>
        <w:tc>
          <w:tcPr>
            <w:tcW w:w="1134" w:type="dxa"/>
          </w:tcPr>
          <w:p>
            <w:pPr>
              <w:pStyle w:val="NormalIndent"/>
              <w:ind w:firstLine="0" w:firstLineChars="0"/>
              <w:jc w:val="center"/>
            </w:pPr>
            <w:r>
              <w:rPr>
                <w:rFonts w:hint="eastAsia"/>
              </w:rPr>
              <w:t>2</w:t>
            </w:r>
          </w:p>
        </w:tc>
        <w:tc>
          <w:tcPr>
            <w:tcW w:w="1275" w:type="dxa"/>
          </w:tcPr>
          <w:p>
            <w:pPr>
              <w:pStyle w:val="NormalIndent"/>
              <w:ind w:firstLine="0" w:firstLineChars="0"/>
              <w:jc w:val="center"/>
            </w:pPr>
            <w:r>
              <w:rPr>
                <w:rFonts w:hint="eastAsia"/>
              </w:rPr>
              <w:t>1</w:t>
            </w:r>
            <w:r>
              <w:t>2</w:t>
            </w:r>
          </w:p>
        </w:tc>
        <w:tc>
          <w:tcPr>
            <w:tcW w:w="1418" w:type="dxa"/>
          </w:tcPr>
          <w:p>
            <w:pPr>
              <w:pStyle w:val="NormalIndent"/>
              <w:ind w:firstLine="0" w:firstLineChars="0"/>
              <w:jc w:val="center"/>
            </w:pPr>
            <w:r>
              <w:rPr>
                <w:rFonts w:hint="eastAsia"/>
              </w:rPr>
              <w:t>4</w:t>
            </w:r>
            <w:r>
              <w:t>8</w:t>
            </w:r>
          </w:p>
        </w:tc>
        <w:tc>
          <w:tcPr>
            <w:tcW w:w="1576" w:type="dxa"/>
            <w:gridSpan w:val="2"/>
          </w:tcPr>
          <w:p>
            <w:pPr>
              <w:pStyle w:val="NormalIndent"/>
              <w:ind w:firstLine="0" w:firstLineChars="0"/>
              <w:jc w:val="center"/>
            </w:pPr>
            <w:r>
              <w:rPr>
                <w:rFonts w:hint="eastAsia"/>
              </w:rPr>
              <w:t>2</w:t>
            </w:r>
            <w:r>
              <w:t>4</w:t>
            </w:r>
          </w:p>
        </w:tc>
      </w:tr>
      <w:tr>
        <w:tblPrEx>
          <w:tblW w:w="9798" w:type="dxa"/>
          <w:tblInd w:w="-459" w:type="dxa"/>
          <w:tblCellMar>
            <w:top w:w="0" w:type="dxa"/>
            <w:left w:w="108" w:type="dxa"/>
            <w:bottom w:w="0" w:type="dxa"/>
            <w:right w:w="108" w:type="dxa"/>
          </w:tblCellMar>
        </w:tblPrEx>
        <w:trPr>
          <w:gridAfter w:val="1"/>
          <w:wAfter w:w="17" w:type="dxa"/>
        </w:trPr>
        <w:tc>
          <w:tcPr>
            <w:tcW w:w="709" w:type="dxa"/>
          </w:tcPr>
          <w:p>
            <w:pPr>
              <w:pStyle w:val="NormalIndent"/>
              <w:ind w:firstLine="0" w:firstLineChars="0"/>
              <w:jc w:val="center"/>
            </w:pPr>
            <w:r>
              <w:rPr>
                <w:rFonts w:hint="eastAsia"/>
              </w:rPr>
              <w:t>6</w:t>
            </w:r>
          </w:p>
        </w:tc>
        <w:tc>
          <w:tcPr>
            <w:tcW w:w="1559" w:type="dxa"/>
          </w:tcPr>
          <w:p>
            <w:pPr>
              <w:pStyle w:val="NormalIndent"/>
              <w:ind w:firstLine="0" w:firstLineChars="0"/>
              <w:jc w:val="center"/>
            </w:pPr>
            <w:r>
              <w:rPr>
                <w:rFonts w:hint="eastAsia"/>
              </w:rPr>
              <w:t>电脑</w:t>
            </w:r>
          </w:p>
        </w:tc>
        <w:tc>
          <w:tcPr>
            <w:tcW w:w="709" w:type="dxa"/>
          </w:tcPr>
          <w:p>
            <w:pPr>
              <w:pStyle w:val="NormalIndent"/>
              <w:ind w:firstLine="0" w:firstLineChars="0"/>
              <w:jc w:val="center"/>
            </w:pPr>
            <w:r>
              <w:rPr>
                <w:rFonts w:hint="eastAsia"/>
              </w:rPr>
              <w:t>2</w:t>
            </w:r>
            <w:r>
              <w:t>20</w:t>
            </w:r>
          </w:p>
        </w:tc>
        <w:tc>
          <w:tcPr>
            <w:tcW w:w="1418" w:type="dxa"/>
          </w:tcPr>
          <w:p>
            <w:pPr>
              <w:pStyle w:val="NormalIndent"/>
              <w:ind w:firstLine="0" w:firstLineChars="0"/>
              <w:jc w:val="center"/>
            </w:pPr>
            <w:r>
              <w:t>20</w:t>
            </w:r>
          </w:p>
        </w:tc>
        <w:tc>
          <w:tcPr>
            <w:tcW w:w="1134" w:type="dxa"/>
          </w:tcPr>
          <w:p>
            <w:pPr>
              <w:pStyle w:val="NormalIndent"/>
              <w:ind w:firstLine="0" w:firstLineChars="0"/>
              <w:jc w:val="center"/>
            </w:pPr>
            <w:r>
              <w:rPr>
                <w:rFonts w:hint="eastAsia"/>
              </w:rPr>
              <w:t>4</w:t>
            </w:r>
            <w:r>
              <w:t>0</w:t>
            </w:r>
          </w:p>
        </w:tc>
        <w:tc>
          <w:tcPr>
            <w:tcW w:w="1275" w:type="dxa"/>
          </w:tcPr>
          <w:p>
            <w:pPr>
              <w:pStyle w:val="NormalIndent"/>
              <w:ind w:firstLine="0" w:firstLineChars="0"/>
              <w:jc w:val="center"/>
            </w:pPr>
            <w:r>
              <w:rPr>
                <w:rFonts w:hint="eastAsia"/>
              </w:rPr>
              <w:t>0</w:t>
            </w:r>
            <w:r>
              <w:t>.5</w:t>
            </w:r>
          </w:p>
        </w:tc>
        <w:tc>
          <w:tcPr>
            <w:tcW w:w="1418" w:type="dxa"/>
          </w:tcPr>
          <w:p>
            <w:pPr>
              <w:pStyle w:val="NormalIndent"/>
              <w:ind w:firstLine="0" w:firstLineChars="0"/>
              <w:jc w:val="center"/>
            </w:pPr>
            <w:r>
              <w:rPr>
                <w:rFonts w:hint="eastAsia"/>
              </w:rPr>
              <w:t>1</w:t>
            </w:r>
            <w:r>
              <w:t>0</w:t>
            </w:r>
          </w:p>
        </w:tc>
        <w:tc>
          <w:tcPr>
            <w:tcW w:w="1559" w:type="dxa"/>
          </w:tcPr>
          <w:p>
            <w:pPr>
              <w:pStyle w:val="NormalIndent"/>
              <w:ind w:firstLine="0" w:firstLineChars="0"/>
              <w:jc w:val="center"/>
            </w:pPr>
            <w:r>
              <w:rPr>
                <w:rFonts w:hint="eastAsia"/>
              </w:rPr>
              <w:t>2</w:t>
            </w:r>
            <w:r>
              <w:t>0</w:t>
            </w:r>
          </w:p>
        </w:tc>
      </w:tr>
      <w:tr>
        <w:tblPrEx>
          <w:tblW w:w="9798" w:type="dxa"/>
          <w:tblInd w:w="-459" w:type="dxa"/>
          <w:tblCellMar>
            <w:top w:w="0" w:type="dxa"/>
            <w:left w:w="108" w:type="dxa"/>
            <w:bottom w:w="0" w:type="dxa"/>
            <w:right w:w="108" w:type="dxa"/>
          </w:tblCellMar>
        </w:tblPrEx>
        <w:trPr>
          <w:gridAfter w:val="1"/>
          <w:wAfter w:w="17" w:type="dxa"/>
        </w:trPr>
        <w:tc>
          <w:tcPr>
            <w:tcW w:w="709" w:type="dxa"/>
          </w:tcPr>
          <w:p>
            <w:pPr>
              <w:pStyle w:val="NormalIndent"/>
              <w:ind w:firstLine="0" w:firstLineChars="0"/>
              <w:jc w:val="center"/>
            </w:pPr>
            <w:r>
              <w:rPr>
                <w:rFonts w:hint="eastAsia"/>
              </w:rPr>
              <w:t>7</w:t>
            </w:r>
          </w:p>
        </w:tc>
        <w:tc>
          <w:tcPr>
            <w:tcW w:w="1559" w:type="dxa"/>
          </w:tcPr>
          <w:p>
            <w:pPr>
              <w:pStyle w:val="NormalIndent"/>
              <w:ind w:firstLine="0" w:firstLineChars="0"/>
              <w:jc w:val="center"/>
            </w:pPr>
            <w:r>
              <w:rPr>
                <w:rFonts w:hint="eastAsia"/>
              </w:rPr>
              <w:t>打印机</w:t>
            </w:r>
          </w:p>
        </w:tc>
        <w:tc>
          <w:tcPr>
            <w:tcW w:w="709" w:type="dxa"/>
          </w:tcPr>
          <w:p>
            <w:pPr>
              <w:pStyle w:val="NormalIndent"/>
              <w:ind w:firstLine="0" w:firstLineChars="0"/>
              <w:jc w:val="center"/>
            </w:pPr>
            <w:r>
              <w:rPr>
                <w:rFonts w:hint="eastAsia"/>
              </w:rPr>
              <w:t>2</w:t>
            </w:r>
            <w:r>
              <w:t>20</w:t>
            </w:r>
          </w:p>
        </w:tc>
        <w:tc>
          <w:tcPr>
            <w:tcW w:w="1418" w:type="dxa"/>
          </w:tcPr>
          <w:p>
            <w:pPr>
              <w:pStyle w:val="NormalIndent"/>
              <w:ind w:firstLine="0" w:firstLineChars="0"/>
              <w:jc w:val="center"/>
            </w:pPr>
            <w:r>
              <w:t>5</w:t>
            </w:r>
          </w:p>
        </w:tc>
        <w:tc>
          <w:tcPr>
            <w:tcW w:w="1134" w:type="dxa"/>
          </w:tcPr>
          <w:p>
            <w:pPr>
              <w:pStyle w:val="NormalIndent"/>
              <w:ind w:firstLine="0" w:firstLineChars="0"/>
              <w:jc w:val="center"/>
            </w:pPr>
            <w:r>
              <w:t>10</w:t>
            </w:r>
          </w:p>
        </w:tc>
        <w:tc>
          <w:tcPr>
            <w:tcW w:w="1275" w:type="dxa"/>
          </w:tcPr>
          <w:p>
            <w:pPr>
              <w:pStyle w:val="NormalIndent"/>
              <w:ind w:firstLine="0" w:firstLineChars="0"/>
              <w:jc w:val="center"/>
            </w:pPr>
            <w:r>
              <w:rPr>
                <w:rFonts w:hint="eastAsia"/>
              </w:rPr>
              <w:t>0</w:t>
            </w:r>
            <w:r>
              <w:t>.5</w:t>
            </w:r>
          </w:p>
        </w:tc>
        <w:tc>
          <w:tcPr>
            <w:tcW w:w="1418" w:type="dxa"/>
          </w:tcPr>
          <w:p>
            <w:pPr>
              <w:pStyle w:val="NormalIndent"/>
              <w:ind w:firstLine="0" w:firstLineChars="0"/>
              <w:jc w:val="center"/>
            </w:pPr>
            <w:r>
              <w:rPr>
                <w:rFonts w:hint="eastAsia"/>
              </w:rPr>
              <w:t>2</w:t>
            </w:r>
            <w:r>
              <w:t>.5</w:t>
            </w:r>
          </w:p>
        </w:tc>
        <w:tc>
          <w:tcPr>
            <w:tcW w:w="1559" w:type="dxa"/>
          </w:tcPr>
          <w:p>
            <w:pPr>
              <w:pStyle w:val="NormalIndent"/>
              <w:ind w:firstLine="0" w:firstLineChars="0"/>
              <w:jc w:val="center"/>
            </w:pPr>
            <w:r>
              <w:rPr>
                <w:rFonts w:hint="eastAsia"/>
              </w:rPr>
              <w:t>5</w:t>
            </w:r>
          </w:p>
        </w:tc>
      </w:tr>
      <w:tr>
        <w:tblPrEx>
          <w:tblW w:w="9798" w:type="dxa"/>
          <w:tblInd w:w="-459" w:type="dxa"/>
          <w:tblCellMar>
            <w:top w:w="0" w:type="dxa"/>
            <w:left w:w="108" w:type="dxa"/>
            <w:bottom w:w="0" w:type="dxa"/>
            <w:right w:w="108" w:type="dxa"/>
          </w:tblCellMar>
        </w:tblPrEx>
        <w:trPr>
          <w:gridAfter w:val="1"/>
          <w:wAfter w:w="17" w:type="dxa"/>
        </w:trPr>
        <w:tc>
          <w:tcPr>
            <w:tcW w:w="709" w:type="dxa"/>
          </w:tcPr>
          <w:p>
            <w:pPr>
              <w:pStyle w:val="NormalIndent"/>
              <w:ind w:firstLine="0" w:firstLineChars="0"/>
              <w:jc w:val="center"/>
            </w:pPr>
            <w:r>
              <w:t>8</w:t>
            </w:r>
          </w:p>
        </w:tc>
        <w:tc>
          <w:tcPr>
            <w:tcW w:w="1559" w:type="dxa"/>
          </w:tcPr>
          <w:p>
            <w:pPr>
              <w:pStyle w:val="NormalIndent"/>
              <w:ind w:firstLine="0" w:firstLineChars="0"/>
              <w:jc w:val="center"/>
            </w:pPr>
            <w:r>
              <w:rPr>
                <w:rFonts w:hint="eastAsia"/>
              </w:rPr>
              <w:t>复印机</w:t>
            </w:r>
          </w:p>
        </w:tc>
        <w:tc>
          <w:tcPr>
            <w:tcW w:w="709" w:type="dxa"/>
          </w:tcPr>
          <w:p>
            <w:pPr>
              <w:pStyle w:val="NormalIndent"/>
              <w:ind w:firstLine="0" w:firstLineChars="0"/>
              <w:jc w:val="center"/>
            </w:pPr>
            <w:r>
              <w:rPr>
                <w:rFonts w:hint="eastAsia"/>
              </w:rPr>
              <w:t>2</w:t>
            </w:r>
            <w:r>
              <w:t>20</w:t>
            </w:r>
          </w:p>
        </w:tc>
        <w:tc>
          <w:tcPr>
            <w:tcW w:w="1418" w:type="dxa"/>
          </w:tcPr>
          <w:p>
            <w:pPr>
              <w:pStyle w:val="NormalIndent"/>
              <w:ind w:firstLine="0" w:firstLineChars="0"/>
              <w:jc w:val="center"/>
            </w:pPr>
            <w:r>
              <w:rPr>
                <w:rFonts w:hint="eastAsia"/>
              </w:rPr>
              <w:t>2</w:t>
            </w:r>
          </w:p>
        </w:tc>
        <w:tc>
          <w:tcPr>
            <w:tcW w:w="1134" w:type="dxa"/>
          </w:tcPr>
          <w:p>
            <w:pPr>
              <w:pStyle w:val="NormalIndent"/>
              <w:ind w:firstLine="0" w:firstLineChars="0"/>
              <w:jc w:val="center"/>
            </w:pPr>
            <w:r>
              <w:rPr>
                <w:rFonts w:hint="eastAsia"/>
              </w:rPr>
              <w:t>4</w:t>
            </w:r>
          </w:p>
        </w:tc>
        <w:tc>
          <w:tcPr>
            <w:tcW w:w="1275" w:type="dxa"/>
          </w:tcPr>
          <w:p>
            <w:pPr>
              <w:pStyle w:val="NormalIndent"/>
              <w:ind w:firstLine="0" w:firstLineChars="0"/>
              <w:jc w:val="center"/>
            </w:pPr>
            <w:r>
              <w:rPr>
                <w:rFonts w:hint="eastAsia"/>
              </w:rPr>
              <w:t>1</w:t>
            </w:r>
          </w:p>
        </w:tc>
        <w:tc>
          <w:tcPr>
            <w:tcW w:w="1418" w:type="dxa"/>
          </w:tcPr>
          <w:p>
            <w:pPr>
              <w:pStyle w:val="NormalIndent"/>
              <w:ind w:firstLine="0" w:firstLineChars="0"/>
              <w:jc w:val="center"/>
            </w:pPr>
            <w:r>
              <w:rPr>
                <w:rFonts w:hint="eastAsia"/>
              </w:rPr>
              <w:t>2</w:t>
            </w:r>
          </w:p>
        </w:tc>
        <w:tc>
          <w:tcPr>
            <w:tcW w:w="1559" w:type="dxa"/>
          </w:tcPr>
          <w:p>
            <w:pPr>
              <w:pStyle w:val="NormalIndent"/>
              <w:ind w:firstLine="0" w:firstLineChars="0"/>
              <w:jc w:val="center"/>
            </w:pPr>
            <w:r>
              <w:rPr>
                <w:rFonts w:hint="eastAsia"/>
              </w:rPr>
              <w:t>4</w:t>
            </w:r>
          </w:p>
        </w:tc>
      </w:tr>
      <w:tr>
        <w:tblPrEx>
          <w:tblW w:w="9798" w:type="dxa"/>
          <w:tblInd w:w="-459" w:type="dxa"/>
          <w:tblCellMar>
            <w:top w:w="0" w:type="dxa"/>
            <w:left w:w="108" w:type="dxa"/>
            <w:bottom w:w="0" w:type="dxa"/>
            <w:right w:w="108" w:type="dxa"/>
          </w:tblCellMar>
        </w:tblPrEx>
        <w:trPr>
          <w:gridAfter w:val="1"/>
          <w:wAfter w:w="17" w:type="dxa"/>
        </w:trPr>
        <w:tc>
          <w:tcPr>
            <w:tcW w:w="709" w:type="dxa"/>
          </w:tcPr>
          <w:p>
            <w:pPr>
              <w:pStyle w:val="NormalIndent"/>
              <w:ind w:firstLine="0" w:firstLineChars="0"/>
              <w:jc w:val="center"/>
            </w:pPr>
            <w:r>
              <w:rPr>
                <w:rFonts w:hint="eastAsia"/>
              </w:rPr>
              <w:t>9</w:t>
            </w:r>
          </w:p>
        </w:tc>
        <w:tc>
          <w:tcPr>
            <w:tcW w:w="1559" w:type="dxa"/>
          </w:tcPr>
          <w:p>
            <w:pPr>
              <w:pStyle w:val="NormalIndent"/>
              <w:ind w:firstLine="0" w:firstLineChars="0"/>
              <w:jc w:val="center"/>
            </w:pPr>
            <w:r>
              <w:rPr>
                <w:rFonts w:hint="eastAsia"/>
              </w:rPr>
              <w:t>电饼铛</w:t>
            </w:r>
          </w:p>
        </w:tc>
        <w:tc>
          <w:tcPr>
            <w:tcW w:w="709" w:type="dxa"/>
          </w:tcPr>
          <w:p>
            <w:pPr>
              <w:pStyle w:val="NormalIndent"/>
              <w:ind w:firstLine="0" w:firstLineChars="0"/>
              <w:jc w:val="center"/>
            </w:pPr>
            <w:r>
              <w:rPr>
                <w:rFonts w:hint="eastAsia"/>
              </w:rPr>
              <w:t>3</w:t>
            </w:r>
            <w:r>
              <w:t>80</w:t>
            </w:r>
          </w:p>
        </w:tc>
        <w:tc>
          <w:tcPr>
            <w:tcW w:w="1418" w:type="dxa"/>
          </w:tcPr>
          <w:p>
            <w:pPr>
              <w:pStyle w:val="NormalIndent"/>
              <w:ind w:firstLine="0" w:firstLineChars="0"/>
              <w:jc w:val="center"/>
            </w:pPr>
            <w:r>
              <w:rPr>
                <w:rFonts w:hint="eastAsia"/>
              </w:rPr>
              <w:t>4</w:t>
            </w:r>
          </w:p>
        </w:tc>
        <w:tc>
          <w:tcPr>
            <w:tcW w:w="1134" w:type="dxa"/>
          </w:tcPr>
          <w:p>
            <w:pPr>
              <w:pStyle w:val="NormalIndent"/>
              <w:ind w:firstLine="0" w:firstLineChars="0"/>
              <w:jc w:val="center"/>
            </w:pPr>
            <w:r>
              <w:rPr>
                <w:rFonts w:hint="eastAsia"/>
              </w:rPr>
              <w:t>2</w:t>
            </w:r>
          </w:p>
        </w:tc>
        <w:tc>
          <w:tcPr>
            <w:tcW w:w="1275" w:type="dxa"/>
          </w:tcPr>
          <w:p>
            <w:pPr>
              <w:pStyle w:val="NormalIndent"/>
              <w:ind w:firstLine="0" w:firstLineChars="0"/>
              <w:jc w:val="center"/>
            </w:pPr>
            <w:r>
              <w:rPr>
                <w:rFonts w:hint="eastAsia"/>
              </w:rPr>
              <w:t>1</w:t>
            </w:r>
            <w:r>
              <w:t>2</w:t>
            </w:r>
          </w:p>
        </w:tc>
        <w:tc>
          <w:tcPr>
            <w:tcW w:w="1418" w:type="dxa"/>
          </w:tcPr>
          <w:p>
            <w:pPr>
              <w:pStyle w:val="NormalIndent"/>
              <w:ind w:firstLine="0" w:firstLineChars="0"/>
              <w:jc w:val="center"/>
            </w:pPr>
            <w:r>
              <w:rPr>
                <w:rFonts w:hint="eastAsia"/>
              </w:rPr>
              <w:t>4</w:t>
            </w:r>
            <w:r>
              <w:t>8</w:t>
            </w:r>
          </w:p>
        </w:tc>
        <w:tc>
          <w:tcPr>
            <w:tcW w:w="1559" w:type="dxa"/>
          </w:tcPr>
          <w:p>
            <w:pPr>
              <w:pStyle w:val="NormalIndent"/>
              <w:ind w:firstLine="0" w:firstLineChars="0"/>
              <w:jc w:val="center"/>
            </w:pPr>
            <w:r>
              <w:rPr>
                <w:rFonts w:hint="eastAsia"/>
              </w:rPr>
              <w:t>2</w:t>
            </w:r>
            <w:r>
              <w:t>4</w:t>
            </w:r>
          </w:p>
        </w:tc>
      </w:tr>
      <w:tr>
        <w:tblPrEx>
          <w:tblW w:w="9798" w:type="dxa"/>
          <w:tblInd w:w="-459" w:type="dxa"/>
          <w:tblCellMar>
            <w:top w:w="0" w:type="dxa"/>
            <w:left w:w="108" w:type="dxa"/>
            <w:bottom w:w="0" w:type="dxa"/>
            <w:right w:w="108" w:type="dxa"/>
          </w:tblCellMar>
        </w:tblPrEx>
        <w:trPr>
          <w:gridAfter w:val="1"/>
          <w:wAfter w:w="17" w:type="dxa"/>
        </w:trPr>
        <w:tc>
          <w:tcPr>
            <w:tcW w:w="709" w:type="dxa"/>
          </w:tcPr>
          <w:p>
            <w:pPr>
              <w:pStyle w:val="NormalIndent"/>
              <w:ind w:firstLine="0" w:firstLineChars="0"/>
              <w:jc w:val="center"/>
            </w:pPr>
            <w:r>
              <w:rPr>
                <w:rFonts w:hint="eastAsia"/>
              </w:rPr>
              <w:t>1</w:t>
            </w:r>
            <w:r>
              <w:t>0</w:t>
            </w:r>
          </w:p>
        </w:tc>
        <w:tc>
          <w:tcPr>
            <w:tcW w:w="1559" w:type="dxa"/>
          </w:tcPr>
          <w:p>
            <w:pPr>
              <w:pStyle w:val="NormalIndent"/>
              <w:ind w:firstLine="0" w:firstLineChars="0"/>
              <w:jc w:val="center"/>
            </w:pPr>
            <w:r>
              <w:rPr>
                <w:rFonts w:hint="eastAsia"/>
              </w:rPr>
              <w:t>照明灯具</w:t>
            </w:r>
          </w:p>
        </w:tc>
        <w:tc>
          <w:tcPr>
            <w:tcW w:w="709" w:type="dxa"/>
          </w:tcPr>
          <w:p>
            <w:pPr>
              <w:pStyle w:val="NormalIndent"/>
              <w:ind w:firstLine="0" w:firstLineChars="0"/>
              <w:jc w:val="center"/>
            </w:pPr>
            <w:r>
              <w:rPr>
                <w:rFonts w:hint="eastAsia"/>
              </w:rPr>
              <w:t>2</w:t>
            </w:r>
            <w:r>
              <w:t>20</w:t>
            </w:r>
          </w:p>
        </w:tc>
        <w:tc>
          <w:tcPr>
            <w:tcW w:w="1418" w:type="dxa"/>
          </w:tcPr>
          <w:p>
            <w:pPr>
              <w:pStyle w:val="NormalIndent"/>
              <w:ind w:firstLine="0" w:firstLineChars="0"/>
              <w:jc w:val="center"/>
            </w:pPr>
            <w:r>
              <w:rPr>
                <w:rFonts w:hint="eastAsia"/>
              </w:rPr>
              <w:t>6</w:t>
            </w:r>
            <w:r>
              <w:t>0</w:t>
            </w:r>
          </w:p>
        </w:tc>
        <w:tc>
          <w:tcPr>
            <w:tcW w:w="1134" w:type="dxa"/>
          </w:tcPr>
          <w:p>
            <w:pPr>
              <w:pStyle w:val="NormalIndent"/>
              <w:ind w:firstLine="0" w:firstLineChars="0"/>
              <w:jc w:val="center"/>
            </w:pPr>
            <w:r>
              <w:rPr>
                <w:rFonts w:hint="eastAsia"/>
              </w:rPr>
              <w:t>6</w:t>
            </w:r>
            <w:r>
              <w:t>0</w:t>
            </w:r>
          </w:p>
        </w:tc>
        <w:tc>
          <w:tcPr>
            <w:tcW w:w="1275" w:type="dxa"/>
          </w:tcPr>
          <w:p>
            <w:pPr>
              <w:pStyle w:val="NormalIndent"/>
              <w:ind w:firstLine="240" w:firstLineChars="100"/>
            </w:pPr>
            <w:r>
              <w:t>0.022</w:t>
            </w:r>
          </w:p>
        </w:tc>
        <w:tc>
          <w:tcPr>
            <w:tcW w:w="1418" w:type="dxa"/>
          </w:tcPr>
          <w:p>
            <w:pPr>
              <w:pStyle w:val="NormalIndent"/>
              <w:ind w:firstLine="0" w:firstLineChars="0"/>
              <w:jc w:val="center"/>
            </w:pPr>
            <w:r>
              <w:rPr>
                <w:rFonts w:hint="eastAsia"/>
              </w:rPr>
              <w:t>1</w:t>
            </w:r>
            <w:r>
              <w:t>.32</w:t>
            </w:r>
          </w:p>
        </w:tc>
        <w:tc>
          <w:tcPr>
            <w:tcW w:w="1559" w:type="dxa"/>
          </w:tcPr>
          <w:p>
            <w:pPr>
              <w:pStyle w:val="NormalIndent"/>
              <w:ind w:firstLine="0" w:firstLineChars="0"/>
              <w:jc w:val="center"/>
            </w:pPr>
            <w:r>
              <w:rPr>
                <w:rFonts w:hint="eastAsia"/>
              </w:rPr>
              <w:t>1</w:t>
            </w:r>
            <w:r>
              <w:t>.32</w:t>
            </w:r>
          </w:p>
        </w:tc>
      </w:tr>
      <w:tr>
        <w:tblPrEx>
          <w:tblW w:w="9798" w:type="dxa"/>
          <w:tblInd w:w="-459" w:type="dxa"/>
          <w:tblCellMar>
            <w:top w:w="0" w:type="dxa"/>
            <w:left w:w="108" w:type="dxa"/>
            <w:bottom w:w="0" w:type="dxa"/>
            <w:right w:w="108" w:type="dxa"/>
          </w:tblCellMar>
        </w:tblPrEx>
        <w:trPr>
          <w:gridAfter w:val="1"/>
          <w:wAfter w:w="17" w:type="dxa"/>
        </w:trPr>
        <w:tc>
          <w:tcPr>
            <w:tcW w:w="709" w:type="dxa"/>
          </w:tcPr>
          <w:p>
            <w:pPr>
              <w:pStyle w:val="NormalIndent"/>
              <w:ind w:firstLine="0" w:firstLineChars="0"/>
              <w:jc w:val="center"/>
            </w:pPr>
            <w:r>
              <w:rPr>
                <w:rFonts w:hint="eastAsia"/>
              </w:rPr>
              <w:t>1</w:t>
            </w:r>
            <w:r>
              <w:t>1</w:t>
            </w:r>
          </w:p>
        </w:tc>
        <w:tc>
          <w:tcPr>
            <w:tcW w:w="1559" w:type="dxa"/>
          </w:tcPr>
          <w:p>
            <w:pPr>
              <w:pStyle w:val="NormalIndent"/>
              <w:ind w:firstLine="0" w:firstLineChars="0"/>
              <w:jc w:val="center"/>
            </w:pPr>
            <w:r>
              <w:rPr>
                <w:rFonts w:hint="eastAsia"/>
              </w:rPr>
              <w:t>消毒柜</w:t>
            </w:r>
          </w:p>
        </w:tc>
        <w:tc>
          <w:tcPr>
            <w:tcW w:w="709" w:type="dxa"/>
          </w:tcPr>
          <w:p>
            <w:pPr>
              <w:pStyle w:val="NormalIndent"/>
              <w:ind w:firstLine="0" w:firstLineChars="0"/>
              <w:jc w:val="center"/>
            </w:pPr>
            <w:r>
              <w:rPr>
                <w:rFonts w:hint="eastAsia"/>
              </w:rPr>
              <w:t>2</w:t>
            </w:r>
            <w:r>
              <w:t>20</w:t>
            </w:r>
          </w:p>
        </w:tc>
        <w:tc>
          <w:tcPr>
            <w:tcW w:w="1418" w:type="dxa"/>
          </w:tcPr>
          <w:p>
            <w:pPr>
              <w:pStyle w:val="NormalIndent"/>
              <w:ind w:firstLine="0" w:firstLineChars="0"/>
              <w:jc w:val="center"/>
            </w:pPr>
            <w:r>
              <w:rPr>
                <w:rFonts w:hint="eastAsia"/>
              </w:rPr>
              <w:t>2</w:t>
            </w:r>
          </w:p>
        </w:tc>
        <w:tc>
          <w:tcPr>
            <w:tcW w:w="1134" w:type="dxa"/>
          </w:tcPr>
          <w:p>
            <w:pPr>
              <w:pStyle w:val="NormalIndent"/>
              <w:ind w:firstLine="0" w:firstLineChars="0"/>
              <w:jc w:val="center"/>
            </w:pPr>
            <w:r>
              <w:rPr>
                <w:rFonts w:hint="eastAsia"/>
              </w:rPr>
              <w:t>1</w:t>
            </w:r>
          </w:p>
        </w:tc>
        <w:tc>
          <w:tcPr>
            <w:tcW w:w="1275" w:type="dxa"/>
          </w:tcPr>
          <w:p>
            <w:pPr>
              <w:pStyle w:val="NormalIndent"/>
              <w:ind w:firstLine="0" w:firstLineChars="0"/>
              <w:jc w:val="center"/>
            </w:pPr>
            <w:r>
              <w:rPr>
                <w:rFonts w:hint="eastAsia"/>
              </w:rPr>
              <w:t>2</w:t>
            </w:r>
          </w:p>
        </w:tc>
        <w:tc>
          <w:tcPr>
            <w:tcW w:w="1418" w:type="dxa"/>
          </w:tcPr>
          <w:p>
            <w:pPr>
              <w:pStyle w:val="NormalIndent"/>
              <w:ind w:firstLine="0" w:firstLineChars="0"/>
              <w:jc w:val="center"/>
            </w:pPr>
            <w:r>
              <w:rPr>
                <w:rFonts w:hint="eastAsia"/>
              </w:rPr>
              <w:t>4</w:t>
            </w:r>
          </w:p>
        </w:tc>
        <w:tc>
          <w:tcPr>
            <w:tcW w:w="1559" w:type="dxa"/>
          </w:tcPr>
          <w:p>
            <w:pPr>
              <w:pStyle w:val="NormalIndent"/>
              <w:ind w:firstLine="0" w:firstLineChars="0"/>
              <w:jc w:val="center"/>
            </w:pPr>
            <w:r>
              <w:rPr>
                <w:rFonts w:hint="eastAsia"/>
              </w:rPr>
              <w:t>2</w:t>
            </w:r>
          </w:p>
        </w:tc>
      </w:tr>
      <w:tr>
        <w:tblPrEx>
          <w:tblW w:w="9798" w:type="dxa"/>
          <w:tblInd w:w="-459" w:type="dxa"/>
          <w:tblCellMar>
            <w:top w:w="0" w:type="dxa"/>
            <w:left w:w="108" w:type="dxa"/>
            <w:bottom w:w="0" w:type="dxa"/>
            <w:right w:w="108" w:type="dxa"/>
          </w:tblCellMar>
        </w:tblPrEx>
        <w:trPr>
          <w:gridAfter w:val="1"/>
          <w:wAfter w:w="17" w:type="dxa"/>
        </w:trPr>
        <w:tc>
          <w:tcPr>
            <w:tcW w:w="709" w:type="dxa"/>
          </w:tcPr>
          <w:p>
            <w:pPr>
              <w:pStyle w:val="NormalIndent"/>
              <w:ind w:firstLine="0" w:firstLineChars="0"/>
              <w:jc w:val="center"/>
            </w:pPr>
            <w:r>
              <w:rPr>
                <w:rFonts w:hint="eastAsia"/>
              </w:rPr>
              <w:t>1</w:t>
            </w:r>
            <w:r>
              <w:t>2</w:t>
            </w:r>
          </w:p>
        </w:tc>
        <w:tc>
          <w:tcPr>
            <w:tcW w:w="1559" w:type="dxa"/>
          </w:tcPr>
          <w:p>
            <w:pPr>
              <w:pStyle w:val="NormalIndent"/>
              <w:ind w:firstLine="0" w:firstLineChars="0"/>
              <w:jc w:val="center"/>
            </w:pPr>
            <w:r>
              <w:rPr>
                <w:rFonts w:hint="eastAsia"/>
              </w:rPr>
              <w:t>合计</w:t>
            </w:r>
          </w:p>
        </w:tc>
        <w:tc>
          <w:tcPr>
            <w:tcW w:w="709" w:type="dxa"/>
          </w:tcPr>
          <w:p>
            <w:pPr>
              <w:pStyle w:val="NormalIndent"/>
              <w:ind w:firstLine="0" w:firstLineChars="0"/>
              <w:jc w:val="center"/>
            </w:pPr>
            <w:r>
              <w:rPr>
                <w:rFonts w:hint="eastAsia"/>
              </w:rPr>
              <w:t>/</w:t>
            </w:r>
          </w:p>
        </w:tc>
        <w:tc>
          <w:tcPr>
            <w:tcW w:w="1418" w:type="dxa"/>
          </w:tcPr>
          <w:p>
            <w:pPr>
              <w:pStyle w:val="NormalIndent"/>
              <w:ind w:firstLine="0" w:firstLineChars="0"/>
              <w:jc w:val="center"/>
            </w:pPr>
            <w:r>
              <w:rPr>
                <w:rFonts w:hint="eastAsia"/>
              </w:rPr>
              <w:t>/</w:t>
            </w:r>
          </w:p>
        </w:tc>
        <w:tc>
          <w:tcPr>
            <w:tcW w:w="1134" w:type="dxa"/>
          </w:tcPr>
          <w:p>
            <w:pPr>
              <w:pStyle w:val="NormalIndent"/>
              <w:ind w:firstLine="0" w:firstLineChars="0"/>
              <w:jc w:val="center"/>
            </w:pPr>
            <w:r>
              <w:rPr>
                <w:rFonts w:hint="eastAsia"/>
              </w:rPr>
              <w:t>/</w:t>
            </w:r>
          </w:p>
        </w:tc>
        <w:tc>
          <w:tcPr>
            <w:tcW w:w="1275" w:type="dxa"/>
          </w:tcPr>
          <w:p>
            <w:pPr>
              <w:pStyle w:val="NormalIndent"/>
              <w:ind w:firstLine="0" w:firstLineChars="0"/>
              <w:jc w:val="center"/>
            </w:pPr>
            <w:r>
              <w:rPr>
                <w:rFonts w:hint="eastAsia"/>
              </w:rPr>
              <w:t>/</w:t>
            </w:r>
          </w:p>
        </w:tc>
        <w:tc>
          <w:tcPr>
            <w:tcW w:w="1418" w:type="dxa"/>
          </w:tcPr>
          <w:p>
            <w:pPr>
              <w:pStyle w:val="NormalIndent"/>
              <w:ind w:firstLine="0" w:firstLineChars="0"/>
              <w:jc w:val="center"/>
            </w:pPr>
            <w:r>
              <w:rPr>
                <w:rFonts w:hint="eastAsia"/>
              </w:rPr>
              <w:t>2</w:t>
            </w:r>
            <w:r>
              <w:t>21.82</w:t>
            </w:r>
          </w:p>
        </w:tc>
        <w:tc>
          <w:tcPr>
            <w:tcW w:w="1559" w:type="dxa"/>
          </w:tcPr>
          <w:p>
            <w:pPr>
              <w:pStyle w:val="NormalIndent"/>
              <w:ind w:firstLine="0" w:firstLineChars="0"/>
              <w:jc w:val="center"/>
            </w:pPr>
            <w:r>
              <w:rPr>
                <w:rFonts w:hint="eastAsia"/>
              </w:rPr>
              <w:t>1</w:t>
            </w:r>
            <w:r>
              <w:t>63.32</w:t>
            </w:r>
          </w:p>
        </w:tc>
      </w:tr>
    </w:tbl>
    <w:p>
      <w:pPr>
        <w:sectPr>
          <w:headerReference w:type="default" r:id="rId13"/>
          <w:footerReference w:type="default" r:id="rId14"/>
          <w:type w:val="nextPage"/>
          <w:pgSz w:w="11850" w:h="16783"/>
          <w:pgMar w:top="1440" w:right="1080" w:bottom="1440" w:left="1080" w:header="851" w:footer="992" w:gutter="567"/>
          <w:pgNumType w:start="5"/>
          <w:cols w:num="1" w:space="720"/>
          <w:titlePg w:val="0"/>
          <w:docGrid w:type="linesAndChars" w:linePitch="326" w:charSpace="0"/>
        </w:sectPr>
      </w:pPr>
    </w:p>
    <w:p>
      <w:pPr>
        <w:pStyle w:val="NormalIndent"/>
        <w:ind w:firstLine="480"/>
      </w:pPr>
    </w:p>
    <w:p>
      <w:pPr>
        <w:pStyle w:val="Heading2"/>
        <w:spacing w:before="0" w:after="0" w:line="360" w:lineRule="auto"/>
      </w:pPr>
      <w:r>
        <w:rPr>
          <w:rFonts w:hint="eastAsia"/>
        </w:rPr>
        <w:t>2、变压器选择及容量复核</w:t>
      </w:r>
      <w:bookmarkEnd w:id="21"/>
      <w:bookmarkEnd w:id="22"/>
      <w:bookmarkEnd w:id="23"/>
    </w:p>
    <w:p>
      <w:pPr>
        <w:spacing w:line="360" w:lineRule="auto"/>
        <w:ind w:firstLine="480" w:firstLineChars="200"/>
        <w:rPr>
          <w:rFonts w:ascii="宋体" w:hAnsi="宋体"/>
        </w:rPr>
      </w:pPr>
      <w:r>
        <w:rPr>
          <w:rFonts w:ascii="宋体" w:hAnsi="宋体" w:hint="eastAsia"/>
        </w:rPr>
        <w:t>根据现场施工情况，合理分配各施工区的用电量，保证各变压器不超负荷运行。用电负荷计算按照各施工阶段用电高峰期最大设备投入情况进行考虑。根据各施工结算用电设备投入情况表可知，本项目施工用电高峰期为钢结构施工结算，故变压器选择及容量负荷按照此阶段用电情况进行计算。</w:t>
      </w:r>
    </w:p>
    <w:p>
      <w:pPr>
        <w:spacing w:line="360" w:lineRule="auto"/>
        <w:ind w:firstLine="480" w:firstLineChars="200"/>
        <w:rPr>
          <w:rFonts w:ascii="宋体" w:hAnsi="宋体"/>
        </w:rPr>
      </w:pPr>
      <w:r>
        <w:rPr>
          <w:rFonts w:ascii="宋体" w:hAnsi="宋体" w:hint="eastAsia"/>
        </w:rPr>
        <w:t>施工临时用电采用TN－S保护接零系统，施工现场总用电量是施工动力用电和照明用电两部分之和。</w:t>
      </w:r>
    </w:p>
    <w:p>
      <w:pPr>
        <w:spacing w:line="288" w:lineRule="auto"/>
        <w:rPr>
          <w:rFonts w:ascii="宋体" w:hAnsi="宋体"/>
        </w:rPr>
      </w:pPr>
      <w:r>
        <w:rPr>
          <w:rFonts w:ascii="宋体" w:hAnsi="宋体" w:hint="eastAsia"/>
        </w:rPr>
        <w:t>2.1暂载率换算</w:t>
      </w:r>
    </w:p>
    <w:p>
      <w:pPr>
        <w:spacing w:line="288" w:lineRule="auto"/>
        <w:rPr>
          <w:rFonts w:ascii="宋体" w:hAnsi="宋体"/>
        </w:rPr>
      </w:pPr>
      <w:r>
        <w:rPr>
          <w:rFonts w:ascii="宋体" w:hAnsi="宋体" w:hint="eastAsia"/>
        </w:rPr>
        <w:t>塔吊由额定暂载率</w:t>
      </w:r>
      <w:r>
        <w:t>JCe=15%</w:t>
      </w:r>
      <w:r>
        <w:rPr>
          <w:rFonts w:ascii="宋体" w:hAnsi="宋体" w:hint="eastAsia"/>
        </w:rPr>
        <w:t>换算到</w:t>
      </w:r>
      <w:r>
        <w:t>JC=25%</w:t>
      </w:r>
      <w:r>
        <w:rPr>
          <w:rFonts w:ascii="宋体" w:hAnsi="宋体" w:hint="eastAsia"/>
        </w:rPr>
        <w:t>时的额定功率</w:t>
      </w:r>
    </w:p>
    <w:p>
      <w:pPr>
        <w:spacing w:line="288" w:lineRule="auto"/>
        <w:rPr>
          <w:rFonts w:ascii="宋体" w:hAnsi="宋体"/>
        </w:rPr>
      </w:pPr>
      <w:r>
        <w:rPr>
          <w:rFonts w:ascii="宋体" w:hAnsi="宋体" w:hint="eastAsia"/>
        </w:rPr>
        <w:t>塔吊</w:t>
      </w:r>
      <w:r>
        <w:t>Pe=2*Pe*</w:t>
      </w:r>
      <m:oMath>
        <m:rad>
          <m:radPr>
            <m:degHide/>
            <m:ctrlPr>
              <w:rPr>
                <w:rFonts w:ascii="Cambria Math" w:hAnsi="Cambria Math"/>
              </w:rPr>
            </m:ctrlPr>
          </m:radPr>
          <m:deg>
            <m:ctrlPr>
              <w:rPr>
                <w:rFonts w:ascii="Cambria Math" w:hAnsi="Cambria Math"/>
              </w:rPr>
            </m:ctrlPr>
          </m:deg>
          <m:e>
            <m:ctrlPr>
              <w:rPr>
                <w:rFonts w:ascii="Cambria Math" w:hAnsi="Cambria Math"/>
              </w:rPr>
            </m:ctrlPr>
            <m:r>
              <m:rPr>
                <m:sty m:val="p"/>
              </m:rPr>
              <w:rPr>
                <w:rFonts w:ascii="Cambria Math" w:hAnsi="Cambria Math"/>
              </w:rPr>
              <m:t>JC</m:t>
            </m:r>
          </m:e>
        </m:rad>
      </m:oMath>
    </w:p>
    <w:p>
      <w:pPr>
        <w:spacing w:line="288" w:lineRule="auto"/>
        <w:rPr>
          <w:rFonts w:ascii="宋体" w:hAnsi="宋体"/>
        </w:rPr>
      </w:pPr>
      <w:r>
        <w:rPr>
          <w:rFonts w:ascii="宋体" w:hAnsi="宋体" w:hint="eastAsia"/>
        </w:rPr>
        <w:t>电焊机由额定暂载率</w:t>
      </w:r>
      <w:r>
        <w:t>JC=35%</w:t>
      </w:r>
      <w:r>
        <w:rPr>
          <w:rFonts w:ascii="宋体" w:hAnsi="宋体" w:hint="eastAsia"/>
        </w:rPr>
        <w:t>换算到</w:t>
      </w:r>
      <w:r>
        <w:t>JC=100%</w:t>
      </w:r>
      <w:r>
        <w:rPr>
          <w:rFonts w:ascii="宋体" w:hAnsi="宋体" w:hint="eastAsia"/>
        </w:rPr>
        <w:t>时的额定功率</w:t>
      </w:r>
    </w:p>
    <w:p>
      <w:pPr>
        <w:spacing w:line="288" w:lineRule="auto"/>
        <w:rPr>
          <w:rFonts w:ascii="宋体" w:hAnsi="宋体"/>
        </w:rPr>
      </w:pPr>
      <w:r>
        <w:rPr>
          <w:rFonts w:ascii="宋体" w:hAnsi="宋体" w:hint="eastAsia"/>
        </w:rPr>
        <w:t>焊机</w:t>
      </w:r>
      <w:r>
        <w:t>Pe=Se*</w:t>
      </w:r>
      <m:oMath>
        <m:rad>
          <m:radPr>
            <m:degHide/>
            <m:ctrlPr>
              <w:rPr>
                <w:rFonts w:ascii="Cambria Math" w:hAnsi="Cambria Math"/>
              </w:rPr>
            </m:ctrlPr>
          </m:radPr>
          <m:deg>
            <m:ctrlPr>
              <w:rPr>
                <w:rFonts w:ascii="Cambria Math" w:hAnsi="Cambria Math"/>
              </w:rPr>
            </m:ctrlPr>
          </m:deg>
          <m:e>
            <m:ctrlPr>
              <w:rPr>
                <w:rFonts w:ascii="Cambria Math" w:hAnsi="Cambria Math"/>
              </w:rPr>
            </m:ctrlPr>
            <m:r>
              <m:rPr>
                <m:sty m:val="p"/>
              </m:rPr>
              <w:rPr>
                <w:rFonts w:ascii="Cambria Math" w:hAnsi="Cambria Math"/>
              </w:rPr>
              <m:t>JC</m:t>
            </m:r>
          </m:e>
        </m:rad>
      </m:oMath>
      <w:r>
        <w:rPr>
          <w:rFonts w:ascii="宋体" w:hAnsi="宋体" w:hint="eastAsia"/>
        </w:rPr>
        <w:t>*</w:t>
      </w:r>
      <m:oMath>
        <m:func>
          <m:funcPr>
            <m:ctrlPr>
              <w:rPr>
                <w:rFonts w:ascii="Cambria Math" w:hAnsi="Cambria Math"/>
              </w:rPr>
            </m:ctrlPr>
          </m:funcPr>
          <m:fName>
            <m:ctrlPr>
              <w:rPr>
                <w:rFonts w:ascii="Cambria Math" w:hAnsi="Cambria Math"/>
              </w:rPr>
            </m:ctrlPr>
            <m:r>
              <m:rPr>
                <m:sty m:val="p"/>
              </m:rPr>
              <w:rPr>
                <w:rFonts w:ascii="Cambria Math" w:hAnsi="Cambria Math"/>
              </w:rPr>
              <m:t>cos</m:t>
            </m:r>
          </m:fName>
          <m:e>
            <m:ctrlPr>
              <w:rPr>
                <w:rFonts w:ascii="Cambria Math" w:hAnsi="Cambria Math"/>
              </w:rPr>
            </m:ctrlPr>
            <m:r>
              <m:rPr>
                <m:sty m:val="p"/>
              </m:rPr>
              <w:rPr>
                <w:rFonts w:ascii="Cambria Math" w:hAnsi="Cambria Math"/>
              </w:rPr>
              <m:t>φ</m:t>
            </m:r>
          </m:e>
        </m:func>
      </m:oMath>
    </w:p>
    <w:p>
      <w:pPr>
        <w:spacing w:line="288" w:lineRule="auto"/>
        <w:rPr>
          <w:rFonts w:ascii="宋体" w:hAnsi="宋体"/>
        </w:rPr>
      </w:pPr>
      <w:r>
        <w:rPr>
          <w:rFonts w:ascii="宋体" w:hAnsi="宋体" w:hint="eastAsia"/>
        </w:rPr>
        <w:t>2.2单相设备与三相设备的换算</w:t>
      </w:r>
    </w:p>
    <w:p>
      <w:pPr>
        <w:spacing w:line="288" w:lineRule="auto"/>
        <w:rPr>
          <w:rFonts w:ascii="宋体" w:hAnsi="宋体"/>
        </w:rPr>
      </w:pPr>
      <w:r>
        <w:rPr>
          <w:rFonts w:ascii="宋体" w:hAnsi="宋体" w:hint="eastAsia"/>
        </w:rPr>
        <w:t>经计算，现场单相总负荷未超过三相总负荷的</w:t>
      </w:r>
      <w:r>
        <w:t>15%</w:t>
      </w:r>
      <w:r>
        <w:rPr>
          <w:rFonts w:ascii="宋体" w:hAnsi="宋体" w:hint="eastAsia"/>
        </w:rPr>
        <w:t>，可视同为三相负荷。</w:t>
      </w:r>
    </w:p>
    <w:p>
      <w:pPr>
        <w:spacing w:line="288" w:lineRule="auto"/>
        <w:rPr>
          <w:rFonts w:ascii="宋体" w:hAnsi="宋体"/>
        </w:rPr>
      </w:pPr>
      <w:r>
        <w:rPr>
          <w:rFonts w:ascii="宋体" w:hAnsi="宋体" w:hint="eastAsia"/>
        </w:rPr>
        <w:t>2.3分组计算</w:t>
      </w:r>
    </w:p>
    <w:p>
      <w:pPr>
        <w:spacing w:line="288" w:lineRule="auto"/>
        <w:rPr>
          <w:rFonts w:ascii="宋体" w:hAnsi="宋体"/>
        </w:rPr>
      </w:pPr>
      <w:r>
        <w:rPr>
          <w:rFonts w:ascii="宋体" w:hAnsi="宋体" w:hint="eastAsia"/>
        </w:rPr>
        <w:t>根据施工现场各用电设备使用情况，采用需要系数（Kx）法，将用电设备分组进行计算，计算公式如下：</w:t>
      </w:r>
    </w:p>
    <w:p>
      <w:pPr>
        <w:spacing w:line="288" w:lineRule="auto"/>
        <w:rPr>
          <w:rFonts w:ascii="宋体" w:hAnsi="宋体"/>
        </w:rPr>
      </w:pPr>
      <w:r>
        <w:t>Pj=Kx</w:t>
      </w:r>
      <w:r>
        <w:rPr>
          <w:rFonts w:ascii="宋体" w:hAnsi="宋体" w:hint="eastAsia"/>
        </w:rPr>
        <w:t>*</w:t>
      </w: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hAnsi="Cambria Math"/>
              </w:rPr>
              <m:t>Pe</m:t>
            </m:r>
          </m:e>
        </m:nary>
      </m:oMath>
      <w:r>
        <w:rPr>
          <w:rFonts w:ascii="宋体" w:hAnsi="宋体" w:hint="eastAsia"/>
        </w:rPr>
        <w:t>——有功功率</w:t>
      </w:r>
    </w:p>
    <w:p>
      <w:pPr>
        <w:spacing w:line="288" w:lineRule="auto"/>
        <w:rPr>
          <w:rFonts w:ascii="宋体" w:hAnsi="宋体"/>
        </w:rPr>
      </w:pPr>
      <w:r>
        <w:t>Qj=Pj*</w:t>
      </w:r>
      <m:oMath>
        <m:func>
          <m:funcPr>
            <m:ctrlPr>
              <w:rPr>
                <w:rFonts w:ascii="Cambria Math" w:hAnsi="Cambria Math"/>
              </w:rPr>
            </m:ctrlPr>
          </m:funcPr>
          <m:fName>
            <m:ctrlPr>
              <w:rPr>
                <w:rFonts w:ascii="Cambria Math" w:hAnsi="Cambria Math"/>
              </w:rPr>
            </m:ctrlPr>
            <m:sSup>
              <m:sSupPr>
                <m:ctrlPr>
                  <w:rPr>
                    <w:rFonts w:ascii="Cambria Math" w:hAnsi="Cambria Math"/>
                  </w:rPr>
                </m:ctrlPr>
              </m:sSupPr>
              <m:e>
                <m:ctrlPr>
                  <w:rPr>
                    <w:rFonts w:ascii="Cambria Math" w:hAnsi="Cambria Math"/>
                  </w:rPr>
                </m:ctrlPr>
                <m:r>
                  <m:rPr>
                    <m:sty m:val="p"/>
                  </m:rPr>
                  <w:rPr>
                    <w:rFonts w:ascii="Cambria Math" w:hAnsi="Cambria Math"/>
                  </w:rPr>
                  <m:t>tan</m:t>
                </m:r>
              </m:e>
              <m:sup>
                <m:ctrlPr>
                  <w:rPr>
                    <w:rFonts w:ascii="Cambria Math" w:hAnsi="Cambria Math"/>
                  </w:rPr>
                </m:ctrlPr>
                <m:r>
                  <m:rPr>
                    <m:sty m:val="p"/>
                  </m:rPr>
                  <w:rPr>
                    <w:rFonts w:ascii="Cambria Math" w:hAnsi="Cambria Math"/>
                  </w:rPr>
                  <m:t>−1</m:t>
                </m:r>
              </m:sup>
            </m:sSup>
          </m:fName>
          <m:e>
            <m:ctrlPr>
              <w:rPr>
                <w:rFonts w:ascii="Cambria Math" w:hAnsi="Cambria Math"/>
              </w:rPr>
            </m:ctrlPr>
            <m:r>
              <m:rPr>
                <m:sty m:val="p"/>
              </m:rPr>
              <w:rPr>
                <w:rFonts w:ascii="Cambria Math" w:hAnsi="Cambria Math"/>
              </w:rPr>
              <m:t>φ</m:t>
            </m:r>
          </m:e>
        </m:func>
      </m:oMath>
      <w:r>
        <w:rPr>
          <w:rFonts w:ascii="宋体" w:hAnsi="宋体" w:hint="eastAsia"/>
        </w:rPr>
        <w:t>——无功功率</w:t>
      </w:r>
    </w:p>
    <w:p>
      <w:pPr>
        <w:spacing w:line="288" w:lineRule="auto"/>
        <w:rPr>
          <w:rFonts w:ascii="宋体" w:hAnsi="宋体"/>
        </w:rPr>
      </w:pPr>
      <w:r>
        <w:t>Sj=</w:t>
      </w:r>
      <m:oMath>
        <m:rad>
          <m:radPr>
            <m:degHide/>
            <m:ctrlPr>
              <w:rPr>
                <w:rFonts w:ascii="Cambria Math" w:hAnsi="Cambria Math"/>
              </w:rPr>
            </m:ctrlPr>
          </m:radPr>
          <m:deg>
            <m:ctrlPr>
              <w:rPr>
                <w:rFonts w:ascii="Cambria Math" w:hAnsi="Cambria Math"/>
              </w:rPr>
            </m:ctrlPr>
          </m:deg>
          <m:e>
            <m:ctrlPr>
              <w:rPr>
                <w:rFonts w:ascii="Cambria Math" w:hAnsi="Cambria Math"/>
              </w:rPr>
            </m:ctrlPr>
            <m:sSup>
              <m:sSupPr>
                <m:ctrlPr>
                  <w:rPr>
                    <w:rFonts w:ascii="Cambria Math" w:hAnsi="Cambria Math"/>
                  </w:rPr>
                </m:ctrlPr>
              </m:sSupPr>
              <m:e>
                <m:ctrlPr>
                  <w:rPr>
                    <w:rFonts w:ascii="Cambria Math" w:hAnsi="Cambria Math"/>
                  </w:rPr>
                </m:ctrlPr>
                <m:r>
                  <m:rPr>
                    <m:sty m:val="p"/>
                  </m:rPr>
                  <w:rPr>
                    <w:rFonts w:ascii="Cambria Math" w:hAnsi="Cambria Math"/>
                  </w:rPr>
                  <m:t>Pj</m:t>
                </m:r>
              </m:e>
              <m:sup>
                <m:ctrlPr>
                  <w:rPr>
                    <w:rFonts w:ascii="Cambria Math" w:hAnsi="Cambria Math"/>
                  </w:rPr>
                </m:ctrlP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ctrlPr>
                  <w:rPr>
                    <w:rFonts w:ascii="Cambria Math" w:hAnsi="Cambria Math"/>
                  </w:rPr>
                </m:ctrlPr>
                <m:r>
                  <m:rPr>
                    <m:sty m:val="p"/>
                  </m:rPr>
                  <w:rPr>
                    <w:rFonts w:ascii="Cambria Math" w:hAnsi="Cambria Math"/>
                  </w:rPr>
                  <m:t>Qj</m:t>
                </m:r>
              </m:e>
              <m:sup>
                <m:ctrlPr>
                  <w:rPr>
                    <w:rFonts w:ascii="Cambria Math" w:hAnsi="Cambria Math"/>
                  </w:rPr>
                </m:ctrlPr>
                <m:r>
                  <m:rPr>
                    <m:sty m:val="p"/>
                  </m:rPr>
                  <w:rPr>
                    <w:rFonts w:ascii="Cambria Math" w:hAnsi="Cambria Math"/>
                  </w:rPr>
                  <m:t>2</m:t>
                </m:r>
              </m:sup>
            </m:sSup>
          </m:e>
        </m:rad>
      </m:oMath>
      <w:r>
        <w:rPr>
          <w:rFonts w:ascii="宋体" w:hAnsi="宋体" w:hint="eastAsia"/>
        </w:rPr>
        <w:t>——视在功率</w:t>
      </w:r>
    </w:p>
    <w:p>
      <w:pPr>
        <w:spacing w:line="288" w:lineRule="auto"/>
        <w:rPr>
          <w:rFonts w:ascii="宋体" w:hAnsi="宋体"/>
        </w:rPr>
      </w:pPr>
      <w:r>
        <w:rPr>
          <w:rFonts w:ascii="宋体" w:hAnsi="宋体" w:hint="eastAsia"/>
        </w:rPr>
        <w:t>式中</w:t>
      </w:r>
      <w:r>
        <w:t>Pj</w:t>
      </w:r>
      <w:r>
        <w:rPr>
          <w:rFonts w:ascii="宋体" w:hAnsi="宋体" w:hint="eastAsia"/>
        </w:rPr>
        <w:t>——用电设备组的有功计算负荷（</w:t>
      </w:r>
      <w:r>
        <w:t>kW</w:t>
      </w:r>
      <w:r>
        <w:rPr>
          <w:rFonts w:ascii="宋体" w:hAnsi="宋体" w:hint="eastAsia"/>
        </w:rPr>
        <w:t>）；</w:t>
      </w:r>
    </w:p>
    <w:p>
      <w:pPr>
        <w:spacing w:line="288" w:lineRule="auto"/>
        <w:rPr>
          <w:rFonts w:ascii="宋体" w:hAnsi="宋体"/>
        </w:rPr>
      </w:pPr>
      <w:r>
        <w:rPr>
          <w:rFonts w:ascii="宋体" w:hAnsi="宋体" w:hint="eastAsia"/>
        </w:rPr>
        <w:t xml:space="preserve">     </w:t>
      </w:r>
      <w:r>
        <w:t>Qj</w:t>
      </w:r>
      <w:r>
        <w:rPr>
          <w:rFonts w:ascii="宋体" w:hAnsi="宋体" w:hint="eastAsia"/>
        </w:rPr>
        <w:t>——用电设备组的无功计算负荷（</w:t>
      </w:r>
      <w:r>
        <w:t>kVar</w:t>
      </w:r>
      <w:r>
        <w:rPr>
          <w:rFonts w:ascii="宋体" w:hAnsi="宋体" w:hint="eastAsia"/>
        </w:rPr>
        <w:t>）；</w:t>
      </w:r>
    </w:p>
    <w:p>
      <w:pPr>
        <w:spacing w:line="288" w:lineRule="auto"/>
        <w:rPr>
          <w:rFonts w:ascii="宋体" w:hAnsi="宋体"/>
        </w:rPr>
      </w:pPr>
      <w:r>
        <w:rPr>
          <w:rFonts w:ascii="宋体" w:hAnsi="宋体" w:hint="eastAsia"/>
        </w:rPr>
        <w:t xml:space="preserve">     </w:t>
      </w:r>
      <w:r>
        <w:t>Sj</w:t>
      </w:r>
      <w:r>
        <w:rPr>
          <w:rFonts w:ascii="宋体" w:hAnsi="宋体" w:hint="eastAsia"/>
        </w:rPr>
        <w:t>——用电设备组的视在计算负荷（</w:t>
      </w:r>
      <w:r>
        <w:t>kVA</w:t>
      </w:r>
      <w:r>
        <w:rPr>
          <w:rFonts w:ascii="宋体" w:hAnsi="宋体" w:hint="eastAsia"/>
        </w:rPr>
        <w:t>）；</w:t>
      </w:r>
    </w:p>
    <w:p>
      <w:pPr>
        <w:spacing w:line="288" w:lineRule="auto"/>
        <w:rPr>
          <w:rFonts w:ascii="宋体" w:hAnsi="宋体"/>
        </w:rPr>
      </w:pPr>
      <w:r>
        <w:rPr>
          <w:rFonts w:ascii="宋体" w:hAnsi="宋体" w:hint="eastAsia"/>
        </w:rPr>
        <w:t xml:space="preserve">     </w:t>
      </w:r>
      <w:r>
        <w:t>Kx</w:t>
      </w:r>
      <w:r>
        <w:rPr>
          <w:rFonts w:ascii="宋体" w:hAnsi="宋体" w:hint="eastAsia"/>
        </w:rPr>
        <w:t>——用电设备组的需要系数；</w:t>
      </w:r>
    </w:p>
    <w:p>
      <w:pPr>
        <w:spacing w:line="288" w:lineRule="auto"/>
        <w:rPr>
          <w:rFonts w:ascii="宋体" w:hAnsi="宋体"/>
        </w:rPr>
      </w:pPr>
      <w:r>
        <w:rPr>
          <w:rFonts w:ascii="宋体" w:hAnsi="宋体" w:hint="eastAsia"/>
        </w:rPr>
        <w:t xml:space="preserve">     </w:t>
      </w:r>
      <w:r>
        <w:t>tg</w:t>
      </w:r>
      <m:oMath>
        <m:r>
          <m:rPr>
            <m:sty m:val="p"/>
          </m:rPr>
          <w:rPr>
            <w:rFonts w:ascii="Cambria Math"/>
          </w:rPr>
          <m:t>φ</m:t>
        </m:r>
      </m:oMath>
      <w:r>
        <w:rPr>
          <w:rFonts w:ascii="宋体" w:hAnsi="宋体" w:hint="eastAsia"/>
        </w:rPr>
        <w:t>——与功率因数角相对应的正切值。</w:t>
      </w:r>
    </w:p>
    <w:p>
      <w:pPr>
        <w:spacing w:line="288" w:lineRule="auto"/>
        <w:rPr>
          <w:rFonts w:ascii="宋体" w:hAnsi="宋体"/>
        </w:rPr>
      </w:pPr>
      <w:r>
        <w:rPr>
          <w:rFonts w:ascii="宋体" w:hAnsi="宋体" w:hint="eastAsia"/>
        </w:rPr>
        <w:t>（1）塔吊：</w:t>
      </w:r>
    </w:p>
    <w:p>
      <w:pPr>
        <w:spacing w:line="288" w:lineRule="auto"/>
      </w:pPr>
      <w:r>
        <w:rPr>
          <w:rFonts w:ascii="宋体" w:hAnsi="宋体" w:hint="eastAsia"/>
        </w:rPr>
        <w:t>单台：</w:t>
      </w:r>
      <w:r>
        <w:t>Pje1=2*Pe1*</w:t>
      </w:r>
      <m:oMath>
        <m:rad>
          <m:radPr>
            <m:degHide/>
            <m:ctrlPr>
              <w:rPr>
                <w:rFonts w:ascii="Cambria Math" w:hAnsi="Cambria Math"/>
              </w:rPr>
            </m:ctrlPr>
          </m:radPr>
          <m:deg>
            <m:ctrlPr>
              <w:rPr>
                <w:rFonts w:ascii="Cambria Math" w:hAnsi="Cambria Math"/>
              </w:rPr>
            </m:ctrlPr>
          </m:deg>
          <m:e>
            <m:ctrlPr>
              <w:rPr>
                <w:rFonts w:ascii="Cambria Math" w:hAnsi="Cambria Math"/>
              </w:rPr>
            </m:ctrlPr>
            <m:r>
              <m:rPr>
                <m:sty m:val="p"/>
              </m:rPr>
              <w:rPr>
                <w:rFonts w:ascii="Cambria Math"/>
              </w:rPr>
              <m:t>JCe</m:t>
            </m:r>
          </m:e>
        </m:rad>
      </m:oMath>
      <w:r>
        <w:t>=2*105*</w:t>
      </w:r>
      <m:oMath>
        <m:rad>
          <m:radPr>
            <m:degHide/>
            <m:ctrlPr>
              <w:rPr>
                <w:rFonts w:ascii="Cambria Math" w:hAnsi="Cambria Math"/>
              </w:rPr>
            </m:ctrlPr>
          </m:radPr>
          <m:deg>
            <m:ctrlPr>
              <w:rPr>
                <w:rFonts w:ascii="Cambria Math" w:hAnsi="Cambria Math"/>
              </w:rPr>
            </m:ctrlPr>
          </m:deg>
          <m:e>
            <m:ctrlPr>
              <w:rPr>
                <w:rFonts w:ascii="Cambria Math" w:hAnsi="Cambria Math"/>
              </w:rPr>
            </m:ctrlPr>
            <m:r>
              <m:rPr>
                <m:sty m:val="p"/>
              </m:rPr>
              <w:rPr>
                <w:rFonts w:ascii="Cambria Math"/>
              </w:rPr>
              <m:t>0.15</m:t>
            </m:r>
          </m:e>
        </m:rad>
      </m:oMath>
      <w:r>
        <w:t>=81.33</w:t>
      </w:r>
      <w:r>
        <w:rPr>
          <w:rFonts w:hint="eastAsia"/>
        </w:rPr>
        <w:t>k</w:t>
      </w:r>
      <w:r>
        <w:t>W</w:t>
      </w:r>
    </w:p>
    <w:p>
      <w:pPr>
        <w:spacing w:line="288" w:lineRule="auto"/>
      </w:pP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Pe1</m:t>
            </m:r>
          </m:e>
        </m:nary>
      </m:oMath>
      <w:r>
        <w:t>=</w:t>
      </w: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Pej1</m:t>
            </m:r>
          </m:e>
        </m:nary>
      </m:oMath>
      <w:r>
        <w:t>=6*8</w:t>
      </w:r>
      <w:r>
        <w:rPr>
          <w:rFonts w:hint="eastAsia"/>
        </w:rPr>
        <w:t>1</w:t>
      </w:r>
      <w:r>
        <w:t>.33=487</w:t>
      </w:r>
      <w:r>
        <w:rPr>
          <w:rFonts w:hint="eastAsia"/>
        </w:rPr>
        <w:t>.9</w:t>
      </w:r>
      <w:r>
        <w:t>9</w:t>
      </w:r>
      <w:r>
        <w:rPr>
          <w:rFonts w:hint="eastAsia"/>
        </w:rPr>
        <w:t>k</w:t>
      </w:r>
      <w:r>
        <w:t>W</w:t>
      </w:r>
    </w:p>
    <w:p>
      <w:pPr>
        <w:spacing w:line="288" w:lineRule="auto"/>
      </w:pPr>
      <w:r>
        <w:rPr>
          <w:rFonts w:hAnsi="宋体"/>
        </w:rPr>
        <w:t>取</w:t>
      </w:r>
      <w:r>
        <w:t>Kx=0.7</w:t>
      </w:r>
      <w:r>
        <w:rPr>
          <w:rFonts w:hAnsi="宋体"/>
        </w:rPr>
        <w:t>，</w:t>
      </w:r>
      <m:oMath>
        <m:func>
          <m:funcPr>
            <m:ctrlPr>
              <w:rPr>
                <w:rFonts w:ascii="Cambria Math" w:hAnsi="Cambria Math"/>
              </w:rPr>
            </m:ctrlPr>
          </m:funcPr>
          <m:fName>
            <m:ctrlPr>
              <w:rPr>
                <w:rFonts w:ascii="Cambria Math" w:hAnsi="Cambria Math"/>
              </w:rPr>
            </m:ctrlPr>
            <m:r>
              <m:rPr>
                <m:sty m:val="p"/>
              </m:rPr>
              <w:rPr>
                <w:rFonts w:ascii="Cambria Math"/>
              </w:rPr>
              <m:t>cos</m:t>
            </m:r>
          </m:fName>
          <m:e>
            <m:ctrlPr>
              <w:rPr>
                <w:rFonts w:ascii="Cambria Math" w:hAnsi="Cambria Math"/>
              </w:rPr>
            </m:ctrlPr>
            <m:r>
              <m:rPr>
                <m:sty m:val="p"/>
              </m:rPr>
              <w:rPr>
                <w:rFonts w:ascii="Cambria Math"/>
              </w:rPr>
              <m:t>φ</m:t>
            </m:r>
          </m:e>
        </m:func>
        <m:r>
          <m:rPr>
            <m:sty m:val="p"/>
          </m:rPr>
          <w:rPr>
            <w:rFonts w:ascii="Cambria Math"/>
          </w:rPr>
          <m:t>=0.75</m:t>
        </m:r>
      </m:oMath>
      <w:r>
        <w:rPr>
          <w:rFonts w:hAnsi="宋体"/>
        </w:rPr>
        <w:t>，即</w:t>
      </w:r>
      <w:r>
        <w:t>tg</w:t>
      </w:r>
      <m:oMath>
        <m:r>
          <m:rPr>
            <m:sty m:val="p"/>
          </m:rPr>
          <w:rPr>
            <w:rFonts w:ascii="Cambria Math"/>
          </w:rPr>
          <m:t>φ</m:t>
        </m:r>
      </m:oMath>
      <w:r>
        <w:t>=0.88</w:t>
      </w:r>
    </w:p>
    <w:p>
      <w:pPr>
        <w:spacing w:line="288" w:lineRule="auto"/>
      </w:pPr>
      <w:r>
        <w:t>Pj1=</w:t>
      </w: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Pe1</m:t>
            </m:r>
          </m:e>
        </m:nary>
      </m:oMath>
      <w:r>
        <w:t>*Kx=487.99*0.7=341.59</w:t>
      </w:r>
      <w:r>
        <w:rPr>
          <w:rFonts w:hint="eastAsia"/>
        </w:rPr>
        <w:t>k</w:t>
      </w:r>
      <w:r>
        <w:t>W</w:t>
      </w:r>
    </w:p>
    <w:p>
      <w:pPr>
        <w:spacing w:line="288" w:lineRule="auto"/>
      </w:pPr>
      <w:r>
        <w:t>Qj1=Pj1*tg</w:t>
      </w:r>
      <m:oMath>
        <m:r>
          <m:rPr>
            <m:sty m:val="p"/>
          </m:rPr>
          <w:rPr>
            <w:rFonts w:ascii="Cambria Math"/>
          </w:rPr>
          <m:t>φ</m:t>
        </m:r>
      </m:oMath>
      <w:r>
        <w:t>=341.59*0.88=300.60</w:t>
      </w:r>
      <w:r>
        <w:rPr>
          <w:rFonts w:hint="eastAsia"/>
        </w:rPr>
        <w:t>k</w:t>
      </w:r>
      <w:r>
        <w:t>V</w:t>
      </w:r>
      <w:r>
        <w:rPr>
          <w:rFonts w:hint="eastAsia"/>
        </w:rPr>
        <w:t>ar</w:t>
      </w:r>
    </w:p>
    <w:p>
      <w:pPr>
        <w:spacing w:line="288" w:lineRule="auto"/>
        <w:rPr>
          <w:rFonts w:ascii="宋体" w:hAnsi="宋体"/>
        </w:rPr>
        <w:sectPr>
          <w:headerReference w:type="default" r:id="rId15"/>
          <w:footerReference w:type="default" r:id="rId16"/>
          <w:type w:val="nextPage"/>
          <w:pgSz w:w="11850" w:h="16783"/>
          <w:pgMar w:top="1440" w:right="1080" w:bottom="1440" w:left="1080" w:header="851" w:footer="992" w:gutter="567"/>
          <w:pgNumType w:start="6"/>
          <w:cols w:num="1" w:space="720"/>
          <w:titlePg w:val="0"/>
          <w:docGrid w:type="linesAndChars" w:linePitch="326" w:charSpace="0"/>
        </w:sectPr>
      </w:pPr>
      <w:r>
        <w:rPr>
          <w:rFonts w:ascii="宋体" w:hAnsi="宋体" w:hint="eastAsia"/>
        </w:rPr>
        <w:t>（2）电焊机：（JC暂载率按照60%计算：</w:t>
      </w:r>
      <m:oMath>
        <m:rad>
          <m:radPr>
            <m:degHide/>
            <m:ctrlPr>
              <w:rPr>
                <w:rFonts w:ascii="Cambria Math" w:hAnsi="Cambria Math"/>
              </w:rPr>
            </m:ctrlPr>
          </m:radPr>
          <m:deg>
            <m:ctrlPr>
              <w:rPr>
                <w:rFonts w:ascii="Cambria Math" w:hAnsi="Cambria Math"/>
              </w:rPr>
            </m:ctrlPr>
          </m:deg>
          <m:e>
            <m:ctrlPr>
              <w:rPr>
                <w:rFonts w:ascii="Cambria Math" w:hAnsi="Cambria Math"/>
              </w:rPr>
            </m:ctrlPr>
            <m:r>
              <m:rPr>
                <m:sty m:val="p"/>
              </m:rPr>
              <w:rPr>
                <w:rFonts w:ascii="Cambria Math" w:hAnsi="Cambria Math"/>
              </w:rPr>
              <m:t>JC</m:t>
            </m:r>
          </m:e>
        </m:rad>
        <m:r>
          <m:rPr>
            <m:sty m:val="p"/>
          </m:rPr>
          <w:rPr>
            <w:rFonts w:ascii="Cambria Math" w:hAnsi="Cambria Math"/>
          </w:rPr>
          <m:t>=0.77</m:t>
        </m:r>
      </m:oMath>
      <w:r>
        <w:rPr>
          <w:rFonts w:ascii="宋体" w:hAnsi="宋体" w:hint="eastAsia"/>
        </w:rPr>
        <w:t>）</w:t>
      </w:r>
    </w:p>
    <w:p>
      <w:pPr>
        <w:spacing w:line="288" w:lineRule="auto"/>
        <w:rPr>
          <w:rFonts w:ascii="宋体" w:hAnsi="宋体"/>
        </w:rPr>
      </w:pPr>
      <w:r>
        <w:rPr>
          <w:rFonts w:ascii="宋体" w:hAnsi="宋体" w:hint="eastAsia"/>
        </w:rPr>
        <w:t>取</w:t>
      </w:r>
      <w:r>
        <w:t>Kx=0.4</w:t>
      </w:r>
      <w:r>
        <w:rPr>
          <w:rFonts w:ascii="宋体" w:hAnsi="宋体" w:hint="eastAsia"/>
        </w:rPr>
        <w:t>，</w:t>
      </w:r>
      <m:oMath>
        <m:func>
          <m:funcPr>
            <m:ctrlPr>
              <w:rPr>
                <w:rFonts w:ascii="Cambria Math" w:hAnsi="Cambria Math"/>
              </w:rPr>
            </m:ctrlPr>
          </m:funcPr>
          <m:fName>
            <m:ctrlPr>
              <w:rPr>
                <w:rFonts w:ascii="Cambria Math" w:hAnsi="Cambria Math"/>
              </w:rPr>
            </m:ctrlPr>
            <m:r>
              <m:rPr>
                <m:sty m:val="p"/>
              </m:rPr>
              <w:rPr>
                <w:rFonts w:ascii="Cambria Math" w:hAnsi="Cambria Math"/>
              </w:rPr>
              <m:t>cos</m:t>
            </m:r>
          </m:fName>
          <m:e>
            <m:ctrlPr>
              <w:rPr>
                <w:rFonts w:ascii="Cambria Math" w:hAnsi="Cambria Math"/>
              </w:rPr>
            </m:ctrlPr>
            <m:r>
              <m:rPr>
                <m:sty m:val="p"/>
              </m:rPr>
              <w:rPr>
                <w:rFonts w:ascii="Cambria Math" w:hAnsi="Cambria Math"/>
              </w:rPr>
              <m:t>φ</m:t>
            </m:r>
          </m:e>
        </m:func>
        <m:r>
          <m:rPr>
            <m:sty m:val="p"/>
          </m:rPr>
          <w:rPr>
            <w:rFonts w:ascii="Cambria Math" w:hAnsi="Cambria Math"/>
          </w:rPr>
          <m:t>=0.48</m:t>
        </m:r>
      </m:oMath>
      <w:r>
        <w:rPr>
          <w:rFonts w:ascii="宋体" w:hAnsi="宋体" w:hint="eastAsia"/>
        </w:rPr>
        <w:t>，即</w:t>
      </w:r>
      <w:r>
        <w:t>tg</w:t>
      </w:r>
      <m:oMath>
        <m:r>
          <m:rPr>
            <m:sty m:val="p"/>
          </m:rPr>
          <w:rPr>
            <w:rFonts w:ascii="Cambria Math"/>
          </w:rPr>
          <m:t>φ</m:t>
        </m:r>
      </m:oMath>
      <w:r>
        <w:t>=1.83</w:t>
      </w:r>
    </w:p>
    <w:p>
      <w:pPr>
        <w:spacing w:line="288" w:lineRule="auto"/>
      </w:pP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SJe</m:t>
            </m:r>
          </m:e>
        </m:nary>
      </m:oMath>
      <w:r>
        <w:t>=12*5.6</w:t>
      </w:r>
      <w:r>
        <w:rPr>
          <w:rFonts w:hint="eastAsia"/>
        </w:rPr>
        <w:t>+</w:t>
      </w:r>
      <w:r>
        <w:t>8</w:t>
      </w:r>
      <w:r>
        <w:rPr>
          <w:rFonts w:hint="eastAsia"/>
        </w:rPr>
        <w:t>*</w:t>
      </w:r>
      <w:r>
        <w:t>32</w:t>
      </w:r>
      <w:r>
        <w:rPr>
          <w:rFonts w:hint="eastAsia"/>
        </w:rPr>
        <w:t>+</w:t>
      </w:r>
      <w:r>
        <w:t>2</w:t>
      </w:r>
      <w:r>
        <w:rPr>
          <w:rFonts w:hint="eastAsia"/>
        </w:rPr>
        <w:t>*</w:t>
      </w:r>
      <w:r>
        <w:t>22.5</w:t>
      </w:r>
      <w:r>
        <w:rPr>
          <w:rFonts w:hint="eastAsia"/>
        </w:rPr>
        <w:t>+</w:t>
      </w:r>
      <w:r>
        <w:t>3</w:t>
      </w:r>
      <w:r>
        <w:rPr>
          <w:rFonts w:hint="eastAsia"/>
        </w:rPr>
        <w:t>*</w:t>
      </w:r>
      <w:r>
        <w:t>80=608.2K</w:t>
      </w:r>
      <w:r>
        <w:rPr>
          <w:rFonts w:hint="eastAsia"/>
        </w:rPr>
        <w:t>v</w:t>
      </w:r>
      <w:r>
        <w:t>A</w:t>
      </w:r>
    </w:p>
    <w:p>
      <w:pPr>
        <w:spacing w:line="288" w:lineRule="auto"/>
      </w:pPr>
      <w:r>
        <w:t>SJ2=</w:t>
      </w: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SJe</m:t>
            </m:r>
          </m:e>
        </m:nary>
      </m:oMath>
      <w:r>
        <w:t>*Kx*</w:t>
      </w:r>
      <m:oMath>
        <m:rad>
          <m:radPr>
            <m:degHide/>
            <m:ctrlPr>
              <w:rPr>
                <w:rFonts w:ascii="Cambria Math" w:hAnsi="Cambria Math"/>
              </w:rPr>
            </m:ctrlPr>
          </m:radPr>
          <m:deg>
            <m:ctrlPr>
              <w:rPr>
                <w:rFonts w:ascii="Cambria Math" w:hAnsi="Cambria Math"/>
              </w:rPr>
            </m:ctrlPr>
          </m:deg>
          <m:e>
            <m:ctrlPr>
              <w:rPr>
                <w:rFonts w:ascii="Cambria Math" w:hAnsi="Cambria Math"/>
              </w:rPr>
            </m:ctrlPr>
            <m:r>
              <m:rPr>
                <m:sty m:val="p"/>
              </m:rPr>
              <w:rPr>
                <w:rFonts w:ascii="Cambria Math"/>
              </w:rPr>
              <m:t>JC</m:t>
            </m:r>
          </m:e>
        </m:rad>
      </m:oMath>
      <w:r>
        <w:t>=608.2*0.4*0.77=187.33</w:t>
      </w:r>
      <w:r>
        <w:rPr>
          <w:rFonts w:hint="eastAsia"/>
        </w:rPr>
        <w:t>kW</w:t>
      </w:r>
    </w:p>
    <w:p>
      <w:pPr>
        <w:spacing w:line="288" w:lineRule="auto"/>
      </w:pPr>
      <w:r>
        <w:t>Pj2=</w:t>
      </w:r>
      <m:oMath>
        <m:r>
          <m:rPr>
            <m:sty m:val="p"/>
          </m:rPr>
          <w:rPr>
            <w:rFonts w:ascii="Cambria Math"/>
          </w:rPr>
          <m:t>SJ3</m:t>
        </m:r>
        <m:r>
          <m:rPr>
            <m:sty m:val="p"/>
          </m:rPr>
          <w:rPr>
            <w:rFonts w:ascii="Cambria Math" w:hAnsi="Cambria Math"/>
          </w:rPr>
          <m:t>∗</m:t>
        </m:r>
        <m:func>
          <m:funcPr>
            <m:ctrlPr>
              <w:rPr>
                <w:rFonts w:ascii="Cambria Math" w:hAnsi="Cambria Math"/>
              </w:rPr>
            </m:ctrlPr>
          </m:funcPr>
          <m:fName>
            <m:ctrlPr>
              <w:rPr>
                <w:rFonts w:ascii="Cambria Math" w:hAnsi="Cambria Math"/>
              </w:rPr>
            </m:ctrlPr>
            <m:r>
              <m:rPr>
                <m:sty m:val="p"/>
              </m:rPr>
              <w:rPr>
                <w:rFonts w:ascii="Cambria Math"/>
              </w:rPr>
              <m:t>cos</m:t>
            </m:r>
          </m:fName>
          <m:e>
            <m:ctrlPr>
              <w:rPr>
                <w:rFonts w:ascii="Cambria Math" w:hAnsi="Cambria Math"/>
              </w:rPr>
            </m:ctrlPr>
            <m:r>
              <m:rPr>
                <m:sty m:val="p"/>
              </m:rPr>
              <w:rPr>
                <w:rFonts w:ascii="Cambria Math"/>
              </w:rPr>
              <m:t>φ</m:t>
            </m:r>
          </m:e>
        </m:func>
      </m:oMath>
      <w:r>
        <w:t>=187.33*0.48=89.92</w:t>
      </w:r>
      <w:r>
        <w:rPr>
          <w:rFonts w:hint="eastAsia"/>
        </w:rPr>
        <w:t>k</w:t>
      </w:r>
      <w:r>
        <w:t>W</w:t>
      </w:r>
    </w:p>
    <w:p>
      <w:pPr>
        <w:spacing w:line="288" w:lineRule="auto"/>
      </w:pPr>
      <w:r>
        <w:t>Qj2=Pj2*tg</w:t>
      </w:r>
      <m:oMath>
        <m:r>
          <m:rPr>
            <m:sty m:val="p"/>
          </m:rPr>
          <w:rPr>
            <w:rFonts w:ascii="Cambria Math"/>
          </w:rPr>
          <m:t>φ</m:t>
        </m:r>
      </m:oMath>
      <w:r>
        <w:t>=89.92*1.83=164.55</w:t>
      </w:r>
      <w:r>
        <w:rPr>
          <w:rFonts w:hint="eastAsia"/>
        </w:rPr>
        <w:t>k</w:t>
      </w:r>
      <w:r>
        <w:t>Var</w:t>
      </w:r>
    </w:p>
    <w:p>
      <w:pPr>
        <w:spacing w:line="288" w:lineRule="auto"/>
        <w:rPr>
          <w:rFonts w:ascii="宋体" w:hAnsi="宋体"/>
        </w:rPr>
      </w:pPr>
      <w:r>
        <w:rPr>
          <w:rFonts w:ascii="宋体" w:hAnsi="宋体" w:hint="eastAsia"/>
        </w:rPr>
        <w:t>（3）各类电动工具</w:t>
      </w:r>
    </w:p>
    <w:p>
      <w:pPr>
        <w:spacing w:line="288" w:lineRule="auto"/>
        <w:rPr>
          <w:rFonts w:ascii="宋体" w:hAnsi="宋体"/>
        </w:rPr>
      </w:pPr>
      <w:r>
        <w:rPr>
          <w:rFonts w:ascii="宋体" w:hAnsi="宋体" w:hint="eastAsia"/>
        </w:rPr>
        <w:t>取</w:t>
      </w:r>
      <w:r>
        <w:t>Kx=0.5</w:t>
      </w:r>
      <w:r>
        <w:rPr>
          <w:rFonts w:hAnsi="宋体"/>
        </w:rPr>
        <w:t>，</w:t>
      </w:r>
      <m:oMath>
        <m:func>
          <m:funcPr>
            <m:ctrlPr>
              <w:rPr>
                <w:rFonts w:ascii="Cambria Math" w:hAnsi="Cambria Math"/>
              </w:rPr>
            </m:ctrlPr>
          </m:funcPr>
          <m:fName>
            <m:ctrlPr>
              <w:rPr>
                <w:rFonts w:ascii="Cambria Math" w:hAnsi="Cambria Math"/>
              </w:rPr>
            </m:ctrlPr>
            <m:r>
              <m:rPr>
                <m:sty m:val="p"/>
              </m:rPr>
              <w:rPr>
                <w:rFonts w:ascii="Cambria Math"/>
              </w:rPr>
              <m:t>cos</m:t>
            </m:r>
          </m:fName>
          <m:e>
            <m:ctrlPr>
              <w:rPr>
                <w:rFonts w:ascii="Cambria Math" w:hAnsi="Cambria Math"/>
              </w:rPr>
            </m:ctrlPr>
            <m:r>
              <m:rPr>
                <m:sty m:val="p"/>
              </m:rPr>
              <w:rPr>
                <w:rFonts w:ascii="Cambria Math"/>
              </w:rPr>
              <m:t>φ=0.8</m:t>
            </m:r>
          </m:e>
        </m:func>
      </m:oMath>
      <w:r>
        <w:rPr>
          <w:rFonts w:hAnsi="宋体"/>
        </w:rPr>
        <w:t>，</w:t>
      </w:r>
      <w:r>
        <w:t>tg</w:t>
      </w:r>
      <m:oMath>
        <m:r>
          <m:rPr>
            <m:sty m:val="p"/>
          </m:rPr>
          <w:rPr>
            <w:rFonts w:ascii="Cambria Math"/>
          </w:rPr>
          <m:t>φ</m:t>
        </m:r>
      </m:oMath>
      <w:r>
        <w:t xml:space="preserve"> =0.75</w:t>
      </w:r>
    </w:p>
    <w:p>
      <w:pPr>
        <w:spacing w:line="288" w:lineRule="auto"/>
      </w:pP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Pe3</m:t>
            </m:r>
          </m:e>
        </m:nary>
      </m:oMath>
      <w:r>
        <w:t>=15+45+7.5+7.5+10+22+17.5+22+12+8.8+4+7+6+5.2+4+4.4</w:t>
      </w:r>
      <w:r>
        <w:rPr>
          <w:rFonts w:hint="eastAsia"/>
        </w:rPr>
        <w:t>+</w:t>
      </w:r>
      <w:r>
        <w:t>3</w:t>
      </w:r>
      <w:r>
        <w:rPr>
          <w:rFonts w:hint="eastAsia"/>
        </w:rPr>
        <w:t>+</w:t>
      </w:r>
      <w:r>
        <w:t>3.2+8.8</w:t>
      </w:r>
      <w:r>
        <w:rPr>
          <w:rFonts w:hint="eastAsia"/>
        </w:rPr>
        <w:t>+</w:t>
      </w:r>
      <w:r>
        <w:t>4</w:t>
      </w:r>
      <w:r>
        <w:rPr>
          <w:rFonts w:hint="eastAsia"/>
        </w:rPr>
        <w:t>+</w:t>
      </w:r>
      <w:r>
        <w:t>30</w:t>
      </w:r>
      <w:r>
        <w:rPr>
          <w:rFonts w:hint="eastAsia"/>
        </w:rPr>
        <w:t>+</w:t>
      </w:r>
      <w:r>
        <w:t>4.6</w:t>
      </w:r>
      <w:r>
        <w:rPr>
          <w:rFonts w:hint="eastAsia"/>
        </w:rPr>
        <w:t>+</w:t>
      </w:r>
      <w:r>
        <w:t>0.6</w:t>
      </w:r>
      <w:r>
        <w:rPr>
          <w:rFonts w:hint="eastAsia"/>
        </w:rPr>
        <w:t>+</w:t>
      </w:r>
      <w:r>
        <w:t>120</w:t>
      </w:r>
      <w:r>
        <w:rPr>
          <w:rFonts w:hint="eastAsia"/>
        </w:rPr>
        <w:t>+</w:t>
      </w:r>
      <w:r>
        <w:t>15</w:t>
      </w:r>
      <w:r>
        <w:rPr>
          <w:rFonts w:hint="eastAsia"/>
        </w:rPr>
        <w:t>+</w:t>
      </w:r>
      <w:r>
        <w:t>49.8</w:t>
      </w:r>
      <w:r>
        <w:rPr>
          <w:rFonts w:hint="eastAsia"/>
        </w:rPr>
        <w:t>+</w:t>
      </w:r>
      <w:r>
        <w:t>3</w:t>
      </w:r>
      <w:r>
        <w:rPr>
          <w:rFonts w:hint="eastAsia"/>
        </w:rPr>
        <w:t>+</w:t>
      </w:r>
      <w:r>
        <w:t>81+30</w:t>
      </w:r>
      <w:r>
        <w:rPr>
          <w:rFonts w:hint="eastAsia"/>
        </w:rPr>
        <w:t>+</w:t>
      </w:r>
      <w:r>
        <w:t>6</w:t>
      </w:r>
      <w:r>
        <w:rPr>
          <w:rFonts w:hint="eastAsia"/>
        </w:rPr>
        <w:t>+</w:t>
      </w:r>
      <w:r>
        <w:t>8</w:t>
      </w:r>
      <w:r>
        <w:rPr>
          <w:rFonts w:hint="eastAsia"/>
        </w:rPr>
        <w:t>+</w:t>
      </w:r>
      <w:r>
        <w:t>3+5.5=573.4</w:t>
      </w:r>
      <w:r>
        <w:rPr>
          <w:rFonts w:hint="eastAsia"/>
        </w:rPr>
        <w:t>k</w:t>
      </w:r>
      <w:r>
        <w:t>W</w:t>
      </w:r>
    </w:p>
    <w:p>
      <w:pPr>
        <w:spacing w:line="288" w:lineRule="auto"/>
      </w:pPr>
      <w:r>
        <w:t>Pj3=</w:t>
      </w: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Pe3</m:t>
            </m:r>
          </m:e>
        </m:nary>
      </m:oMath>
      <w:r>
        <w:t>*Kx=573.4*0.5=286.7</w:t>
      </w:r>
      <w:r>
        <w:rPr>
          <w:rFonts w:hint="eastAsia"/>
        </w:rPr>
        <w:t>k</w:t>
      </w:r>
      <w:r>
        <w:t>W</w:t>
      </w:r>
    </w:p>
    <w:p>
      <w:pPr>
        <w:spacing w:line="288" w:lineRule="auto"/>
      </w:pPr>
      <w:r>
        <w:t>Qj3=Pj3*tg</w:t>
      </w:r>
      <m:oMath>
        <m:r>
          <m:rPr>
            <m:sty m:val="p"/>
          </m:rPr>
          <w:rPr>
            <w:rFonts w:ascii="Cambria Math"/>
          </w:rPr>
          <m:t>φ</m:t>
        </m:r>
      </m:oMath>
      <w:r>
        <w:t>=286.7*0.75=215.02</w:t>
      </w:r>
      <w:r>
        <w:rPr>
          <w:rFonts w:hint="eastAsia"/>
        </w:rPr>
        <w:t>k</w:t>
      </w:r>
      <w:r>
        <w:t>Var</w:t>
      </w:r>
    </w:p>
    <w:p>
      <w:pPr>
        <w:spacing w:line="288" w:lineRule="auto"/>
        <w:rPr>
          <w:rFonts w:ascii="宋体" w:hAnsi="宋体"/>
        </w:rPr>
      </w:pPr>
      <w:r>
        <w:rPr>
          <w:rFonts w:ascii="宋体" w:hAnsi="宋体" w:hint="eastAsia"/>
        </w:rPr>
        <w:t>（4）照明按</w:t>
      </w:r>
    </w:p>
    <w:p>
      <w:pPr>
        <w:spacing w:line="288" w:lineRule="auto"/>
        <w:rPr>
          <w:rFonts w:ascii="宋体" w:hAnsi="宋体"/>
        </w:rPr>
      </w:pPr>
      <w:r>
        <w:rPr>
          <w:rFonts w:ascii="宋体" w:hAnsi="宋体" w:hint="eastAsia"/>
        </w:rPr>
        <w:t>取</w:t>
      </w:r>
      <w:r>
        <w:t>Kx=1</w:t>
      </w:r>
      <w:r>
        <w:rPr>
          <w:rFonts w:ascii="宋体" w:hAnsi="宋体" w:hint="eastAsia"/>
        </w:rPr>
        <w:t>，</w:t>
      </w:r>
      <m:oMath>
        <m:func>
          <m:funcPr>
            <m:ctrlPr>
              <w:rPr>
                <w:rFonts w:ascii="Cambria Math" w:hAnsi="Cambria Math"/>
              </w:rPr>
            </m:ctrlPr>
          </m:funcPr>
          <m:fName>
            <m:ctrlPr>
              <w:rPr>
                <w:rFonts w:ascii="Cambria Math" w:hAnsi="Cambria Math"/>
              </w:rPr>
            </m:ctrlPr>
            <m:r>
              <m:rPr>
                <m:sty m:val="p"/>
              </m:rPr>
              <w:rPr>
                <w:rFonts w:ascii="Cambria Math" w:hAnsi="Cambria Math"/>
              </w:rPr>
              <m:t>cos</m:t>
            </m:r>
          </m:fName>
          <m:e>
            <m:ctrlPr>
              <w:rPr>
                <w:rFonts w:ascii="Cambria Math" w:hAnsi="Cambria Math"/>
              </w:rPr>
            </m:ctrlPr>
            <m:r>
              <m:rPr>
                <m:sty m:val="p"/>
              </m:rPr>
              <w:rPr>
                <w:rFonts w:ascii="Cambria Math" w:hAnsi="Cambria Math"/>
              </w:rPr>
              <m:t>φ</m:t>
            </m:r>
          </m:e>
        </m:func>
        <m:r>
          <m:rPr>
            <m:sty m:val="p"/>
          </m:rPr>
          <w:rPr>
            <w:rFonts w:ascii="Cambria Math" w:hAnsi="Cambria Math"/>
          </w:rPr>
          <m:t>=0.9</m:t>
        </m:r>
      </m:oMath>
      <w:r>
        <w:rPr>
          <w:rFonts w:ascii="宋体" w:hAnsi="宋体" w:hint="eastAsia"/>
        </w:rPr>
        <w:t>，即</w:t>
      </w:r>
      <w:r>
        <w:t>tg</w:t>
      </w:r>
      <m:oMath>
        <m:r>
          <m:rPr>
            <m:sty m:val="p"/>
          </m:rPr>
          <w:rPr>
            <w:rFonts w:ascii="Cambria Math"/>
          </w:rPr>
          <m:t>φ</m:t>
        </m:r>
      </m:oMath>
      <w:r>
        <w:t>=0.33</w:t>
      </w:r>
    </w:p>
    <w:p>
      <w:pPr>
        <w:spacing w:line="288" w:lineRule="auto"/>
      </w:pP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Pe4</m:t>
            </m:r>
          </m:e>
        </m:nary>
      </m:oMath>
      <w:r>
        <w:t>=40*1=40</w:t>
      </w:r>
      <w:r>
        <w:rPr>
          <w:rFonts w:hint="eastAsia"/>
        </w:rPr>
        <w:t>k</w:t>
      </w:r>
      <w:r>
        <w:t>W</w:t>
      </w:r>
    </w:p>
    <w:p>
      <w:pPr>
        <w:spacing w:line="288" w:lineRule="auto"/>
      </w:pPr>
      <w:r>
        <w:t>Pj4=</w:t>
      </w:r>
      <m:oMath>
        <m:nary>
          <m:naryPr>
            <m:chr m:val="∑"/>
            <m:limLoc m:val="undOvr"/>
            <m:subHide/>
            <m:supHide/>
            <m:ctrlPr>
              <w:rPr>
                <w:rFonts w:ascii="Cambria Math" w:hAnsi="Cambria Math"/>
              </w:rPr>
            </m:ctrlPr>
          </m:naryPr>
          <m:sub>
            <m:ctrlPr>
              <w:rPr>
                <w:rFonts w:ascii="Cambria Math" w:hAnsi="Cambria Math"/>
              </w:rPr>
            </m:ctrlPr>
          </m:sub>
          <m:sup>
            <m:ctrlPr>
              <w:rPr>
                <w:rFonts w:ascii="Cambria Math" w:hAnsi="Cambria Math"/>
              </w:rPr>
            </m:ctrlPr>
          </m:sup>
          <m:e>
            <m:ctrlPr>
              <w:rPr>
                <w:rFonts w:ascii="Cambria Math" w:hAnsi="Cambria Math"/>
              </w:rPr>
            </m:ctrlPr>
            <m:r>
              <m:rPr>
                <m:sty m:val="p"/>
              </m:rPr>
              <w:rPr>
                <w:rFonts w:ascii="Cambria Math"/>
              </w:rPr>
              <m:t>Pe4</m:t>
            </m:r>
          </m:e>
        </m:nary>
      </m:oMath>
      <w:r>
        <w:t>*Kx=40*1=40</w:t>
      </w:r>
      <w:r>
        <w:rPr>
          <w:rFonts w:hint="eastAsia"/>
        </w:rPr>
        <w:t>k</w:t>
      </w:r>
      <w:r>
        <w:t>W</w:t>
      </w:r>
    </w:p>
    <w:p>
      <w:pPr>
        <w:spacing w:line="288" w:lineRule="auto"/>
      </w:pPr>
      <w:r>
        <w:t>Qj4=Pj4*tg</w:t>
      </w:r>
      <m:oMath>
        <m:r>
          <m:rPr>
            <m:sty m:val="p"/>
          </m:rPr>
          <w:rPr>
            <w:rFonts w:ascii="Cambria Math"/>
          </w:rPr>
          <m:t>φ</m:t>
        </m:r>
      </m:oMath>
      <w:r>
        <w:t>=40*0.33=13.2</w:t>
      </w:r>
      <w:r>
        <w:rPr>
          <w:rFonts w:hint="eastAsia"/>
        </w:rPr>
        <w:t>k</w:t>
      </w:r>
      <w:r>
        <w:t>Var</w:t>
      </w:r>
    </w:p>
    <w:p>
      <w:pPr>
        <w:spacing w:line="288" w:lineRule="auto"/>
        <w:rPr>
          <w:rFonts w:ascii="宋体" w:hAnsi="宋体"/>
        </w:rPr>
      </w:pPr>
      <w:r>
        <w:rPr>
          <w:rFonts w:ascii="宋体" w:hAnsi="宋体" w:hint="eastAsia"/>
        </w:rPr>
        <w:t>该阶段施工区总负荷：</w:t>
      </w:r>
    </w:p>
    <w:p>
      <w:pPr>
        <w:spacing w:line="288" w:lineRule="auto"/>
        <w:rPr>
          <w:rFonts w:ascii="宋体" w:hAnsi="宋体"/>
        </w:rPr>
      </w:pPr>
      <w:r>
        <w:rPr>
          <w:rFonts w:ascii="宋体" w:hAnsi="宋体" w:hint="eastAsia"/>
        </w:rPr>
        <w:t>取同期系数：</w:t>
      </w:r>
      <w:r>
        <w:t>Kp=Kq=0.8</w:t>
      </w:r>
    </w:p>
    <w:p>
      <w:pPr>
        <w:spacing w:line="288" w:lineRule="auto"/>
      </w:pPr>
      <w:r>
        <w:t>Pj=Kp*</w:t>
      </w:r>
      <m:oMath>
        <m:nary>
          <m:naryPr>
            <m:chr m:val="∑"/>
            <m:limLoc m:val="undOvr"/>
            <m:ctrlPr>
              <w:rPr>
                <w:rFonts w:ascii="Cambria Math" w:hAnsi="Cambria Math"/>
              </w:rPr>
            </m:ctrlPr>
          </m:naryPr>
          <m:sub>
            <m:ctrlPr>
              <w:rPr>
                <w:rFonts w:ascii="Cambria Math" w:hAnsi="Cambria Math"/>
              </w:rPr>
            </m:ctrlPr>
            <m:r>
              <m:rPr>
                <m:sty m:val="p"/>
              </m:rPr>
              <w:rPr>
                <w:rFonts w:ascii="Cambria Math"/>
              </w:rPr>
              <m:t>i=1</m:t>
            </m:r>
          </m:sub>
          <m:sup>
            <m:ctrlPr>
              <w:rPr>
                <w:rFonts w:ascii="Cambria Math" w:hAnsi="Cambria Math"/>
              </w:rPr>
            </m:ctrlPr>
            <m:r>
              <m:rPr>
                <m:sty m:val="p"/>
              </m:rPr>
              <w:rPr>
                <w:rFonts w:ascii="Cambria Math"/>
              </w:rPr>
              <m:t>5</m:t>
            </m:r>
          </m:sup>
          <m:e>
            <m:ctrlPr>
              <w:rPr>
                <w:rFonts w:ascii="Cambria Math" w:hAnsi="Cambria Math"/>
              </w:rPr>
            </m:ctrlPr>
            <m:r>
              <m:rPr>
                <m:sty m:val="p"/>
              </m:rPr>
              <w:rPr>
                <w:rFonts w:ascii="Cambria Math"/>
              </w:rPr>
              <m:t>Pji</m:t>
            </m:r>
          </m:e>
        </m:nary>
      </m:oMath>
    </w:p>
    <w:p>
      <w:pPr>
        <w:spacing w:line="288" w:lineRule="auto"/>
      </w:pPr>
      <w:r>
        <w:t xml:space="preserve">  =0.8*</w:t>
      </w:r>
      <w:r>
        <w:rPr>
          <w:rFonts w:hAnsi="宋体"/>
        </w:rPr>
        <w:t>（</w:t>
      </w:r>
      <w:r>
        <w:t>341.59+89.92+286.7+40</w:t>
      </w:r>
      <w:r>
        <w:rPr>
          <w:rFonts w:hAnsi="宋体"/>
        </w:rPr>
        <w:t>）</w:t>
      </w:r>
    </w:p>
    <w:p>
      <w:pPr>
        <w:spacing w:line="288" w:lineRule="auto"/>
      </w:pPr>
      <w:r>
        <w:t xml:space="preserve">  =606.57</w:t>
      </w:r>
      <w:r>
        <w:rPr>
          <w:rFonts w:hint="eastAsia"/>
        </w:rPr>
        <w:t>k</w:t>
      </w:r>
      <w:r>
        <w:t>W</w:t>
      </w:r>
    </w:p>
    <w:p>
      <w:pPr>
        <w:spacing w:line="288" w:lineRule="auto"/>
      </w:pPr>
      <w:r>
        <w:t>Qj=Kq*</w:t>
      </w:r>
      <m:oMath>
        <m:nary>
          <m:naryPr>
            <m:chr m:val="∑"/>
            <m:limLoc m:val="undOvr"/>
            <m:ctrlPr>
              <w:rPr>
                <w:rFonts w:ascii="Cambria Math" w:hAnsi="Cambria Math"/>
              </w:rPr>
            </m:ctrlPr>
          </m:naryPr>
          <m:sub>
            <m:ctrlPr>
              <w:rPr>
                <w:rFonts w:ascii="Cambria Math" w:hAnsi="Cambria Math"/>
              </w:rPr>
            </m:ctrlPr>
            <m:r>
              <m:rPr>
                <m:sty m:val="p"/>
              </m:rPr>
              <w:rPr>
                <w:rFonts w:ascii="Cambria Math"/>
              </w:rPr>
              <m:t>i=1</m:t>
            </m:r>
          </m:sub>
          <m:sup>
            <m:ctrlPr>
              <w:rPr>
                <w:rFonts w:ascii="Cambria Math" w:hAnsi="Cambria Math"/>
              </w:rPr>
            </m:ctrlPr>
            <m:r>
              <m:rPr>
                <m:sty m:val="p"/>
              </m:rPr>
              <w:rPr>
                <w:rFonts w:ascii="Cambria Math"/>
              </w:rPr>
              <m:t>5</m:t>
            </m:r>
          </m:sup>
          <m:e>
            <m:ctrlPr>
              <w:rPr>
                <w:rFonts w:ascii="Cambria Math" w:hAnsi="Cambria Math"/>
              </w:rPr>
            </m:ctrlPr>
            <m:r>
              <m:rPr>
                <m:sty m:val="p"/>
              </m:rPr>
              <w:rPr>
                <w:rFonts w:ascii="Cambria Math"/>
              </w:rPr>
              <m:t>Qji</m:t>
            </m:r>
          </m:e>
        </m:nary>
      </m:oMath>
    </w:p>
    <w:p>
      <w:pPr>
        <w:spacing w:line="288" w:lineRule="auto"/>
      </w:pPr>
      <w:r>
        <w:rPr>
          <w:rFonts w:ascii="宋体" w:hAnsi="宋体" w:hint="eastAsia"/>
        </w:rPr>
        <w:t xml:space="preserve">  </w:t>
      </w:r>
      <w:r>
        <w:t>=0.8*</w:t>
      </w:r>
      <w:r>
        <w:rPr>
          <w:rFonts w:hAnsi="宋体"/>
        </w:rPr>
        <w:t>（</w:t>
      </w:r>
      <w:r>
        <w:t>300.60+164.55+215.02+13.2</w:t>
      </w:r>
      <w:r>
        <w:rPr>
          <w:rFonts w:hAnsi="宋体"/>
        </w:rPr>
        <w:t>）</w:t>
      </w:r>
    </w:p>
    <w:p>
      <w:pPr>
        <w:spacing w:line="288" w:lineRule="auto"/>
      </w:pPr>
      <w:r>
        <w:t xml:space="preserve">  =544</w:t>
      </w:r>
      <w:r>
        <w:rPr>
          <w:rFonts w:hint="eastAsia"/>
        </w:rPr>
        <w:t>.7</w:t>
      </w:r>
      <w:r>
        <w:t>0</w:t>
      </w:r>
      <w:r>
        <w:rPr>
          <w:rFonts w:hint="eastAsia"/>
        </w:rPr>
        <w:t>k</w:t>
      </w:r>
      <w:r>
        <w:t>Var</w:t>
      </w:r>
    </w:p>
    <w:p>
      <w:pPr>
        <w:spacing w:line="288" w:lineRule="auto"/>
        <w:rPr>
          <w:rFonts w:ascii="宋体" w:hAnsi="宋体"/>
        </w:rPr>
      </w:pPr>
      <w:r>
        <w:rPr>
          <w:rFonts w:ascii="宋体" w:hAnsi="宋体" w:hint="eastAsia"/>
        </w:rPr>
        <w:t>计算容量：</w:t>
      </w:r>
    </w:p>
    <w:p>
      <w:pPr>
        <w:spacing w:line="288" w:lineRule="auto"/>
      </w:pPr>
      <w:r>
        <w:t>Sj=</w:t>
      </w:r>
      <m:oMath>
        <m:rad>
          <m:radPr>
            <m:degHide/>
            <m:ctrlPr>
              <w:rPr>
                <w:rFonts w:ascii="Cambria Math" w:hAnsi="Cambria Math"/>
              </w:rPr>
            </m:ctrlPr>
          </m:radPr>
          <m:deg>
            <m:ctrlPr>
              <w:rPr>
                <w:rFonts w:ascii="Cambria Math" w:hAnsi="Cambria Math"/>
              </w:rPr>
            </m:ctrlPr>
          </m:deg>
          <m:e>
            <m:ctrlPr>
              <w:rPr>
                <w:rFonts w:ascii="Cambria Math" w:hAnsi="Cambria Math"/>
              </w:rPr>
            </m:ctrlPr>
            <m:sSup>
              <m:sSupPr>
                <m:ctrlPr>
                  <w:rPr>
                    <w:rFonts w:ascii="Cambria Math" w:hAnsi="Cambria Math"/>
                  </w:rPr>
                </m:ctrlPr>
              </m:sSupPr>
              <m:e>
                <m:ctrlPr>
                  <w:rPr>
                    <w:rFonts w:ascii="Cambria Math" w:hAnsi="Cambria Math"/>
                  </w:rPr>
                </m:ctrlPr>
                <m:r>
                  <m:rPr>
                    <m:sty m:val="p"/>
                  </m:rPr>
                  <w:rPr>
                    <w:rFonts w:ascii="Cambria Math"/>
                  </w:rPr>
                  <m:t>Pj</m:t>
                </m:r>
              </m:e>
              <m:sup>
                <m:ctrlPr>
                  <w:rPr>
                    <w:rFonts w:ascii="Cambria Math" w:hAnsi="Cambria Math"/>
                  </w:rPr>
                </m:ctrlPr>
                <m:r>
                  <m:rPr>
                    <m:sty m:val="p"/>
                  </m:rPr>
                  <w:rPr>
                    <w:rFonts w:ascii="Cambria Math"/>
                  </w:rPr>
                  <m:t>2</m:t>
                </m:r>
              </m:sup>
            </m:sSup>
            <m:r>
              <m:rPr>
                <m:sty m:val="p"/>
              </m:rPr>
              <w:rPr>
                <w:rFonts w:ascii="Cambria Math"/>
              </w:rPr>
              <m:t>+</m:t>
            </m:r>
            <m:sSup>
              <m:sSupPr>
                <m:ctrlPr>
                  <w:rPr>
                    <w:rFonts w:ascii="Cambria Math" w:hAnsi="Cambria Math"/>
                  </w:rPr>
                </m:ctrlPr>
              </m:sSupPr>
              <m:e>
                <m:ctrlPr>
                  <w:rPr>
                    <w:rFonts w:ascii="Cambria Math" w:hAnsi="Cambria Math"/>
                  </w:rPr>
                </m:ctrlPr>
                <m:r>
                  <m:rPr>
                    <m:sty m:val="p"/>
                  </m:rPr>
                  <w:rPr>
                    <w:rFonts w:ascii="Cambria Math"/>
                  </w:rPr>
                  <m:t>Qj</m:t>
                </m:r>
              </m:e>
              <m:sup>
                <m:ctrlPr>
                  <w:rPr>
                    <w:rFonts w:ascii="Cambria Math" w:hAnsi="Cambria Math"/>
                  </w:rPr>
                </m:ctrlPr>
                <m:r>
                  <m:rPr>
                    <m:sty m:val="p"/>
                  </m:rPr>
                  <w:rPr>
                    <w:rFonts w:ascii="Cambria Math"/>
                  </w:rPr>
                  <m:t>2</m:t>
                </m:r>
              </m:sup>
            </m:sSup>
          </m:e>
        </m:rad>
      </m:oMath>
      <w:r>
        <w:t>=815.25</w:t>
      </w:r>
      <w:r>
        <w:rPr>
          <w:rFonts w:hint="eastAsia"/>
        </w:rPr>
        <w:t>k</w:t>
      </w:r>
      <w:r>
        <w:t>VA</w:t>
      </w:r>
    </w:p>
    <w:p>
      <w:pPr>
        <w:spacing w:line="288" w:lineRule="auto"/>
        <w:rPr>
          <w:rFonts w:ascii="宋体" w:hAnsi="宋体"/>
        </w:rPr>
      </w:pPr>
      <w:r>
        <w:rPr>
          <w:rFonts w:ascii="宋体" w:hAnsi="宋体" w:hint="eastAsia"/>
        </w:rPr>
        <w:t>变压器经济运行容量：</w:t>
      </w:r>
    </w:p>
    <w:p>
      <w:pPr>
        <w:spacing w:line="288" w:lineRule="auto"/>
      </w:pPr>
      <w:r>
        <w:rPr>
          <w:rFonts w:hint="eastAsia"/>
        </w:rPr>
        <w:t>S=</w:t>
      </w:r>
      <w:r>
        <w:t>Sj</w:t>
      </w:r>
      <w:r>
        <w:rPr>
          <w:rFonts w:hint="eastAsia"/>
        </w:rPr>
        <w:t>*(1+</w:t>
      </w:r>
      <w:r>
        <w:t>2</w:t>
      </w:r>
      <w:r>
        <w:rPr>
          <w:rFonts w:hint="eastAsia"/>
        </w:rPr>
        <w:t>0%)=</w:t>
      </w:r>
      <w:r>
        <w:t>978.3</w:t>
      </w:r>
      <w:r>
        <w:rPr>
          <w:rFonts w:hint="eastAsia"/>
        </w:rPr>
        <w:t>kVA</w:t>
      </w:r>
    </w:p>
    <w:p>
      <w:pPr>
        <w:spacing w:line="360" w:lineRule="auto"/>
        <w:rPr>
          <w:rFonts w:ascii="宋体" w:hAnsi="宋体"/>
        </w:rPr>
      </w:pPr>
      <w:r>
        <w:rPr>
          <w:rFonts w:ascii="宋体" w:hAnsi="宋体" w:hint="eastAsia"/>
        </w:rPr>
        <w:t>故考虑选择容量为1</w:t>
      </w:r>
      <w:r>
        <w:rPr>
          <w:rFonts w:ascii="宋体" w:hAnsi="宋体"/>
        </w:rPr>
        <w:t>0</w:t>
      </w:r>
      <w:r>
        <w:rPr>
          <w:rFonts w:ascii="宋体" w:hAnsi="宋体" w:hint="eastAsia"/>
        </w:rPr>
        <w:t>00KVA的变压器。</w:t>
      </w:r>
    </w:p>
    <w:p>
      <w:pPr>
        <w:spacing w:line="360" w:lineRule="auto"/>
        <w:jc w:val="left"/>
        <w:rPr>
          <w:rFonts w:ascii="宋体" w:hAnsi="宋体"/>
        </w:rPr>
      </w:pPr>
      <w:r>
        <w:rPr>
          <w:rFonts w:ascii="宋体" w:hAnsi="宋体" w:hint="eastAsia"/>
        </w:rPr>
        <w:t>确定变压器选型方案</w:t>
      </w:r>
    </w:p>
    <w:p>
      <w:pPr>
        <w:spacing w:line="360" w:lineRule="auto"/>
        <w:jc w:val="left"/>
        <w:rPr>
          <w:rFonts w:ascii="宋体" w:hAnsi="宋体"/>
        </w:rPr>
      </w:pPr>
      <w:r>
        <w:rPr>
          <w:rFonts w:ascii="宋体" w:hAnsi="宋体" w:hint="eastAsia"/>
        </w:rPr>
        <w:t>考虑现场供电可靠性，避免因一台变压器出现故障导致现场全面停工，故考虑在现场设置</w:t>
      </w:r>
      <w:r>
        <w:rPr>
          <w:rFonts w:ascii="宋体" w:hAnsi="宋体"/>
        </w:rPr>
        <w:t>2</w:t>
      </w:r>
      <w:r>
        <w:rPr>
          <w:rFonts w:ascii="宋体" w:hAnsi="宋体" w:hint="eastAsia"/>
        </w:rPr>
        <w:t>台</w:t>
      </w:r>
      <w:r>
        <w:rPr>
          <w:rFonts w:ascii="宋体" w:hAnsi="宋体"/>
        </w:rPr>
        <w:t>1000</w:t>
      </w:r>
      <w:r>
        <w:rPr>
          <w:rFonts w:ascii="宋体" w:hAnsi="宋体" w:hint="eastAsia"/>
        </w:rPr>
        <w:t>KVA变压器。</w:t>
      </w:r>
    </w:p>
    <w:p>
      <w:pPr>
        <w:spacing w:line="360" w:lineRule="auto"/>
        <w:jc w:val="left"/>
        <w:rPr>
          <w:rFonts w:ascii="宋体" w:hAnsi="宋体"/>
        </w:rPr>
        <w:sectPr>
          <w:headerReference w:type="default" r:id="rId17"/>
          <w:footerReference w:type="default" r:id="rId18"/>
          <w:type w:val="nextPage"/>
          <w:pgSz w:w="11850" w:h="16783"/>
          <w:pgMar w:top="1440" w:right="1080" w:bottom="1440" w:left="1080" w:header="851" w:footer="992" w:gutter="567"/>
          <w:pgNumType w:start="7"/>
          <w:cols w:num="1" w:space="720"/>
          <w:titlePg w:val="0"/>
          <w:docGrid w:type="linesAndChars" w:linePitch="326" w:charSpace="0"/>
        </w:sectPr>
      </w:pPr>
      <w:r>
        <w:rPr>
          <w:rFonts w:ascii="宋体" w:hAnsi="宋体" w:hint="eastAsia"/>
        </w:rPr>
        <w:t>2</w:t>
      </w:r>
      <w:r>
        <w:rPr>
          <w:rFonts w:ascii="宋体" w:hAnsi="宋体"/>
        </w:rPr>
        <w:t xml:space="preserve">.4  </w:t>
      </w:r>
      <w:r>
        <w:rPr>
          <w:rFonts w:ascii="宋体" w:hAnsi="宋体" w:hint="eastAsia"/>
        </w:rPr>
        <w:t>项目部办公区、生活区和工人生活区容量计算</w:t>
      </w:r>
    </w:p>
    <w:p>
      <w:pPr>
        <w:pStyle w:val="NormalIndent"/>
        <w:ind w:left="240" w:hanging="240" w:hangingChars="100"/>
      </w:pPr>
      <w:r>
        <w:rPr>
          <w:rFonts w:hint="eastAsia"/>
        </w:rPr>
        <w:t xml:space="preserve"> </w:t>
      </w:r>
      <w:r>
        <w:rPr>
          <w:rFonts w:ascii="宋体" w:hAnsi="宋体" w:hint="eastAsia"/>
        </w:rPr>
        <w:t>取</w:t>
      </w:r>
      <w:r>
        <w:t>Kx=0.7</w:t>
      </w:r>
      <w:r>
        <w:rPr>
          <w:rFonts w:ascii="宋体" w:hAnsi="宋体" w:hint="eastAsia"/>
        </w:rPr>
        <w:t>，</w:t>
      </w:r>
      <m:oMath>
        <m:func>
          <m:funcPr>
            <m:ctrlPr>
              <w:rPr>
                <w:rFonts w:ascii="Cambria Math" w:hAnsi="Cambria Math"/>
              </w:rPr>
            </m:ctrlPr>
          </m:funcPr>
          <m:fName>
            <m:ctrlPr>
              <w:rPr>
                <w:rFonts w:ascii="Cambria Math" w:hAnsi="Cambria Math"/>
              </w:rPr>
            </m:ctrlPr>
            <m:r>
              <m:rPr>
                <m:sty m:val="p"/>
              </m:rPr>
              <w:rPr>
                <w:rFonts w:ascii="Cambria Math" w:hAnsi="Cambria Math"/>
              </w:rPr>
              <m:t>cos</m:t>
            </m:r>
          </m:fName>
          <m:e>
            <m:ctrlPr>
              <w:rPr>
                <w:rFonts w:ascii="Cambria Math" w:hAnsi="Cambria Math"/>
              </w:rPr>
            </m:ctrlPr>
            <m:r>
              <m:rPr>
                <m:sty m:val="p"/>
              </m:rPr>
              <w:rPr>
                <w:rFonts w:ascii="Cambria Math" w:hAnsi="Cambria Math"/>
              </w:rPr>
              <m:t>φ</m:t>
            </m:r>
          </m:e>
        </m:func>
        <m:r>
          <m:rPr>
            <m:sty m:val="p"/>
          </m:rPr>
          <w:rPr>
            <w:rFonts w:ascii="Cambria Math" w:hAnsi="Cambria Math"/>
          </w:rPr>
          <m:t>=0.75</m:t>
        </m:r>
      </m:oMath>
      <w:r>
        <w:rPr>
          <w:rFonts w:ascii="宋体" w:hAnsi="宋体" w:hint="eastAsia"/>
        </w:rPr>
        <w:t>，即</w:t>
      </w:r>
      <w:r>
        <w:t>tg</w:t>
      </w:r>
      <m:oMath>
        <m:r>
          <m:rPr>
            <m:sty m:val="p"/>
          </m:rPr>
          <w:rPr>
            <w:rFonts w:ascii="Cambria Math"/>
          </w:rPr>
          <m:t>φ</m:t>
        </m:r>
      </m:oMath>
      <w:r>
        <w:t>=0.88</w:t>
      </w:r>
    </w:p>
    <w:p>
      <w:pPr>
        <w:pStyle w:val="NormalIndent"/>
        <w:ind w:left="240" w:hanging="240" w:hangingChars="100"/>
      </w:pPr>
      <w:r>
        <w:rPr>
          <w:rFonts w:hint="eastAsia"/>
        </w:rPr>
        <w:t>（1）项目部办公区和生活区负荷计算如下</w:t>
      </w:r>
    </w:p>
    <w:p>
      <w:pPr>
        <w:spacing w:line="360" w:lineRule="auto"/>
        <w:jc w:val="left"/>
        <w:rPr>
          <w:rFonts w:ascii="宋体" w:hAnsi="宋体"/>
        </w:rPr>
      </w:pPr>
      <w:r>
        <w:rPr>
          <w:rFonts w:ascii="宋体" w:hAnsi="宋体" w:hint="eastAsia"/>
        </w:rPr>
        <w:t>工人生活区P</w:t>
      </w:r>
      <w:r>
        <w:rPr>
          <w:rFonts w:ascii="宋体" w:hAnsi="宋体"/>
        </w:rPr>
        <w:t>j-221.82KWP</w:t>
      </w:r>
      <w:r>
        <w:rPr>
          <w:rFonts w:ascii="宋体" w:hAnsi="宋体" w:hint="eastAsia"/>
        </w:rPr>
        <w:t>项目部办公室、生活区P</w:t>
      </w:r>
      <w:r>
        <w:rPr>
          <w:rFonts w:ascii="宋体" w:hAnsi="宋体"/>
        </w:rPr>
        <w:t>j-163.32KW</w:t>
      </w:r>
    </w:p>
    <w:p>
      <w:pPr>
        <w:spacing w:line="360" w:lineRule="auto"/>
        <w:jc w:val="left"/>
      </w:pPr>
      <w:r>
        <w:rPr>
          <w:rFonts w:ascii="宋体" w:hAnsi="宋体"/>
        </w:rPr>
        <w:t>P</w:t>
      </w:r>
      <w:r>
        <w:rPr>
          <w:rFonts w:ascii="宋体" w:hAnsi="宋体" w:hint="eastAsia"/>
        </w:rPr>
        <w:t>j</w:t>
      </w:r>
      <w:r>
        <w:rPr>
          <w:rFonts w:ascii="宋体" w:hAnsi="宋体"/>
        </w:rPr>
        <w:t>1=0.7X221.82=155.27KW     Qj1=Pj1X</w:t>
      </w:r>
      <w:r>
        <w:t>tg</w:t>
      </w:r>
      <m:oMath>
        <m:r>
          <m:rPr>
            <m:sty m:val="p"/>
          </m:rPr>
          <w:rPr>
            <w:rFonts w:ascii="Cambria Math"/>
          </w:rPr>
          <m:t>φ</m:t>
        </m:r>
      </m:oMath>
      <w:r>
        <w:rPr>
          <w:rFonts w:hint="eastAsia"/>
        </w:rPr>
        <w:t>=</w:t>
      </w:r>
      <w:r>
        <w:t>136.64 KW    Sj=</w:t>
      </w:r>
      <m:oMath>
        <m:rad>
          <m:radPr>
            <m:degHide/>
            <m:ctrlPr>
              <w:rPr>
                <w:rFonts w:ascii="Cambria Math" w:hAnsi="Cambria Math"/>
              </w:rPr>
            </m:ctrlPr>
          </m:radPr>
          <m:deg>
            <m:ctrlPr>
              <w:rPr>
                <w:rFonts w:ascii="Cambria Math" w:hAnsi="Cambria Math"/>
              </w:rPr>
            </m:ctrlPr>
          </m:deg>
          <m:e>
            <m:ctrlPr>
              <w:rPr>
                <w:rFonts w:ascii="Cambria Math" w:hAnsi="Cambria Math"/>
              </w:rPr>
            </m:ctrlPr>
            <m:sSup>
              <m:sSupPr>
                <m:ctrlPr>
                  <w:rPr>
                    <w:rFonts w:ascii="Cambria Math" w:hAnsi="Cambria Math"/>
                  </w:rPr>
                </m:ctrlPr>
              </m:sSupPr>
              <m:e>
                <m:ctrlPr>
                  <w:rPr>
                    <w:rFonts w:ascii="Cambria Math" w:hAnsi="Cambria Math"/>
                  </w:rPr>
                </m:ctrlPr>
                <m:r>
                  <m:rPr>
                    <m:sty m:val="p"/>
                  </m:rPr>
                  <w:rPr>
                    <w:rFonts w:ascii="Cambria Math" w:hAnsi="Cambria Math"/>
                  </w:rPr>
                  <m:t>Pj</m:t>
                </m:r>
              </m:e>
              <m:sup>
                <m:ctrlPr>
                  <w:rPr>
                    <w:rFonts w:ascii="Cambria Math" w:hAnsi="Cambria Math"/>
                  </w:rPr>
                </m:ctrlP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ctrlPr>
                  <w:rPr>
                    <w:rFonts w:ascii="Cambria Math" w:hAnsi="Cambria Math"/>
                  </w:rPr>
                </m:ctrlPr>
                <m:r>
                  <m:rPr>
                    <m:sty m:val="p"/>
                  </m:rPr>
                  <w:rPr>
                    <w:rFonts w:ascii="Cambria Math" w:hAnsi="Cambria Math"/>
                  </w:rPr>
                  <m:t>Qj</m:t>
                </m:r>
              </m:e>
              <m:sup>
                <m:ctrlPr>
                  <w:rPr>
                    <w:rFonts w:ascii="Cambria Math" w:hAnsi="Cambria Math"/>
                  </w:rPr>
                </m:ctrlPr>
                <m:r>
                  <m:rPr>
                    <m:sty m:val="p"/>
                  </m:rPr>
                  <w:rPr>
                    <w:rFonts w:ascii="Cambria Math" w:hAnsi="Cambria Math"/>
                  </w:rPr>
                  <m:t>2</m:t>
                </m:r>
              </m:sup>
            </m:sSup>
          </m:e>
        </m:rad>
      </m:oMath>
      <w:r>
        <w:rPr>
          <w:rFonts w:hint="eastAsia"/>
        </w:rPr>
        <w:t>=</w:t>
      </w:r>
      <w:r>
        <w:t>206.83kva</w:t>
      </w:r>
    </w:p>
    <w:p>
      <w:pPr>
        <w:spacing w:line="360" w:lineRule="auto"/>
        <w:jc w:val="left"/>
        <w:rPr>
          <w:rFonts w:ascii="宋体" w:hAnsi="宋体"/>
        </w:rPr>
      </w:pPr>
      <w:r>
        <w:rPr>
          <w:rFonts w:ascii="宋体" w:hAnsi="宋体" w:hint="eastAsia"/>
        </w:rPr>
        <w:t>项目部办公室、生活区P</w:t>
      </w:r>
      <w:r>
        <w:rPr>
          <w:rFonts w:ascii="宋体" w:hAnsi="宋体"/>
        </w:rPr>
        <w:t>j-163.32KW</w:t>
      </w:r>
    </w:p>
    <w:p>
      <w:pPr>
        <w:spacing w:line="360" w:lineRule="auto"/>
        <w:jc w:val="left"/>
      </w:pPr>
      <w:r>
        <w:rPr>
          <w:rFonts w:ascii="宋体" w:hAnsi="宋体"/>
        </w:rPr>
        <w:t>P</w:t>
      </w:r>
      <w:r>
        <w:rPr>
          <w:rFonts w:ascii="宋体" w:hAnsi="宋体" w:hint="eastAsia"/>
        </w:rPr>
        <w:t>j</w:t>
      </w:r>
      <w:r>
        <w:rPr>
          <w:rFonts w:ascii="宋体" w:hAnsi="宋体"/>
        </w:rPr>
        <w:t>1=0.7X163.32=114.32KW    Qj1=Pj1X</w:t>
      </w:r>
      <w:r>
        <w:t>tg</w:t>
      </w:r>
      <m:oMath>
        <m:r>
          <m:rPr>
            <m:sty m:val="p"/>
          </m:rPr>
          <w:rPr>
            <w:rFonts w:ascii="Cambria Math"/>
          </w:rPr>
          <m:t>φ</m:t>
        </m:r>
      </m:oMath>
      <w:r>
        <w:rPr>
          <w:rFonts w:hint="eastAsia"/>
        </w:rPr>
        <w:t>=</w:t>
      </w:r>
      <w:r>
        <w:t>120.24KW   Sj=</w:t>
      </w:r>
      <m:oMath>
        <m:rad>
          <m:radPr>
            <m:degHide/>
            <m:ctrlPr>
              <w:rPr>
                <w:rFonts w:ascii="Cambria Math" w:hAnsi="Cambria Math"/>
              </w:rPr>
            </m:ctrlPr>
          </m:radPr>
          <m:deg>
            <m:ctrlPr>
              <w:rPr>
                <w:rFonts w:ascii="Cambria Math" w:hAnsi="Cambria Math"/>
              </w:rPr>
            </m:ctrlPr>
          </m:deg>
          <m:e>
            <m:ctrlPr>
              <w:rPr>
                <w:rFonts w:ascii="Cambria Math" w:hAnsi="Cambria Math"/>
              </w:rPr>
            </m:ctrlPr>
            <m:sSup>
              <m:sSupPr>
                <m:ctrlPr>
                  <w:rPr>
                    <w:rFonts w:ascii="Cambria Math" w:hAnsi="Cambria Math"/>
                  </w:rPr>
                </m:ctrlPr>
              </m:sSupPr>
              <m:e>
                <m:ctrlPr>
                  <w:rPr>
                    <w:rFonts w:ascii="Cambria Math" w:hAnsi="Cambria Math"/>
                  </w:rPr>
                </m:ctrlPr>
                <m:r>
                  <m:rPr>
                    <m:sty m:val="p"/>
                  </m:rPr>
                  <w:rPr>
                    <w:rFonts w:ascii="Cambria Math" w:hAnsi="Cambria Math"/>
                  </w:rPr>
                  <m:t>Pj</m:t>
                </m:r>
              </m:e>
              <m:sup>
                <m:ctrlPr>
                  <w:rPr>
                    <w:rFonts w:ascii="Cambria Math" w:hAnsi="Cambria Math"/>
                  </w:rPr>
                </m:ctrlP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ctrlPr>
                  <w:rPr>
                    <w:rFonts w:ascii="Cambria Math" w:hAnsi="Cambria Math"/>
                  </w:rPr>
                </m:ctrlPr>
                <m:r>
                  <m:rPr>
                    <m:sty m:val="p"/>
                  </m:rPr>
                  <w:rPr>
                    <w:rFonts w:ascii="Cambria Math" w:hAnsi="Cambria Math"/>
                  </w:rPr>
                  <m:t>Qj</m:t>
                </m:r>
              </m:e>
              <m:sup>
                <m:ctrlPr>
                  <w:rPr>
                    <w:rFonts w:ascii="Cambria Math" w:hAnsi="Cambria Math"/>
                  </w:rPr>
                </m:ctrlPr>
                <m:r>
                  <m:rPr>
                    <m:sty m:val="p"/>
                  </m:rPr>
                  <w:rPr>
                    <w:rFonts w:ascii="Cambria Math" w:hAnsi="Cambria Math"/>
                  </w:rPr>
                  <m:t>2</m:t>
                </m:r>
              </m:sup>
            </m:sSup>
          </m:e>
        </m:rad>
      </m:oMath>
      <w:r>
        <w:rPr>
          <w:rFonts w:hint="eastAsia"/>
        </w:rPr>
        <w:t>=</w:t>
      </w:r>
      <w:r>
        <w:t>165.91kva</w:t>
      </w:r>
    </w:p>
    <w:p>
      <w:pPr>
        <w:spacing w:line="360" w:lineRule="auto"/>
        <w:jc w:val="left"/>
      </w:pPr>
      <w:r>
        <w:rPr>
          <w:rFonts w:hint="eastAsia"/>
        </w:rPr>
        <w:t>通过计算容量，生活区原有2台4</w:t>
      </w:r>
      <w:r>
        <w:t>00 kva</w:t>
      </w:r>
      <w:r>
        <w:rPr>
          <w:rFonts w:hint="eastAsia"/>
        </w:rPr>
        <w:t>变压器，满足生活区需求。</w:t>
      </w:r>
    </w:p>
    <w:p>
      <w:pPr>
        <w:pStyle w:val="Heading1"/>
        <w:keepLines/>
        <w:widowControl w:val="0"/>
        <w:numPr>
          <w:ilvl w:val="0"/>
          <w:numId w:val="4"/>
        </w:numPr>
        <w:tabs>
          <w:tab w:val="clear" w:pos="432"/>
        </w:tabs>
        <w:spacing w:before="0" w:after="0" w:line="360" w:lineRule="auto"/>
        <w:ind w:left="0" w:firstLine="0"/>
        <w:jc w:val="both"/>
        <w:rPr>
          <w:rFonts w:ascii="宋体" w:eastAsia="宋体" w:hAnsi="宋体" w:cs="宋体"/>
          <w:b/>
          <w:bCs/>
          <w:sz w:val="32"/>
          <w:szCs w:val="32"/>
        </w:rPr>
      </w:pPr>
      <w:bookmarkStart w:id="24" w:name="_Toc52134205"/>
      <w:bookmarkStart w:id="25" w:name="_Toc27807"/>
      <w:bookmarkStart w:id="26" w:name="_Toc24472"/>
      <w:r>
        <w:rPr>
          <w:rFonts w:ascii="宋体" w:eastAsia="宋体" w:hAnsi="宋体" w:cs="宋体" w:hint="eastAsia"/>
          <w:b/>
          <w:bCs/>
          <w:sz w:val="32"/>
          <w:szCs w:val="32"/>
        </w:rPr>
        <w:t>施工现场临时用电准备工作及线路布设</w:t>
      </w:r>
      <w:bookmarkEnd w:id="24"/>
      <w:bookmarkEnd w:id="25"/>
      <w:bookmarkEnd w:id="26"/>
    </w:p>
    <w:p>
      <w:pPr>
        <w:pStyle w:val="Heading2"/>
        <w:spacing w:before="0" w:after="0" w:line="360" w:lineRule="auto"/>
      </w:pPr>
      <w:bookmarkStart w:id="27" w:name="_Toc52134206"/>
      <w:bookmarkStart w:id="28" w:name="_Toc3724"/>
      <w:bookmarkStart w:id="29" w:name="_Toc5273"/>
      <w:r>
        <w:rPr>
          <w:rFonts w:hint="eastAsia"/>
        </w:rPr>
        <w:t>1、临时用电材料准备</w:t>
      </w:r>
      <w:bookmarkEnd w:id="27"/>
      <w:bookmarkEnd w:id="28"/>
      <w:bookmarkEnd w:id="29"/>
    </w:p>
    <w:p>
      <w:pPr>
        <w:spacing w:line="360" w:lineRule="auto"/>
        <w:ind w:firstLine="480" w:firstLineChars="200"/>
        <w:rPr>
          <w:rFonts w:ascii="宋体" w:hAnsi="宋体"/>
        </w:rPr>
      </w:pPr>
      <w:r>
        <w:rPr>
          <w:rFonts w:ascii="宋体" w:hAnsi="宋体" w:hint="eastAsia"/>
        </w:rPr>
        <w:t>根据施工用电线路的具体位置及走向，现场实际用电（动力及照明用电）的情况，以及设备功率的大小和数量，准确的计算出所用材料的规格、型号和数量，合理地选用电气材料，以确保施工现场安全用电，并满足施工的需要。</w:t>
      </w:r>
    </w:p>
    <w:p>
      <w:pPr>
        <w:pStyle w:val="Heading2"/>
        <w:spacing w:before="0" w:after="0" w:line="360" w:lineRule="auto"/>
      </w:pPr>
      <w:bookmarkStart w:id="30" w:name="_Toc14310"/>
      <w:bookmarkStart w:id="31" w:name="_Toc52134207"/>
      <w:bookmarkStart w:id="32" w:name="_Toc10106"/>
      <w:r>
        <w:rPr>
          <w:rFonts w:hint="eastAsia"/>
        </w:rPr>
        <w:t>2、临时用电布设及</w:t>
      </w:r>
      <w:bookmarkEnd w:id="30"/>
      <w:r>
        <w:rPr>
          <w:rFonts w:hint="eastAsia"/>
        </w:rPr>
        <w:t>各回路所承担负荷</w:t>
      </w:r>
      <w:bookmarkEnd w:id="31"/>
      <w:bookmarkEnd w:id="32"/>
    </w:p>
    <w:p>
      <w:pPr>
        <w:spacing w:line="360" w:lineRule="auto"/>
        <w:ind w:firstLine="480"/>
        <w:rPr>
          <w:rFonts w:ascii="宋体" w:hAnsi="宋体"/>
        </w:rPr>
      </w:pPr>
      <w:r>
        <w:rPr>
          <w:rFonts w:ascii="宋体" w:hAnsi="宋体" w:hint="eastAsia"/>
        </w:rPr>
        <w:t>本工程现场临时用电采取TN-S保护接零供电系统，根据施工现场平面布置及用电负荷分布情况，各层级配电箱所负责区域及承担主要负荷统计如下表：</w:t>
      </w:r>
    </w:p>
    <w:tbl>
      <w:tblPr>
        <w:tblStyle w:val="TableNormal"/>
        <w:tblW w:w="9087" w:type="dxa"/>
        <w:tblInd w:w="0" w:type="dxa"/>
        <w:tblCellMar>
          <w:top w:w="0" w:type="dxa"/>
          <w:left w:w="0" w:type="dxa"/>
          <w:bottom w:w="0" w:type="dxa"/>
          <w:right w:w="0" w:type="dxa"/>
        </w:tblCellMar>
      </w:tblPr>
      <w:tblGrid>
        <w:gridCol w:w="525"/>
        <w:gridCol w:w="600"/>
        <w:gridCol w:w="675"/>
        <w:gridCol w:w="1410"/>
        <w:gridCol w:w="1425"/>
        <w:gridCol w:w="1380"/>
        <w:gridCol w:w="525"/>
        <w:gridCol w:w="1050"/>
        <w:gridCol w:w="525"/>
        <w:gridCol w:w="972"/>
      </w:tblGrid>
      <w:tr>
        <w:tblPrEx>
          <w:tblW w:w="9087" w:type="dxa"/>
          <w:tblInd w:w="0" w:type="dxa"/>
          <w:tblCellMar>
            <w:top w:w="0" w:type="dxa"/>
            <w:left w:w="0" w:type="dxa"/>
            <w:bottom w:w="0" w:type="dxa"/>
            <w:right w:w="0" w:type="dxa"/>
          </w:tblCellMar>
        </w:tblPrEx>
        <w:trPr>
          <w:trHeight w:val="270"/>
        </w:trPr>
        <w:tc>
          <w:tcPr>
            <w:tcW w:w="52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序号</w:t>
            </w:r>
          </w:p>
        </w:tc>
        <w:tc>
          <w:tcPr>
            <w:tcW w:w="12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配电箱编号</w:t>
            </w: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负荷区域</w:t>
            </w:r>
          </w:p>
        </w:tc>
        <w:tc>
          <w:tcPr>
            <w:tcW w:w="142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主要设备名称</w:t>
            </w:r>
          </w:p>
        </w:tc>
        <w:tc>
          <w:tcPr>
            <w:tcW w:w="138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型号</w:t>
            </w:r>
          </w:p>
        </w:tc>
        <w:tc>
          <w:tcPr>
            <w:tcW w:w="52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单位</w:t>
            </w:r>
          </w:p>
        </w:tc>
        <w:tc>
          <w:tcPr>
            <w:tcW w:w="105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功率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t>（Kw）</w:t>
            </w:r>
          </w:p>
        </w:tc>
        <w:tc>
          <w:tcPr>
            <w:tcW w:w="52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数量</w:t>
            </w:r>
          </w:p>
        </w:tc>
        <w:tc>
          <w:tcPr>
            <w:tcW w:w="972"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总功率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t>（Kw）</w:t>
            </w:r>
          </w:p>
        </w:tc>
      </w:tr>
      <w:tr>
        <w:tblPrEx>
          <w:tblW w:w="9087" w:type="dxa"/>
          <w:tblInd w:w="0" w:type="dxa"/>
          <w:tblCellMar>
            <w:top w:w="0" w:type="dxa"/>
            <w:left w:w="0" w:type="dxa"/>
            <w:bottom w:w="0" w:type="dxa"/>
            <w:right w:w="0" w:type="dxa"/>
          </w:tblCellMar>
        </w:tblPrEx>
        <w:trPr>
          <w:trHeight w:val="270"/>
        </w:trPr>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起点</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终点</w:t>
            </w: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38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0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72"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6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AP1</w:t>
            </w: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AP1-1</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5#塔吊</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塔吊</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T</w:t>
            </w:r>
            <w:r>
              <w:rPr>
                <w:rFonts w:ascii="宋体" w:hAnsi="宋体" w:cs="宋体"/>
                <w:color w:val="000000"/>
                <w:kern w:val="0"/>
                <w:sz w:val="22"/>
                <w:szCs w:val="22"/>
                <w:lang w:bidi="ar"/>
              </w:rPr>
              <w:t>7035</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上楼电源</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手提两用焊机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5.6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11.2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C02焊机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NBC630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32.0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32</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空气压缩机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22.5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熔焊栓钉机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RSN-2500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SQ100A-G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SQ50A-G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砂轮切割机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潜水泵</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color w:val="000000"/>
                <w:kern w:val="0"/>
                <w:sz w:val="22"/>
                <w:szCs w:val="22"/>
                <w:lang w:bidi="ar"/>
              </w:rPr>
              <w:t>6</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AP1-2</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4#塔吊</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塔吊</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T</w:t>
            </w:r>
            <w:r>
              <w:rPr>
                <w:rFonts w:ascii="宋体" w:hAnsi="宋体" w:cs="宋体"/>
                <w:color w:val="000000"/>
                <w:kern w:val="0"/>
                <w:sz w:val="22"/>
                <w:szCs w:val="22"/>
                <w:lang w:bidi="ar"/>
              </w:rPr>
              <w:t>7035</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木工加工区</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平刨</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MB504</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4.4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压刨</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4.4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圆盘锯</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3.5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7.0 </w:t>
            </w:r>
          </w:p>
        </w:tc>
      </w:tr>
    </w:tbl>
    <w:p>
      <w:pPr>
        <w:sectPr>
          <w:headerReference w:type="default" r:id="rId19"/>
          <w:footerReference w:type="default" r:id="rId20"/>
          <w:type w:val="nextPage"/>
          <w:pgSz w:w="11850" w:h="16783"/>
          <w:pgMar w:top="1440" w:right="1080" w:bottom="1440" w:left="1080" w:header="851" w:footer="992" w:gutter="567"/>
          <w:pgNumType w:start="8"/>
          <w:cols w:num="1" w:space="720"/>
          <w:titlePg w:val="0"/>
          <w:docGrid w:type="linesAndChars" w:linePitch="326" w:charSpace="0"/>
        </w:sectPr>
      </w:pPr>
    </w:p>
    <w:tbl>
      <w:tblPr>
        <w:tblStyle w:val="TableNormal"/>
        <w:tblW w:w="9087" w:type="dxa"/>
        <w:tblInd w:w="0" w:type="dxa"/>
        <w:tblCellMar>
          <w:top w:w="0" w:type="dxa"/>
          <w:left w:w="0" w:type="dxa"/>
          <w:bottom w:w="0" w:type="dxa"/>
          <w:right w:w="0" w:type="dxa"/>
        </w:tblCellMar>
      </w:tblPr>
      <w:tblGrid>
        <w:gridCol w:w="525"/>
        <w:gridCol w:w="600"/>
        <w:gridCol w:w="675"/>
        <w:gridCol w:w="1410"/>
        <w:gridCol w:w="1425"/>
        <w:gridCol w:w="1380"/>
        <w:gridCol w:w="525"/>
        <w:gridCol w:w="1050"/>
        <w:gridCol w:w="525"/>
        <w:gridCol w:w="972"/>
      </w:tblGrid>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6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上楼电源</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手提两用焊机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5.6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11.2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C02焊机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NBC630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32.0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32</w:t>
            </w:r>
            <w:r>
              <w:rPr>
                <w:rFonts w:ascii="宋体" w:hAnsi="宋体" w:cs="宋体" w:hint="eastAsia"/>
                <w:color w:val="000000"/>
                <w:kern w:val="0"/>
                <w:sz w:val="22"/>
                <w:szCs w:val="22"/>
                <w:lang w:bidi="ar"/>
              </w:rPr>
              <w:t xml:space="preserve">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sz w:val="22"/>
                <w:szCs w:val="22"/>
              </w:rPr>
              <w:t>空气压缩机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22.5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熔焊栓钉机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RSN-2500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SQ100A-G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SQ50A-G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砂轮切割机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潜水泵</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color w:val="000000"/>
                <w:kern w:val="0"/>
                <w:sz w:val="22"/>
                <w:szCs w:val="22"/>
                <w:lang w:bidi="ar"/>
              </w:rPr>
              <w:t>6</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6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AP2</w:t>
            </w: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AP2-1</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3#塔吊</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塔吊</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T</w:t>
            </w:r>
            <w:r>
              <w:rPr>
                <w:rFonts w:ascii="宋体" w:hAnsi="宋体" w:cs="宋体"/>
                <w:color w:val="000000"/>
                <w:kern w:val="0"/>
                <w:sz w:val="22"/>
                <w:szCs w:val="22"/>
                <w:lang w:bidi="ar"/>
              </w:rPr>
              <w:t>7035</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钢筋加工区及库房</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HGS-40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5.5</w:t>
            </w:r>
            <w:r>
              <w:rPr>
                <w:rFonts w:ascii="宋体" w:hAnsi="宋体" w:cs="宋体" w:hint="eastAsia"/>
                <w:color w:val="000000"/>
                <w:kern w:val="0"/>
                <w:sz w:val="22"/>
                <w:szCs w:val="22"/>
                <w:lang w:bidi="ar"/>
              </w:rPr>
              <w:t xml:space="preserve">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4</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22</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right w:val="single" w:sz="4" w:space="0" w:color="000000"/>
            </w:tcBorders>
            <w:tcMar>
              <w:top w:w="15" w:type="dxa"/>
              <w:left w:w="15" w:type="dxa"/>
              <w:right w:w="15" w:type="dxa"/>
            </w:tcMar>
            <w:vAlign w:val="center"/>
          </w:tcPr>
          <w:p>
            <w:pPr>
              <w:jc w:val="center"/>
              <w:textAlignment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钢筋切断机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r>
              <w:rPr>
                <w:rFonts w:ascii="宋体" w:hAnsi="宋体" w:cs="宋体" w:hint="eastAsia"/>
                <w:color w:val="000000"/>
                <w:sz w:val="22"/>
                <w:szCs w:val="22"/>
              </w:rPr>
              <w:t>GQ</w:t>
            </w:r>
            <w:r>
              <w:rPr>
                <w:rFonts w:ascii="宋体" w:hAnsi="宋体" w:cs="宋体"/>
                <w:color w:val="000000"/>
                <w:sz w:val="22"/>
                <w:szCs w:val="22"/>
              </w:rPr>
              <w:t>40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4.4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right w:val="single" w:sz="4" w:space="0" w:color="000000"/>
            </w:tcBorders>
            <w:tcMar>
              <w:top w:w="15" w:type="dxa"/>
              <w:left w:w="15" w:type="dxa"/>
              <w:right w:w="15" w:type="dxa"/>
            </w:tcMar>
            <w:vAlign w:val="center"/>
          </w:tcPr>
          <w:p>
            <w:pPr>
              <w:jc w:val="center"/>
              <w:textAlignment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钢筋调直机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r>
              <w:rPr>
                <w:rFonts w:ascii="宋体" w:hAnsi="宋体" w:cs="宋体" w:hint="eastAsia"/>
                <w:color w:val="000000"/>
                <w:sz w:val="22"/>
                <w:szCs w:val="22"/>
              </w:rPr>
              <w:t>GT4-14</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16</w:t>
            </w:r>
            <w:r>
              <w:rPr>
                <w:rFonts w:ascii="宋体" w:hAnsi="宋体" w:cs="宋体" w:hint="eastAsia"/>
                <w:color w:val="000000"/>
                <w:kern w:val="0"/>
                <w:sz w:val="22"/>
                <w:szCs w:val="22"/>
                <w:lang w:bidi="ar"/>
              </w:rPr>
              <w:t xml:space="preserve">.5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16.5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right w:val="single" w:sz="4" w:space="0" w:color="000000"/>
            </w:tcBorders>
            <w:tcMar>
              <w:top w:w="15" w:type="dxa"/>
              <w:left w:w="15" w:type="dxa"/>
              <w:right w:w="15" w:type="dxa"/>
            </w:tcMar>
            <w:vAlign w:val="center"/>
          </w:tcPr>
          <w:p>
            <w:pPr>
              <w:jc w:val="center"/>
              <w:textAlignment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钢筋弯曲机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GW40A</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w:t>
            </w:r>
            <w:r>
              <w:rPr>
                <w:rFonts w:ascii="宋体" w:hAnsi="宋体" w:cs="宋体" w:hint="eastAsia"/>
                <w:color w:val="000000"/>
                <w:kern w:val="0"/>
                <w:sz w:val="22"/>
                <w:szCs w:val="22"/>
                <w:lang w:bidi="ar"/>
              </w:rPr>
              <w:t xml:space="preserve">.0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6</w:t>
            </w:r>
            <w:r>
              <w:rPr>
                <w:rFonts w:ascii="宋体" w:hAnsi="宋体" w:cs="宋体" w:hint="eastAsia"/>
                <w:color w:val="000000"/>
                <w:kern w:val="0"/>
                <w:sz w:val="22"/>
                <w:szCs w:val="22"/>
                <w:lang w:bidi="ar"/>
              </w:rPr>
              <w:t xml:space="preserve">.0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right w:val="single" w:sz="4" w:space="0" w:color="000000"/>
            </w:tcBorders>
            <w:tcMar>
              <w:top w:w="15" w:type="dxa"/>
              <w:left w:w="15" w:type="dxa"/>
              <w:right w:w="15" w:type="dxa"/>
            </w:tcMar>
            <w:vAlign w:val="center"/>
          </w:tcPr>
          <w:p>
            <w:pPr>
              <w:jc w:val="center"/>
              <w:textAlignment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钢筋加工照明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sz w:val="22"/>
                <w:szCs w:val="22"/>
              </w:rPr>
              <w:t>砂轮切割机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w:t>
            </w:r>
            <w:r>
              <w:rPr>
                <w:rFonts w:ascii="宋体" w:hAnsi="宋体" w:cs="宋体" w:hint="eastAsia"/>
                <w:color w:val="000000"/>
                <w:kern w:val="0"/>
                <w:sz w:val="22"/>
                <w:szCs w:val="22"/>
                <w:lang w:bidi="ar"/>
              </w:rPr>
              <w:t xml:space="preserve">．0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w:t>
            </w:r>
            <w:r>
              <w:rPr>
                <w:rFonts w:ascii="宋体" w:hAnsi="宋体" w:cs="宋体"/>
                <w:color w:val="000000"/>
                <w:kern w:val="0"/>
                <w:sz w:val="22"/>
                <w:szCs w:val="22"/>
                <w:lang w:bidi="ar"/>
              </w:rPr>
              <w:t>.0</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库房照明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w:t>
            </w:r>
            <w:r>
              <w:rPr>
                <w:rFonts w:ascii="宋体" w:hAnsi="宋体" w:cs="宋体" w:hint="eastAsia"/>
                <w:color w:val="000000"/>
                <w:kern w:val="0"/>
                <w:sz w:val="22"/>
                <w:szCs w:val="22"/>
                <w:lang w:bidi="ar"/>
              </w:rPr>
              <w:t xml:space="preserve">.0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9</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9</w:t>
            </w:r>
            <w:r>
              <w:rPr>
                <w:rFonts w:ascii="宋体" w:hAnsi="宋体" w:cs="宋体" w:hint="eastAsia"/>
                <w:color w:val="000000"/>
                <w:kern w:val="0"/>
                <w:sz w:val="22"/>
                <w:szCs w:val="22"/>
                <w:lang w:bidi="ar"/>
              </w:rPr>
              <w:t xml:space="preserve">.0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手提两用焊机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w:t>
            </w:r>
            <w:r>
              <w:rPr>
                <w:rFonts w:ascii="宋体" w:hAnsi="宋体" w:cs="宋体"/>
                <w:color w:val="000000"/>
                <w:kern w:val="0"/>
                <w:sz w:val="22"/>
                <w:szCs w:val="22"/>
                <w:lang w:bidi="ar"/>
              </w:rPr>
              <w:t>.6</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11.2</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上楼电源</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手提两用焊机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5.6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11.2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C02焊机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NBC630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32.0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32.0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空气压缩机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ZXE1-315</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熔焊栓钉机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RSN-2500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SQ100A-G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SQ50A-G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砂轮切割机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潜水泵</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color w:val="000000"/>
                <w:kern w:val="0"/>
                <w:sz w:val="22"/>
                <w:szCs w:val="22"/>
                <w:lang w:bidi="ar"/>
              </w:rPr>
              <w:t>.6</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46</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w:t>
            </w:r>
          </w:p>
        </w:tc>
        <w:tc>
          <w:tcPr>
            <w:tcW w:w="6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AP3</w:t>
            </w:r>
          </w:p>
        </w:tc>
        <w:tc>
          <w:tcPr>
            <w:tcW w:w="675" w:type="dxa"/>
            <w:vMerge w:val="restart"/>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AP3-1</w:t>
            </w:r>
          </w:p>
        </w:tc>
        <w:tc>
          <w:tcPr>
            <w:tcW w:w="141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2#塔吊</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塔吊</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T</w:t>
            </w:r>
            <w:r>
              <w:rPr>
                <w:rFonts w:ascii="宋体" w:hAnsi="宋体" w:cs="宋体"/>
                <w:color w:val="000000"/>
                <w:kern w:val="0"/>
                <w:sz w:val="22"/>
                <w:szCs w:val="22"/>
                <w:lang w:bidi="ar"/>
              </w:rPr>
              <w:t>7035</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上楼电源</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手提两用焊机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5.6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11.2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C02焊机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NBC630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32.0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32.0</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空气压缩机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22.5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熔焊栓钉机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RSN-2500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80.0</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SQ100A-G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SQ50A-G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r>
    </w:tbl>
    <w:p>
      <w:pPr>
        <w:sectPr>
          <w:headerReference w:type="default" r:id="rId21"/>
          <w:footerReference w:type="default" r:id="rId22"/>
          <w:type w:val="nextPage"/>
          <w:pgSz w:w="11850" w:h="16783"/>
          <w:pgMar w:top="1440" w:right="1080" w:bottom="1440" w:left="1080" w:header="851" w:footer="992" w:gutter="567"/>
          <w:pgNumType w:start="9"/>
          <w:cols w:num="1" w:space="720"/>
          <w:titlePg w:val="0"/>
          <w:docGrid w:type="linesAndChars" w:linePitch="326" w:charSpace="0"/>
        </w:sectPr>
      </w:pPr>
    </w:p>
    <w:tbl>
      <w:tblPr>
        <w:tblStyle w:val="TableNormal"/>
        <w:tblW w:w="9087" w:type="dxa"/>
        <w:tblInd w:w="0" w:type="dxa"/>
        <w:tblCellMar>
          <w:top w:w="0" w:type="dxa"/>
          <w:left w:w="0" w:type="dxa"/>
          <w:bottom w:w="0" w:type="dxa"/>
          <w:right w:w="0" w:type="dxa"/>
        </w:tblCellMar>
      </w:tblPr>
      <w:tblGrid>
        <w:gridCol w:w="525"/>
        <w:gridCol w:w="600"/>
        <w:gridCol w:w="675"/>
        <w:gridCol w:w="1410"/>
        <w:gridCol w:w="1425"/>
        <w:gridCol w:w="1380"/>
        <w:gridCol w:w="525"/>
        <w:gridCol w:w="1050"/>
        <w:gridCol w:w="525"/>
        <w:gridCol w:w="972"/>
      </w:tblGrid>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56</w:t>
            </w:r>
          </w:p>
        </w:tc>
        <w:tc>
          <w:tcPr>
            <w:tcW w:w="6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砂轮切割机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潜水泵</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1.6</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58</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50"/>
        </w:trPr>
        <w:tc>
          <w:tcPr>
            <w:tcW w:w="525"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r>
              <w:rPr>
                <w:rFonts w:ascii="宋体" w:hAnsi="宋体" w:cs="宋体" w:hint="eastAsia"/>
                <w:color w:val="000000"/>
                <w:sz w:val="22"/>
                <w:szCs w:val="22"/>
              </w:rPr>
              <w:t>AP3-2</w:t>
            </w:r>
          </w:p>
        </w:tc>
        <w:tc>
          <w:tcPr>
            <w:tcW w:w="1410"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r>
              <w:rPr>
                <w:rFonts w:ascii="宋体" w:hAnsi="宋体" w:cs="宋体" w:hint="eastAsia"/>
                <w:color w:val="000000"/>
                <w:sz w:val="22"/>
                <w:szCs w:val="22"/>
              </w:rPr>
              <w:t>办公区及水电加工场</w:t>
            </w:r>
          </w:p>
        </w:tc>
        <w:tc>
          <w:tcPr>
            <w:tcW w:w="142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0" w:type="auto"/>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c>
          <w:tcPr>
            <w:tcW w:w="52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10</w:t>
            </w:r>
          </w:p>
        </w:tc>
        <w:tc>
          <w:tcPr>
            <w:tcW w:w="972"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30</w:t>
            </w:r>
          </w:p>
        </w:tc>
      </w:tr>
      <w:tr>
        <w:tblPrEx>
          <w:tblW w:w="9087" w:type="dxa"/>
          <w:tblInd w:w="0" w:type="dxa"/>
          <w:tblCellMar>
            <w:top w:w="0" w:type="dxa"/>
            <w:left w:w="0" w:type="dxa"/>
            <w:bottom w:w="0" w:type="dxa"/>
            <w:right w:w="0" w:type="dxa"/>
          </w:tblCellMar>
        </w:tblPrEx>
        <w:trPr>
          <w:trHeight w:val="300"/>
        </w:trPr>
        <w:tc>
          <w:tcPr>
            <w:tcW w:w="525" w:type="dxa"/>
            <w:vMerge/>
            <w:tcBorders>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硅整流焊机</w:t>
            </w:r>
          </w:p>
        </w:tc>
        <w:tc>
          <w:tcPr>
            <w:tcW w:w="0" w:type="auto"/>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ZXE1-315</w:t>
            </w:r>
          </w:p>
        </w:tc>
        <w:tc>
          <w:tcPr>
            <w:tcW w:w="525"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台</w:t>
            </w:r>
          </w:p>
        </w:tc>
        <w:tc>
          <w:tcPr>
            <w:tcW w:w="1050"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r>
              <w:rPr>
                <w:rFonts w:ascii="宋体" w:hAnsi="宋体" w:cs="宋体"/>
                <w:color w:val="000000"/>
                <w:kern w:val="0"/>
                <w:sz w:val="22"/>
                <w:szCs w:val="22"/>
                <w:lang w:bidi="ar"/>
              </w:rPr>
              <w:t>2.5</w:t>
            </w:r>
          </w:p>
        </w:tc>
        <w:tc>
          <w:tcPr>
            <w:tcW w:w="525"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972"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w:t>
            </w:r>
            <w:r>
              <w:rPr>
                <w:rFonts w:ascii="宋体" w:hAnsi="宋体" w:cs="宋体"/>
                <w:color w:val="000000"/>
                <w:kern w:val="0"/>
                <w:sz w:val="22"/>
                <w:szCs w:val="22"/>
                <w:lang w:bidi="ar"/>
              </w:rPr>
              <w:t>5</w:t>
            </w:r>
          </w:p>
        </w:tc>
      </w:tr>
      <w:tr>
        <w:tblPrEx>
          <w:tblW w:w="9087" w:type="dxa"/>
          <w:tblInd w:w="0" w:type="dxa"/>
          <w:tblCellMar>
            <w:top w:w="0" w:type="dxa"/>
            <w:left w:w="0" w:type="dxa"/>
            <w:bottom w:w="0" w:type="dxa"/>
            <w:right w:w="0" w:type="dxa"/>
          </w:tblCellMar>
        </w:tblPrEx>
        <w:trPr>
          <w:trHeight w:val="324"/>
        </w:trPr>
        <w:tc>
          <w:tcPr>
            <w:tcW w:w="525" w:type="dxa"/>
            <w:vMerge/>
            <w:tcBorders>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砂轮切割机</w:t>
            </w:r>
          </w:p>
        </w:tc>
        <w:tc>
          <w:tcPr>
            <w:tcW w:w="0" w:type="auto"/>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w:t>
            </w:r>
          </w:p>
        </w:tc>
        <w:tc>
          <w:tcPr>
            <w:tcW w:w="525"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台</w:t>
            </w:r>
          </w:p>
        </w:tc>
        <w:tc>
          <w:tcPr>
            <w:tcW w:w="1050"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r>
              <w:rPr>
                <w:rFonts w:ascii="宋体" w:hAnsi="宋体" w:cs="宋体"/>
                <w:color w:val="000000"/>
                <w:kern w:val="0"/>
                <w:sz w:val="22"/>
                <w:szCs w:val="22"/>
                <w:lang w:bidi="ar"/>
              </w:rPr>
              <w:t>.2</w:t>
            </w:r>
          </w:p>
        </w:tc>
        <w:tc>
          <w:tcPr>
            <w:tcW w:w="525"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972"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w:t>
            </w:r>
            <w:r>
              <w:rPr>
                <w:rFonts w:ascii="宋体" w:hAnsi="宋体" w:cs="宋体"/>
                <w:color w:val="000000"/>
                <w:kern w:val="0"/>
                <w:sz w:val="22"/>
                <w:szCs w:val="22"/>
                <w:lang w:bidi="ar"/>
              </w:rPr>
              <w:t>.4</w:t>
            </w:r>
          </w:p>
        </w:tc>
      </w:tr>
      <w:tr>
        <w:tblPrEx>
          <w:tblW w:w="9087" w:type="dxa"/>
          <w:tblInd w:w="0" w:type="dxa"/>
          <w:tblCellMar>
            <w:top w:w="0" w:type="dxa"/>
            <w:left w:w="0" w:type="dxa"/>
            <w:bottom w:w="0" w:type="dxa"/>
            <w:right w:w="0" w:type="dxa"/>
          </w:tblCellMar>
        </w:tblPrEx>
        <w:trPr>
          <w:trHeight w:val="312"/>
        </w:trPr>
        <w:tc>
          <w:tcPr>
            <w:tcW w:w="525"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套丝机</w:t>
            </w:r>
          </w:p>
        </w:tc>
        <w:tc>
          <w:tcPr>
            <w:tcW w:w="0" w:type="auto"/>
            <w:tcBorders>
              <w:top w:val="single" w:sz="4" w:space="0" w:color="auto"/>
              <w:left w:val="single" w:sz="4" w:space="0" w:color="000000"/>
              <w:bottom w:val="single" w:sz="4" w:space="0" w:color="000000"/>
              <w:right w:val="single" w:sz="4" w:space="0" w:color="000000"/>
            </w:tcBorders>
            <w:noWrap/>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w:t>
            </w:r>
          </w:p>
        </w:tc>
        <w:tc>
          <w:tcPr>
            <w:tcW w:w="525"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台</w:t>
            </w:r>
          </w:p>
        </w:tc>
        <w:tc>
          <w:tcPr>
            <w:tcW w:w="1050"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r>
              <w:rPr>
                <w:rFonts w:ascii="宋体" w:hAnsi="宋体" w:cs="宋体"/>
                <w:color w:val="000000"/>
                <w:kern w:val="0"/>
                <w:sz w:val="22"/>
                <w:szCs w:val="22"/>
                <w:lang w:bidi="ar"/>
              </w:rPr>
              <w:t>.3</w:t>
            </w:r>
          </w:p>
        </w:tc>
        <w:tc>
          <w:tcPr>
            <w:tcW w:w="525"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972"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r>
              <w:rPr>
                <w:rFonts w:ascii="宋体" w:hAnsi="宋体" w:cs="宋体"/>
                <w:color w:val="000000"/>
                <w:kern w:val="0"/>
                <w:sz w:val="22"/>
                <w:szCs w:val="22"/>
                <w:lang w:bidi="ar"/>
              </w:rPr>
              <w:t>.6</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AP3-</w:t>
            </w:r>
            <w:r>
              <w:rPr>
                <w:rFonts w:ascii="宋体" w:hAnsi="宋体" w:cs="宋体"/>
                <w:color w:val="000000"/>
                <w:kern w:val="0"/>
                <w:sz w:val="22"/>
                <w:szCs w:val="22"/>
                <w:lang w:bidi="ar"/>
              </w:rPr>
              <w:t>3</w:t>
            </w: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钢筋加工区</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HGS-40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5.5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11.0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钢筋切断机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GQ40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4.4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钢筋调直机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GT4-14</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16.5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33.0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钢筋弯曲机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GW40A</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6.0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砂轮切割机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66</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sz w:val="22"/>
                <w:szCs w:val="22"/>
              </w:rPr>
              <w:t>手提两用焊机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5.6</w:t>
            </w:r>
            <w:r>
              <w:rPr>
                <w:rFonts w:ascii="宋体" w:hAnsi="宋体" w:cs="宋体" w:hint="eastAsia"/>
                <w:color w:val="000000"/>
                <w:kern w:val="0"/>
                <w:sz w:val="22"/>
                <w:szCs w:val="22"/>
                <w:lang w:bidi="ar"/>
              </w:rPr>
              <w:t xml:space="preserve">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11.2</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67</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w:t>
            </w:r>
            <w:r>
              <w:rPr>
                <w:rFonts w:ascii="宋体" w:hAnsi="宋体" w:cs="宋体" w:hint="eastAsia"/>
                <w:color w:val="000000"/>
                <w:kern w:val="0"/>
                <w:sz w:val="22"/>
                <w:szCs w:val="22"/>
                <w:lang w:bidi="ar"/>
              </w:rPr>
              <w:t xml:space="preserve">.0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w:t>
            </w:r>
            <w:r>
              <w:rPr>
                <w:rFonts w:ascii="宋体" w:hAnsi="宋体" w:cs="宋体" w:hint="eastAsia"/>
                <w:color w:val="000000"/>
                <w:kern w:val="0"/>
                <w:sz w:val="22"/>
                <w:szCs w:val="22"/>
                <w:lang w:bidi="ar"/>
              </w:rPr>
              <w:t xml:space="preserve">.0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68</w:t>
            </w:r>
          </w:p>
        </w:tc>
        <w:tc>
          <w:tcPr>
            <w:tcW w:w="6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AP4</w:t>
            </w: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AP4-1</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1#塔吊</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塔吊</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T</w:t>
            </w:r>
            <w:r>
              <w:rPr>
                <w:rFonts w:ascii="宋体" w:hAnsi="宋体" w:cs="宋体"/>
                <w:color w:val="000000"/>
                <w:kern w:val="0"/>
                <w:sz w:val="22"/>
                <w:szCs w:val="22"/>
                <w:lang w:bidi="ar"/>
              </w:rPr>
              <w:t>7035</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69</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上楼电源</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手提两用焊机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5.6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11.2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C02焊机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NBC630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32.0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32</w:t>
            </w:r>
            <w:r>
              <w:rPr>
                <w:rFonts w:ascii="宋体" w:hAnsi="宋体" w:cs="宋体" w:hint="eastAsia"/>
                <w:color w:val="000000"/>
                <w:kern w:val="0"/>
                <w:sz w:val="22"/>
                <w:szCs w:val="22"/>
                <w:lang w:bidi="ar"/>
              </w:rPr>
              <w:t xml:space="preserve">.0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空气压缩机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22</w:t>
            </w:r>
            <w:r>
              <w:rPr>
                <w:rFonts w:ascii="宋体" w:hAnsi="宋体" w:cs="宋体" w:hint="eastAsia"/>
                <w:color w:val="000000"/>
                <w:kern w:val="0"/>
                <w:sz w:val="22"/>
                <w:szCs w:val="22"/>
                <w:lang w:bidi="ar"/>
              </w:rPr>
              <w:t xml:space="preserve">.5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熔焊栓钉机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RSN-2500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SQ100A-G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SQ50A-G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砂轮切割机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76</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潜水泵</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1.6</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77</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78</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79</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AP4-2</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6#塔吊</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塔吊</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T</w:t>
            </w:r>
            <w:r>
              <w:rPr>
                <w:rFonts w:ascii="宋体" w:hAnsi="宋体" w:cs="宋体"/>
                <w:color w:val="000000"/>
                <w:kern w:val="0"/>
                <w:sz w:val="22"/>
                <w:szCs w:val="22"/>
                <w:lang w:bidi="ar"/>
              </w:rPr>
              <w:t>7035</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上楼电源</w:t>
            </w: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手提两用焊机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ZX7-160S/T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5.6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11.2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82</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C02焊机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NBC630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32.0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32.0</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83</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sz w:val="22"/>
                <w:szCs w:val="22"/>
              </w:rPr>
              <w:t>空气压缩机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22.5</w:t>
            </w:r>
            <w:r>
              <w:rPr>
                <w:rFonts w:ascii="宋体" w:hAnsi="宋体" w:cs="宋体" w:hint="eastAsia"/>
                <w:color w:val="000000"/>
                <w:kern w:val="0"/>
                <w:sz w:val="22"/>
                <w:szCs w:val="22"/>
                <w:lang w:bidi="ar"/>
              </w:rPr>
              <w:t xml:space="preserve">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84</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熔焊栓钉机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RSN-2500</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80.0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85</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SQ100A-G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86</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电动套丝机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SQ50A-G</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87</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砂轮切割机</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88</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潜水泵</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台</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1.6</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89</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90</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混凝土振捣棒</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35型4米</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4.5 </w:t>
            </w:r>
          </w:p>
        </w:tc>
      </w:tr>
      <w:tr>
        <w:tblPrEx>
          <w:tblW w:w="9087" w:type="dxa"/>
          <w:tblInd w:w="0" w:type="dxa"/>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91</w:t>
            </w:r>
          </w:p>
        </w:tc>
        <w:tc>
          <w:tcPr>
            <w:tcW w:w="6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4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项</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97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3.0 </w:t>
            </w:r>
          </w:p>
        </w:tc>
      </w:tr>
    </w:tbl>
    <w:p>
      <w:pPr>
        <w:sectPr>
          <w:headerReference w:type="default" r:id="rId23"/>
          <w:footerReference w:type="default" r:id="rId24"/>
          <w:type w:val="nextPage"/>
          <w:pgSz w:w="11850" w:h="16783"/>
          <w:pgMar w:top="1440" w:right="1080" w:bottom="1440" w:left="1080" w:header="851" w:footer="992" w:gutter="567"/>
          <w:pgNumType w:start="10"/>
          <w:cols w:num="1" w:space="720"/>
          <w:titlePg w:val="0"/>
          <w:docGrid w:type="linesAndChars" w:linePitch="326" w:charSpace="0"/>
        </w:sectPr>
      </w:pPr>
    </w:p>
    <w:p>
      <w:pPr>
        <w:pStyle w:val="Heading2"/>
        <w:spacing w:before="0" w:after="0" w:line="360" w:lineRule="auto"/>
      </w:pPr>
      <w:bookmarkStart w:id="33" w:name="_Toc16863"/>
      <w:bookmarkStart w:id="34" w:name="_Toc52134208"/>
      <w:r>
        <w:rPr>
          <w:rFonts w:hint="eastAsia"/>
        </w:rPr>
        <w:t>3、电缆规格型号的选择</w:t>
      </w:r>
      <w:bookmarkEnd w:id="33"/>
      <w:bookmarkEnd w:id="34"/>
    </w:p>
    <w:p>
      <w:pPr>
        <w:spacing w:line="360" w:lineRule="auto"/>
        <w:ind w:firstLine="480" w:firstLineChars="200"/>
        <w:rPr>
          <w:rFonts w:ascii="宋体" w:hAnsi="宋体"/>
        </w:rPr>
      </w:pPr>
      <w:r>
        <w:rPr>
          <w:rFonts w:ascii="宋体" w:hAnsi="宋体" w:hint="eastAsia"/>
        </w:rPr>
        <w:t>3.1 配电线路线材类型</w:t>
      </w:r>
    </w:p>
    <w:p>
      <w:pPr>
        <w:spacing w:line="360" w:lineRule="auto"/>
        <w:ind w:firstLine="480" w:firstLineChars="200"/>
        <w:rPr>
          <w:rFonts w:ascii="宋体" w:hAnsi="宋体"/>
        </w:rPr>
      </w:pPr>
      <w:r>
        <w:rPr>
          <w:rFonts w:ascii="宋体" w:hAnsi="宋体" w:hint="eastAsia"/>
        </w:rPr>
        <w:t>根据线路敷设方式、环境条件，本工程主电源电缆及固定电箱电缆选用YJV交联聚乙烯绝缘聚氯乙烯护套铜芯电力电缆，现场移动电箱电缆采用YC铜芯橡胶绝缘电力电缆。</w:t>
      </w:r>
    </w:p>
    <w:p>
      <w:pPr>
        <w:spacing w:line="360" w:lineRule="auto"/>
        <w:ind w:firstLine="480" w:firstLineChars="200"/>
        <w:rPr>
          <w:rFonts w:ascii="宋体" w:hAnsi="宋体"/>
          <w:color w:val="000000"/>
        </w:rPr>
      </w:pPr>
      <w:r>
        <w:rPr>
          <w:rFonts w:ascii="宋体" w:hAnsi="宋体" w:hint="eastAsia"/>
          <w:color w:val="000000"/>
        </w:rPr>
        <w:t>3.2 电缆的截面选择</w:t>
      </w:r>
    </w:p>
    <w:p>
      <w:pPr>
        <w:spacing w:line="360" w:lineRule="auto"/>
        <w:ind w:firstLine="480" w:firstLineChars="200"/>
        <w:rPr>
          <w:rFonts w:ascii="宋体" w:hAnsi="宋体"/>
          <w:color w:val="000000"/>
        </w:rPr>
      </w:pPr>
      <w:r>
        <w:rPr>
          <w:rFonts w:ascii="宋体" w:hAnsi="宋体" w:hint="eastAsia"/>
          <w:color w:val="000000"/>
        </w:rPr>
        <w:t>电缆（芯线）的截面须满足载流量的要求，同时满足线路机械强度要求和线路末端电压偏移要求，其选择确定过程如下：</w:t>
      </w:r>
    </w:p>
    <w:p>
      <w:pPr>
        <w:spacing w:line="360" w:lineRule="auto"/>
        <w:ind w:firstLine="480" w:firstLineChars="200"/>
        <w:rPr>
          <w:rFonts w:ascii="宋体" w:hAnsi="宋体"/>
          <w:color w:val="000000"/>
        </w:rPr>
        <w:sectPr>
          <w:headerReference w:type="default" r:id="rId25"/>
          <w:footerReference w:type="default" r:id="rId26"/>
          <w:type w:val="nextPage"/>
          <w:pgSz w:w="11850" w:h="16783"/>
          <w:pgMar w:top="1440" w:right="1080" w:bottom="1440" w:left="1080" w:header="851" w:footer="992" w:gutter="567"/>
          <w:pgNumType w:start="11"/>
          <w:cols w:num="1" w:space="720"/>
          <w:titlePg w:val="0"/>
          <w:docGrid w:type="linesAndChars" w:linePitch="326" w:charSpace="0"/>
        </w:sectPr>
      </w:pPr>
      <w:r>
        <w:rPr>
          <w:rFonts w:ascii="宋体" w:hAnsi="宋体" w:hint="eastAsia"/>
          <w:color w:val="000000"/>
        </w:rPr>
        <w:t>电缆按允许温升初选截面，应使其最大计算负荷电流I</w:t>
      </w:r>
      <w:r>
        <w:rPr>
          <w:rFonts w:ascii="宋体" w:hAnsi="宋体"/>
          <w:color w:val="000000"/>
          <w:vertAlign w:val="subscript"/>
        </w:rPr>
        <w:t>J</w:t>
      </w:r>
      <w:r>
        <w:rPr>
          <w:rFonts w:ascii="宋体" w:hAnsi="宋体" w:hint="eastAsia"/>
          <w:color w:val="000000"/>
        </w:rPr>
        <w:t>不大于其允许载流量I</w:t>
      </w:r>
      <w:r>
        <w:rPr>
          <w:rFonts w:ascii="宋体" w:hAnsi="宋体" w:hint="eastAsia"/>
          <w:color w:val="000000"/>
          <w:vertAlign w:val="subscript"/>
        </w:rPr>
        <w:t>Y</w:t>
      </w:r>
      <w:r>
        <w:rPr>
          <w:rFonts w:ascii="宋体" w:hAnsi="宋体" w:hint="eastAsia"/>
          <w:color w:val="000000"/>
        </w:rPr>
        <w:t>，即I</w:t>
      </w:r>
      <w:r>
        <w:rPr>
          <w:rFonts w:ascii="宋体" w:hAnsi="宋体" w:hint="eastAsia"/>
          <w:color w:val="000000"/>
          <w:vertAlign w:val="subscript"/>
        </w:rPr>
        <w:t>Y</w:t>
      </w:r>
      <w:r>
        <w:rPr>
          <w:rFonts w:ascii="宋体" w:hAnsi="宋体" w:hint="eastAsia"/>
          <w:color w:val="000000"/>
        </w:rPr>
        <w:t>&gt;I</w:t>
      </w:r>
      <w:r>
        <w:rPr>
          <w:rFonts w:ascii="宋体" w:hAnsi="宋体"/>
          <w:color w:val="000000"/>
          <w:vertAlign w:val="subscript"/>
        </w:rPr>
        <w:t>J</w:t>
      </w:r>
      <w:r>
        <w:rPr>
          <w:rFonts w:ascii="宋体" w:hAnsi="宋体" w:hint="eastAsia"/>
          <w:color w:val="000000"/>
        </w:rPr>
        <w:t>，本工程各回路临时用电电缆计算及选择如下表</w:t>
      </w:r>
    </w:p>
    <w:tbl>
      <w:tblPr>
        <w:tblStyle w:val="TableNormal"/>
        <w:tblW w:w="14047" w:type="dxa"/>
        <w:tblInd w:w="0" w:type="dxa"/>
        <w:tblLayout w:type="fixed"/>
        <w:tblCellMar>
          <w:top w:w="0" w:type="dxa"/>
          <w:left w:w="0" w:type="dxa"/>
          <w:bottom w:w="0" w:type="dxa"/>
          <w:right w:w="0" w:type="dxa"/>
        </w:tblCellMar>
      </w:tblPr>
      <w:tblGrid>
        <w:gridCol w:w="525"/>
        <w:gridCol w:w="525"/>
        <w:gridCol w:w="810"/>
        <w:gridCol w:w="990"/>
        <w:gridCol w:w="1134"/>
        <w:gridCol w:w="709"/>
        <w:gridCol w:w="709"/>
        <w:gridCol w:w="886"/>
        <w:gridCol w:w="1022"/>
        <w:gridCol w:w="996"/>
        <w:gridCol w:w="982"/>
        <w:gridCol w:w="1075"/>
        <w:gridCol w:w="875"/>
        <w:gridCol w:w="859"/>
        <w:gridCol w:w="1950"/>
      </w:tblGrid>
      <w:tr>
        <w:tblPrEx>
          <w:tblW w:w="14047" w:type="dxa"/>
          <w:tblInd w:w="0" w:type="dxa"/>
          <w:tblLayout w:type="fixed"/>
          <w:tblCellMar>
            <w:top w:w="0" w:type="dxa"/>
            <w:left w:w="0" w:type="dxa"/>
            <w:bottom w:w="0" w:type="dxa"/>
            <w:right w:w="0" w:type="dxa"/>
          </w:tblCellMar>
        </w:tblPrEx>
        <w:trPr>
          <w:trHeight w:val="270"/>
        </w:trPr>
        <w:tc>
          <w:tcPr>
            <w:tcW w:w="52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序号</w:t>
            </w: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配电箱编号</w:t>
            </w:r>
          </w:p>
        </w:tc>
        <w:tc>
          <w:tcPr>
            <w:tcW w:w="9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负荷</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t>分类</w:t>
            </w:r>
          </w:p>
        </w:tc>
        <w:tc>
          <w:tcPr>
            <w:tcW w:w="1134"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额定功率Pe/铭牌容量Se</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暂载率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t>Jc</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sz w:val="22"/>
                <w:szCs w:val="22"/>
                <w:lang w:bidi="ar"/>
              </w:rPr>
              <w:t>功率因数</w:t>
            </w:r>
            <w:r>
              <w:rPr>
                <w:rFonts w:ascii="宋体" w:hAnsi="宋体" w:cs="宋体"/>
                <w:color w:val="000000"/>
                <w:sz w:val="22"/>
                <w:szCs w:val="22"/>
                <w:lang w:bidi="ar"/>
              </w:rPr>
              <w:br/>
            </w:r>
            <w:r>
              <w:rPr>
                <w:rFonts w:ascii="宋体" w:hAnsi="宋体" w:cs="宋体"/>
                <w:color w:val="000000"/>
                <w:sz w:val="22"/>
                <w:szCs w:val="22"/>
                <w:lang w:bidi="ar"/>
              </w:rPr>
              <w:t>cos</w:t>
            </w:r>
            <w:r>
              <w:rPr>
                <w:rFonts w:ascii="Arial Unicode MS" w:eastAsia="Arial Unicode MS" w:hAnsi="Arial Unicode MS" w:cs="Arial Unicode MS"/>
                <w:color w:val="000000"/>
                <w:sz w:val="22"/>
                <w:szCs w:val="22"/>
                <w:lang w:bidi="ar"/>
              </w:rPr>
              <w:t>¢</w:t>
            </w:r>
          </w:p>
        </w:tc>
        <w:tc>
          <w:tcPr>
            <w:tcW w:w="886"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同时</w:t>
            </w:r>
          </w:p>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系数K</w:t>
            </w:r>
          </w:p>
        </w:tc>
        <w:tc>
          <w:tcPr>
            <w:tcW w:w="1022"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有功功率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t>Pjs</w:t>
            </w:r>
          </w:p>
        </w:tc>
        <w:tc>
          <w:tcPr>
            <w:tcW w:w="996"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功率因数正切tg¢</w:t>
            </w:r>
          </w:p>
        </w:tc>
        <w:tc>
          <w:tcPr>
            <w:tcW w:w="982"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无功功率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t>Qjs</w:t>
            </w:r>
          </w:p>
        </w:tc>
        <w:tc>
          <w:tcPr>
            <w:tcW w:w="10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视在功率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t>Sjs</w:t>
            </w:r>
          </w:p>
        </w:tc>
        <w:tc>
          <w:tcPr>
            <w:tcW w:w="8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计算电流</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t>Ijs</w:t>
            </w:r>
          </w:p>
        </w:tc>
        <w:tc>
          <w:tcPr>
            <w:tcW w:w="85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合计</w:t>
            </w:r>
          </w:p>
        </w:tc>
        <w:tc>
          <w:tcPr>
            <w:tcW w:w="195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电缆规格型号</w:t>
            </w:r>
          </w:p>
        </w:tc>
      </w:tr>
      <w:tr>
        <w:tblPrEx>
          <w:tblW w:w="14047" w:type="dxa"/>
          <w:tblInd w:w="0" w:type="dxa"/>
          <w:tblLayout w:type="fixed"/>
          <w:tblCellMar>
            <w:top w:w="0" w:type="dxa"/>
            <w:left w:w="0" w:type="dxa"/>
            <w:bottom w:w="0" w:type="dxa"/>
            <w:right w:w="0" w:type="dxa"/>
          </w:tblCellMar>
        </w:tblPrEx>
        <w:trPr>
          <w:trHeight w:val="270"/>
        </w:trPr>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起点</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终点</w:t>
            </w:r>
          </w:p>
        </w:tc>
        <w:tc>
          <w:tcPr>
            <w:tcW w:w="9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8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022"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82"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0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52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AP1</w:t>
            </w:r>
          </w:p>
        </w:tc>
        <w:tc>
          <w:tcPr>
            <w:tcW w:w="8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AP1-1</w:t>
            </w: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0.85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w:t>
            </w:r>
            <w:r>
              <w:rPr>
                <w:rFonts w:ascii="宋体" w:hAnsi="宋体" w:cs="宋体"/>
                <w:color w:val="000000"/>
                <w:kern w:val="0"/>
                <w:sz w:val="22"/>
                <w:szCs w:val="22"/>
                <w:lang w:bidi="ar"/>
              </w:rPr>
              <w:t>4</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0.62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color w:val="000000"/>
                <w:kern w:val="0"/>
                <w:sz w:val="22"/>
                <w:szCs w:val="22"/>
                <w:lang w:bidi="ar"/>
              </w:rPr>
              <w:t>5</w:t>
            </w:r>
            <w:r>
              <w:rPr>
                <w:rFonts w:ascii="宋体" w:hAnsi="宋体" w:cs="宋体" w:hint="eastAsia"/>
                <w:color w:val="000000"/>
                <w:kern w:val="0"/>
                <w:sz w:val="22"/>
                <w:szCs w:val="22"/>
                <w:lang w:bidi="ar"/>
              </w:rPr>
              <w:t xml:space="preserve">6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2.86</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4.28</w:t>
            </w:r>
          </w:p>
        </w:tc>
        <w:tc>
          <w:tcPr>
            <w:tcW w:w="85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224.49</w:t>
            </w:r>
            <w:r>
              <w:rPr>
                <w:rFonts w:ascii="宋体" w:hAnsi="宋体" w:cs="宋体" w:hint="eastAsia"/>
                <w:color w:val="000000"/>
                <w:kern w:val="0"/>
                <w:sz w:val="22"/>
                <w:szCs w:val="22"/>
                <w:lang w:bidi="ar"/>
              </w:rPr>
              <w:t xml:space="preserve"> </w:t>
            </w:r>
          </w:p>
        </w:tc>
        <w:tc>
          <w:tcPr>
            <w:tcW w:w="195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YJV-3*95+2*50mm²</w:t>
            </w: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119.</w:t>
            </w:r>
            <w:r>
              <w:rPr>
                <w:rFonts w:ascii="宋体" w:hAnsi="宋体" w:cs="宋体" w:hint="eastAsia"/>
                <w:color w:val="000000"/>
                <w:kern w:val="0"/>
                <w:sz w:val="22"/>
                <w:szCs w:val="22"/>
                <w:lang w:bidi="ar"/>
              </w:rPr>
              <w:t>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75.3</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0.75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56.48</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94.13</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142</w:t>
            </w:r>
            <w:r>
              <w:rPr>
                <w:rFonts w:ascii="宋体" w:hAnsi="宋体" w:cs="宋体" w:hint="eastAsia"/>
                <w:color w:val="000000"/>
                <w:kern w:val="0"/>
                <w:sz w:val="22"/>
                <w:szCs w:val="22"/>
                <w:lang w:bidi="ar"/>
              </w:rPr>
              <w:t xml:space="preserve">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焊机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145</w:t>
            </w:r>
            <w:r>
              <w:rPr>
                <w:rFonts w:ascii="宋体" w:hAnsi="宋体" w:cs="宋体" w:hint="eastAsia"/>
                <w:color w:val="000000"/>
                <w:kern w:val="0"/>
                <w:sz w:val="22"/>
                <w:szCs w:val="22"/>
                <w:lang w:bidi="ar"/>
              </w:rPr>
              <w:t>.7</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35</w:t>
            </w:r>
            <w:r>
              <w:rPr>
                <w:rFonts w:ascii="宋体" w:hAnsi="宋体" w:cs="宋体" w:hint="eastAsia"/>
                <w:color w:val="000000"/>
                <w:kern w:val="0"/>
                <w:sz w:val="22"/>
                <w:szCs w:val="22"/>
                <w:lang w:bidi="ar"/>
              </w:rPr>
              <w:t>%</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30.94</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1.33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41.15</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51.48</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78.24</w:t>
            </w:r>
            <w:r>
              <w:rPr>
                <w:rFonts w:ascii="宋体" w:hAnsi="宋体" w:cs="宋体" w:hint="eastAsia"/>
                <w:color w:val="000000"/>
                <w:kern w:val="0"/>
                <w:sz w:val="22"/>
                <w:szCs w:val="22"/>
                <w:lang w:bidi="ar"/>
              </w:rPr>
              <w:t xml:space="preserve">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AP1-2</w:t>
            </w: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0.85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2.72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0.62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1.69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3.20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4.86 </w:t>
            </w:r>
          </w:p>
        </w:tc>
        <w:tc>
          <w:tcPr>
            <w:tcW w:w="85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185.1</w:t>
            </w:r>
          </w:p>
        </w:tc>
        <w:tc>
          <w:tcPr>
            <w:tcW w:w="195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YJV-3*95+2*50mm²</w:t>
            </w: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136</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81.6</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0.75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61.2</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66.48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102</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焊机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145.7</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30.94</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1.33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41.15</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51.48</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78.24</w:t>
            </w:r>
            <w:r>
              <w:rPr>
                <w:rFonts w:ascii="宋体" w:hAnsi="宋体" w:cs="宋体" w:hint="eastAsia"/>
                <w:color w:val="000000"/>
                <w:kern w:val="0"/>
                <w:sz w:val="22"/>
                <w:szCs w:val="22"/>
                <w:lang w:bidi="ar"/>
              </w:rPr>
              <w:t xml:space="preserve">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52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AP2</w:t>
            </w:r>
          </w:p>
        </w:tc>
        <w:tc>
          <w:tcPr>
            <w:tcW w:w="8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AP2-1</w:t>
            </w: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14</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0.85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9.52</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0.62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5.9</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11.2</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17.01</w:t>
            </w:r>
            <w:r>
              <w:rPr>
                <w:rFonts w:ascii="宋体" w:hAnsi="宋体" w:cs="宋体" w:hint="eastAsia"/>
                <w:color w:val="000000"/>
                <w:kern w:val="0"/>
                <w:sz w:val="22"/>
                <w:szCs w:val="22"/>
                <w:lang w:bidi="ar"/>
              </w:rPr>
              <w:t xml:space="preserve"> </w:t>
            </w:r>
          </w:p>
        </w:tc>
        <w:tc>
          <w:tcPr>
            <w:tcW w:w="85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226.26</w:t>
            </w:r>
          </w:p>
        </w:tc>
        <w:tc>
          <w:tcPr>
            <w:tcW w:w="195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YC-3*120+2*70mm²</w:t>
            </w:r>
          </w:p>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（桩钻机电源线）</w:t>
            </w: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173.3</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103.98</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0.75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77.99</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66.48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10</w:t>
            </w:r>
            <w:r>
              <w:rPr>
                <w:rFonts w:ascii="宋体" w:hAnsi="宋体" w:cs="宋体"/>
                <w:color w:val="000000"/>
                <w:kern w:val="0"/>
                <w:sz w:val="22"/>
                <w:szCs w:val="22"/>
                <w:lang w:bidi="ar"/>
              </w:rPr>
              <w:t>7</w:t>
            </w:r>
            <w:r>
              <w:rPr>
                <w:rFonts w:ascii="宋体" w:hAnsi="宋体" w:cs="宋体" w:hint="eastAsia"/>
                <w:color w:val="000000"/>
                <w:kern w:val="0"/>
                <w:sz w:val="22"/>
                <w:szCs w:val="22"/>
                <w:lang w:bidi="ar"/>
              </w:rPr>
              <w:t>.</w:t>
            </w:r>
            <w:r>
              <w:rPr>
                <w:rFonts w:ascii="宋体" w:hAnsi="宋体" w:cs="宋体"/>
                <w:color w:val="000000"/>
                <w:kern w:val="0"/>
                <w:sz w:val="22"/>
                <w:szCs w:val="22"/>
                <w:lang w:bidi="ar"/>
              </w:rPr>
              <w:t>2</w:t>
            </w:r>
            <w:r>
              <w:rPr>
                <w:rFonts w:ascii="宋体" w:hAnsi="宋体" w:cs="宋体" w:hint="eastAsia"/>
                <w:color w:val="000000"/>
                <w:kern w:val="0"/>
                <w:sz w:val="22"/>
                <w:szCs w:val="22"/>
                <w:lang w:bidi="ar"/>
              </w:rPr>
              <w:t xml:space="preserve">1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焊机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190</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40.35</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1.33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53.67</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67.15</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102.05</w:t>
            </w:r>
            <w:r>
              <w:rPr>
                <w:rFonts w:ascii="宋体" w:hAnsi="宋体" w:cs="宋体" w:hint="eastAsia"/>
                <w:color w:val="000000"/>
                <w:kern w:val="0"/>
                <w:sz w:val="22"/>
                <w:szCs w:val="22"/>
                <w:lang w:bidi="ar"/>
              </w:rPr>
              <w:t xml:space="preserve">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525"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AP3</w:t>
            </w:r>
          </w:p>
        </w:tc>
        <w:tc>
          <w:tcPr>
            <w:tcW w:w="8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AP3-1</w:t>
            </w: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0.85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2.04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0.62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1.26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2.40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3.65 </w:t>
            </w:r>
          </w:p>
        </w:tc>
        <w:tc>
          <w:tcPr>
            <w:tcW w:w="85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208.23</w:t>
            </w:r>
            <w:r>
              <w:rPr>
                <w:rFonts w:ascii="宋体" w:hAnsi="宋体" w:cs="宋体" w:hint="eastAsia"/>
                <w:color w:val="000000"/>
                <w:kern w:val="0"/>
                <w:sz w:val="22"/>
                <w:szCs w:val="22"/>
                <w:lang w:bidi="ar"/>
              </w:rPr>
              <w:t xml:space="preserve"> </w:t>
            </w:r>
          </w:p>
        </w:tc>
        <w:tc>
          <w:tcPr>
            <w:tcW w:w="195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YC-3*120+2*70mm²</w:t>
            </w:r>
          </w:p>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（桩钻机电源线）</w:t>
            </w: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52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120</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72</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0.75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54</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90</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126.34</w:t>
            </w:r>
            <w:r>
              <w:rPr>
                <w:rFonts w:ascii="宋体" w:hAnsi="宋体" w:cs="宋体" w:hint="eastAsia"/>
                <w:color w:val="000000"/>
                <w:kern w:val="0"/>
                <w:sz w:val="22"/>
                <w:szCs w:val="22"/>
                <w:lang w:bidi="ar"/>
              </w:rPr>
              <w:t xml:space="preserve">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52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焊机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145.7</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30.94</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1.33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41.15</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51.48</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78.24</w:t>
            </w:r>
            <w:r>
              <w:rPr>
                <w:rFonts w:ascii="宋体" w:hAnsi="宋体" w:cs="宋体" w:hint="eastAsia"/>
                <w:color w:val="000000"/>
                <w:kern w:val="0"/>
                <w:sz w:val="22"/>
                <w:szCs w:val="22"/>
                <w:lang w:bidi="ar"/>
              </w:rPr>
              <w:t xml:space="preserve">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52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AP3-2</w:t>
            </w: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30</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0.85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24</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0.62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14.88</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28.24</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42</w:t>
            </w:r>
          </w:p>
        </w:tc>
        <w:tc>
          <w:tcPr>
            <w:tcW w:w="859"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89.92</w:t>
            </w:r>
            <w:r>
              <w:rPr>
                <w:rFonts w:ascii="宋体" w:hAnsi="宋体" w:cs="宋体" w:hint="eastAsia"/>
                <w:color w:val="000000"/>
                <w:kern w:val="0"/>
                <w:sz w:val="22"/>
                <w:szCs w:val="22"/>
                <w:lang w:bidi="ar"/>
              </w:rPr>
              <w:t xml:space="preserve"> </w:t>
            </w:r>
          </w:p>
        </w:tc>
        <w:tc>
          <w:tcPr>
            <w:tcW w:w="195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YC-3*35+2*16mm²</w:t>
            </w: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52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电机</w:t>
            </w:r>
          </w:p>
        </w:tc>
        <w:tc>
          <w:tcPr>
            <w:tcW w:w="1134"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w:t>
            </w:r>
          </w:p>
        </w:tc>
        <w:tc>
          <w:tcPr>
            <w:tcW w:w="709"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886"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4.2</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0.75 </w:t>
            </w:r>
          </w:p>
        </w:tc>
        <w:tc>
          <w:tcPr>
            <w:tcW w:w="982" w:type="dxa"/>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3.15</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5.24</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7.37</w:t>
            </w:r>
            <w:r>
              <w:rPr>
                <w:rFonts w:ascii="宋体" w:hAnsi="宋体" w:cs="宋体" w:hint="eastAsia"/>
                <w:color w:val="000000"/>
                <w:kern w:val="0"/>
                <w:sz w:val="22"/>
                <w:szCs w:val="22"/>
                <w:lang w:bidi="ar"/>
              </w:rPr>
              <w:t xml:space="preserve"> </w:t>
            </w:r>
          </w:p>
        </w:tc>
        <w:tc>
          <w:tcPr>
            <w:tcW w:w="859"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336"/>
        </w:trPr>
        <w:tc>
          <w:tcPr>
            <w:tcW w:w="525"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52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left w:val="single" w:sz="4" w:space="0" w:color="000000"/>
              <w:bottom w:val="single" w:sz="4" w:space="0" w:color="auto"/>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焊机</w:t>
            </w:r>
          </w:p>
        </w:tc>
        <w:tc>
          <w:tcPr>
            <w:tcW w:w="1134"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45</w:t>
            </w:r>
          </w:p>
        </w:tc>
        <w:tc>
          <w:tcPr>
            <w:tcW w:w="709"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709"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886"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15.93</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1.33 </w:t>
            </w:r>
          </w:p>
        </w:tc>
        <w:tc>
          <w:tcPr>
            <w:tcW w:w="982" w:type="dxa"/>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21.19</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26.51</w:t>
            </w:r>
          </w:p>
        </w:tc>
        <w:tc>
          <w:tcPr>
            <w:tcW w:w="87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40.85</w:t>
            </w:r>
          </w:p>
        </w:tc>
        <w:tc>
          <w:tcPr>
            <w:tcW w:w="859" w:type="dxa"/>
            <w:vMerge/>
            <w:tcBorders>
              <w:left w:val="single" w:sz="4" w:space="0" w:color="000000"/>
              <w:bottom w:val="single" w:sz="4" w:space="0" w:color="auto"/>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left w:val="single" w:sz="4" w:space="0" w:color="000000"/>
              <w:bottom w:val="single" w:sz="4" w:space="0" w:color="auto"/>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312"/>
        </w:trPr>
        <w:tc>
          <w:tcPr>
            <w:tcW w:w="525" w:type="dxa"/>
            <w:vMerge/>
            <w:tcBorders>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p>
        </w:tc>
        <w:tc>
          <w:tcPr>
            <w:tcW w:w="52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r>
              <w:rPr>
                <w:rFonts w:ascii="宋体" w:hAnsi="宋体" w:cs="宋体" w:hint="eastAsia"/>
                <w:color w:val="000000"/>
                <w:sz w:val="22"/>
                <w:szCs w:val="22"/>
              </w:rPr>
              <w:t>AP</w:t>
            </w:r>
            <w:r>
              <w:rPr>
                <w:rFonts w:ascii="宋体" w:hAnsi="宋体" w:cs="宋体"/>
                <w:color w:val="000000"/>
                <w:sz w:val="22"/>
                <w:szCs w:val="22"/>
              </w:rPr>
              <w:t>3-3</w:t>
            </w:r>
            <w:r>
              <w:rPr>
                <w:rFonts w:ascii="宋体" w:hAnsi="宋体" w:cs="宋体" w:hint="eastAsia"/>
                <w:color w:val="000000"/>
                <w:sz w:val="22"/>
                <w:szCs w:val="22"/>
              </w:rPr>
              <w:t xml:space="preserve"> </w:t>
            </w:r>
          </w:p>
        </w:tc>
        <w:tc>
          <w:tcPr>
            <w:tcW w:w="990"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照明</w:t>
            </w:r>
          </w:p>
        </w:tc>
        <w:tc>
          <w:tcPr>
            <w:tcW w:w="1134"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w:t>
            </w:r>
          </w:p>
        </w:tc>
        <w:tc>
          <w:tcPr>
            <w:tcW w:w="709"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25%</w:t>
            </w:r>
          </w:p>
        </w:tc>
        <w:tc>
          <w:tcPr>
            <w:tcW w:w="709"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0</w:t>
            </w:r>
            <w:r>
              <w:rPr>
                <w:rFonts w:ascii="宋体" w:hAnsi="宋体" w:cs="宋体"/>
                <w:color w:val="000000"/>
                <w:kern w:val="0"/>
                <w:sz w:val="22"/>
                <w:szCs w:val="22"/>
                <w:lang w:bidi="ar"/>
              </w:rPr>
              <w:t>.85</w:t>
            </w:r>
          </w:p>
        </w:tc>
        <w:tc>
          <w:tcPr>
            <w:tcW w:w="88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0</w:t>
            </w:r>
            <w:r>
              <w:rPr>
                <w:rFonts w:ascii="宋体" w:hAnsi="宋体" w:cs="宋体"/>
                <w:color w:val="000000"/>
                <w:kern w:val="0"/>
                <w:sz w:val="22"/>
                <w:szCs w:val="22"/>
                <w:lang w:bidi="ar"/>
              </w:rPr>
              <w:t>.80</w:t>
            </w:r>
          </w:p>
        </w:tc>
        <w:tc>
          <w:tcPr>
            <w:tcW w:w="1022" w:type="dxa"/>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2.4</w:t>
            </w:r>
          </w:p>
        </w:tc>
        <w:tc>
          <w:tcPr>
            <w:tcW w:w="996" w:type="dxa"/>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0</w:t>
            </w:r>
            <w:r>
              <w:rPr>
                <w:rFonts w:ascii="宋体" w:hAnsi="宋体" w:cs="宋体"/>
                <w:color w:val="000000"/>
                <w:kern w:val="0"/>
                <w:sz w:val="22"/>
                <w:szCs w:val="22"/>
                <w:lang w:bidi="ar"/>
              </w:rPr>
              <w:t>.62</w:t>
            </w:r>
          </w:p>
        </w:tc>
        <w:tc>
          <w:tcPr>
            <w:tcW w:w="982" w:type="dxa"/>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1.56</w:t>
            </w:r>
          </w:p>
        </w:tc>
        <w:tc>
          <w:tcPr>
            <w:tcW w:w="1075" w:type="dxa"/>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2.86</w:t>
            </w:r>
          </w:p>
        </w:tc>
        <w:tc>
          <w:tcPr>
            <w:tcW w:w="875"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4.28</w:t>
            </w:r>
          </w:p>
        </w:tc>
        <w:tc>
          <w:tcPr>
            <w:tcW w:w="859"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r>
              <w:rPr>
                <w:rFonts w:ascii="宋体" w:hAnsi="宋体" w:cs="宋体" w:hint="eastAsia"/>
                <w:color w:val="000000"/>
                <w:sz w:val="22"/>
                <w:szCs w:val="22"/>
              </w:rPr>
              <w:t>1</w:t>
            </w:r>
            <w:r>
              <w:rPr>
                <w:rFonts w:ascii="宋体" w:hAnsi="宋体" w:cs="宋体"/>
                <w:color w:val="000000"/>
                <w:sz w:val="22"/>
                <w:szCs w:val="22"/>
              </w:rPr>
              <w:t>45.7</w:t>
            </w:r>
          </w:p>
        </w:tc>
        <w:tc>
          <w:tcPr>
            <w:tcW w:w="1950"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bookmarkStart w:id="35" w:name="_Hlk52146321"/>
            <w:r>
              <w:rPr>
                <w:rFonts w:ascii="宋体" w:hAnsi="宋体" w:cs="宋体" w:hint="eastAsia"/>
                <w:color w:val="000000"/>
                <w:kern w:val="0"/>
                <w:sz w:val="22"/>
                <w:szCs w:val="22"/>
                <w:lang w:bidi="ar"/>
              </w:rPr>
              <w:t>YC-3*35+2*16mm²</w:t>
            </w:r>
            <w:bookmarkEnd w:id="35"/>
          </w:p>
        </w:tc>
      </w:tr>
      <w:tr>
        <w:tblPrEx>
          <w:tblW w:w="14047" w:type="dxa"/>
          <w:tblInd w:w="0" w:type="dxa"/>
          <w:tblLayout w:type="fixed"/>
          <w:tblCellMar>
            <w:top w:w="0" w:type="dxa"/>
            <w:left w:w="0" w:type="dxa"/>
            <w:bottom w:w="0" w:type="dxa"/>
            <w:right w:w="0" w:type="dxa"/>
          </w:tblCellMar>
        </w:tblPrEx>
        <w:trPr>
          <w:trHeight w:val="252"/>
        </w:trPr>
        <w:tc>
          <w:tcPr>
            <w:tcW w:w="525" w:type="dxa"/>
            <w:vMerge/>
            <w:tcBorders>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p>
        </w:tc>
        <w:tc>
          <w:tcPr>
            <w:tcW w:w="525"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电机</w:t>
            </w:r>
          </w:p>
        </w:tc>
        <w:tc>
          <w:tcPr>
            <w:tcW w:w="1134"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5</w:t>
            </w:r>
            <w:r>
              <w:rPr>
                <w:rFonts w:ascii="宋体" w:hAnsi="宋体" w:cs="宋体"/>
                <w:color w:val="000000"/>
                <w:kern w:val="0"/>
                <w:sz w:val="22"/>
                <w:szCs w:val="22"/>
                <w:lang w:bidi="ar"/>
              </w:rPr>
              <w:t>6.4</w:t>
            </w:r>
          </w:p>
        </w:tc>
        <w:tc>
          <w:tcPr>
            <w:tcW w:w="709"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25%</w:t>
            </w:r>
          </w:p>
        </w:tc>
        <w:tc>
          <w:tcPr>
            <w:tcW w:w="709"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 xml:space="preserve">0.80 </w:t>
            </w:r>
          </w:p>
        </w:tc>
        <w:tc>
          <w:tcPr>
            <w:tcW w:w="886"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 xml:space="preserve">0.60 </w:t>
            </w:r>
          </w:p>
        </w:tc>
        <w:tc>
          <w:tcPr>
            <w:tcW w:w="1022" w:type="dxa"/>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33.84</w:t>
            </w:r>
            <w:r>
              <w:rPr>
                <w:rFonts w:ascii="宋体" w:hAnsi="宋体" w:cs="宋体" w:hint="eastAsia"/>
                <w:color w:val="000000"/>
                <w:kern w:val="0"/>
                <w:sz w:val="22"/>
                <w:szCs w:val="22"/>
                <w:lang w:bidi="ar"/>
              </w:rPr>
              <w:t xml:space="preserve"> </w:t>
            </w:r>
          </w:p>
        </w:tc>
        <w:tc>
          <w:tcPr>
            <w:tcW w:w="996" w:type="dxa"/>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 xml:space="preserve">0.75 </w:t>
            </w:r>
          </w:p>
        </w:tc>
        <w:tc>
          <w:tcPr>
            <w:tcW w:w="982" w:type="dxa"/>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25.38</w:t>
            </w:r>
            <w:r>
              <w:rPr>
                <w:rFonts w:ascii="宋体" w:hAnsi="宋体" w:cs="宋体" w:hint="eastAsia"/>
                <w:color w:val="000000"/>
                <w:kern w:val="0"/>
                <w:sz w:val="22"/>
                <w:szCs w:val="22"/>
                <w:lang w:bidi="ar"/>
              </w:rPr>
              <w:t xml:space="preserve"> </w:t>
            </w:r>
          </w:p>
        </w:tc>
        <w:tc>
          <w:tcPr>
            <w:tcW w:w="1075" w:type="dxa"/>
            <w:tcBorders>
              <w:top w:val="single" w:sz="4" w:space="0" w:color="auto"/>
              <w:left w:val="single" w:sz="4" w:space="0" w:color="000000"/>
              <w:bottom w:val="single" w:sz="4" w:space="0" w:color="auto"/>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42.3</w:t>
            </w:r>
          </w:p>
        </w:tc>
        <w:tc>
          <w:tcPr>
            <w:tcW w:w="875"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59.37</w:t>
            </w:r>
            <w:r>
              <w:rPr>
                <w:rFonts w:ascii="宋体" w:hAnsi="宋体" w:cs="宋体" w:hint="eastAsia"/>
                <w:color w:val="000000"/>
                <w:kern w:val="0"/>
                <w:sz w:val="22"/>
                <w:szCs w:val="22"/>
                <w:lang w:bidi="ar"/>
              </w:rPr>
              <w:t xml:space="preserve"> </w:t>
            </w:r>
          </w:p>
        </w:tc>
        <w:tc>
          <w:tcPr>
            <w:tcW w:w="859"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left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28"/>
        </w:trPr>
        <w:tc>
          <w:tcPr>
            <w:tcW w:w="525"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kern w:val="0"/>
                <w:sz w:val="22"/>
                <w:szCs w:val="22"/>
                <w:lang w:bidi="ar"/>
              </w:rPr>
            </w:pPr>
          </w:p>
        </w:tc>
        <w:tc>
          <w:tcPr>
            <w:tcW w:w="525"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焊机</w:t>
            </w:r>
          </w:p>
        </w:tc>
        <w:tc>
          <w:tcPr>
            <w:tcW w:w="1134"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9</w:t>
            </w:r>
            <w:r>
              <w:rPr>
                <w:rFonts w:ascii="宋体" w:hAnsi="宋体" w:cs="宋体"/>
                <w:color w:val="000000"/>
                <w:kern w:val="0"/>
                <w:sz w:val="22"/>
                <w:szCs w:val="22"/>
                <w:lang w:bidi="ar"/>
              </w:rPr>
              <w:t>0</w:t>
            </w:r>
          </w:p>
        </w:tc>
        <w:tc>
          <w:tcPr>
            <w:tcW w:w="709"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35%</w:t>
            </w:r>
          </w:p>
        </w:tc>
        <w:tc>
          <w:tcPr>
            <w:tcW w:w="709"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0.60</w:t>
            </w:r>
          </w:p>
        </w:tc>
        <w:tc>
          <w:tcPr>
            <w:tcW w:w="886"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 xml:space="preserve">0.60 </w:t>
            </w:r>
          </w:p>
        </w:tc>
        <w:tc>
          <w:tcPr>
            <w:tcW w:w="1022" w:type="dxa"/>
            <w:tcBorders>
              <w:top w:val="single" w:sz="4" w:space="0" w:color="auto"/>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31.86</w:t>
            </w:r>
          </w:p>
        </w:tc>
        <w:tc>
          <w:tcPr>
            <w:tcW w:w="996" w:type="dxa"/>
            <w:tcBorders>
              <w:top w:val="single" w:sz="4" w:space="0" w:color="auto"/>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 xml:space="preserve">1.33 </w:t>
            </w:r>
          </w:p>
        </w:tc>
        <w:tc>
          <w:tcPr>
            <w:tcW w:w="982" w:type="dxa"/>
            <w:tcBorders>
              <w:top w:val="single" w:sz="4" w:space="0" w:color="auto"/>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42.37</w:t>
            </w:r>
            <w:r>
              <w:rPr>
                <w:rFonts w:ascii="宋体" w:hAnsi="宋体" w:cs="宋体" w:hint="eastAsia"/>
                <w:color w:val="000000"/>
                <w:kern w:val="0"/>
                <w:sz w:val="22"/>
                <w:szCs w:val="22"/>
                <w:lang w:bidi="ar"/>
              </w:rPr>
              <w:t xml:space="preserve"> </w:t>
            </w:r>
          </w:p>
        </w:tc>
        <w:tc>
          <w:tcPr>
            <w:tcW w:w="1075" w:type="dxa"/>
            <w:tcBorders>
              <w:top w:val="single" w:sz="4" w:space="0" w:color="auto"/>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53.01</w:t>
            </w:r>
            <w:r>
              <w:rPr>
                <w:rFonts w:ascii="宋体" w:hAnsi="宋体" w:cs="宋体" w:hint="eastAsia"/>
                <w:color w:val="000000"/>
                <w:kern w:val="0"/>
                <w:sz w:val="22"/>
                <w:szCs w:val="22"/>
                <w:lang w:bidi="ar"/>
              </w:rPr>
              <w:t xml:space="preserve"> </w:t>
            </w:r>
          </w:p>
        </w:tc>
        <w:tc>
          <w:tcPr>
            <w:tcW w:w="875"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81.69</w:t>
            </w:r>
            <w:r>
              <w:rPr>
                <w:rFonts w:ascii="宋体" w:hAnsi="宋体" w:cs="宋体" w:hint="eastAsia"/>
                <w:color w:val="000000"/>
                <w:kern w:val="0"/>
                <w:sz w:val="22"/>
                <w:szCs w:val="22"/>
                <w:lang w:bidi="ar"/>
              </w:rPr>
              <w:t xml:space="preserve"> </w:t>
            </w:r>
          </w:p>
        </w:tc>
        <w:tc>
          <w:tcPr>
            <w:tcW w:w="859"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52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AP4</w:t>
            </w:r>
          </w:p>
        </w:tc>
        <w:tc>
          <w:tcPr>
            <w:tcW w:w="8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AP4-1</w:t>
            </w: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0.85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2.04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0.62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1.26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2.40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3.65 </w:t>
            </w:r>
          </w:p>
        </w:tc>
        <w:tc>
          <w:tcPr>
            <w:tcW w:w="85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171.89</w:t>
            </w:r>
            <w:r>
              <w:rPr>
                <w:rFonts w:ascii="宋体" w:hAnsi="宋体" w:cs="宋体" w:hint="eastAsia"/>
                <w:color w:val="000000"/>
                <w:kern w:val="0"/>
                <w:sz w:val="22"/>
                <w:szCs w:val="22"/>
                <w:lang w:bidi="ar"/>
              </w:rPr>
              <w:t xml:space="preserve"> </w:t>
            </w:r>
          </w:p>
        </w:tc>
        <w:tc>
          <w:tcPr>
            <w:tcW w:w="195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YJV-3*95+2*50mm²</w:t>
            </w: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120</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48</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0.75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36</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60</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90</w:t>
            </w:r>
            <w:r>
              <w:rPr>
                <w:rFonts w:ascii="宋体" w:hAnsi="宋体" w:cs="宋体" w:hint="eastAsia"/>
                <w:color w:val="000000"/>
                <w:kern w:val="0"/>
                <w:sz w:val="22"/>
                <w:szCs w:val="22"/>
                <w:lang w:bidi="ar"/>
              </w:rPr>
              <w:t xml:space="preserve">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焊机</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145.7</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30.94</w:t>
            </w:r>
            <w:r>
              <w:rPr>
                <w:rFonts w:ascii="宋体" w:hAnsi="宋体" w:cs="宋体" w:hint="eastAsia"/>
                <w:color w:val="000000"/>
                <w:kern w:val="0"/>
                <w:sz w:val="22"/>
                <w:szCs w:val="22"/>
                <w:lang w:bidi="ar"/>
              </w:rPr>
              <w:t xml:space="preserve">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1.33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41.15</w:t>
            </w:r>
            <w:r>
              <w:rPr>
                <w:rFonts w:ascii="宋体" w:hAnsi="宋体" w:cs="宋体" w:hint="eastAsia"/>
                <w:color w:val="000000"/>
                <w:kern w:val="0"/>
                <w:sz w:val="22"/>
                <w:szCs w:val="22"/>
                <w:lang w:bidi="ar"/>
              </w:rPr>
              <w:t xml:space="preserve">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51.48</w:t>
            </w:r>
            <w:r>
              <w:rPr>
                <w:rFonts w:ascii="宋体" w:hAnsi="宋体" w:cs="宋体" w:hint="eastAsia"/>
                <w:color w:val="000000"/>
                <w:kern w:val="0"/>
                <w:sz w:val="22"/>
                <w:szCs w:val="22"/>
                <w:lang w:bidi="ar"/>
              </w:rPr>
              <w:t xml:space="preserve">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color w:val="000000"/>
                <w:kern w:val="0"/>
                <w:sz w:val="22"/>
                <w:szCs w:val="22"/>
                <w:lang w:bidi="ar"/>
              </w:rPr>
              <w:t>78.24</w:t>
            </w:r>
            <w:r>
              <w:rPr>
                <w:rFonts w:ascii="宋体" w:hAnsi="宋体" w:cs="宋体" w:hint="eastAsia"/>
                <w:color w:val="000000"/>
                <w:kern w:val="0"/>
                <w:sz w:val="22"/>
                <w:szCs w:val="22"/>
                <w:lang w:bidi="ar"/>
              </w:rPr>
              <w:t xml:space="preserve"> </w:t>
            </w:r>
          </w:p>
        </w:tc>
        <w:tc>
          <w:tcPr>
            <w:tcW w:w="85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195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r>
      <w:tr>
        <w:tblPrEx>
          <w:tblW w:w="14047" w:type="dxa"/>
          <w:tblInd w:w="0" w:type="dxa"/>
          <w:tblLayout w:type="fixed"/>
          <w:tblCellMar>
            <w:top w:w="0" w:type="dxa"/>
            <w:left w:w="0" w:type="dxa"/>
            <w:bottom w:w="0" w:type="dxa"/>
            <w:right w:w="0" w:type="dxa"/>
          </w:tblCellMar>
        </w:tblPrEx>
        <w:trPr>
          <w:trHeight w:val="270"/>
        </w:trPr>
        <w:tc>
          <w:tcPr>
            <w:tcW w:w="5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52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宋体" w:hAnsi="宋体" w:cs="宋体"/>
                <w:color w:val="000000"/>
                <w:sz w:val="22"/>
                <w:szCs w:val="22"/>
              </w:rPr>
            </w:pP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AP4-2</w:t>
            </w:r>
          </w:p>
        </w:tc>
        <w:tc>
          <w:tcPr>
            <w:tcW w:w="9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照明</w:t>
            </w:r>
          </w:p>
        </w:tc>
        <w:tc>
          <w:tcPr>
            <w:tcW w:w="1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0.85 </w:t>
            </w:r>
          </w:p>
        </w:tc>
        <w:tc>
          <w:tcPr>
            <w:tcW w:w="8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 </w:t>
            </w:r>
          </w:p>
        </w:tc>
        <w:tc>
          <w:tcPr>
            <w:tcW w:w="102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2.04 </w:t>
            </w:r>
          </w:p>
        </w:tc>
        <w:tc>
          <w:tcPr>
            <w:tcW w:w="9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0.62 </w:t>
            </w:r>
          </w:p>
        </w:tc>
        <w:tc>
          <w:tcPr>
            <w:tcW w:w="98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1.26 </w:t>
            </w:r>
          </w:p>
        </w:tc>
        <w:tc>
          <w:tcPr>
            <w:tcW w:w="10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2.40 </w:t>
            </w:r>
          </w:p>
        </w:tc>
        <w:tc>
          <w:tcPr>
            <w:tcW w:w="8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3.65 </w:t>
            </w:r>
          </w:p>
        </w:tc>
        <w:tc>
          <w:tcPr>
            <w:tcW w:w="85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171.89</w:t>
            </w:r>
          </w:p>
        </w:tc>
        <w:tc>
          <w:tcPr>
            <w:tcW w:w="19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YJV-3*95+2*50mm²</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https://d.book118.com/938006110010006026</w:t>
        </w:r>
      </w:hyperlink>
    </w:p>
    <w:p/>
    <w:sectPr>
      <w:headerReference w:type="default" r:id="rId28"/>
      <w:footerReference w:type="default" r:id="rId29"/>
      <w:pgSz w:w="16783" w:h="11850" w:orient="landscape"/>
      <w:pgMar w:top="1080" w:right="1440" w:bottom="1080" w:left="1440" w:header="851" w:footer="992" w:gutter="567"/>
      <w:pgNumType w:start="12"/>
      <w:cols w:num="1" w:space="720"/>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94055914"/>
      <w:docPartObj>
        <w:docPartGallery w:val="AutoText"/>
      </w:docPartObj>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jc w:val="both"/>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4609027"/>
      <w:docPartObj>
        <w:docPartGallery w:val="AutoText"/>
      </w:docPartObj>
    </w:sdtPr>
    <w:sdtContent>
      <w:p>
        <w:pPr>
          <w:pStyle w:val="Footer"/>
          <w:jc w:val="center"/>
        </w:pPr>
        <w:r>
          <w:fldChar w:fldCharType="begin"/>
        </w:r>
        <w:r>
          <w:instrText>PAGE   \* MERGEFORMAT</w:instrText>
        </w:r>
        <w:r>
          <w:fldChar w:fldCharType="separate"/>
        </w:r>
        <w:r>
          <w:rPr>
            <w:lang w:val="zh-CN"/>
          </w:rPr>
          <w:t>2</w:t>
        </w:r>
        <w:r>
          <w:fldChar w:fldCharType="end"/>
        </w:r>
      </w:p>
    </w:sdtContent>
  </w:sdt>
  <w:p>
    <w:pPr>
      <w:pStyle w:val="Footer"/>
      <w:jc w:val="both"/>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1776110"/>
      <w:docPartObj>
        <w:docPartGallery w:val="AutoText"/>
      </w:docPartObj>
    </w:sdtPr>
    <w:sdtContent>
      <w:p>
        <w:pPr>
          <w:pStyle w:val="Footer"/>
          <w:jc w:val="center"/>
        </w:pPr>
        <w:r>
          <w:fldChar w:fldCharType="begin"/>
        </w:r>
        <w:r>
          <w:instrText>PAGE   \* MERGEFORMAT</w:instrText>
        </w:r>
        <w:r>
          <w:fldChar w:fldCharType="separate"/>
        </w:r>
        <w:r>
          <w:rPr>
            <w:lang w:val="zh-CN"/>
          </w:rPr>
          <w:t>3</w:t>
        </w:r>
        <w:r>
          <w:fldChar w:fldCharType="end"/>
        </w:r>
      </w:p>
    </w:sdtContent>
  </w:sdt>
  <w:p>
    <w:pPr>
      <w:pStyle w:val="Footer"/>
      <w:jc w:val="both"/>
      <w:rPr>
        <w:b/>
        <w:b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09933688"/>
      <w:docPartObj>
        <w:docPartGallery w:val="AutoText"/>
      </w:docPartObj>
    </w:sdtPr>
    <w:sdtContent>
      <w:p>
        <w:pPr>
          <w:pStyle w:val="Footer"/>
          <w:jc w:val="center"/>
        </w:pPr>
        <w:r>
          <w:fldChar w:fldCharType="begin"/>
        </w:r>
        <w:r>
          <w:instrText>PAGE   \* MERGEFORMAT</w:instrText>
        </w:r>
        <w:r>
          <w:fldChar w:fldCharType="separate"/>
        </w:r>
        <w:r>
          <w:rPr>
            <w:lang w:val="zh-CN"/>
          </w:rPr>
          <w:t>4</w:t>
        </w:r>
        <w:r>
          <w:fldChar w:fldCharType="end"/>
        </w:r>
      </w:p>
    </w:sdtContent>
  </w:sdt>
  <w:p>
    <w:pPr>
      <w:pStyle w:val="Footer"/>
      <w:jc w:val="both"/>
      <w:rPr>
        <w:b/>
        <w:bC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70646498"/>
      <w:docPartObj>
        <w:docPartGallery w:val="AutoText"/>
      </w:docPartObj>
    </w:sdtPr>
    <w:sdtContent>
      <w:p>
        <w:pPr>
          <w:pStyle w:val="Footer"/>
          <w:jc w:val="center"/>
        </w:pPr>
        <w:r>
          <w:fldChar w:fldCharType="begin"/>
        </w:r>
        <w:r>
          <w:instrText>PAGE   \* MERGEFORMAT</w:instrText>
        </w:r>
        <w:r>
          <w:fldChar w:fldCharType="separate"/>
        </w:r>
        <w:r>
          <w:rPr>
            <w:lang w:val="zh-CN"/>
          </w:rPr>
          <w:t>6</w:t>
        </w:r>
        <w:r>
          <w:fldChar w:fldCharType="end"/>
        </w:r>
      </w:p>
    </w:sdtContent>
  </w:sdt>
  <w:p>
    <w:pPr>
      <w:pStyle w:val="Footer"/>
      <w:jc w:val="both"/>
      <w:rPr>
        <w:b/>
        <w:bC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55601798"/>
      <w:docPartObj>
        <w:docPartGallery w:val="AutoText"/>
      </w:docPartObj>
    </w:sdtPr>
    <w:sdtContent>
      <w:p>
        <w:pPr>
          <w:pStyle w:val="Footer"/>
          <w:jc w:val="center"/>
        </w:pPr>
        <w:r>
          <w:fldChar w:fldCharType="begin"/>
        </w:r>
        <w:r>
          <w:instrText>PAGE   \* MERGEFORMAT</w:instrText>
        </w:r>
        <w:r>
          <w:fldChar w:fldCharType="separate"/>
        </w:r>
        <w:r>
          <w:rPr>
            <w:lang w:val="zh-CN"/>
          </w:rPr>
          <w:t>6</w:t>
        </w:r>
        <w:r>
          <w:fldChar w:fldCharType="end"/>
        </w:r>
      </w:p>
    </w:sdtContent>
  </w:sdt>
  <w:p>
    <w:pPr>
      <w:pStyle w:val="Footer"/>
      <w:jc w:val="both"/>
      <w:rPr>
        <w:b/>
        <w:bC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0201829"/>
      <w:docPartObj>
        <w:docPartGallery w:val="AutoText"/>
      </w:docPartObj>
    </w:sdtPr>
    <w:sdtContent>
      <w:p>
        <w:pPr>
          <w:pStyle w:val="Footer"/>
          <w:jc w:val="center"/>
        </w:pPr>
        <w:r>
          <w:fldChar w:fldCharType="begin"/>
        </w:r>
        <w:r>
          <w:instrText>PAGE   \* MERGEFORMAT</w:instrText>
        </w:r>
        <w:r>
          <w:fldChar w:fldCharType="separate"/>
        </w:r>
        <w:r>
          <w:rPr>
            <w:lang w:val="zh-CN"/>
          </w:rPr>
          <w:t>7</w:t>
        </w:r>
        <w:r>
          <w:fldChar w:fldCharType="end"/>
        </w:r>
      </w:p>
    </w:sdtContent>
  </w:sdt>
  <w:p>
    <w:pPr>
      <w:pStyle w:val="Footer"/>
      <w:jc w:val="both"/>
      <w:rPr>
        <w:b/>
        <w:bC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2756961"/>
      <w:docPartObj>
        <w:docPartGallery w:val="AutoText"/>
      </w:docPartObj>
    </w:sdtPr>
    <w:sdtContent>
      <w:p>
        <w:pPr>
          <w:pStyle w:val="Footer"/>
          <w:jc w:val="center"/>
        </w:pPr>
        <w:r>
          <w:fldChar w:fldCharType="begin"/>
        </w:r>
        <w:r>
          <w:instrText>PAGE   \* MERGEFORMAT</w:instrText>
        </w:r>
        <w:r>
          <w:fldChar w:fldCharType="separate"/>
        </w:r>
        <w:r>
          <w:rPr>
            <w:lang w:val="zh-CN"/>
          </w:rPr>
          <w:t>8</w:t>
        </w:r>
        <w:r>
          <w:fldChar w:fldCharType="end"/>
        </w:r>
      </w:p>
    </w:sdtContent>
  </w:sdt>
  <w:p>
    <w:pPr>
      <w:pStyle w:val="Footer"/>
      <w:jc w:val="both"/>
      <w:rPr>
        <w:b/>
        <w:bC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7980244"/>
      <w:docPartObj>
        <w:docPartGallery w:val="AutoText"/>
      </w:docPartObj>
    </w:sdtPr>
    <w:sdtContent>
      <w:p>
        <w:pPr>
          <w:pStyle w:val="Footer"/>
          <w:jc w:val="center"/>
        </w:pPr>
        <w:r>
          <w:fldChar w:fldCharType="begin"/>
        </w:r>
        <w:r>
          <w:instrText>PAGE   \* MERGEFORMAT</w:instrText>
        </w:r>
        <w:r>
          <w:fldChar w:fldCharType="separate"/>
        </w:r>
        <w:r>
          <w:rPr>
            <w:lang w:val="zh-CN"/>
          </w:rPr>
          <w:t>9</w:t>
        </w:r>
        <w:r>
          <w:fldChar w:fldCharType="end"/>
        </w:r>
      </w:p>
    </w:sdtContent>
  </w:sdt>
  <w:p>
    <w:pPr>
      <w:pStyle w:val="Footer"/>
      <w:jc w:val="both"/>
      <w:rPr>
        <w:b/>
        <w:bC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1110758"/>
      <w:docPartObj>
        <w:docPartGallery w:val="AutoText"/>
      </w:docPartObj>
    </w:sdtPr>
    <w:sdtContent>
      <w:p>
        <w:pPr>
          <w:pStyle w:val="Footer"/>
          <w:jc w:val="center"/>
        </w:pPr>
        <w:r>
          <w:fldChar w:fldCharType="begin"/>
        </w:r>
        <w:r>
          <w:instrText>PAGE   \* MERGEFORMAT</w:instrText>
        </w:r>
        <w:r>
          <w:fldChar w:fldCharType="separate"/>
        </w:r>
        <w:r>
          <w:rPr>
            <w:lang w:val="zh-CN"/>
          </w:rPr>
          <w:t>10</w:t>
        </w:r>
        <w:r>
          <w:fldChar w:fldCharType="end"/>
        </w:r>
      </w:p>
    </w:sdtContent>
  </w:sdt>
  <w:p>
    <w:pPr>
      <w:pStyle w:val="Footer"/>
      <w:jc w:val="both"/>
      <w:rPr>
        <w:b/>
        <w:bCs/>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88977333"/>
      <w:docPartObj>
        <w:docPartGallery w:val="AutoText"/>
      </w:docPartObj>
    </w:sdtPr>
    <w:sdtContent>
      <w:p>
        <w:pPr>
          <w:pStyle w:val="Footer"/>
          <w:jc w:val="center"/>
        </w:pPr>
        <w:r>
          <w:fldChar w:fldCharType="begin"/>
        </w:r>
        <w:r>
          <w:instrText>PAGE   \* MERGEFORMAT</w:instrText>
        </w:r>
        <w:r>
          <w:fldChar w:fldCharType="separate"/>
        </w:r>
        <w:r>
          <w:rPr>
            <w:lang w:val="zh-CN"/>
          </w:rPr>
          <w:t>11</w:t>
        </w:r>
        <w:r>
          <w:fldChar w:fldCharType="end"/>
        </w:r>
      </w:p>
    </w:sdtContent>
  </w:sdt>
  <w:p>
    <w:pPr>
      <w:pStyle w:val="Footer"/>
      <w:jc w:val="both"/>
      <w:rPr>
        <w:b/>
        <w:bC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0776832"/>
      <w:docPartObj>
        <w:docPartGallery w:val="AutoText"/>
      </w:docPartObj>
    </w:sdtPr>
    <w:sdtContent>
      <w:p>
        <w:pPr>
          <w:pStyle w:val="Footer"/>
          <w:jc w:val="center"/>
        </w:pPr>
        <w:r>
          <w:fldChar w:fldCharType="begin"/>
        </w:r>
        <w:r>
          <w:instrText>PAGE   \* MERGEFORMAT</w:instrText>
        </w:r>
        <w:r>
          <w:fldChar w:fldCharType="separate"/>
        </w:r>
        <w:r>
          <w:rPr>
            <w:lang w:val="zh-CN"/>
          </w:rPr>
          <w:t>13</w:t>
        </w:r>
        <w:r>
          <w:fldChar w:fldCharType="end"/>
        </w:r>
      </w:p>
    </w:sdtContent>
  </w:sdt>
  <w:p>
    <w:pPr>
      <w:pStyle w:val="Footer"/>
      <w:jc w:val="both"/>
      <w:rPr>
        <w:b/>
        <w:bC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jc w:val="both"/>
      <w:rPr>
        <w:color w:val="00B050"/>
        <w:sz w:val="21"/>
        <w:szCs w:val="21"/>
      </w:rPr>
    </w:pPr>
    <w:r>
      <w:ptab w:relativeTo="margin" w:alignment="center" w:leader="none"/>
    </w:r>
    <w:r>
      <w:rPr>
        <w:rFonts w:ascii="楷体" w:eastAsia="楷体" w:hAnsi="楷体" w:hint="eastAsia"/>
        <w:b/>
        <w:bCs/>
        <w:sz w:val="21"/>
        <w:szCs w:val="21"/>
        <w:u w:val="single"/>
      </w:rPr>
      <w:t xml:space="preserve">                </w:t>
    </w:r>
    <w:r>
      <w:rPr>
        <w:rFonts w:ascii="楷体" w:eastAsia="楷体" w:hAnsi="楷体"/>
        <w:b/>
        <w:bCs/>
        <w:sz w:val="21"/>
        <w:szCs w:val="21"/>
        <w:u w:val="single"/>
      </w:rPr>
      <w:t xml:space="preserve">                 </w:t>
    </w:r>
    <w:r>
      <w:rPr>
        <w:rFonts w:ascii="楷体" w:eastAsia="楷体" w:hAnsi="楷体" w:hint="eastAsia"/>
        <w:b/>
        <w:bCs/>
        <w:sz w:val="21"/>
        <w:szCs w:val="21"/>
        <w:u w:val="single"/>
      </w:rPr>
      <w:t xml:space="preserve"> 临时用电施工组织设计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7"/>
    <w:multiLevelType w:val="multilevel"/>
    <w:tmpl w:val="00000007"/>
    <w:lvl w:ilvl="0">
      <w:start w:val="1"/>
      <w:numFmt w:val="none"/>
      <w:pStyle w:val="Heading1"/>
      <w:lvlJc w:val="left"/>
      <w:pPr>
        <w:tabs>
          <w:tab w:val="left" w:pos="432"/>
        </w:tabs>
        <w:ind w:left="432" w:hanging="432"/>
      </w:pPr>
      <w:rPr>
        <w:rFonts w:hint="eastAsia"/>
      </w:rPr>
    </w:lvl>
    <w:lvl w:ilvl="1">
      <w:start w:val="1"/>
      <w:numFmt w:val="none"/>
      <w:pStyle w:val="215"/>
      <w:lvlText w:val=" "/>
      <w:lvlJc w:val="left"/>
      <w:pPr>
        <w:tabs>
          <w:tab w:val="left" w:pos="576"/>
        </w:tabs>
        <w:ind w:left="576" w:hanging="576"/>
      </w:pPr>
      <w:rPr>
        <w:rFonts w:hint="eastAsia"/>
      </w:rPr>
    </w:lvl>
    <w:lvl w:ilvl="2">
      <w:start w:val="1"/>
      <w:numFmt w:val="none"/>
      <w:pStyle w:val="Heading3"/>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pStyle w:val="Heading6"/>
      <w:lvlText w:val="           "/>
      <w:lvlJc w:val="left"/>
      <w:pPr>
        <w:tabs>
          <w:tab w:val="left" w:pos="1440"/>
        </w:tabs>
        <w:ind w:left="1152" w:hanging="1152"/>
      </w:pPr>
      <w:rPr>
        <w:rFonts w:hint="eastAsia"/>
      </w:rPr>
    </w:lvl>
    <w:lvl w:ilvl="6">
      <w:start w:val="1"/>
      <w:numFmt w:val="decimal"/>
      <w:pStyle w:val="Heading7"/>
      <w:lvlText w:val="%1.%2.%3.%4.%5.%6.%7"/>
      <w:lvlJc w:val="left"/>
      <w:pPr>
        <w:tabs>
          <w:tab w:val="left" w:pos="2520"/>
        </w:tabs>
        <w:ind w:left="1296" w:hanging="1296"/>
      </w:pPr>
      <w:rPr>
        <w:rFonts w:hint="eastAsia"/>
      </w:rPr>
    </w:lvl>
    <w:lvl w:ilvl="7">
      <w:start w:val="1"/>
      <w:numFmt w:val="decimal"/>
      <w:pStyle w:val="Heading8"/>
      <w:lvlText w:val="%1.%2.%3.%4.%5.%6.%7.%8"/>
      <w:lvlJc w:val="left"/>
      <w:pPr>
        <w:tabs>
          <w:tab w:val="left" w:pos="1440"/>
        </w:tabs>
        <w:ind w:left="1440" w:hanging="1440"/>
      </w:pPr>
      <w:rPr>
        <w:rFonts w:hint="eastAsia"/>
      </w:rPr>
    </w:lvl>
    <w:lvl w:ilvl="8">
      <w:start w:val="1"/>
      <w:numFmt w:val="decimal"/>
      <w:pStyle w:val="Heading9"/>
      <w:lvlText w:val="%1.%2.%3.%4.%5.%6.%7.%8.%9"/>
      <w:lvlJc w:val="left"/>
      <w:pPr>
        <w:tabs>
          <w:tab w:val="left" w:pos="1584"/>
        </w:tabs>
        <w:ind w:left="1584" w:hanging="1584"/>
      </w:pPr>
      <w:rPr>
        <w:rFonts w:hint="eastAsia"/>
      </w:rPr>
    </w:lvl>
  </w:abstractNum>
  <w:abstractNum w:abstractNumId="1">
    <w:nsid w:val="2CDC3D6D"/>
    <w:multiLevelType w:val="singleLevel"/>
    <w:tmpl w:val="2CDC3D6D"/>
    <w:lvl w:ilvl="0">
      <w:start w:val="3"/>
      <w:numFmt w:val="chineseCounting"/>
      <w:suff w:val="nothing"/>
      <w:lvlText w:val="%1、"/>
      <w:lvlJc w:val="left"/>
      <w:rPr>
        <w:rFonts w:hint="eastAsia"/>
      </w:rPr>
    </w:lvl>
  </w:abstractNum>
  <w:abstractNum w:abstractNumId="2">
    <w:nsid w:val="51EE61BF"/>
    <w:multiLevelType w:val="multilevel"/>
    <w:tmpl w:val="51EE61BF"/>
    <w:lvl w:ilvl="0">
      <w:start w:val="2"/>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5690E766"/>
    <w:multiLevelType w:val="singleLevel"/>
    <w:tmpl w:val="5690E766"/>
    <w:lvl w:ilvl="0">
      <w:start w:val="1"/>
      <w:numFmt w:val="decimal"/>
      <w:suff w:val="nothing"/>
      <w:lvlText w:val="（%1）"/>
      <w:lvlJc w:val="left"/>
    </w:lvl>
  </w:abstractNum>
  <w:abstractNum w:abstractNumId="4">
    <w:nsid w:val="671430E9"/>
    <w:multiLevelType w:val="singleLevel"/>
    <w:tmpl w:val="671430E9"/>
    <w:lvl w:ilvl="0">
      <w:start w:val="1"/>
      <w:numFmt w:val="decimal"/>
      <w:pStyle w:val="30"/>
      <w:lvlText w:val="%1)"/>
      <w:lvlJc w:val="left"/>
      <w:pPr>
        <w:tabs>
          <w:tab w:val="left" w:pos="425"/>
        </w:tabs>
        <w:ind w:left="425" w:hanging="425"/>
      </w:pPr>
    </w:lvl>
  </w:abstractNum>
  <w:num w:numId="1">
    <w:abstractNumId w:val="0"/>
  </w:num>
  <w:num w:numId="2">
    <w:abstractNumId w:val="4"/>
  </w:num>
  <w:num w:numId="3">
    <w:abstractNumId w:val="2"/>
  </w:num>
  <w:num w:numId="4">
    <w:abstractNumId w:val="1"/>
  </w:num>
  <w:num w:numId="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7E4"/>
    <w:rsid w:val="00002AFE"/>
    <w:rsid w:val="00002FA8"/>
    <w:rsid w:val="00003B0F"/>
    <w:rsid w:val="00003E7F"/>
    <w:rsid w:val="00006A0E"/>
    <w:rsid w:val="000100CB"/>
    <w:rsid w:val="000107DC"/>
    <w:rsid w:val="000112EF"/>
    <w:rsid w:val="00011A4D"/>
    <w:rsid w:val="00011FEB"/>
    <w:rsid w:val="0001236E"/>
    <w:rsid w:val="00013B58"/>
    <w:rsid w:val="00017C4E"/>
    <w:rsid w:val="000217BC"/>
    <w:rsid w:val="00024B3E"/>
    <w:rsid w:val="00024F16"/>
    <w:rsid w:val="00027D67"/>
    <w:rsid w:val="00031C0D"/>
    <w:rsid w:val="000328CF"/>
    <w:rsid w:val="00037E80"/>
    <w:rsid w:val="00041BEB"/>
    <w:rsid w:val="000435A2"/>
    <w:rsid w:val="00043CF1"/>
    <w:rsid w:val="00045369"/>
    <w:rsid w:val="000513EA"/>
    <w:rsid w:val="0005438F"/>
    <w:rsid w:val="00055F28"/>
    <w:rsid w:val="00057F72"/>
    <w:rsid w:val="00061218"/>
    <w:rsid w:val="00061D9C"/>
    <w:rsid w:val="000635AD"/>
    <w:rsid w:val="00066453"/>
    <w:rsid w:val="00066F31"/>
    <w:rsid w:val="00067DB9"/>
    <w:rsid w:val="0007511E"/>
    <w:rsid w:val="0007546F"/>
    <w:rsid w:val="000755ED"/>
    <w:rsid w:val="00075997"/>
    <w:rsid w:val="00077739"/>
    <w:rsid w:val="0007773A"/>
    <w:rsid w:val="00080344"/>
    <w:rsid w:val="000804E8"/>
    <w:rsid w:val="00081A3D"/>
    <w:rsid w:val="00081DBD"/>
    <w:rsid w:val="00085183"/>
    <w:rsid w:val="00086FC3"/>
    <w:rsid w:val="00090626"/>
    <w:rsid w:val="0009083B"/>
    <w:rsid w:val="00090D31"/>
    <w:rsid w:val="000933E2"/>
    <w:rsid w:val="00093AC3"/>
    <w:rsid w:val="000A0F5E"/>
    <w:rsid w:val="000A1C00"/>
    <w:rsid w:val="000A3AA1"/>
    <w:rsid w:val="000A3B30"/>
    <w:rsid w:val="000A3EC7"/>
    <w:rsid w:val="000A408E"/>
    <w:rsid w:val="000A40FE"/>
    <w:rsid w:val="000A41FC"/>
    <w:rsid w:val="000A476B"/>
    <w:rsid w:val="000A4E1C"/>
    <w:rsid w:val="000B13A9"/>
    <w:rsid w:val="000B2045"/>
    <w:rsid w:val="000B3295"/>
    <w:rsid w:val="000B393A"/>
    <w:rsid w:val="000B3CDC"/>
    <w:rsid w:val="000B44F9"/>
    <w:rsid w:val="000B7634"/>
    <w:rsid w:val="000B7B9D"/>
    <w:rsid w:val="000C4332"/>
    <w:rsid w:val="000C5544"/>
    <w:rsid w:val="000C5870"/>
    <w:rsid w:val="000C74F1"/>
    <w:rsid w:val="000C7E6A"/>
    <w:rsid w:val="000D05E2"/>
    <w:rsid w:val="000D6D8B"/>
    <w:rsid w:val="000D6FAA"/>
    <w:rsid w:val="000D761C"/>
    <w:rsid w:val="000E03D6"/>
    <w:rsid w:val="000E37B3"/>
    <w:rsid w:val="000E77A3"/>
    <w:rsid w:val="000F2BF2"/>
    <w:rsid w:val="000F3AA4"/>
    <w:rsid w:val="000F4A08"/>
    <w:rsid w:val="000F64A7"/>
    <w:rsid w:val="000F694C"/>
    <w:rsid w:val="00100070"/>
    <w:rsid w:val="001000A9"/>
    <w:rsid w:val="00101408"/>
    <w:rsid w:val="0010272A"/>
    <w:rsid w:val="00103774"/>
    <w:rsid w:val="00104635"/>
    <w:rsid w:val="00105A17"/>
    <w:rsid w:val="00107B6D"/>
    <w:rsid w:val="00107F79"/>
    <w:rsid w:val="00110C5B"/>
    <w:rsid w:val="0011254B"/>
    <w:rsid w:val="00112C81"/>
    <w:rsid w:val="00112CE4"/>
    <w:rsid w:val="001155EF"/>
    <w:rsid w:val="00115910"/>
    <w:rsid w:val="001173DC"/>
    <w:rsid w:val="001218B1"/>
    <w:rsid w:val="00121CC3"/>
    <w:rsid w:val="00121D06"/>
    <w:rsid w:val="001220B6"/>
    <w:rsid w:val="0012505B"/>
    <w:rsid w:val="00125B8C"/>
    <w:rsid w:val="00125FD8"/>
    <w:rsid w:val="001272C8"/>
    <w:rsid w:val="00127DB6"/>
    <w:rsid w:val="001316FD"/>
    <w:rsid w:val="001325E5"/>
    <w:rsid w:val="00133AC3"/>
    <w:rsid w:val="0013560F"/>
    <w:rsid w:val="00136B0F"/>
    <w:rsid w:val="00137FE9"/>
    <w:rsid w:val="00140487"/>
    <w:rsid w:val="00142303"/>
    <w:rsid w:val="00142586"/>
    <w:rsid w:val="00142B48"/>
    <w:rsid w:val="00146271"/>
    <w:rsid w:val="00147AAD"/>
    <w:rsid w:val="00152784"/>
    <w:rsid w:val="00152A7A"/>
    <w:rsid w:val="00154FDB"/>
    <w:rsid w:val="00155F07"/>
    <w:rsid w:val="0015749C"/>
    <w:rsid w:val="00160983"/>
    <w:rsid w:val="00160AC7"/>
    <w:rsid w:val="00161FD0"/>
    <w:rsid w:val="00163177"/>
    <w:rsid w:val="00163B1C"/>
    <w:rsid w:val="00164296"/>
    <w:rsid w:val="001654FF"/>
    <w:rsid w:val="00172A27"/>
    <w:rsid w:val="00174C42"/>
    <w:rsid w:val="001759A8"/>
    <w:rsid w:val="001809F7"/>
    <w:rsid w:val="00181C09"/>
    <w:rsid w:val="00182F42"/>
    <w:rsid w:val="00185FAF"/>
    <w:rsid w:val="001915DA"/>
    <w:rsid w:val="00193370"/>
    <w:rsid w:val="00196193"/>
    <w:rsid w:val="001969A7"/>
    <w:rsid w:val="001977CB"/>
    <w:rsid w:val="001977F4"/>
    <w:rsid w:val="001A0A2C"/>
    <w:rsid w:val="001A1316"/>
    <w:rsid w:val="001A176D"/>
    <w:rsid w:val="001A17A9"/>
    <w:rsid w:val="001A1A02"/>
    <w:rsid w:val="001A23D3"/>
    <w:rsid w:val="001A2DE6"/>
    <w:rsid w:val="001A2FAB"/>
    <w:rsid w:val="001A4057"/>
    <w:rsid w:val="001A44A7"/>
    <w:rsid w:val="001B0421"/>
    <w:rsid w:val="001B055B"/>
    <w:rsid w:val="001B0B43"/>
    <w:rsid w:val="001B1E86"/>
    <w:rsid w:val="001B2C15"/>
    <w:rsid w:val="001B39FC"/>
    <w:rsid w:val="001B4E18"/>
    <w:rsid w:val="001B58FC"/>
    <w:rsid w:val="001C09AD"/>
    <w:rsid w:val="001C1ED4"/>
    <w:rsid w:val="001C3F84"/>
    <w:rsid w:val="001C4D9E"/>
    <w:rsid w:val="001C4F23"/>
    <w:rsid w:val="001C5391"/>
    <w:rsid w:val="001C58A1"/>
    <w:rsid w:val="001D0204"/>
    <w:rsid w:val="001D09D1"/>
    <w:rsid w:val="001D31BE"/>
    <w:rsid w:val="001D328D"/>
    <w:rsid w:val="001D4314"/>
    <w:rsid w:val="001D4D58"/>
    <w:rsid w:val="001D5E00"/>
    <w:rsid w:val="001D5E0E"/>
    <w:rsid w:val="001D637A"/>
    <w:rsid w:val="001E1F24"/>
    <w:rsid w:val="001E36D0"/>
    <w:rsid w:val="001E77FD"/>
    <w:rsid w:val="001F2B07"/>
    <w:rsid w:val="001F52C0"/>
    <w:rsid w:val="001F6F63"/>
    <w:rsid w:val="002013BE"/>
    <w:rsid w:val="00201C16"/>
    <w:rsid w:val="00205740"/>
    <w:rsid w:val="002072C6"/>
    <w:rsid w:val="002072E0"/>
    <w:rsid w:val="00210909"/>
    <w:rsid w:val="00210F5A"/>
    <w:rsid w:val="00212E28"/>
    <w:rsid w:val="00214956"/>
    <w:rsid w:val="002152F7"/>
    <w:rsid w:val="002157C8"/>
    <w:rsid w:val="00221105"/>
    <w:rsid w:val="0022692F"/>
    <w:rsid w:val="00226C8A"/>
    <w:rsid w:val="00226EB5"/>
    <w:rsid w:val="0023312D"/>
    <w:rsid w:val="0023382E"/>
    <w:rsid w:val="0023642E"/>
    <w:rsid w:val="00236F9B"/>
    <w:rsid w:val="0024026D"/>
    <w:rsid w:val="00240534"/>
    <w:rsid w:val="00240601"/>
    <w:rsid w:val="0024297C"/>
    <w:rsid w:val="00243D38"/>
    <w:rsid w:val="002518D4"/>
    <w:rsid w:val="00251959"/>
    <w:rsid w:val="0025337B"/>
    <w:rsid w:val="00254860"/>
    <w:rsid w:val="002561A2"/>
    <w:rsid w:val="00262482"/>
    <w:rsid w:val="00262A7D"/>
    <w:rsid w:val="00266B8D"/>
    <w:rsid w:val="0027006F"/>
    <w:rsid w:val="002707C2"/>
    <w:rsid w:val="00272DC2"/>
    <w:rsid w:val="0027325B"/>
    <w:rsid w:val="00275439"/>
    <w:rsid w:val="002759FC"/>
    <w:rsid w:val="002764E5"/>
    <w:rsid w:val="002771B6"/>
    <w:rsid w:val="00283D50"/>
    <w:rsid w:val="002877AE"/>
    <w:rsid w:val="002905A8"/>
    <w:rsid w:val="00291088"/>
    <w:rsid w:val="00291B11"/>
    <w:rsid w:val="0029633A"/>
    <w:rsid w:val="00296F91"/>
    <w:rsid w:val="002A36DE"/>
    <w:rsid w:val="002A4242"/>
    <w:rsid w:val="002A5DD5"/>
    <w:rsid w:val="002A6782"/>
    <w:rsid w:val="002A7913"/>
    <w:rsid w:val="002B1264"/>
    <w:rsid w:val="002B1D51"/>
    <w:rsid w:val="002B1E93"/>
    <w:rsid w:val="002B5539"/>
    <w:rsid w:val="002C1C85"/>
    <w:rsid w:val="002C2D98"/>
    <w:rsid w:val="002C4310"/>
    <w:rsid w:val="002C4CD4"/>
    <w:rsid w:val="002C57EC"/>
    <w:rsid w:val="002C5852"/>
    <w:rsid w:val="002C5F99"/>
    <w:rsid w:val="002C6038"/>
    <w:rsid w:val="002C6C75"/>
    <w:rsid w:val="002D3209"/>
    <w:rsid w:val="002D6F1F"/>
    <w:rsid w:val="002D70A7"/>
    <w:rsid w:val="002D7DA1"/>
    <w:rsid w:val="002D7FD6"/>
    <w:rsid w:val="002E2C61"/>
    <w:rsid w:val="002E40B7"/>
    <w:rsid w:val="002E613C"/>
    <w:rsid w:val="002F1251"/>
    <w:rsid w:val="002F1E02"/>
    <w:rsid w:val="002F2BD7"/>
    <w:rsid w:val="002F3CE3"/>
    <w:rsid w:val="002F3E62"/>
    <w:rsid w:val="002F4E35"/>
    <w:rsid w:val="002F6350"/>
    <w:rsid w:val="00301C8B"/>
    <w:rsid w:val="0030370A"/>
    <w:rsid w:val="00304F70"/>
    <w:rsid w:val="003078BB"/>
    <w:rsid w:val="00311E0D"/>
    <w:rsid w:val="00312B2D"/>
    <w:rsid w:val="00312C53"/>
    <w:rsid w:val="00313AB1"/>
    <w:rsid w:val="003160F2"/>
    <w:rsid w:val="0031771B"/>
    <w:rsid w:val="0032063B"/>
    <w:rsid w:val="00321178"/>
    <w:rsid w:val="0032229D"/>
    <w:rsid w:val="003238A1"/>
    <w:rsid w:val="003248F1"/>
    <w:rsid w:val="00324C9F"/>
    <w:rsid w:val="00325550"/>
    <w:rsid w:val="00327BAF"/>
    <w:rsid w:val="00334BBD"/>
    <w:rsid w:val="00337581"/>
    <w:rsid w:val="003379C5"/>
    <w:rsid w:val="00337A0D"/>
    <w:rsid w:val="00337CF5"/>
    <w:rsid w:val="00340946"/>
    <w:rsid w:val="00340B93"/>
    <w:rsid w:val="003434B5"/>
    <w:rsid w:val="003439FC"/>
    <w:rsid w:val="00345AFA"/>
    <w:rsid w:val="00345CBC"/>
    <w:rsid w:val="003463C1"/>
    <w:rsid w:val="00347E58"/>
    <w:rsid w:val="003515C2"/>
    <w:rsid w:val="00352604"/>
    <w:rsid w:val="00352C7B"/>
    <w:rsid w:val="0035305E"/>
    <w:rsid w:val="00354702"/>
    <w:rsid w:val="003548A8"/>
    <w:rsid w:val="00354C11"/>
    <w:rsid w:val="00355823"/>
    <w:rsid w:val="00355A2F"/>
    <w:rsid w:val="00357ACD"/>
    <w:rsid w:val="00357C40"/>
    <w:rsid w:val="00362D71"/>
    <w:rsid w:val="00364ADF"/>
    <w:rsid w:val="00370B2E"/>
    <w:rsid w:val="0037216D"/>
    <w:rsid w:val="00372C47"/>
    <w:rsid w:val="00373276"/>
    <w:rsid w:val="00373DFC"/>
    <w:rsid w:val="00373EC2"/>
    <w:rsid w:val="00374391"/>
    <w:rsid w:val="00374CF4"/>
    <w:rsid w:val="003750CA"/>
    <w:rsid w:val="00377F64"/>
    <w:rsid w:val="00381B62"/>
    <w:rsid w:val="003832D9"/>
    <w:rsid w:val="00385653"/>
    <w:rsid w:val="00386526"/>
    <w:rsid w:val="00386B45"/>
    <w:rsid w:val="00386C69"/>
    <w:rsid w:val="00387DDA"/>
    <w:rsid w:val="00390BB9"/>
    <w:rsid w:val="00391C72"/>
    <w:rsid w:val="00392D8C"/>
    <w:rsid w:val="00393767"/>
    <w:rsid w:val="003951CA"/>
    <w:rsid w:val="00395630"/>
    <w:rsid w:val="003957B5"/>
    <w:rsid w:val="00396B5C"/>
    <w:rsid w:val="00397415"/>
    <w:rsid w:val="00397479"/>
    <w:rsid w:val="00397F90"/>
    <w:rsid w:val="003A03B3"/>
    <w:rsid w:val="003A0554"/>
    <w:rsid w:val="003A0DCE"/>
    <w:rsid w:val="003A2156"/>
    <w:rsid w:val="003A7D14"/>
    <w:rsid w:val="003B04CC"/>
    <w:rsid w:val="003B053D"/>
    <w:rsid w:val="003B1646"/>
    <w:rsid w:val="003B1AED"/>
    <w:rsid w:val="003B2A17"/>
    <w:rsid w:val="003B37D1"/>
    <w:rsid w:val="003B542E"/>
    <w:rsid w:val="003B6107"/>
    <w:rsid w:val="003C0D4D"/>
    <w:rsid w:val="003C13CB"/>
    <w:rsid w:val="003C2240"/>
    <w:rsid w:val="003C229A"/>
    <w:rsid w:val="003C260B"/>
    <w:rsid w:val="003C26BC"/>
    <w:rsid w:val="003C505E"/>
    <w:rsid w:val="003C5A87"/>
    <w:rsid w:val="003C7A76"/>
    <w:rsid w:val="003D0FAD"/>
    <w:rsid w:val="003D2674"/>
    <w:rsid w:val="003D2A43"/>
    <w:rsid w:val="003D2AE7"/>
    <w:rsid w:val="003D63A9"/>
    <w:rsid w:val="003D6CAC"/>
    <w:rsid w:val="003E0586"/>
    <w:rsid w:val="003E07BF"/>
    <w:rsid w:val="003E081B"/>
    <w:rsid w:val="003E12F6"/>
    <w:rsid w:val="003E450F"/>
    <w:rsid w:val="003E481E"/>
    <w:rsid w:val="003E5C6D"/>
    <w:rsid w:val="003E6753"/>
    <w:rsid w:val="003F06D2"/>
    <w:rsid w:val="003F417F"/>
    <w:rsid w:val="003F5751"/>
    <w:rsid w:val="003F6C4B"/>
    <w:rsid w:val="003F7DF5"/>
    <w:rsid w:val="004022D7"/>
    <w:rsid w:val="004040D2"/>
    <w:rsid w:val="0040567B"/>
    <w:rsid w:val="00406FFA"/>
    <w:rsid w:val="004072AB"/>
    <w:rsid w:val="00407B83"/>
    <w:rsid w:val="00410264"/>
    <w:rsid w:val="00410FAE"/>
    <w:rsid w:val="0041110A"/>
    <w:rsid w:val="0041289D"/>
    <w:rsid w:val="004131C6"/>
    <w:rsid w:val="0041372A"/>
    <w:rsid w:val="00414B33"/>
    <w:rsid w:val="00420A45"/>
    <w:rsid w:val="00421CC4"/>
    <w:rsid w:val="00423A04"/>
    <w:rsid w:val="00425529"/>
    <w:rsid w:val="00430AB1"/>
    <w:rsid w:val="00431C01"/>
    <w:rsid w:val="0043361C"/>
    <w:rsid w:val="00435027"/>
    <w:rsid w:val="00435692"/>
    <w:rsid w:val="00435BFF"/>
    <w:rsid w:val="00435FA6"/>
    <w:rsid w:val="00441136"/>
    <w:rsid w:val="00442366"/>
    <w:rsid w:val="004453A0"/>
    <w:rsid w:val="0044550F"/>
    <w:rsid w:val="00446E2A"/>
    <w:rsid w:val="00447479"/>
    <w:rsid w:val="00454A87"/>
    <w:rsid w:val="0045564A"/>
    <w:rsid w:val="00455C43"/>
    <w:rsid w:val="00455E32"/>
    <w:rsid w:val="004573D4"/>
    <w:rsid w:val="00457D05"/>
    <w:rsid w:val="00465337"/>
    <w:rsid w:val="00466C71"/>
    <w:rsid w:val="00470F16"/>
    <w:rsid w:val="00471C37"/>
    <w:rsid w:val="00475DF7"/>
    <w:rsid w:val="004800D3"/>
    <w:rsid w:val="0048130E"/>
    <w:rsid w:val="004838A6"/>
    <w:rsid w:val="00484886"/>
    <w:rsid w:val="00484D05"/>
    <w:rsid w:val="004875BA"/>
    <w:rsid w:val="004900CA"/>
    <w:rsid w:val="00491541"/>
    <w:rsid w:val="004919CF"/>
    <w:rsid w:val="00493089"/>
    <w:rsid w:val="004931A1"/>
    <w:rsid w:val="00495513"/>
    <w:rsid w:val="004A0CA9"/>
    <w:rsid w:val="004A0D3B"/>
    <w:rsid w:val="004A132B"/>
    <w:rsid w:val="004A41D9"/>
    <w:rsid w:val="004A6D59"/>
    <w:rsid w:val="004A796F"/>
    <w:rsid w:val="004B0758"/>
    <w:rsid w:val="004B28EE"/>
    <w:rsid w:val="004B3C86"/>
    <w:rsid w:val="004B3EB7"/>
    <w:rsid w:val="004B59A9"/>
    <w:rsid w:val="004B6521"/>
    <w:rsid w:val="004B6955"/>
    <w:rsid w:val="004B6C23"/>
    <w:rsid w:val="004C65F8"/>
    <w:rsid w:val="004C7181"/>
    <w:rsid w:val="004D06A9"/>
    <w:rsid w:val="004D0D81"/>
    <w:rsid w:val="004D27D4"/>
    <w:rsid w:val="004D4225"/>
    <w:rsid w:val="004D5CD1"/>
    <w:rsid w:val="004D7A22"/>
    <w:rsid w:val="004E2647"/>
    <w:rsid w:val="004E38A4"/>
    <w:rsid w:val="004E3EC0"/>
    <w:rsid w:val="004E3FFA"/>
    <w:rsid w:val="004E462A"/>
    <w:rsid w:val="004E59F9"/>
    <w:rsid w:val="004F242F"/>
    <w:rsid w:val="004F3AAE"/>
    <w:rsid w:val="004F3EAD"/>
    <w:rsid w:val="004F529B"/>
    <w:rsid w:val="004F53F0"/>
    <w:rsid w:val="004F6992"/>
    <w:rsid w:val="004F6DAC"/>
    <w:rsid w:val="005016E9"/>
    <w:rsid w:val="00502A28"/>
    <w:rsid w:val="005031E9"/>
    <w:rsid w:val="00504F77"/>
    <w:rsid w:val="00510ABB"/>
    <w:rsid w:val="00513114"/>
    <w:rsid w:val="00513D2C"/>
    <w:rsid w:val="00514921"/>
    <w:rsid w:val="0051688E"/>
    <w:rsid w:val="00521600"/>
    <w:rsid w:val="00525345"/>
    <w:rsid w:val="00526920"/>
    <w:rsid w:val="00526F75"/>
    <w:rsid w:val="00537F80"/>
    <w:rsid w:val="005428C2"/>
    <w:rsid w:val="00543415"/>
    <w:rsid w:val="00545226"/>
    <w:rsid w:val="00551CE4"/>
    <w:rsid w:val="00552377"/>
    <w:rsid w:val="00552777"/>
    <w:rsid w:val="005554C9"/>
    <w:rsid w:val="00555EA0"/>
    <w:rsid w:val="005564D1"/>
    <w:rsid w:val="00556DB8"/>
    <w:rsid w:val="00560911"/>
    <w:rsid w:val="00562F53"/>
    <w:rsid w:val="00566AB3"/>
    <w:rsid w:val="00570EA4"/>
    <w:rsid w:val="00571AFB"/>
    <w:rsid w:val="00571D04"/>
    <w:rsid w:val="00571E57"/>
    <w:rsid w:val="0057236A"/>
    <w:rsid w:val="00575597"/>
    <w:rsid w:val="0057627A"/>
    <w:rsid w:val="005777FD"/>
    <w:rsid w:val="00580152"/>
    <w:rsid w:val="005827B2"/>
    <w:rsid w:val="00584406"/>
    <w:rsid w:val="00586150"/>
    <w:rsid w:val="00587D18"/>
    <w:rsid w:val="005906C2"/>
    <w:rsid w:val="00591FBE"/>
    <w:rsid w:val="005928C6"/>
    <w:rsid w:val="005940EF"/>
    <w:rsid w:val="005949B9"/>
    <w:rsid w:val="005A10D4"/>
    <w:rsid w:val="005A184D"/>
    <w:rsid w:val="005A2082"/>
    <w:rsid w:val="005A511F"/>
    <w:rsid w:val="005A5A51"/>
    <w:rsid w:val="005A6BB9"/>
    <w:rsid w:val="005A7275"/>
    <w:rsid w:val="005A7A0A"/>
    <w:rsid w:val="005B2799"/>
    <w:rsid w:val="005B38FF"/>
    <w:rsid w:val="005B45A1"/>
    <w:rsid w:val="005B5518"/>
    <w:rsid w:val="005B56BE"/>
    <w:rsid w:val="005B7AF1"/>
    <w:rsid w:val="005C1332"/>
    <w:rsid w:val="005C2450"/>
    <w:rsid w:val="005C36E7"/>
    <w:rsid w:val="005C3AD5"/>
    <w:rsid w:val="005C3E76"/>
    <w:rsid w:val="005C5BB8"/>
    <w:rsid w:val="005C6206"/>
    <w:rsid w:val="005C6236"/>
    <w:rsid w:val="005C6579"/>
    <w:rsid w:val="005C67EE"/>
    <w:rsid w:val="005C72C1"/>
    <w:rsid w:val="005C748D"/>
    <w:rsid w:val="005D024F"/>
    <w:rsid w:val="005D05EF"/>
    <w:rsid w:val="005D08EF"/>
    <w:rsid w:val="005D161D"/>
    <w:rsid w:val="005D26C9"/>
    <w:rsid w:val="005D392A"/>
    <w:rsid w:val="005D3E1F"/>
    <w:rsid w:val="005D58F4"/>
    <w:rsid w:val="005D6A48"/>
    <w:rsid w:val="005E0622"/>
    <w:rsid w:val="005E08DF"/>
    <w:rsid w:val="005E773D"/>
    <w:rsid w:val="005F0A24"/>
    <w:rsid w:val="005F31FE"/>
    <w:rsid w:val="005F453D"/>
    <w:rsid w:val="005F4A6C"/>
    <w:rsid w:val="005F4C42"/>
    <w:rsid w:val="005F56A8"/>
    <w:rsid w:val="005F700B"/>
    <w:rsid w:val="005F7075"/>
    <w:rsid w:val="00600022"/>
    <w:rsid w:val="006000E7"/>
    <w:rsid w:val="006015CF"/>
    <w:rsid w:val="00601AEE"/>
    <w:rsid w:val="0060275F"/>
    <w:rsid w:val="00603DCC"/>
    <w:rsid w:val="006145C3"/>
    <w:rsid w:val="00615DEB"/>
    <w:rsid w:val="00617B25"/>
    <w:rsid w:val="0062111A"/>
    <w:rsid w:val="00622E1A"/>
    <w:rsid w:val="006248C1"/>
    <w:rsid w:val="00624D24"/>
    <w:rsid w:val="0063152D"/>
    <w:rsid w:val="00633449"/>
    <w:rsid w:val="00635800"/>
    <w:rsid w:val="00637FD0"/>
    <w:rsid w:val="00643B5F"/>
    <w:rsid w:val="00644C46"/>
    <w:rsid w:val="006451BA"/>
    <w:rsid w:val="0064582D"/>
    <w:rsid w:val="00647D0D"/>
    <w:rsid w:val="00650CC3"/>
    <w:rsid w:val="00653B4A"/>
    <w:rsid w:val="00653FD6"/>
    <w:rsid w:val="006567A3"/>
    <w:rsid w:val="00657A92"/>
    <w:rsid w:val="006642C6"/>
    <w:rsid w:val="00664ED0"/>
    <w:rsid w:val="00665AA5"/>
    <w:rsid w:val="00666194"/>
    <w:rsid w:val="0066634C"/>
    <w:rsid w:val="00667EE3"/>
    <w:rsid w:val="00670751"/>
    <w:rsid w:val="00671A4A"/>
    <w:rsid w:val="00671FAE"/>
    <w:rsid w:val="00676A0D"/>
    <w:rsid w:val="00677C93"/>
    <w:rsid w:val="0068133A"/>
    <w:rsid w:val="0068171B"/>
    <w:rsid w:val="00681A3D"/>
    <w:rsid w:val="00681AFF"/>
    <w:rsid w:val="006843EA"/>
    <w:rsid w:val="0068539B"/>
    <w:rsid w:val="00685426"/>
    <w:rsid w:val="00686BC8"/>
    <w:rsid w:val="00687595"/>
    <w:rsid w:val="006912F8"/>
    <w:rsid w:val="00691AF0"/>
    <w:rsid w:val="00691E1C"/>
    <w:rsid w:val="00693791"/>
    <w:rsid w:val="006950FE"/>
    <w:rsid w:val="006A1936"/>
    <w:rsid w:val="006A2D08"/>
    <w:rsid w:val="006A371C"/>
    <w:rsid w:val="006A47E1"/>
    <w:rsid w:val="006A62E0"/>
    <w:rsid w:val="006A63AA"/>
    <w:rsid w:val="006B090C"/>
    <w:rsid w:val="006B37CE"/>
    <w:rsid w:val="006B674F"/>
    <w:rsid w:val="006B78C2"/>
    <w:rsid w:val="006B7994"/>
    <w:rsid w:val="006C033F"/>
    <w:rsid w:val="006C1DFE"/>
    <w:rsid w:val="006C277F"/>
    <w:rsid w:val="006C3AB6"/>
    <w:rsid w:val="006C40FC"/>
    <w:rsid w:val="006C4614"/>
    <w:rsid w:val="006C58F0"/>
    <w:rsid w:val="006C5B51"/>
    <w:rsid w:val="006C6037"/>
    <w:rsid w:val="006C64B3"/>
    <w:rsid w:val="006D0BA0"/>
    <w:rsid w:val="006D0EEF"/>
    <w:rsid w:val="006D3044"/>
    <w:rsid w:val="006D3A9A"/>
    <w:rsid w:val="006D3DC9"/>
    <w:rsid w:val="006D51CD"/>
    <w:rsid w:val="006D690A"/>
    <w:rsid w:val="006E091E"/>
    <w:rsid w:val="006E0981"/>
    <w:rsid w:val="006E0D77"/>
    <w:rsid w:val="006E1F5D"/>
    <w:rsid w:val="006E4029"/>
    <w:rsid w:val="006E67BE"/>
    <w:rsid w:val="006F1724"/>
    <w:rsid w:val="006F2940"/>
    <w:rsid w:val="006F5DCA"/>
    <w:rsid w:val="007015A4"/>
    <w:rsid w:val="007042B5"/>
    <w:rsid w:val="00707976"/>
    <w:rsid w:val="007107E2"/>
    <w:rsid w:val="00711C66"/>
    <w:rsid w:val="00712E88"/>
    <w:rsid w:val="0071343E"/>
    <w:rsid w:val="007138A4"/>
    <w:rsid w:val="007146B5"/>
    <w:rsid w:val="00717558"/>
    <w:rsid w:val="00717681"/>
    <w:rsid w:val="0072002A"/>
    <w:rsid w:val="0072130C"/>
    <w:rsid w:val="00722B22"/>
    <w:rsid w:val="0072338D"/>
    <w:rsid w:val="00727633"/>
    <w:rsid w:val="00727853"/>
    <w:rsid w:val="0073146E"/>
    <w:rsid w:val="00737247"/>
    <w:rsid w:val="00740F89"/>
    <w:rsid w:val="007473E3"/>
    <w:rsid w:val="007476B1"/>
    <w:rsid w:val="00747777"/>
    <w:rsid w:val="00750CD2"/>
    <w:rsid w:val="00750D29"/>
    <w:rsid w:val="00750FF5"/>
    <w:rsid w:val="007528F6"/>
    <w:rsid w:val="007543B4"/>
    <w:rsid w:val="00755FCF"/>
    <w:rsid w:val="00756348"/>
    <w:rsid w:val="00757E0D"/>
    <w:rsid w:val="00763172"/>
    <w:rsid w:val="007656DE"/>
    <w:rsid w:val="00766C91"/>
    <w:rsid w:val="00771C4D"/>
    <w:rsid w:val="00771D81"/>
    <w:rsid w:val="00773254"/>
    <w:rsid w:val="00776551"/>
    <w:rsid w:val="0078407C"/>
    <w:rsid w:val="00784650"/>
    <w:rsid w:val="00784DA6"/>
    <w:rsid w:val="00786EE6"/>
    <w:rsid w:val="007907A1"/>
    <w:rsid w:val="00791B36"/>
    <w:rsid w:val="007923D8"/>
    <w:rsid w:val="00793758"/>
    <w:rsid w:val="007954EB"/>
    <w:rsid w:val="007962E6"/>
    <w:rsid w:val="007A0CC1"/>
    <w:rsid w:val="007A2504"/>
    <w:rsid w:val="007A3834"/>
    <w:rsid w:val="007A423D"/>
    <w:rsid w:val="007A46BB"/>
    <w:rsid w:val="007A7066"/>
    <w:rsid w:val="007B03B1"/>
    <w:rsid w:val="007B37EE"/>
    <w:rsid w:val="007B61B5"/>
    <w:rsid w:val="007C3800"/>
    <w:rsid w:val="007C3824"/>
    <w:rsid w:val="007C5597"/>
    <w:rsid w:val="007C7348"/>
    <w:rsid w:val="007D0400"/>
    <w:rsid w:val="007D5B81"/>
    <w:rsid w:val="007D7635"/>
    <w:rsid w:val="007D7B3C"/>
    <w:rsid w:val="007E37C2"/>
    <w:rsid w:val="007E39B3"/>
    <w:rsid w:val="007E5155"/>
    <w:rsid w:val="007F1B5B"/>
    <w:rsid w:val="007F3BCF"/>
    <w:rsid w:val="007F3DF0"/>
    <w:rsid w:val="008011A5"/>
    <w:rsid w:val="00801BE5"/>
    <w:rsid w:val="0080385F"/>
    <w:rsid w:val="00804A2C"/>
    <w:rsid w:val="00811380"/>
    <w:rsid w:val="008116E6"/>
    <w:rsid w:val="008151C1"/>
    <w:rsid w:val="00820A27"/>
    <w:rsid w:val="008211EA"/>
    <w:rsid w:val="0082188F"/>
    <w:rsid w:val="00821EF3"/>
    <w:rsid w:val="00823814"/>
    <w:rsid w:val="00823B2E"/>
    <w:rsid w:val="00824D5B"/>
    <w:rsid w:val="008268F0"/>
    <w:rsid w:val="00827077"/>
    <w:rsid w:val="00827826"/>
    <w:rsid w:val="00827D33"/>
    <w:rsid w:val="008313D2"/>
    <w:rsid w:val="00831663"/>
    <w:rsid w:val="00833842"/>
    <w:rsid w:val="0084019C"/>
    <w:rsid w:val="0084097E"/>
    <w:rsid w:val="008416A0"/>
    <w:rsid w:val="00843FE4"/>
    <w:rsid w:val="008451A1"/>
    <w:rsid w:val="00846E6A"/>
    <w:rsid w:val="00853B7D"/>
    <w:rsid w:val="0085431A"/>
    <w:rsid w:val="008555BE"/>
    <w:rsid w:val="00856B1F"/>
    <w:rsid w:val="00857DDD"/>
    <w:rsid w:val="00864723"/>
    <w:rsid w:val="00865DF4"/>
    <w:rsid w:val="0087017A"/>
    <w:rsid w:val="00870326"/>
    <w:rsid w:val="00870439"/>
    <w:rsid w:val="00870A5A"/>
    <w:rsid w:val="0087158D"/>
    <w:rsid w:val="00871FF9"/>
    <w:rsid w:val="00873EE3"/>
    <w:rsid w:val="0087732E"/>
    <w:rsid w:val="008820D1"/>
    <w:rsid w:val="00886078"/>
    <w:rsid w:val="008864C1"/>
    <w:rsid w:val="00887999"/>
    <w:rsid w:val="00891243"/>
    <w:rsid w:val="00891E98"/>
    <w:rsid w:val="00892FB0"/>
    <w:rsid w:val="00894052"/>
    <w:rsid w:val="008944D3"/>
    <w:rsid w:val="00895689"/>
    <w:rsid w:val="008959E9"/>
    <w:rsid w:val="00896A2D"/>
    <w:rsid w:val="00897BF4"/>
    <w:rsid w:val="008A0B09"/>
    <w:rsid w:val="008A53F6"/>
    <w:rsid w:val="008A641A"/>
    <w:rsid w:val="008B0893"/>
    <w:rsid w:val="008B29AA"/>
    <w:rsid w:val="008B7E05"/>
    <w:rsid w:val="008C1A7D"/>
    <w:rsid w:val="008C36FB"/>
    <w:rsid w:val="008C3E29"/>
    <w:rsid w:val="008C492B"/>
    <w:rsid w:val="008C4A5D"/>
    <w:rsid w:val="008C52AB"/>
    <w:rsid w:val="008C6CA6"/>
    <w:rsid w:val="008C7C56"/>
    <w:rsid w:val="008D3988"/>
    <w:rsid w:val="008D3D51"/>
    <w:rsid w:val="008D4ABD"/>
    <w:rsid w:val="008D557D"/>
    <w:rsid w:val="008D5E2D"/>
    <w:rsid w:val="008D5FC0"/>
    <w:rsid w:val="008E1FAD"/>
    <w:rsid w:val="008E21FB"/>
    <w:rsid w:val="008E3444"/>
    <w:rsid w:val="008E49AF"/>
    <w:rsid w:val="008E53C0"/>
    <w:rsid w:val="008E5A4C"/>
    <w:rsid w:val="008E5B2F"/>
    <w:rsid w:val="008E7A37"/>
    <w:rsid w:val="008F3FB4"/>
    <w:rsid w:val="008F4353"/>
    <w:rsid w:val="008F464C"/>
    <w:rsid w:val="008F7F86"/>
    <w:rsid w:val="00901CE0"/>
    <w:rsid w:val="00903916"/>
    <w:rsid w:val="0090696A"/>
    <w:rsid w:val="009079E9"/>
    <w:rsid w:val="00910DFF"/>
    <w:rsid w:val="00913B02"/>
    <w:rsid w:val="00917DB5"/>
    <w:rsid w:val="0092074D"/>
    <w:rsid w:val="00920817"/>
    <w:rsid w:val="00921326"/>
    <w:rsid w:val="00921618"/>
    <w:rsid w:val="00923729"/>
    <w:rsid w:val="00923770"/>
    <w:rsid w:val="009274FB"/>
    <w:rsid w:val="00930D93"/>
    <w:rsid w:val="00931494"/>
    <w:rsid w:val="00931CA6"/>
    <w:rsid w:val="0093263D"/>
    <w:rsid w:val="00940959"/>
    <w:rsid w:val="00941CCF"/>
    <w:rsid w:val="0094296E"/>
    <w:rsid w:val="0094517C"/>
    <w:rsid w:val="009461AE"/>
    <w:rsid w:val="0094667D"/>
    <w:rsid w:val="00946FA6"/>
    <w:rsid w:val="009506BA"/>
    <w:rsid w:val="009517CF"/>
    <w:rsid w:val="00953878"/>
    <w:rsid w:val="00961961"/>
    <w:rsid w:val="00961A31"/>
    <w:rsid w:val="00962BF6"/>
    <w:rsid w:val="009631F4"/>
    <w:rsid w:val="0096467C"/>
    <w:rsid w:val="0096575F"/>
    <w:rsid w:val="009660FF"/>
    <w:rsid w:val="0096628D"/>
    <w:rsid w:val="009669EC"/>
    <w:rsid w:val="0096731D"/>
    <w:rsid w:val="0096761C"/>
    <w:rsid w:val="00970CA9"/>
    <w:rsid w:val="00973877"/>
    <w:rsid w:val="0097421F"/>
    <w:rsid w:val="0097484D"/>
    <w:rsid w:val="00975DD3"/>
    <w:rsid w:val="009761C3"/>
    <w:rsid w:val="00976530"/>
    <w:rsid w:val="00976B9B"/>
    <w:rsid w:val="00976EDC"/>
    <w:rsid w:val="00976F7B"/>
    <w:rsid w:val="00980247"/>
    <w:rsid w:val="009821BB"/>
    <w:rsid w:val="00983205"/>
    <w:rsid w:val="009906DD"/>
    <w:rsid w:val="0099083A"/>
    <w:rsid w:val="009922EF"/>
    <w:rsid w:val="0099351D"/>
    <w:rsid w:val="00995199"/>
    <w:rsid w:val="00995384"/>
    <w:rsid w:val="00995E3E"/>
    <w:rsid w:val="00996D84"/>
    <w:rsid w:val="00996F4C"/>
    <w:rsid w:val="009A2F4A"/>
    <w:rsid w:val="009A306F"/>
    <w:rsid w:val="009A590A"/>
    <w:rsid w:val="009A5C27"/>
    <w:rsid w:val="009A73FE"/>
    <w:rsid w:val="009B03C1"/>
    <w:rsid w:val="009B0760"/>
    <w:rsid w:val="009B0845"/>
    <w:rsid w:val="009B14CC"/>
    <w:rsid w:val="009B1708"/>
    <w:rsid w:val="009B27F0"/>
    <w:rsid w:val="009B32FD"/>
    <w:rsid w:val="009B4B33"/>
    <w:rsid w:val="009B4DB7"/>
    <w:rsid w:val="009B7BFD"/>
    <w:rsid w:val="009C04CA"/>
    <w:rsid w:val="009C1866"/>
    <w:rsid w:val="009C5B4E"/>
    <w:rsid w:val="009C670A"/>
    <w:rsid w:val="009C7D48"/>
    <w:rsid w:val="009C7FCB"/>
    <w:rsid w:val="009D0108"/>
    <w:rsid w:val="009D4C60"/>
    <w:rsid w:val="009D5761"/>
    <w:rsid w:val="009D6AD4"/>
    <w:rsid w:val="009D707E"/>
    <w:rsid w:val="009D7644"/>
    <w:rsid w:val="009E00DE"/>
    <w:rsid w:val="009E0614"/>
    <w:rsid w:val="009E08F2"/>
    <w:rsid w:val="009E24E7"/>
    <w:rsid w:val="009E41AA"/>
    <w:rsid w:val="009E478A"/>
    <w:rsid w:val="009F3E18"/>
    <w:rsid w:val="009F4DC6"/>
    <w:rsid w:val="009F51EF"/>
    <w:rsid w:val="009F5693"/>
    <w:rsid w:val="009F5DA3"/>
    <w:rsid w:val="009F640F"/>
    <w:rsid w:val="009F7EB7"/>
    <w:rsid w:val="00A0126F"/>
    <w:rsid w:val="00A02D56"/>
    <w:rsid w:val="00A0492D"/>
    <w:rsid w:val="00A05730"/>
    <w:rsid w:val="00A05914"/>
    <w:rsid w:val="00A05E08"/>
    <w:rsid w:val="00A10B2E"/>
    <w:rsid w:val="00A10EF3"/>
    <w:rsid w:val="00A13A73"/>
    <w:rsid w:val="00A144BA"/>
    <w:rsid w:val="00A1689A"/>
    <w:rsid w:val="00A20119"/>
    <w:rsid w:val="00A2426C"/>
    <w:rsid w:val="00A246C4"/>
    <w:rsid w:val="00A31054"/>
    <w:rsid w:val="00A310DA"/>
    <w:rsid w:val="00A31196"/>
    <w:rsid w:val="00A31C95"/>
    <w:rsid w:val="00A33A2B"/>
    <w:rsid w:val="00A35396"/>
    <w:rsid w:val="00A35D88"/>
    <w:rsid w:val="00A35EFF"/>
    <w:rsid w:val="00A36727"/>
    <w:rsid w:val="00A37808"/>
    <w:rsid w:val="00A405D2"/>
    <w:rsid w:val="00A422E5"/>
    <w:rsid w:val="00A4256C"/>
    <w:rsid w:val="00A44BCD"/>
    <w:rsid w:val="00A45194"/>
    <w:rsid w:val="00A505FA"/>
    <w:rsid w:val="00A51AF6"/>
    <w:rsid w:val="00A53124"/>
    <w:rsid w:val="00A542CB"/>
    <w:rsid w:val="00A546E9"/>
    <w:rsid w:val="00A56CAB"/>
    <w:rsid w:val="00A61322"/>
    <w:rsid w:val="00A65004"/>
    <w:rsid w:val="00A672BA"/>
    <w:rsid w:val="00A674F7"/>
    <w:rsid w:val="00A679D8"/>
    <w:rsid w:val="00A67DDF"/>
    <w:rsid w:val="00A70E4F"/>
    <w:rsid w:val="00A71937"/>
    <w:rsid w:val="00A738E5"/>
    <w:rsid w:val="00A74115"/>
    <w:rsid w:val="00A750F1"/>
    <w:rsid w:val="00A77587"/>
    <w:rsid w:val="00A80BF4"/>
    <w:rsid w:val="00A81DC7"/>
    <w:rsid w:val="00A8292E"/>
    <w:rsid w:val="00A86A0F"/>
    <w:rsid w:val="00A90BAA"/>
    <w:rsid w:val="00A91B21"/>
    <w:rsid w:val="00A943C7"/>
    <w:rsid w:val="00A94D87"/>
    <w:rsid w:val="00A958CC"/>
    <w:rsid w:val="00A976B9"/>
    <w:rsid w:val="00AA0354"/>
    <w:rsid w:val="00AA0A45"/>
    <w:rsid w:val="00AA68E8"/>
    <w:rsid w:val="00AA69F6"/>
    <w:rsid w:val="00AB0764"/>
    <w:rsid w:val="00AB0817"/>
    <w:rsid w:val="00AB0EC7"/>
    <w:rsid w:val="00AB0F9D"/>
    <w:rsid w:val="00AB324A"/>
    <w:rsid w:val="00AB614B"/>
    <w:rsid w:val="00AB7E91"/>
    <w:rsid w:val="00AC1B78"/>
    <w:rsid w:val="00AC256D"/>
    <w:rsid w:val="00AC2B87"/>
    <w:rsid w:val="00AC3EC1"/>
    <w:rsid w:val="00AC3F8B"/>
    <w:rsid w:val="00AD0D5B"/>
    <w:rsid w:val="00AD3F30"/>
    <w:rsid w:val="00AD57DD"/>
    <w:rsid w:val="00AD6295"/>
    <w:rsid w:val="00AE24B6"/>
    <w:rsid w:val="00AE55B2"/>
    <w:rsid w:val="00AE6814"/>
    <w:rsid w:val="00AE6CD2"/>
    <w:rsid w:val="00AF7517"/>
    <w:rsid w:val="00B00608"/>
    <w:rsid w:val="00B01885"/>
    <w:rsid w:val="00B01DF2"/>
    <w:rsid w:val="00B0220E"/>
    <w:rsid w:val="00B0261C"/>
    <w:rsid w:val="00B0446F"/>
    <w:rsid w:val="00B05624"/>
    <w:rsid w:val="00B07803"/>
    <w:rsid w:val="00B10BE9"/>
    <w:rsid w:val="00B12394"/>
    <w:rsid w:val="00B12A4E"/>
    <w:rsid w:val="00B1322C"/>
    <w:rsid w:val="00B13F2E"/>
    <w:rsid w:val="00B15A02"/>
    <w:rsid w:val="00B177FB"/>
    <w:rsid w:val="00B20C29"/>
    <w:rsid w:val="00B22AD2"/>
    <w:rsid w:val="00B24195"/>
    <w:rsid w:val="00B25979"/>
    <w:rsid w:val="00B27494"/>
    <w:rsid w:val="00B27C04"/>
    <w:rsid w:val="00B31B2D"/>
    <w:rsid w:val="00B33F69"/>
    <w:rsid w:val="00B3530D"/>
    <w:rsid w:val="00B35607"/>
    <w:rsid w:val="00B35E6B"/>
    <w:rsid w:val="00B35FE6"/>
    <w:rsid w:val="00B3656A"/>
    <w:rsid w:val="00B406EF"/>
    <w:rsid w:val="00B43821"/>
    <w:rsid w:val="00B43C56"/>
    <w:rsid w:val="00B45002"/>
    <w:rsid w:val="00B463FA"/>
    <w:rsid w:val="00B46C42"/>
    <w:rsid w:val="00B47864"/>
    <w:rsid w:val="00B47BB3"/>
    <w:rsid w:val="00B47BD9"/>
    <w:rsid w:val="00B47C42"/>
    <w:rsid w:val="00B513AD"/>
    <w:rsid w:val="00B514A8"/>
    <w:rsid w:val="00B53259"/>
    <w:rsid w:val="00B556AF"/>
    <w:rsid w:val="00B5714B"/>
    <w:rsid w:val="00B57783"/>
    <w:rsid w:val="00B60570"/>
    <w:rsid w:val="00B62356"/>
    <w:rsid w:val="00B63485"/>
    <w:rsid w:val="00B64183"/>
    <w:rsid w:val="00B703C3"/>
    <w:rsid w:val="00B76D77"/>
    <w:rsid w:val="00B80696"/>
    <w:rsid w:val="00B81103"/>
    <w:rsid w:val="00B82A8B"/>
    <w:rsid w:val="00B8503B"/>
    <w:rsid w:val="00B85EF4"/>
    <w:rsid w:val="00B86D86"/>
    <w:rsid w:val="00B901F6"/>
    <w:rsid w:val="00B9161E"/>
    <w:rsid w:val="00B92352"/>
    <w:rsid w:val="00B92857"/>
    <w:rsid w:val="00B9315E"/>
    <w:rsid w:val="00B94065"/>
    <w:rsid w:val="00B944B2"/>
    <w:rsid w:val="00B94C1A"/>
    <w:rsid w:val="00B9750E"/>
    <w:rsid w:val="00B97B97"/>
    <w:rsid w:val="00B97FE6"/>
    <w:rsid w:val="00BA27C9"/>
    <w:rsid w:val="00BA5380"/>
    <w:rsid w:val="00BA595E"/>
    <w:rsid w:val="00BA7205"/>
    <w:rsid w:val="00BB097F"/>
    <w:rsid w:val="00BB0F04"/>
    <w:rsid w:val="00BB3A08"/>
    <w:rsid w:val="00BB604C"/>
    <w:rsid w:val="00BB6F14"/>
    <w:rsid w:val="00BB7EF2"/>
    <w:rsid w:val="00BC02B1"/>
    <w:rsid w:val="00BC05AA"/>
    <w:rsid w:val="00BC3FCC"/>
    <w:rsid w:val="00BC4927"/>
    <w:rsid w:val="00BD3983"/>
    <w:rsid w:val="00BD49CB"/>
    <w:rsid w:val="00BD63A2"/>
    <w:rsid w:val="00BD6CC5"/>
    <w:rsid w:val="00BD7FC3"/>
    <w:rsid w:val="00BE01F0"/>
    <w:rsid w:val="00BE1AE9"/>
    <w:rsid w:val="00BE2D5F"/>
    <w:rsid w:val="00BE5DA9"/>
    <w:rsid w:val="00BF2297"/>
    <w:rsid w:val="00BF64D5"/>
    <w:rsid w:val="00BF72C7"/>
    <w:rsid w:val="00C0311F"/>
    <w:rsid w:val="00C0316D"/>
    <w:rsid w:val="00C0394E"/>
    <w:rsid w:val="00C058D0"/>
    <w:rsid w:val="00C06EB8"/>
    <w:rsid w:val="00C07C9A"/>
    <w:rsid w:val="00C10C6F"/>
    <w:rsid w:val="00C10E2C"/>
    <w:rsid w:val="00C11B30"/>
    <w:rsid w:val="00C11BAE"/>
    <w:rsid w:val="00C14447"/>
    <w:rsid w:val="00C15A34"/>
    <w:rsid w:val="00C16787"/>
    <w:rsid w:val="00C169E7"/>
    <w:rsid w:val="00C16A97"/>
    <w:rsid w:val="00C16C41"/>
    <w:rsid w:val="00C175BA"/>
    <w:rsid w:val="00C22356"/>
    <w:rsid w:val="00C253DF"/>
    <w:rsid w:val="00C26018"/>
    <w:rsid w:val="00C2703C"/>
    <w:rsid w:val="00C302C4"/>
    <w:rsid w:val="00C30874"/>
    <w:rsid w:val="00C31D32"/>
    <w:rsid w:val="00C31E73"/>
    <w:rsid w:val="00C33424"/>
    <w:rsid w:val="00C37BDE"/>
    <w:rsid w:val="00C417AF"/>
    <w:rsid w:val="00C4361E"/>
    <w:rsid w:val="00C46671"/>
    <w:rsid w:val="00C46F6F"/>
    <w:rsid w:val="00C509F5"/>
    <w:rsid w:val="00C53563"/>
    <w:rsid w:val="00C5405D"/>
    <w:rsid w:val="00C54111"/>
    <w:rsid w:val="00C54ADF"/>
    <w:rsid w:val="00C55845"/>
    <w:rsid w:val="00C618D9"/>
    <w:rsid w:val="00C64D5E"/>
    <w:rsid w:val="00C71DE0"/>
    <w:rsid w:val="00C7547F"/>
    <w:rsid w:val="00C76D46"/>
    <w:rsid w:val="00C77972"/>
    <w:rsid w:val="00C80637"/>
    <w:rsid w:val="00C81CE2"/>
    <w:rsid w:val="00C8581E"/>
    <w:rsid w:val="00C85CA9"/>
    <w:rsid w:val="00C87BA7"/>
    <w:rsid w:val="00C92858"/>
    <w:rsid w:val="00C92AB0"/>
    <w:rsid w:val="00C93EF7"/>
    <w:rsid w:val="00C969C0"/>
    <w:rsid w:val="00C97C5F"/>
    <w:rsid w:val="00CA0513"/>
    <w:rsid w:val="00CA2A4F"/>
    <w:rsid w:val="00CA2FC4"/>
    <w:rsid w:val="00CA4E36"/>
    <w:rsid w:val="00CA66AC"/>
    <w:rsid w:val="00CA6C4D"/>
    <w:rsid w:val="00CB0FB1"/>
    <w:rsid w:val="00CB188B"/>
    <w:rsid w:val="00CB25B8"/>
    <w:rsid w:val="00CB3682"/>
    <w:rsid w:val="00CB56B9"/>
    <w:rsid w:val="00CB6ABE"/>
    <w:rsid w:val="00CB7298"/>
    <w:rsid w:val="00CB79FB"/>
    <w:rsid w:val="00CB7A3D"/>
    <w:rsid w:val="00CC0C16"/>
    <w:rsid w:val="00CC0E04"/>
    <w:rsid w:val="00CC22D9"/>
    <w:rsid w:val="00CC23BC"/>
    <w:rsid w:val="00CC2D8E"/>
    <w:rsid w:val="00CC30F4"/>
    <w:rsid w:val="00CC4BE2"/>
    <w:rsid w:val="00CD044F"/>
    <w:rsid w:val="00CD29D9"/>
    <w:rsid w:val="00CD38BE"/>
    <w:rsid w:val="00CE147F"/>
    <w:rsid w:val="00CE1C50"/>
    <w:rsid w:val="00CE3824"/>
    <w:rsid w:val="00CE38B7"/>
    <w:rsid w:val="00CE4146"/>
    <w:rsid w:val="00CE7407"/>
    <w:rsid w:val="00CF01FB"/>
    <w:rsid w:val="00CF1DD6"/>
    <w:rsid w:val="00CF331F"/>
    <w:rsid w:val="00CF5DD3"/>
    <w:rsid w:val="00CF6349"/>
    <w:rsid w:val="00CF7FE1"/>
    <w:rsid w:val="00D02135"/>
    <w:rsid w:val="00D03AD3"/>
    <w:rsid w:val="00D03FE7"/>
    <w:rsid w:val="00D04B29"/>
    <w:rsid w:val="00D07039"/>
    <w:rsid w:val="00D07578"/>
    <w:rsid w:val="00D10580"/>
    <w:rsid w:val="00D113A6"/>
    <w:rsid w:val="00D12377"/>
    <w:rsid w:val="00D123A8"/>
    <w:rsid w:val="00D12D69"/>
    <w:rsid w:val="00D12F06"/>
    <w:rsid w:val="00D14A01"/>
    <w:rsid w:val="00D1547F"/>
    <w:rsid w:val="00D175E9"/>
    <w:rsid w:val="00D201A8"/>
    <w:rsid w:val="00D201AB"/>
    <w:rsid w:val="00D20C69"/>
    <w:rsid w:val="00D211C9"/>
    <w:rsid w:val="00D22259"/>
    <w:rsid w:val="00D223E1"/>
    <w:rsid w:val="00D22D74"/>
    <w:rsid w:val="00D23D3F"/>
    <w:rsid w:val="00D255C1"/>
    <w:rsid w:val="00D25747"/>
    <w:rsid w:val="00D25933"/>
    <w:rsid w:val="00D261F0"/>
    <w:rsid w:val="00D27732"/>
    <w:rsid w:val="00D278C7"/>
    <w:rsid w:val="00D309B7"/>
    <w:rsid w:val="00D31A1E"/>
    <w:rsid w:val="00D31DD5"/>
    <w:rsid w:val="00D322D0"/>
    <w:rsid w:val="00D32C25"/>
    <w:rsid w:val="00D32D07"/>
    <w:rsid w:val="00D3656C"/>
    <w:rsid w:val="00D365C3"/>
    <w:rsid w:val="00D36D16"/>
    <w:rsid w:val="00D40C32"/>
    <w:rsid w:val="00D40DC2"/>
    <w:rsid w:val="00D41718"/>
    <w:rsid w:val="00D432CD"/>
    <w:rsid w:val="00D437DC"/>
    <w:rsid w:val="00D45010"/>
    <w:rsid w:val="00D45B06"/>
    <w:rsid w:val="00D516EF"/>
    <w:rsid w:val="00D51FCE"/>
    <w:rsid w:val="00D527E9"/>
    <w:rsid w:val="00D53710"/>
    <w:rsid w:val="00D54E55"/>
    <w:rsid w:val="00D56C4A"/>
    <w:rsid w:val="00D57F01"/>
    <w:rsid w:val="00D64A05"/>
    <w:rsid w:val="00D67B20"/>
    <w:rsid w:val="00D67D3D"/>
    <w:rsid w:val="00D7251E"/>
    <w:rsid w:val="00D72E80"/>
    <w:rsid w:val="00D76FAA"/>
    <w:rsid w:val="00D77A74"/>
    <w:rsid w:val="00D80AE0"/>
    <w:rsid w:val="00D80C18"/>
    <w:rsid w:val="00D80F16"/>
    <w:rsid w:val="00D81BD2"/>
    <w:rsid w:val="00D858D3"/>
    <w:rsid w:val="00D85B5D"/>
    <w:rsid w:val="00D86478"/>
    <w:rsid w:val="00D903F4"/>
    <w:rsid w:val="00D92193"/>
    <w:rsid w:val="00D92730"/>
    <w:rsid w:val="00D92C64"/>
    <w:rsid w:val="00D92FFD"/>
    <w:rsid w:val="00D93551"/>
    <w:rsid w:val="00D947C2"/>
    <w:rsid w:val="00D95308"/>
    <w:rsid w:val="00D966B3"/>
    <w:rsid w:val="00D973D0"/>
    <w:rsid w:val="00DA1245"/>
    <w:rsid w:val="00DA23E0"/>
    <w:rsid w:val="00DA4933"/>
    <w:rsid w:val="00DA5F57"/>
    <w:rsid w:val="00DA650C"/>
    <w:rsid w:val="00DB00B8"/>
    <w:rsid w:val="00DB04A6"/>
    <w:rsid w:val="00DB16FF"/>
    <w:rsid w:val="00DB1CC6"/>
    <w:rsid w:val="00DB36EE"/>
    <w:rsid w:val="00DB3F94"/>
    <w:rsid w:val="00DB529E"/>
    <w:rsid w:val="00DB6E7F"/>
    <w:rsid w:val="00DC174E"/>
    <w:rsid w:val="00DC2B10"/>
    <w:rsid w:val="00DC3AC2"/>
    <w:rsid w:val="00DC45D8"/>
    <w:rsid w:val="00DC49DD"/>
    <w:rsid w:val="00DC4E76"/>
    <w:rsid w:val="00DC4EC5"/>
    <w:rsid w:val="00DC5061"/>
    <w:rsid w:val="00DC60C8"/>
    <w:rsid w:val="00DC655A"/>
    <w:rsid w:val="00DC65FD"/>
    <w:rsid w:val="00DC67D2"/>
    <w:rsid w:val="00DC7281"/>
    <w:rsid w:val="00DC7CD9"/>
    <w:rsid w:val="00DD1847"/>
    <w:rsid w:val="00DD18D9"/>
    <w:rsid w:val="00DD1A03"/>
    <w:rsid w:val="00DD1B6F"/>
    <w:rsid w:val="00DD296D"/>
    <w:rsid w:val="00DD2D61"/>
    <w:rsid w:val="00DD4205"/>
    <w:rsid w:val="00DD452B"/>
    <w:rsid w:val="00DD6968"/>
    <w:rsid w:val="00DD6A6E"/>
    <w:rsid w:val="00DD75A2"/>
    <w:rsid w:val="00DD773E"/>
    <w:rsid w:val="00DE0E2D"/>
    <w:rsid w:val="00DE3093"/>
    <w:rsid w:val="00DE3563"/>
    <w:rsid w:val="00DE488A"/>
    <w:rsid w:val="00DE60C3"/>
    <w:rsid w:val="00DE6307"/>
    <w:rsid w:val="00DE6E5F"/>
    <w:rsid w:val="00DF5EC7"/>
    <w:rsid w:val="00DF7717"/>
    <w:rsid w:val="00DF775D"/>
    <w:rsid w:val="00E00AB1"/>
    <w:rsid w:val="00E01614"/>
    <w:rsid w:val="00E01832"/>
    <w:rsid w:val="00E02EC4"/>
    <w:rsid w:val="00E040FF"/>
    <w:rsid w:val="00E05485"/>
    <w:rsid w:val="00E07AA2"/>
    <w:rsid w:val="00E07F0A"/>
    <w:rsid w:val="00E103AB"/>
    <w:rsid w:val="00E1197D"/>
    <w:rsid w:val="00E12564"/>
    <w:rsid w:val="00E133B2"/>
    <w:rsid w:val="00E14038"/>
    <w:rsid w:val="00E14AFF"/>
    <w:rsid w:val="00E20904"/>
    <w:rsid w:val="00E216F3"/>
    <w:rsid w:val="00E2183F"/>
    <w:rsid w:val="00E22215"/>
    <w:rsid w:val="00E223C2"/>
    <w:rsid w:val="00E22A6A"/>
    <w:rsid w:val="00E236AB"/>
    <w:rsid w:val="00E26000"/>
    <w:rsid w:val="00E26293"/>
    <w:rsid w:val="00E27FF8"/>
    <w:rsid w:val="00E301DA"/>
    <w:rsid w:val="00E30D6F"/>
    <w:rsid w:val="00E31503"/>
    <w:rsid w:val="00E3244F"/>
    <w:rsid w:val="00E327CC"/>
    <w:rsid w:val="00E32FE8"/>
    <w:rsid w:val="00E33C29"/>
    <w:rsid w:val="00E36714"/>
    <w:rsid w:val="00E371CB"/>
    <w:rsid w:val="00E404E5"/>
    <w:rsid w:val="00E417CE"/>
    <w:rsid w:val="00E42619"/>
    <w:rsid w:val="00E522A2"/>
    <w:rsid w:val="00E552FA"/>
    <w:rsid w:val="00E55396"/>
    <w:rsid w:val="00E5587D"/>
    <w:rsid w:val="00E55AB0"/>
    <w:rsid w:val="00E602F2"/>
    <w:rsid w:val="00E60774"/>
    <w:rsid w:val="00E6094D"/>
    <w:rsid w:val="00E61A15"/>
    <w:rsid w:val="00E65068"/>
    <w:rsid w:val="00E679EC"/>
    <w:rsid w:val="00E67A14"/>
    <w:rsid w:val="00E67D3D"/>
    <w:rsid w:val="00E71E99"/>
    <w:rsid w:val="00E73060"/>
    <w:rsid w:val="00E73398"/>
    <w:rsid w:val="00E736AC"/>
    <w:rsid w:val="00E73AE4"/>
    <w:rsid w:val="00E763CE"/>
    <w:rsid w:val="00E81DDB"/>
    <w:rsid w:val="00E82D9F"/>
    <w:rsid w:val="00E85C09"/>
    <w:rsid w:val="00E87C3C"/>
    <w:rsid w:val="00E87D26"/>
    <w:rsid w:val="00E90C9E"/>
    <w:rsid w:val="00E9154B"/>
    <w:rsid w:val="00E94387"/>
    <w:rsid w:val="00E95D73"/>
    <w:rsid w:val="00EA014F"/>
    <w:rsid w:val="00EA07A6"/>
    <w:rsid w:val="00EA2778"/>
    <w:rsid w:val="00EA5A7E"/>
    <w:rsid w:val="00EA6BF4"/>
    <w:rsid w:val="00EB21B9"/>
    <w:rsid w:val="00EB26DB"/>
    <w:rsid w:val="00EB2EA2"/>
    <w:rsid w:val="00EB3C7B"/>
    <w:rsid w:val="00EB3CB1"/>
    <w:rsid w:val="00EB4EC4"/>
    <w:rsid w:val="00EC45AE"/>
    <w:rsid w:val="00EC4672"/>
    <w:rsid w:val="00EC48B2"/>
    <w:rsid w:val="00ED080B"/>
    <w:rsid w:val="00ED0E1C"/>
    <w:rsid w:val="00ED2094"/>
    <w:rsid w:val="00ED259A"/>
    <w:rsid w:val="00ED2838"/>
    <w:rsid w:val="00ED383A"/>
    <w:rsid w:val="00ED388F"/>
    <w:rsid w:val="00ED3C10"/>
    <w:rsid w:val="00ED3DD1"/>
    <w:rsid w:val="00ED7162"/>
    <w:rsid w:val="00ED7391"/>
    <w:rsid w:val="00ED7C3D"/>
    <w:rsid w:val="00EE5292"/>
    <w:rsid w:val="00EE5B69"/>
    <w:rsid w:val="00EE66C6"/>
    <w:rsid w:val="00EE75FA"/>
    <w:rsid w:val="00EF0666"/>
    <w:rsid w:val="00EF2197"/>
    <w:rsid w:val="00EF421F"/>
    <w:rsid w:val="00EF42C3"/>
    <w:rsid w:val="00EF438E"/>
    <w:rsid w:val="00EF4503"/>
    <w:rsid w:val="00EF4BFA"/>
    <w:rsid w:val="00F00A74"/>
    <w:rsid w:val="00F02645"/>
    <w:rsid w:val="00F02B97"/>
    <w:rsid w:val="00F03BD5"/>
    <w:rsid w:val="00F059EA"/>
    <w:rsid w:val="00F07BE6"/>
    <w:rsid w:val="00F11DA2"/>
    <w:rsid w:val="00F12E7D"/>
    <w:rsid w:val="00F15738"/>
    <w:rsid w:val="00F16380"/>
    <w:rsid w:val="00F20789"/>
    <w:rsid w:val="00F20F4E"/>
    <w:rsid w:val="00F21F4A"/>
    <w:rsid w:val="00F244F1"/>
    <w:rsid w:val="00F2678E"/>
    <w:rsid w:val="00F32705"/>
    <w:rsid w:val="00F334C2"/>
    <w:rsid w:val="00F33EBE"/>
    <w:rsid w:val="00F3400D"/>
    <w:rsid w:val="00F36879"/>
    <w:rsid w:val="00F404DF"/>
    <w:rsid w:val="00F40924"/>
    <w:rsid w:val="00F41143"/>
    <w:rsid w:val="00F414D4"/>
    <w:rsid w:val="00F422CE"/>
    <w:rsid w:val="00F4416B"/>
    <w:rsid w:val="00F4507D"/>
    <w:rsid w:val="00F50447"/>
    <w:rsid w:val="00F51738"/>
    <w:rsid w:val="00F63EF0"/>
    <w:rsid w:val="00F669AE"/>
    <w:rsid w:val="00F67A92"/>
    <w:rsid w:val="00F703C2"/>
    <w:rsid w:val="00F71653"/>
    <w:rsid w:val="00F73219"/>
    <w:rsid w:val="00F735A4"/>
    <w:rsid w:val="00F7370C"/>
    <w:rsid w:val="00F74862"/>
    <w:rsid w:val="00F74DC8"/>
    <w:rsid w:val="00F75F83"/>
    <w:rsid w:val="00F778EC"/>
    <w:rsid w:val="00F80B2A"/>
    <w:rsid w:val="00F8198B"/>
    <w:rsid w:val="00F81CFC"/>
    <w:rsid w:val="00F81EA3"/>
    <w:rsid w:val="00F849B1"/>
    <w:rsid w:val="00F85167"/>
    <w:rsid w:val="00F85AE0"/>
    <w:rsid w:val="00F85C5A"/>
    <w:rsid w:val="00F86B1A"/>
    <w:rsid w:val="00F86C71"/>
    <w:rsid w:val="00F870C5"/>
    <w:rsid w:val="00F93BC5"/>
    <w:rsid w:val="00F93FAE"/>
    <w:rsid w:val="00FA1900"/>
    <w:rsid w:val="00FA1910"/>
    <w:rsid w:val="00FA585D"/>
    <w:rsid w:val="00FA75D9"/>
    <w:rsid w:val="00FB0A80"/>
    <w:rsid w:val="00FB48EF"/>
    <w:rsid w:val="00FB4FCB"/>
    <w:rsid w:val="00FC0A5D"/>
    <w:rsid w:val="00FC286F"/>
    <w:rsid w:val="00FC3F34"/>
    <w:rsid w:val="00FC4CF9"/>
    <w:rsid w:val="00FC52BA"/>
    <w:rsid w:val="00FC55F8"/>
    <w:rsid w:val="00FC57C5"/>
    <w:rsid w:val="00FC5BAA"/>
    <w:rsid w:val="00FD042F"/>
    <w:rsid w:val="00FD2D68"/>
    <w:rsid w:val="00FD5D7A"/>
    <w:rsid w:val="00FD6455"/>
    <w:rsid w:val="00FD78BD"/>
    <w:rsid w:val="00FE1525"/>
    <w:rsid w:val="00FE35C0"/>
    <w:rsid w:val="00FE445C"/>
    <w:rsid w:val="00FE46E8"/>
    <w:rsid w:val="00FE5071"/>
    <w:rsid w:val="00FE526F"/>
    <w:rsid w:val="00FE52BF"/>
    <w:rsid w:val="00FE680F"/>
    <w:rsid w:val="00FE79EF"/>
    <w:rsid w:val="00FE7EA7"/>
    <w:rsid w:val="00FF1507"/>
    <w:rsid w:val="00FF262D"/>
    <w:rsid w:val="00FF2D31"/>
    <w:rsid w:val="00FF659F"/>
    <w:rsid w:val="026C5C3F"/>
    <w:rsid w:val="02CF58AE"/>
    <w:rsid w:val="03012F7E"/>
    <w:rsid w:val="07FC5CDC"/>
    <w:rsid w:val="0B0373E3"/>
    <w:rsid w:val="0BE61692"/>
    <w:rsid w:val="0C475C4C"/>
    <w:rsid w:val="0CBA4EED"/>
    <w:rsid w:val="0F5E5262"/>
    <w:rsid w:val="11E52E2C"/>
    <w:rsid w:val="15D87C69"/>
    <w:rsid w:val="18AD238B"/>
    <w:rsid w:val="1AAE7552"/>
    <w:rsid w:val="1D5368AC"/>
    <w:rsid w:val="1DAF5941"/>
    <w:rsid w:val="20E33285"/>
    <w:rsid w:val="26062F7E"/>
    <w:rsid w:val="26A768F9"/>
    <w:rsid w:val="292E632A"/>
    <w:rsid w:val="2A9610ED"/>
    <w:rsid w:val="2B440048"/>
    <w:rsid w:val="2C673566"/>
    <w:rsid w:val="2C7540C3"/>
    <w:rsid w:val="2D074BCF"/>
    <w:rsid w:val="2D254C1E"/>
    <w:rsid w:val="2D901D4F"/>
    <w:rsid w:val="2E8A57EA"/>
    <w:rsid w:val="301574EF"/>
    <w:rsid w:val="32250554"/>
    <w:rsid w:val="33BC38A4"/>
    <w:rsid w:val="35121EA0"/>
    <w:rsid w:val="36D265FE"/>
    <w:rsid w:val="370E09E1"/>
    <w:rsid w:val="38EA0ED8"/>
    <w:rsid w:val="39255B4E"/>
    <w:rsid w:val="3A1815DF"/>
    <w:rsid w:val="3ACE0108"/>
    <w:rsid w:val="3CDF116D"/>
    <w:rsid w:val="3D170C15"/>
    <w:rsid w:val="3D3A33B6"/>
    <w:rsid w:val="3D7837F2"/>
    <w:rsid w:val="3DCA206F"/>
    <w:rsid w:val="3DE365D2"/>
    <w:rsid w:val="3EC76A8F"/>
    <w:rsid w:val="3FF17476"/>
    <w:rsid w:val="438336D8"/>
    <w:rsid w:val="4475215D"/>
    <w:rsid w:val="448B2102"/>
    <w:rsid w:val="44BC28D1"/>
    <w:rsid w:val="453A31A0"/>
    <w:rsid w:val="46336C3B"/>
    <w:rsid w:val="48F43B03"/>
    <w:rsid w:val="4A5F5A11"/>
    <w:rsid w:val="4A691434"/>
    <w:rsid w:val="4A8D040F"/>
    <w:rsid w:val="4AC963AE"/>
    <w:rsid w:val="4CF124C7"/>
    <w:rsid w:val="4D995BC4"/>
    <w:rsid w:val="52B267CD"/>
    <w:rsid w:val="57751D0C"/>
    <w:rsid w:val="5A743572"/>
    <w:rsid w:val="5CE9688A"/>
    <w:rsid w:val="5EB36739"/>
    <w:rsid w:val="5F6D1A9C"/>
    <w:rsid w:val="61356E89"/>
    <w:rsid w:val="66FF5FEB"/>
    <w:rsid w:val="68680B42"/>
    <w:rsid w:val="6A1738AF"/>
    <w:rsid w:val="6B8E0982"/>
    <w:rsid w:val="6BBF0E70"/>
    <w:rsid w:val="6C79606D"/>
    <w:rsid w:val="6D19583C"/>
    <w:rsid w:val="726141B3"/>
    <w:rsid w:val="728213C4"/>
    <w:rsid w:val="739C06B8"/>
    <w:rsid w:val="745436E9"/>
    <w:rsid w:val="773249D8"/>
    <w:rsid w:val="7B311715"/>
    <w:rsid w:val="7B440A49"/>
    <w:rsid w:val="7B465E37"/>
    <w:rsid w:val="7C4D2724"/>
    <w:rsid w:val="7D845E22"/>
  </w:rsids>
  <w:docVars>
    <w:docVar w:name="commondata" w:val="eyJoZGlkIjoiYjY0ZWE3MjY5MDMxODdlODdmNmI4YjdhZmYwZGRhYz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semiHidden="0" w:uiPriority="39" w:unhideWhenUsed="0" w:qFormat="1"/>
    <w:lsdException w:name="toc 2" w:semiHidden="0" w:uiPriority="39" w:unhideWhenUsed="0" w:qFormat="1"/>
    <w:lsdException w:name="toc 3" w:semiHidden="0" w:uiPriority="39" w:unhideWhenUsed="0" w:qFormat="1"/>
    <w:lsdException w:name="toc 4" w:uiPriority="0"/>
    <w:lsdException w:name="toc 5" w:uiPriority="0"/>
    <w:lsdException w:name="toc 6" w:uiPriority="0"/>
    <w:lsdException w:name="toc 7" w:uiPriority="0"/>
    <w:lsdException w:name="toc 8" w:uiPriority="0"/>
    <w:lsdException w:name="toc 9" w:uiPriority="0"/>
    <w:lsdException w:name="Normal Indent" w:semiHidden="0" w:uiPriority="0" w:unhideWhenUsed="0"/>
    <w:lsdException w:name="footnote text" w:semiHidden="0" w:uiPriority="0" w:unhideWhenUsed="0" w:qFormat="1"/>
    <w:lsdException w:name="annotation text" w:semiHidden="0" w:uiPriority="0" w:unhideWhenUsed="0" w:qFormat="1"/>
    <w:lsdException w:name="header" w:semiHidden="0" w:uiPriority="0" w:unhideWhenUsed="0"/>
    <w:lsdException w:name="footer" w:semiHidden="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semiHidden="0" w:uiPriority="0" w:unhideWhenUsed="0"/>
    <w:lsdException w:name="annotation reference" w:semiHidden="0" w:uiPriority="0" w:unhideWhenUsed="0" w:qFormat="1"/>
    <w:lsdException w:name="line number" w:uiPriority="0"/>
    <w:lsdException w:name="page number" w:semiHidden="0" w:uiPriority="0" w:unhideWhenUsed="0" w:qFormat="1"/>
    <w:lsdException w:name="endnote reference" w:uiPriority="0"/>
    <w:lsdException w:name="endnote text" w:uiPriority="0"/>
    <w:lsdException w:name="table of authorities" w:semiHidden="0" w:uiPriority="0" w:unhideWhenUsed="0"/>
    <w:lsdException w:name="macro" w:uiPriority="0"/>
    <w:lsdException w:name="toa heading" w:uiPriority="0"/>
    <w:lsdException w:name="List" w:semiHidden="0" w:uiPriority="0" w:unhideWhenUsed="0"/>
    <w:lsdException w:name="List Bullet" w:semiHidden="0"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semiHidden="0" w:uiPriority="0" w:unhideWhenUsed="0" w:qFormat="1"/>
    <w:lsdException w:name="Body Text Indent" w:semiHidden="0" w:uiPriority="0" w:unhideWhenUsed="0"/>
    <w:lsdException w:name="List Continue" w:uiPriority="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uiPriority="0"/>
    <w:lsdException w:name="Subtitle" w:semiHidden="0" w:uiPriority="0" w:unhideWhenUsed="0" w:qFormat="1"/>
    <w:lsdException w:name="Salutation" w:uiPriority="0"/>
    <w:lsdException w:name="Date" w:semiHidden="0" w:uiPriority="0" w:unhideWhenUsed="0" w:qFormat="1"/>
    <w:lsdException w:name="Body Text First Indent" w:uiPriority="0"/>
    <w:lsdException w:name="Body Text First Indent 2" w:uiPriority="0"/>
    <w:lsdException w:name="Note Heading" w:uiPriority="0"/>
    <w:lsdException w:name="Body Text 2" w:semiHidden="0" w:uiPriority="0" w:unhideWhenUsed="0"/>
    <w:lsdException w:name="Body Text 3" w:semiHidden="0" w:uiPriority="0" w:unhideWhenUsed="0"/>
    <w:lsdException w:name="Body Text Indent 2" w:semiHidden="0" w:uiPriority="0" w:unhideWhenUsed="0" w:qFormat="1"/>
    <w:lsdException w:name="Body Text Indent 3" w:uiPriority="0"/>
    <w:lsdException w:name="Block Text" w:uiPriority="0"/>
    <w:lsdException w:name="Hyperlink" w:semiHidden="0" w:unhideWhenUsed="0"/>
    <w:lsdException w:name="FollowedHyperlink" w:uiPriority="0"/>
    <w:lsdException w:name="Strong" w:semiHidden="0" w:uiPriority="22" w:unhideWhenUsed="0" w:qFormat="1"/>
    <w:lsdException w:name="Emphasis" w:semiHidden="0" w:uiPriority="0" w:unhideWhenUsed="0" w:qFormat="1"/>
    <w:lsdException w:name="Document Map" w:semiHidden="0" w:uiPriority="0" w:unhideWhenUsed="0"/>
    <w:lsdException w:name="Plain Text" w:uiPriority="0"/>
    <w:lsdException w:name="E-mail Signature" w:uiPriority="0"/>
    <w:lsdException w:name="Normal (Web)" w:semiHidden="0" w:uiPriority="0" w:unhideWhenUsed="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lsdException w:name="annotation subject" w:semiHidden="0" w:uiPriority="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Placeholder Text" w:semiHidden="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4"/>
      <w:szCs w:val="24"/>
      <w:lang w:val="en-US" w:eastAsia="zh-CN" w:bidi="ar-SA"/>
    </w:rPr>
  </w:style>
  <w:style w:type="paragraph" w:styleId="Heading1">
    <w:name w:val="heading 1"/>
    <w:basedOn w:val="Normal"/>
    <w:next w:val="Normal"/>
    <w:link w:val="1"/>
    <w:qFormat/>
    <w:pPr>
      <w:keepNext/>
      <w:widowControl/>
      <w:numPr>
        <w:ilvl w:val="0"/>
        <w:numId w:val="1"/>
      </w:numPr>
      <w:spacing w:before="120" w:after="120"/>
      <w:jc w:val="left"/>
      <w:outlineLvl w:val="0"/>
    </w:pPr>
    <w:rPr>
      <w:rFonts w:ascii="黑体" w:eastAsia="黑体" w:hAnsi="黑体"/>
      <w:kern w:val="0"/>
      <w:sz w:val="28"/>
      <w:szCs w:val="20"/>
    </w:rPr>
  </w:style>
  <w:style w:type="paragraph" w:styleId="Heading2">
    <w:name w:val="heading 2"/>
    <w:basedOn w:val="Normal"/>
    <w:next w:val="NormalIndent"/>
    <w:link w:val="21"/>
    <w:qFormat/>
    <w:pPr>
      <w:keepNext/>
      <w:keepLines/>
      <w:spacing w:before="120" w:after="120" w:line="415" w:lineRule="auto"/>
      <w:jc w:val="left"/>
      <w:outlineLvl w:val="1"/>
    </w:pPr>
    <w:rPr>
      <w:rFonts w:ascii="Arial" w:eastAsia="黑体" w:hAnsi="Arial"/>
      <w:kern w:val="0"/>
      <w:sz w:val="28"/>
      <w:szCs w:val="28"/>
    </w:rPr>
  </w:style>
  <w:style w:type="paragraph" w:styleId="Heading3">
    <w:name w:val="heading 3"/>
    <w:basedOn w:val="Normal"/>
    <w:next w:val="NormalIndent"/>
    <w:link w:val="3"/>
    <w:qFormat/>
    <w:pPr>
      <w:keepNext/>
      <w:keepLines/>
      <w:widowControl/>
      <w:numPr>
        <w:ilvl w:val="2"/>
        <w:numId w:val="1"/>
      </w:numPr>
      <w:spacing w:before="120" w:after="120" w:line="360" w:lineRule="auto"/>
      <w:jc w:val="center"/>
      <w:outlineLvl w:val="2"/>
    </w:pPr>
    <w:rPr>
      <w:b/>
      <w:kern w:val="0"/>
      <w:sz w:val="32"/>
      <w:szCs w:val="20"/>
    </w:rPr>
  </w:style>
  <w:style w:type="paragraph" w:styleId="Heading6">
    <w:name w:val="heading 6"/>
    <w:basedOn w:val="Normal"/>
    <w:next w:val="Normal"/>
    <w:link w:val="6"/>
    <w:qFormat/>
    <w:pPr>
      <w:keepNext/>
      <w:keepLines/>
      <w:widowControl/>
      <w:numPr>
        <w:ilvl w:val="5"/>
        <w:numId w:val="1"/>
      </w:numPr>
      <w:spacing w:before="240" w:after="64" w:line="319" w:lineRule="auto"/>
      <w:jc w:val="left"/>
      <w:outlineLvl w:val="5"/>
    </w:pPr>
    <w:rPr>
      <w:rFonts w:ascii="Arial" w:eastAsia="黑体" w:hAnsi="Arial"/>
      <w:b/>
      <w:bCs/>
      <w:kern w:val="0"/>
    </w:rPr>
  </w:style>
  <w:style w:type="paragraph" w:styleId="Heading7">
    <w:name w:val="heading 7"/>
    <w:basedOn w:val="Normal"/>
    <w:next w:val="Normal"/>
    <w:qFormat/>
    <w:pPr>
      <w:keepNext/>
      <w:keepLines/>
      <w:widowControl/>
      <w:numPr>
        <w:ilvl w:val="6"/>
        <w:numId w:val="1"/>
      </w:numPr>
      <w:spacing w:before="240" w:after="64" w:line="319" w:lineRule="auto"/>
      <w:jc w:val="left"/>
      <w:outlineLvl w:val="6"/>
    </w:pPr>
    <w:rPr>
      <w:b/>
      <w:bCs/>
      <w:kern w:val="0"/>
    </w:rPr>
  </w:style>
  <w:style w:type="paragraph" w:styleId="Heading8">
    <w:name w:val="heading 8"/>
    <w:basedOn w:val="Normal"/>
    <w:next w:val="Normal"/>
    <w:qFormat/>
    <w:pPr>
      <w:keepNext/>
      <w:keepLines/>
      <w:widowControl/>
      <w:numPr>
        <w:ilvl w:val="7"/>
        <w:numId w:val="1"/>
      </w:numPr>
      <w:spacing w:before="240" w:after="64" w:line="319" w:lineRule="auto"/>
      <w:jc w:val="left"/>
      <w:outlineLvl w:val="7"/>
    </w:pPr>
    <w:rPr>
      <w:rFonts w:ascii="Arial" w:eastAsia="黑体" w:hAnsi="Arial"/>
      <w:kern w:val="0"/>
    </w:rPr>
  </w:style>
  <w:style w:type="paragraph" w:styleId="Heading9">
    <w:name w:val="heading 9"/>
    <w:basedOn w:val="Normal"/>
    <w:next w:val="Normal"/>
    <w:qFormat/>
    <w:pPr>
      <w:keepNext/>
      <w:keepLines/>
      <w:widowControl/>
      <w:numPr>
        <w:ilvl w:val="8"/>
        <w:numId w:val="1"/>
      </w:numPr>
      <w:spacing w:before="240" w:after="64" w:line="319" w:lineRule="auto"/>
      <w:jc w:val="left"/>
      <w:outlineLvl w:val="8"/>
    </w:pPr>
    <w:rPr>
      <w:rFonts w:ascii="Arial" w:eastAsia="黑体" w:hAnsi="Arial"/>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Indent">
    <w:name w:val="Normal Indent"/>
    <w:basedOn w:val="Normal"/>
    <w:pPr>
      <w:ind w:firstLine="420" w:firstLineChars="200"/>
    </w:pPr>
  </w:style>
  <w:style w:type="paragraph" w:styleId="DocumentMap">
    <w:name w:val="Document Map"/>
    <w:basedOn w:val="Normal"/>
    <w:link w:val="a2"/>
    <w:rPr>
      <w:rFonts w:ascii="宋体"/>
      <w:sz w:val="18"/>
      <w:szCs w:val="18"/>
    </w:rPr>
  </w:style>
  <w:style w:type="paragraph" w:styleId="CommentText">
    <w:name w:val="annotation text"/>
    <w:basedOn w:val="Normal"/>
    <w:link w:val="a6"/>
    <w:qFormat/>
    <w:pPr>
      <w:jc w:val="left"/>
    </w:pPr>
  </w:style>
  <w:style w:type="paragraph" w:styleId="BodyText3">
    <w:name w:val="Body Text 3"/>
    <w:basedOn w:val="Normal"/>
    <w:pPr>
      <w:spacing w:after="120"/>
    </w:pPr>
    <w:rPr>
      <w:sz w:val="16"/>
      <w:szCs w:val="16"/>
    </w:rPr>
  </w:style>
  <w:style w:type="paragraph" w:styleId="BodyText">
    <w:name w:val="Body Text"/>
    <w:basedOn w:val="Normal"/>
    <w:link w:val="a"/>
    <w:qFormat/>
    <w:pPr>
      <w:spacing w:after="120"/>
    </w:pPr>
    <w:rPr>
      <w:sz w:val="21"/>
    </w:rPr>
  </w:style>
  <w:style w:type="paragraph" w:styleId="BodyTextIndent">
    <w:name w:val="Body Text Indent"/>
    <w:basedOn w:val="Normal"/>
    <w:link w:val="a0"/>
    <w:pPr>
      <w:spacing w:after="120" w:line="480" w:lineRule="auto"/>
      <w:ind w:left="420" w:leftChars="200"/>
    </w:pPr>
    <w:rPr>
      <w:sz w:val="28"/>
    </w:rPr>
  </w:style>
  <w:style w:type="paragraph" w:styleId="TOC3">
    <w:name w:val="toc 3"/>
    <w:basedOn w:val="Normal"/>
    <w:next w:val="Normal"/>
    <w:uiPriority w:val="39"/>
    <w:qFormat/>
    <w:pPr>
      <w:ind w:left="840" w:leftChars="400"/>
    </w:pPr>
    <w:rPr>
      <w:sz w:val="21"/>
    </w:rPr>
  </w:style>
  <w:style w:type="paragraph" w:styleId="Date">
    <w:name w:val="Date"/>
    <w:basedOn w:val="Normal"/>
    <w:next w:val="Normal"/>
    <w:link w:val="a10"/>
    <w:qFormat/>
    <w:pPr>
      <w:ind w:left="100" w:leftChars="2500"/>
    </w:pPr>
  </w:style>
  <w:style w:type="paragraph" w:styleId="BodyTextIndent2">
    <w:name w:val="Body Text Indent 2"/>
    <w:basedOn w:val="Normal"/>
    <w:link w:val="2"/>
    <w:qFormat/>
    <w:pPr>
      <w:spacing w:beforeLines="50" w:afterLines="50" w:line="360" w:lineRule="auto"/>
      <w:ind w:firstLine="560" w:firstLineChars="200"/>
    </w:pPr>
    <w:rPr>
      <w:rFonts w:ascii="宋体" w:hAnsi="宋体"/>
      <w:color w:val="000000"/>
      <w:sz w:val="28"/>
      <w:szCs w:val="28"/>
    </w:rPr>
  </w:style>
  <w:style w:type="paragraph" w:styleId="BalloonText">
    <w:name w:val="Balloon Text"/>
    <w:basedOn w:val="Normal"/>
    <w:link w:val="a3"/>
    <w:qFormat/>
    <w:rPr>
      <w:sz w:val="18"/>
      <w:szCs w:val="18"/>
    </w:rPr>
  </w:style>
  <w:style w:type="paragraph" w:styleId="Footer">
    <w:name w:val="footer"/>
    <w:basedOn w:val="Normal"/>
    <w:link w:val="a5"/>
    <w:uiPriority w:val="99"/>
    <w:qFormat/>
    <w:pPr>
      <w:tabs>
        <w:tab w:val="center" w:pos="4153"/>
        <w:tab w:val="right" w:pos="8306"/>
      </w:tabs>
      <w:snapToGrid w:val="0"/>
      <w:jc w:val="left"/>
    </w:pPr>
    <w:rPr>
      <w:sz w:val="18"/>
      <w:szCs w:val="18"/>
    </w:rPr>
  </w:style>
  <w:style w:type="paragraph" w:styleId="Header">
    <w:name w:val="header"/>
    <w:basedOn w:val="Normal"/>
    <w:link w:val="a1"/>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rPr>
      <w:b/>
      <w:sz w:val="28"/>
    </w:rPr>
  </w:style>
  <w:style w:type="paragraph" w:styleId="FootnoteText">
    <w:name w:val="footnote text"/>
    <w:basedOn w:val="Normal"/>
    <w:link w:val="a9"/>
    <w:qFormat/>
    <w:pPr>
      <w:snapToGrid w:val="0"/>
      <w:jc w:val="left"/>
    </w:pPr>
    <w:rPr>
      <w:sz w:val="18"/>
      <w:szCs w:val="18"/>
    </w:rPr>
  </w:style>
  <w:style w:type="paragraph" w:styleId="TOC2">
    <w:name w:val="toc 2"/>
    <w:basedOn w:val="Normal"/>
    <w:next w:val="Normal"/>
    <w:uiPriority w:val="39"/>
    <w:qFormat/>
    <w:pPr>
      <w:tabs>
        <w:tab w:val="right" w:leader="dot" w:pos="9060"/>
      </w:tabs>
      <w:spacing w:line="500" w:lineRule="exact"/>
      <w:ind w:left="420" w:leftChars="200"/>
    </w:pPr>
    <w:rPr>
      <w:sz w:val="28"/>
    </w:rPr>
  </w:style>
  <w:style w:type="paragraph" w:styleId="BodyText2">
    <w:name w:val="Body Text 2"/>
    <w:basedOn w:val="Normal"/>
    <w:link w:val="20"/>
    <w:pPr>
      <w:spacing w:after="120" w:line="480" w:lineRule="auto"/>
    </w:pPr>
    <w:rPr>
      <w:sz w:val="21"/>
    </w:rPr>
  </w:style>
  <w:style w:type="paragraph" w:styleId="NormalWeb">
    <w:name w:val="Normal (Web)"/>
    <w:basedOn w:val="Normal"/>
    <w:pPr>
      <w:spacing w:line="460" w:lineRule="exact"/>
    </w:pPr>
  </w:style>
  <w:style w:type="paragraph" w:styleId="CommentSubject">
    <w:name w:val="annotation subject"/>
    <w:basedOn w:val="CommentText"/>
    <w:next w:val="CommentText"/>
    <w:link w:val="a7"/>
    <w:unhideWhenUsed/>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PageNumber">
    <w:name w:val="page number"/>
    <w:basedOn w:val="DefaultParagraphFont"/>
    <w:qFormat/>
  </w:style>
  <w:style w:type="character" w:styleId="Hyperlink">
    <w:name w:val="Hyperlink"/>
    <w:uiPriority w:val="99"/>
    <w:rPr>
      <w:color w:val="0000FF"/>
      <w:u w:val="single"/>
    </w:rPr>
  </w:style>
  <w:style w:type="character" w:styleId="CommentReference">
    <w:name w:val="annotation reference"/>
    <w:basedOn w:val="DefaultParagraphFont"/>
    <w:qFormat/>
    <w:rPr>
      <w:sz w:val="21"/>
      <w:szCs w:val="21"/>
    </w:rPr>
  </w:style>
  <w:style w:type="character" w:styleId="FootnoteReference">
    <w:name w:val="footnote reference"/>
    <w:rPr>
      <w:vertAlign w:val="superscript"/>
    </w:rPr>
  </w:style>
  <w:style w:type="character" w:customStyle="1" w:styleId="a">
    <w:name w:val="正文文本 字符"/>
    <w:link w:val="BodyText"/>
    <w:qFormat/>
    <w:rPr>
      <w:kern w:val="2"/>
      <w:sz w:val="21"/>
      <w:szCs w:val="24"/>
    </w:rPr>
  </w:style>
  <w:style w:type="character" w:customStyle="1" w:styleId="1">
    <w:name w:val="标题 1 字符"/>
    <w:link w:val="Heading1"/>
    <w:qFormat/>
    <w:rPr>
      <w:rFonts w:ascii="黑体" w:eastAsia="黑体" w:hAnsi="黑体"/>
      <w:sz w:val="28"/>
    </w:rPr>
  </w:style>
  <w:style w:type="character" w:customStyle="1" w:styleId="2">
    <w:name w:val="正文文本缩进 2 字符"/>
    <w:link w:val="BodyTextIndent2"/>
    <w:qFormat/>
    <w:rPr>
      <w:rFonts w:ascii="宋体" w:eastAsia="宋体" w:hAnsi="宋体"/>
      <w:color w:val="000000"/>
      <w:kern w:val="2"/>
      <w:sz w:val="28"/>
      <w:szCs w:val="28"/>
      <w:lang w:val="en-US" w:eastAsia="zh-CN" w:bidi="ar-SA"/>
    </w:rPr>
  </w:style>
  <w:style w:type="character" w:customStyle="1" w:styleId="a0">
    <w:name w:val="正文文本缩进 字符"/>
    <w:link w:val="BodyTextIndent"/>
    <w:qFormat/>
    <w:rPr>
      <w:rFonts w:eastAsia="宋体"/>
      <w:kern w:val="2"/>
      <w:sz w:val="28"/>
      <w:szCs w:val="24"/>
      <w:lang w:val="en-US" w:eastAsia="zh-CN" w:bidi="ar-SA"/>
    </w:rPr>
  </w:style>
  <w:style w:type="character" w:customStyle="1" w:styleId="style41">
    <w:name w:val="style41"/>
    <w:rPr>
      <w:rFonts w:ascii="宋体" w:eastAsia="宋体" w:hAnsi="宋体" w:hint="eastAsia"/>
      <w:sz w:val="21"/>
      <w:szCs w:val="21"/>
    </w:rPr>
  </w:style>
  <w:style w:type="character" w:customStyle="1" w:styleId="3Char">
    <w:name w:val="标题 3 Char"/>
    <w:rPr>
      <w:rFonts w:ascii="宋体" w:eastAsia="宋体" w:hAnsi="宋体"/>
      <w:sz w:val="28"/>
      <w:lang w:val="en-US" w:eastAsia="zh-CN" w:bidi="ar-SA"/>
    </w:rPr>
  </w:style>
  <w:style w:type="character" w:customStyle="1" w:styleId="3">
    <w:name w:val="标题 3 字符"/>
    <w:link w:val="Heading3"/>
    <w:qFormat/>
    <w:rPr>
      <w:b/>
      <w:kern w:val="0"/>
      <w:sz w:val="32"/>
      <w:szCs w:val="20"/>
    </w:rPr>
  </w:style>
  <w:style w:type="character" w:customStyle="1" w:styleId="20">
    <w:name w:val="正文文本 2 字符"/>
    <w:link w:val="BodyText2"/>
    <w:rPr>
      <w:kern w:val="2"/>
      <w:sz w:val="21"/>
      <w:szCs w:val="24"/>
    </w:rPr>
  </w:style>
  <w:style w:type="character" w:customStyle="1" w:styleId="21">
    <w:name w:val="标题 2 字符"/>
    <w:link w:val="Heading2"/>
    <w:qFormat/>
    <w:rPr>
      <w:rFonts w:ascii="Arial" w:eastAsia="黑体" w:hAnsi="Arial" w:cs="黑体"/>
      <w:sz w:val="28"/>
      <w:szCs w:val="28"/>
    </w:rPr>
  </w:style>
  <w:style w:type="character" w:customStyle="1" w:styleId="textcontents">
    <w:name w:val="textcontents"/>
    <w:basedOn w:val="DefaultParagraphFont"/>
  </w:style>
  <w:style w:type="character" w:customStyle="1" w:styleId="a1">
    <w:name w:val="页眉 字符"/>
    <w:link w:val="Header"/>
    <w:autoRedefine/>
    <w:rPr>
      <w:kern w:val="2"/>
      <w:sz w:val="18"/>
      <w:szCs w:val="18"/>
    </w:rPr>
  </w:style>
  <w:style w:type="character" w:customStyle="1" w:styleId="a2">
    <w:name w:val="文档结构图 字符"/>
    <w:link w:val="DocumentMap"/>
    <w:qFormat/>
    <w:rPr>
      <w:rFonts w:ascii="宋体"/>
      <w:kern w:val="2"/>
      <w:sz w:val="18"/>
      <w:szCs w:val="18"/>
    </w:rPr>
  </w:style>
  <w:style w:type="character" w:customStyle="1" w:styleId="a3">
    <w:name w:val="批注框文本 字符"/>
    <w:link w:val="BalloonText"/>
    <w:qFormat/>
    <w:rPr>
      <w:kern w:val="2"/>
      <w:sz w:val="18"/>
      <w:szCs w:val="18"/>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qFormat/>
    <w:rPr>
      <w:rFonts w:ascii="Tahoma" w:hAnsi="Tahoma"/>
      <w:szCs w:val="20"/>
    </w:rPr>
  </w:style>
  <w:style w:type="paragraph" w:customStyle="1" w:styleId="22CharChar22">
    <w:name w:val="样式 标题 2标题 2 Char Char + 宋体 四号 行距: 固定值 22 磅"/>
    <w:basedOn w:val="Heading2"/>
    <w:qFormat/>
    <w:pPr>
      <w:spacing w:beforeLines="50" w:afterLines="50" w:line="440" w:lineRule="exact"/>
      <w:outlineLvl w:val="0"/>
    </w:pPr>
    <w:rPr>
      <w:rFonts w:ascii="宋体" w:eastAsia="宋体" w:hAnsi="宋体"/>
      <w:b/>
      <w:lang w:val="zh-CN"/>
    </w:rPr>
  </w:style>
  <w:style w:type="paragraph" w:customStyle="1" w:styleId="30">
    <w:name w:val="样式3"/>
    <w:basedOn w:val="Normal"/>
    <w:autoRedefine/>
    <w:qFormat/>
    <w:pPr>
      <w:numPr>
        <w:ilvl w:val="0"/>
        <w:numId w:val="2"/>
      </w:numPr>
      <w:tabs>
        <w:tab w:val="clear" w:pos="425"/>
        <w:tab w:val="left" w:pos="720"/>
      </w:tabs>
      <w:ind w:left="0" w:firstLine="567"/>
    </w:pPr>
    <w:rPr>
      <w:sz w:val="30"/>
      <w:szCs w:val="20"/>
    </w:rPr>
  </w:style>
  <w:style w:type="paragraph" w:customStyle="1" w:styleId="10">
    <w:name w:val="样式 标题 1 + 三号 居中"/>
    <w:basedOn w:val="Heading1"/>
    <w:qFormat/>
    <w:pPr>
      <w:keepLines/>
      <w:widowControl w:val="0"/>
      <w:numPr>
        <w:numId w:val="0"/>
      </w:numPr>
      <w:spacing w:afterLines="50" w:line="360" w:lineRule="auto"/>
    </w:pPr>
    <w:rPr>
      <w:rFonts w:cs="宋体"/>
      <w:b/>
      <w:bCs/>
      <w:color w:val="000000"/>
      <w:kern w:val="44"/>
      <w:szCs w:val="28"/>
    </w:rPr>
  </w:style>
  <w:style w:type="paragraph" w:customStyle="1" w:styleId="reader-word-layer">
    <w:name w:val="reader-word-layer"/>
    <w:basedOn w:val="Normal"/>
    <w:qFormat/>
    <w:pPr>
      <w:widowControl/>
      <w:spacing w:before="100" w:beforeAutospacing="1" w:after="100" w:afterAutospacing="1"/>
      <w:jc w:val="left"/>
    </w:pPr>
    <w:rPr>
      <w:rFonts w:ascii="宋体" w:hAnsi="宋体" w:cs="宋体"/>
      <w:kern w:val="0"/>
    </w:rPr>
  </w:style>
  <w:style w:type="character" w:styleId="PlaceholderText">
    <w:name w:val="Placeholder Text"/>
    <w:basedOn w:val="DefaultParagraphFont"/>
    <w:uiPriority w:val="99"/>
    <w:unhideWhenUsed/>
    <w:qFormat/>
    <w:rPr>
      <w:color w:val="808080"/>
    </w:rPr>
  </w:style>
  <w:style w:type="paragraph" w:styleId="NoSpacing">
    <w:name w:val="No Spacing"/>
    <w:link w:val="a4"/>
    <w:uiPriority w:val="1"/>
    <w:qFormat/>
    <w:rPr>
      <w:rFonts w:asciiTheme="minorHAnsi" w:eastAsiaTheme="minorEastAsia" w:hAnsiTheme="minorHAnsi" w:cstheme="minorBidi"/>
      <w:sz w:val="22"/>
      <w:szCs w:val="22"/>
      <w:lang w:val="en-US" w:eastAsia="zh-CN" w:bidi="ar-SA"/>
    </w:rPr>
  </w:style>
  <w:style w:type="character" w:customStyle="1" w:styleId="a4">
    <w:name w:val="无间隔 字符"/>
    <w:basedOn w:val="DefaultParagraphFont"/>
    <w:link w:val="NoSpacing"/>
    <w:uiPriority w:val="1"/>
    <w:qFormat/>
    <w:rPr>
      <w:rFonts w:asciiTheme="minorHAnsi" w:eastAsiaTheme="minorEastAsia" w:hAnsiTheme="minorHAnsi" w:cstheme="minorBidi"/>
      <w:sz w:val="22"/>
      <w:szCs w:val="22"/>
    </w:rPr>
  </w:style>
  <w:style w:type="paragraph" w:customStyle="1" w:styleId="p0">
    <w:name w:val="p0"/>
    <w:basedOn w:val="Normal"/>
    <w:qFormat/>
    <w:pPr>
      <w:widowControl/>
    </w:pPr>
    <w:rPr>
      <w:rFonts w:hint="eastAsia"/>
      <w:sz w:val="21"/>
      <w:szCs w:val="20"/>
    </w:rPr>
  </w:style>
  <w:style w:type="character" w:customStyle="1" w:styleId="a5">
    <w:name w:val="页脚 字符"/>
    <w:basedOn w:val="DefaultParagraphFont"/>
    <w:link w:val="Footer"/>
    <w:uiPriority w:val="99"/>
    <w:rPr>
      <w:kern w:val="2"/>
      <w:sz w:val="18"/>
      <w:szCs w:val="18"/>
    </w:rPr>
  </w:style>
  <w:style w:type="character" w:customStyle="1" w:styleId="a6">
    <w:name w:val="批注文字 字符"/>
    <w:basedOn w:val="DefaultParagraphFont"/>
    <w:link w:val="CommentText"/>
    <w:rPr>
      <w:kern w:val="2"/>
      <w:sz w:val="24"/>
      <w:szCs w:val="24"/>
    </w:rPr>
  </w:style>
  <w:style w:type="character" w:customStyle="1" w:styleId="a7">
    <w:name w:val="批注主题 字符"/>
    <w:basedOn w:val="a6"/>
    <w:link w:val="CommentSubject"/>
    <w:qFormat/>
    <w:rPr>
      <w:b/>
      <w:bCs/>
      <w:kern w:val="2"/>
      <w:sz w:val="24"/>
      <w:szCs w:val="24"/>
    </w:rPr>
  </w:style>
  <w:style w:type="character" w:customStyle="1" w:styleId="font31">
    <w:name w:val="font31"/>
    <w:rPr>
      <w:rFonts w:ascii="Arial Unicode MS" w:eastAsia="Arial Unicode MS" w:hAnsi="Arial Unicode MS" w:cs="Arial Unicode MS"/>
      <w:color w:val="000000"/>
      <w:sz w:val="22"/>
      <w:szCs w:val="22"/>
      <w:u w:val="none"/>
    </w:rPr>
  </w:style>
  <w:style w:type="character" w:customStyle="1" w:styleId="CharChar">
    <w:name w:val="正文（李） Char Char"/>
    <w:link w:val="a8"/>
    <w:locked/>
    <w:rPr>
      <w:rFonts w:ascii="宋体" w:hAnsi="宋体" w:cs="宋体"/>
      <w:color w:val="000000"/>
      <w:kern w:val="2"/>
      <w:sz w:val="24"/>
      <w:szCs w:val="24"/>
      <w:lang w:val="zh-CN"/>
    </w:rPr>
  </w:style>
  <w:style w:type="paragraph" w:customStyle="1" w:styleId="a8">
    <w:name w:val="正文（李）"/>
    <w:basedOn w:val="Normal"/>
    <w:link w:val="CharChar"/>
    <w:pPr>
      <w:adjustRightInd w:val="0"/>
      <w:snapToGrid w:val="0"/>
      <w:spacing w:line="360" w:lineRule="auto"/>
      <w:ind w:firstLine="480" w:firstLineChars="200"/>
    </w:pPr>
    <w:rPr>
      <w:rFonts w:ascii="宋体" w:hAnsi="宋体" w:cs="宋体"/>
      <w:color w:val="000000"/>
      <w:lang w:val="zh-CN"/>
    </w:rPr>
  </w:style>
  <w:style w:type="character" w:customStyle="1" w:styleId="TLChar">
    <w:name w:val="TL正文 Char"/>
    <w:link w:val="TL"/>
    <w:rPr>
      <w:rFonts w:ascii="仿宋_GB2312" w:eastAsia="仿宋_GB2312" w:hAnsi="仿宋_GB2312" w:cs="仿宋_GB2312"/>
      <w:kern w:val="28"/>
      <w:sz w:val="28"/>
      <w:szCs w:val="28"/>
    </w:rPr>
  </w:style>
  <w:style w:type="paragraph" w:customStyle="1" w:styleId="TL">
    <w:name w:val="TL正文"/>
    <w:basedOn w:val="Normal"/>
    <w:link w:val="TLChar"/>
    <w:pPr>
      <w:spacing w:line="460" w:lineRule="exact"/>
      <w:ind w:firstLine="200" w:firstLineChars="200"/>
      <w:jc w:val="left"/>
    </w:pPr>
    <w:rPr>
      <w:rFonts w:ascii="仿宋_GB2312" w:eastAsia="仿宋_GB2312" w:hAnsi="仿宋_GB2312" w:cs="仿宋_GB2312"/>
      <w:kern w:val="28"/>
      <w:sz w:val="28"/>
      <w:szCs w:val="28"/>
    </w:rPr>
  </w:style>
  <w:style w:type="character" w:customStyle="1" w:styleId="question-title">
    <w:name w:val="question-title"/>
    <w:basedOn w:val="DefaultParagraphFont"/>
  </w:style>
  <w:style w:type="character" w:customStyle="1" w:styleId="a9">
    <w:name w:val="脚注文本 字符"/>
    <w:link w:val="FootnoteText"/>
    <w:rPr>
      <w:kern w:val="2"/>
      <w:sz w:val="18"/>
      <w:szCs w:val="18"/>
    </w:rPr>
  </w:style>
  <w:style w:type="character" w:customStyle="1" w:styleId="TLChar0">
    <w:name w:val="TL图表内字体 Char"/>
    <w:link w:val="TL0"/>
    <w:rPr>
      <w:rFonts w:ascii="仿宋_GB2312" w:eastAsia="仿宋_GB2312" w:hAnsi="仿宋_GB2312" w:cs="仿宋_GB2312"/>
      <w:kern w:val="28"/>
      <w:sz w:val="21"/>
      <w:szCs w:val="28"/>
    </w:rPr>
  </w:style>
  <w:style w:type="paragraph" w:customStyle="1" w:styleId="TL0">
    <w:name w:val="TL图表内字体"/>
    <w:basedOn w:val="Normal"/>
    <w:link w:val="TLChar0"/>
    <w:qFormat/>
    <w:pPr>
      <w:jc w:val="center"/>
    </w:pPr>
    <w:rPr>
      <w:rFonts w:ascii="仿宋_GB2312" w:eastAsia="仿宋_GB2312" w:hAnsi="仿宋_GB2312" w:cs="仿宋_GB2312"/>
      <w:kern w:val="28"/>
      <w:sz w:val="21"/>
      <w:szCs w:val="28"/>
    </w:rPr>
  </w:style>
  <w:style w:type="character" w:customStyle="1" w:styleId="a10">
    <w:name w:val="日期 字符"/>
    <w:link w:val="Date"/>
    <w:rPr>
      <w:kern w:val="2"/>
      <w:sz w:val="24"/>
      <w:szCs w:val="24"/>
    </w:rPr>
  </w:style>
  <w:style w:type="character" w:customStyle="1" w:styleId="font21">
    <w:name w:val="font21"/>
    <w:rPr>
      <w:rFonts w:ascii="宋体" w:eastAsia="宋体" w:hAnsi="宋体" w:cs="宋体" w:hint="eastAsia"/>
      <w:color w:val="000000"/>
      <w:sz w:val="22"/>
      <w:szCs w:val="22"/>
      <w:u w:val="none"/>
    </w:rPr>
  </w:style>
  <w:style w:type="character" w:customStyle="1" w:styleId="font01">
    <w:name w:val="font01"/>
    <w:autoRedefine/>
    <w:rPr>
      <w:rFonts w:ascii="Arial Unicode MS" w:eastAsia="Arial Unicode MS" w:hAnsi="Arial Unicode MS" w:cs="Arial Unicode MS"/>
      <w:color w:val="000000"/>
      <w:sz w:val="22"/>
      <w:szCs w:val="22"/>
      <w:u w:val="none"/>
    </w:rPr>
  </w:style>
  <w:style w:type="paragraph" w:customStyle="1" w:styleId="31">
    <w:name w:val="样式 标题 3 + 加粗"/>
    <w:basedOn w:val="Heading3"/>
    <w:next w:val="Normal"/>
    <w:qFormat/>
    <w:pPr>
      <w:widowControl w:val="0"/>
      <w:snapToGrid w:val="0"/>
      <w:spacing w:before="60" w:after="60"/>
      <w:ind w:firstLine="0"/>
      <w:jc w:val="left"/>
    </w:pPr>
    <w:rPr>
      <w:bCs/>
      <w:color w:val="0000FF"/>
      <w:kern w:val="2"/>
      <w:sz w:val="24"/>
      <w:szCs w:val="24"/>
    </w:rPr>
  </w:style>
  <w:style w:type="paragraph" w:customStyle="1" w:styleId="TL111">
    <w:name w:val="TL1.1.1"/>
    <w:basedOn w:val="TL"/>
    <w:next w:val="TL"/>
    <w:qFormat/>
    <w:pPr>
      <w:spacing w:line="360" w:lineRule="auto"/>
      <w:ind w:firstLine="562"/>
      <w:outlineLvl w:val="2"/>
    </w:pPr>
    <w:rPr>
      <w:b/>
    </w:rPr>
  </w:style>
  <w:style w:type="paragraph" w:customStyle="1" w:styleId="215">
    <w:name w:val="样式 标题 2 + 行距: 1.5 倍行距"/>
    <w:basedOn w:val="Heading2"/>
    <w:pPr>
      <w:numPr>
        <w:ilvl w:val="1"/>
        <w:numId w:val="1"/>
      </w:numPr>
      <w:tabs>
        <w:tab w:val="left" w:pos="0"/>
      </w:tabs>
      <w:snapToGrid w:val="0"/>
      <w:spacing w:before="60" w:after="60" w:line="360" w:lineRule="auto"/>
    </w:pPr>
    <w:rPr>
      <w:rFonts w:ascii="Times New Roman" w:eastAsia="宋体" w:hAnsi="Times New Roman"/>
      <w:b/>
      <w:bCs/>
      <w:color w:val="0000FF"/>
      <w:kern w:val="2"/>
      <w:sz w:val="24"/>
      <w:szCs w:val="24"/>
    </w:rPr>
  </w:style>
  <w:style w:type="paragraph" w:customStyle="1" w:styleId="a11">
    <w:name w:val="样式 一级标题 + 三号 两端对齐"/>
    <w:basedOn w:val="Normal"/>
    <w:pPr>
      <w:tabs>
        <w:tab w:val="left" w:pos="-425"/>
        <w:tab w:val="left" w:pos="425"/>
      </w:tabs>
      <w:spacing w:line="360" w:lineRule="auto"/>
      <w:ind w:left="432" w:hanging="432"/>
      <w:outlineLvl w:val="0"/>
    </w:pPr>
    <w:rPr>
      <w:rFonts w:ascii="黑体" w:eastAsia="黑体" w:hAnsi="宋体"/>
      <w:sz w:val="32"/>
      <w:szCs w:val="20"/>
    </w:rPr>
  </w:style>
  <w:style w:type="paragraph" w:customStyle="1" w:styleId="TOCHeading">
    <w:name w:val="TOC Heading"/>
    <w:basedOn w:val="Heading1"/>
    <w:next w:val="Normal"/>
    <w:uiPriority w:val="39"/>
    <w:qFormat/>
    <w:pPr>
      <w:keepLines/>
      <w:numPr>
        <w:numId w:val="0"/>
      </w:numPr>
      <w:tabs>
        <w:tab w:val="clear" w:pos="432"/>
      </w:tabs>
      <w:spacing w:before="480" w:after="0" w:line="276" w:lineRule="auto"/>
      <w:outlineLvl w:val="9"/>
    </w:pPr>
    <w:rPr>
      <w:rFonts w:ascii="Cambria" w:eastAsia="宋体" w:hAnsi="Cambria"/>
      <w:b/>
      <w:bCs/>
      <w:color w:val="365F91"/>
      <w:szCs w:val="28"/>
    </w:rPr>
  </w:style>
  <w:style w:type="paragraph" w:customStyle="1" w:styleId="a12">
    <w:name w:val="首行缩进正文"/>
    <w:basedOn w:val="Normal"/>
    <w:qFormat/>
    <w:pPr>
      <w:snapToGrid w:val="0"/>
      <w:spacing w:line="360" w:lineRule="auto"/>
      <w:ind w:firstLine="200" w:firstLineChars="200"/>
    </w:pPr>
    <w:rPr>
      <w:sz w:val="28"/>
      <w:szCs w:val="20"/>
    </w:rPr>
  </w:style>
  <w:style w:type="paragraph" w:styleId="ListParagraph">
    <w:name w:val="List Paragraph"/>
    <w:basedOn w:val="Normal"/>
    <w:uiPriority w:val="34"/>
    <w:qFormat/>
    <w:pPr>
      <w:ind w:firstLine="420" w:firstLineChars="200"/>
    </w:pPr>
    <w:rPr>
      <w:rFonts w:ascii="Calibri" w:hAnsi="Calibri"/>
      <w:sz w:val="21"/>
      <w:szCs w:val="22"/>
    </w:rPr>
  </w:style>
  <w:style w:type="paragraph" w:customStyle="1" w:styleId="TL1">
    <w:name w:val="TL图表题"/>
    <w:basedOn w:val="Normal"/>
    <w:next w:val="Normal"/>
    <w:qFormat/>
    <w:pPr>
      <w:spacing w:before="25" w:beforeLines="25"/>
      <w:jc w:val="center"/>
    </w:pPr>
    <w:rPr>
      <w:rFonts w:ascii="仿宋_GB2312" w:eastAsia="仿宋_GB2312" w:hAnsi="仿宋_GB2312" w:cs="仿宋_GB2312"/>
      <w:b/>
      <w:kern w:val="28"/>
      <w:sz w:val="28"/>
      <w:szCs w:val="44"/>
    </w:rPr>
  </w:style>
  <w:style w:type="paragraph" w:customStyle="1" w:styleId="a13">
    <w:name w:val="小四号正文"/>
    <w:basedOn w:val="Normal"/>
    <w:pPr>
      <w:spacing w:line="360" w:lineRule="auto"/>
      <w:ind w:firstLine="200" w:firstLineChars="200"/>
    </w:pPr>
    <w:rPr>
      <w:szCs w:val="20"/>
    </w:rPr>
  </w:style>
  <w:style w:type="paragraph" w:customStyle="1" w:styleId="TL-">
    <w:name w:val="TL图表内字体-左"/>
    <w:basedOn w:val="TL0"/>
    <w:pPr>
      <w:ind w:firstLine="200" w:firstLineChars="200"/>
      <w:jc w:val="left"/>
    </w:pPr>
  </w:style>
  <w:style w:type="paragraph" w:customStyle="1" w:styleId="115">
    <w:name w:val="样式 标题 1 + 行距: 1.5 倍行距"/>
    <w:basedOn w:val="Heading1"/>
    <w:pPr>
      <w:keepLines/>
      <w:widowControl w:val="0"/>
      <w:tabs>
        <w:tab w:val="left" w:pos="-425"/>
        <w:tab w:val="clear" w:pos="432"/>
      </w:tabs>
      <w:spacing w:before="100" w:after="100" w:line="360" w:lineRule="auto"/>
      <w:ind w:left="0" w:firstLine="0"/>
    </w:pPr>
    <w:rPr>
      <w:rFonts w:ascii="Times New Roman" w:hAnsi="Times New Roman"/>
      <w:b/>
      <w:bCs/>
      <w:color w:val="0000FF"/>
      <w:kern w:val="44"/>
      <w:szCs w:val="28"/>
    </w:rPr>
  </w:style>
  <w:style w:type="paragraph" w:customStyle="1" w:styleId="a14">
    <w:name w:val="小四号黑体"/>
    <w:basedOn w:val="Normal"/>
    <w:pPr>
      <w:spacing w:line="360" w:lineRule="auto"/>
    </w:pPr>
    <w:rPr>
      <w:rFonts w:eastAsia="黑体"/>
      <w:szCs w:val="20"/>
    </w:rPr>
  </w:style>
  <w:style w:type="character" w:customStyle="1" w:styleId="11">
    <w:name w:val="脚注文本 字符1"/>
    <w:basedOn w:val="DefaultParagraphFont"/>
    <w:semiHidden/>
    <w:rPr>
      <w:kern w:val="2"/>
      <w:sz w:val="18"/>
      <w:szCs w:val="18"/>
    </w:rPr>
  </w:style>
  <w:style w:type="character" w:customStyle="1" w:styleId="6">
    <w:name w:val="标题 6 字符"/>
    <w:basedOn w:val="DefaultParagraphFont"/>
    <w:link w:val="Heading6"/>
    <w:rPr>
      <w:rFonts w:ascii="Arial" w:eastAsia="黑体" w:hAnsi="Arial"/>
      <w:b/>
      <w:bCs/>
      <w:sz w:val="24"/>
      <w:szCs w:val="24"/>
    </w:rPr>
  </w:style>
  <w:style w:type="character" w:customStyle="1" w:styleId="12">
    <w:name w:val="日期 字符1"/>
    <w:basedOn w:val="DefaultParagraphFont"/>
    <w:autoRedefine/>
    <w:semiHidden/>
    <w:qFormat/>
    <w:rPr>
      <w:kern w:val="2"/>
      <w:sz w:val="21"/>
      <w:szCs w:val="24"/>
    </w:rPr>
  </w:style>
  <w:style w:type="character" w:customStyle="1" w:styleId="13">
    <w:name w:val="批注文字 字符1"/>
    <w:basedOn w:val="DefaultParagraphFont"/>
    <w:semiHidden/>
    <w:rPr>
      <w:kern w:val="2"/>
      <w:sz w:val="21"/>
      <w:szCs w:val="24"/>
    </w:rPr>
  </w:style>
  <w:style w:type="character" w:customStyle="1" w:styleId="14">
    <w:name w:val="批注主题 字符1"/>
    <w:basedOn w:val="13"/>
    <w:semiHidden/>
    <w:rPr>
      <w:b/>
      <w:bCs/>
      <w:kern w:val="2"/>
      <w:sz w:val="21"/>
      <w:szCs w:val="24"/>
    </w:rPr>
  </w:style>
  <w:style w:type="character" w:customStyle="1" w:styleId="210">
    <w:name w:val="正文文本缩进 2 字符1"/>
    <w:basedOn w:val="DefaultParagraphFont"/>
    <w:semiHidden/>
    <w:rPr>
      <w:kern w:val="2"/>
      <w:sz w:val="21"/>
      <w:szCs w:val="24"/>
    </w:rPr>
  </w:style>
  <w:style w:type="character" w:customStyle="1" w:styleId="15">
    <w:name w:val="批注框文本 字符1"/>
    <w:basedOn w:val="DefaultParagraphFont"/>
    <w:semiHidden/>
    <w:rPr>
      <w:kern w:val="2"/>
      <w:sz w:val="18"/>
      <w:szCs w:val="18"/>
    </w:rPr>
  </w:style>
  <w:style w:type="character" w:customStyle="1" w:styleId="16">
    <w:name w:val="页脚 字符1"/>
    <w:basedOn w:val="DefaultParagraphFont"/>
    <w:autoRedefine/>
    <w:uiPriority w:val="99"/>
    <w:semiHidden/>
    <w:rPr>
      <w:kern w:val="2"/>
      <w:sz w:val="18"/>
      <w:szCs w:val="18"/>
    </w:rPr>
  </w:style>
  <w:style w:type="table" w:customStyle="1" w:styleId="TableGrid0">
    <w:name w:val="Table Grid_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yperlink" Target="https://d.book118.com/938006110010006026" TargetMode="Externa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9B5E2-DD18-42C7-9AAB-5D0D5ADAEE41}">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14</Pages>
  <Words>3666</Words>
  <Characters>20898</Characters>
  <Application>Microsoft Office Word</Application>
  <DocSecurity>0</DocSecurity>
  <Lines>174</Lines>
  <Paragraphs>49</Paragraphs>
  <ScaleCrop>false</ScaleCrop>
  <Company>HP</Company>
  <LinksUpToDate>false</LinksUpToDate>
  <CharactersWithSpaces>24515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301门急诊</dc:title>
  <dc:creator>bzj</dc:creator>
  <cp:lastModifiedBy>李拜天</cp:lastModifiedBy>
  <cp:revision>156</cp:revision>
  <cp:lastPrinted>2020-09-28T10:14:00Z</cp:lastPrinted>
  <dcterms:created xsi:type="dcterms:W3CDTF">2019-08-20T23:28:00Z</dcterms:created>
  <dcterms:modified xsi:type="dcterms:W3CDTF">2024-01-14T02:46:20Z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8C93846F24F04292A945E7594ADA18D6_12</vt:lpwstr>
  </property>
  <property fmtid="{D5CDD505-2E9C-101B-9397-08002B2CF9AE}" pid="3" name="KSOProductBuildVer">
    <vt:lpwstr>2052-12.1.0.16120</vt:lpwstr>
  </property>
</Properties>
</file>