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润滑油加氢异构脱蜡催化剂项目规划设计方案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58" w:history="1">
        <w:r>
          <w:rPr>
            <w:rFonts w:ascii="仿宋" w:eastAsia="仿宋" w:hAnsi="仿宋" w:cs="仿宋" w:hint="eastAsia"/>
            <w:lang w:eastAsia="zh-CN"/>
          </w:rPr>
          <w:t>前言</w:t>
        </w:r>
        <w:r>
          <w:tab/>
        </w:r>
        <w:r>
          <w:fldChar w:fldCharType="begin"/>
        </w:r>
        <w:r>
          <w:instrText xml:space="preserve"> PAGEREF _Toc15858 \h </w:instrText>
        </w:r>
        <w:r>
          <w:fldChar w:fldCharType="separate"/>
        </w:r>
        <w:r>
          <w:t>3</w:t>
        </w:r>
        <w:r>
          <w:fldChar w:fldCharType="end"/>
        </w:r>
      </w:hyperlink>
    </w:p>
    <w:p>
      <w:pPr>
        <w:pStyle w:val="TOC1"/>
        <w:tabs>
          <w:tab w:val="right" w:leader="dot" w:pos="8306"/>
        </w:tabs>
      </w:pPr>
      <w:hyperlink w:anchor="_Toc8606" w:history="1">
        <w:r>
          <w:rPr>
            <w:rFonts w:ascii="仿宋" w:eastAsia="仿宋" w:hAnsi="仿宋" w:cs="仿宋" w:hint="eastAsia"/>
            <w:lang w:eastAsia="zh-CN"/>
          </w:rPr>
          <w:t>一、润滑油加氢异构脱蜡催化剂项目文档管理</w:t>
        </w:r>
        <w:r>
          <w:tab/>
        </w:r>
        <w:r>
          <w:fldChar w:fldCharType="begin"/>
        </w:r>
        <w:r>
          <w:instrText xml:space="preserve"> PAGEREF _Toc8606 \h </w:instrText>
        </w:r>
        <w:r>
          <w:fldChar w:fldCharType="separate"/>
        </w:r>
        <w:r>
          <w:t>3</w:t>
        </w:r>
        <w:r>
          <w:fldChar w:fldCharType="end"/>
        </w:r>
      </w:hyperlink>
    </w:p>
    <w:p>
      <w:pPr>
        <w:pStyle w:val="TOC2"/>
        <w:tabs>
          <w:tab w:val="right" w:leader="dot" w:pos="8306"/>
        </w:tabs>
      </w:pPr>
      <w:hyperlink w:anchor="_Toc14516" w:history="1">
        <w:r>
          <w:rPr>
            <w:rFonts w:ascii="仿宋" w:eastAsia="仿宋" w:hAnsi="仿宋" w:cs="仿宋" w:hint="eastAsia"/>
            <w:lang w:eastAsia="zh-CN"/>
          </w:rPr>
          <w:t>(一)、文档编制与审查</w:t>
        </w:r>
        <w:r>
          <w:tab/>
        </w:r>
        <w:r>
          <w:fldChar w:fldCharType="begin"/>
        </w:r>
        <w:r>
          <w:instrText xml:space="preserve"> PAGEREF _Toc14516 \h </w:instrText>
        </w:r>
        <w:r>
          <w:fldChar w:fldCharType="separate"/>
        </w:r>
        <w:r>
          <w:t>3</w:t>
        </w:r>
        <w:r>
          <w:fldChar w:fldCharType="end"/>
        </w:r>
      </w:hyperlink>
    </w:p>
    <w:p>
      <w:pPr>
        <w:pStyle w:val="TOC2"/>
        <w:tabs>
          <w:tab w:val="right" w:leader="dot" w:pos="8306"/>
        </w:tabs>
      </w:pPr>
      <w:hyperlink w:anchor="_Toc21460" w:history="1">
        <w:r>
          <w:rPr>
            <w:rFonts w:ascii="仿宋" w:eastAsia="仿宋" w:hAnsi="仿宋" w:cs="仿宋" w:hint="eastAsia"/>
            <w:lang w:eastAsia="zh-CN"/>
          </w:rPr>
          <w:t>(二)、文档发布与分发</w:t>
        </w:r>
        <w:r>
          <w:tab/>
        </w:r>
        <w:r>
          <w:fldChar w:fldCharType="begin"/>
        </w:r>
        <w:r>
          <w:instrText xml:space="preserve"> PAGEREF _Toc21460 \h </w:instrText>
        </w:r>
        <w:r>
          <w:fldChar w:fldCharType="separate"/>
        </w:r>
        <w:r>
          <w:t>4</w:t>
        </w:r>
        <w:r>
          <w:fldChar w:fldCharType="end"/>
        </w:r>
      </w:hyperlink>
    </w:p>
    <w:p>
      <w:pPr>
        <w:pStyle w:val="TOC2"/>
        <w:tabs>
          <w:tab w:val="right" w:leader="dot" w:pos="8306"/>
        </w:tabs>
      </w:pPr>
      <w:hyperlink w:anchor="_Toc11580" w:history="1">
        <w:r>
          <w:rPr>
            <w:rFonts w:ascii="仿宋" w:eastAsia="仿宋" w:hAnsi="仿宋" w:cs="仿宋" w:hint="eastAsia"/>
            <w:lang w:eastAsia="zh-CN"/>
          </w:rPr>
          <w:t>(三)、文档存档与归档</w:t>
        </w:r>
        <w:r>
          <w:tab/>
        </w:r>
        <w:r>
          <w:fldChar w:fldCharType="begin"/>
        </w:r>
        <w:r>
          <w:instrText xml:space="preserve"> PAGEREF _Toc11580 \h </w:instrText>
        </w:r>
        <w:r>
          <w:fldChar w:fldCharType="separate"/>
        </w:r>
        <w:r>
          <w:t>5</w:t>
        </w:r>
        <w:r>
          <w:fldChar w:fldCharType="end"/>
        </w:r>
      </w:hyperlink>
    </w:p>
    <w:p>
      <w:pPr>
        <w:pStyle w:val="TOC1"/>
        <w:tabs>
          <w:tab w:val="right" w:leader="dot" w:pos="8306"/>
        </w:tabs>
      </w:pPr>
      <w:hyperlink w:anchor="_Toc31962" w:history="1">
        <w:r>
          <w:rPr>
            <w:rFonts w:ascii="仿宋" w:eastAsia="仿宋" w:hAnsi="仿宋" w:cs="仿宋" w:hint="eastAsia"/>
            <w:lang w:eastAsia="zh-CN"/>
          </w:rPr>
          <w:t>二、润滑油加氢异构脱蜡催化剂项目土建工程</w:t>
        </w:r>
        <w:r>
          <w:tab/>
        </w:r>
        <w:r>
          <w:fldChar w:fldCharType="begin"/>
        </w:r>
        <w:r>
          <w:instrText xml:space="preserve"> PAGEREF _Toc31962 \h </w:instrText>
        </w:r>
        <w:r>
          <w:fldChar w:fldCharType="separate"/>
        </w:r>
        <w:r>
          <w:t>7</w:t>
        </w:r>
        <w:r>
          <w:fldChar w:fldCharType="end"/>
        </w:r>
      </w:hyperlink>
    </w:p>
    <w:p>
      <w:pPr>
        <w:pStyle w:val="TOC2"/>
        <w:tabs>
          <w:tab w:val="right" w:leader="dot" w:pos="8306"/>
        </w:tabs>
      </w:pPr>
      <w:hyperlink w:anchor="_Toc9715" w:history="1">
        <w:r>
          <w:rPr>
            <w:rFonts w:ascii="仿宋" w:eastAsia="仿宋" w:hAnsi="仿宋" w:cs="仿宋" w:hint="eastAsia"/>
            <w:lang w:eastAsia="zh-CN"/>
          </w:rPr>
          <w:t>(一)、建筑工程设计原则</w:t>
        </w:r>
        <w:r>
          <w:tab/>
        </w:r>
        <w:r>
          <w:fldChar w:fldCharType="begin"/>
        </w:r>
        <w:r>
          <w:instrText xml:space="preserve"> PAGEREF _Toc9715 \h </w:instrText>
        </w:r>
        <w:r>
          <w:fldChar w:fldCharType="separate"/>
        </w:r>
        <w:r>
          <w:t>7</w:t>
        </w:r>
        <w:r>
          <w:fldChar w:fldCharType="end"/>
        </w:r>
      </w:hyperlink>
    </w:p>
    <w:p>
      <w:pPr>
        <w:pStyle w:val="TOC2"/>
        <w:tabs>
          <w:tab w:val="right" w:leader="dot" w:pos="8306"/>
        </w:tabs>
      </w:pPr>
      <w:hyperlink w:anchor="_Toc8317" w:history="1">
        <w:r>
          <w:rPr>
            <w:rFonts w:ascii="仿宋" w:eastAsia="仿宋" w:hAnsi="仿宋" w:cs="仿宋" w:hint="eastAsia"/>
            <w:lang w:eastAsia="zh-CN"/>
          </w:rPr>
          <w:t>(二)、土建工程设计年限及安全等级</w:t>
        </w:r>
        <w:r>
          <w:tab/>
        </w:r>
        <w:r>
          <w:fldChar w:fldCharType="begin"/>
        </w:r>
        <w:r>
          <w:instrText xml:space="preserve"> PAGEREF _Toc8317 \h </w:instrText>
        </w:r>
        <w:r>
          <w:fldChar w:fldCharType="separate"/>
        </w:r>
        <w:r>
          <w:t>8</w:t>
        </w:r>
        <w:r>
          <w:fldChar w:fldCharType="end"/>
        </w:r>
      </w:hyperlink>
    </w:p>
    <w:p>
      <w:pPr>
        <w:pStyle w:val="TOC2"/>
        <w:tabs>
          <w:tab w:val="right" w:leader="dot" w:pos="8306"/>
        </w:tabs>
      </w:pPr>
      <w:hyperlink w:anchor="_Toc22097" w:history="1">
        <w:r>
          <w:rPr>
            <w:rFonts w:ascii="仿宋" w:eastAsia="仿宋" w:hAnsi="仿宋" w:cs="仿宋" w:hint="eastAsia"/>
            <w:lang w:eastAsia="zh-CN"/>
          </w:rPr>
          <w:t>(三)、建筑工程设计总体要求</w:t>
        </w:r>
        <w:r>
          <w:tab/>
        </w:r>
        <w:r>
          <w:fldChar w:fldCharType="begin"/>
        </w:r>
        <w:r>
          <w:instrText xml:space="preserve"> PAGEREF _Toc22097 \h </w:instrText>
        </w:r>
        <w:r>
          <w:fldChar w:fldCharType="separate"/>
        </w:r>
        <w:r>
          <w:t>9</w:t>
        </w:r>
        <w:r>
          <w:fldChar w:fldCharType="end"/>
        </w:r>
      </w:hyperlink>
    </w:p>
    <w:p>
      <w:pPr>
        <w:pStyle w:val="TOC2"/>
        <w:tabs>
          <w:tab w:val="right" w:leader="dot" w:pos="8306"/>
        </w:tabs>
      </w:pPr>
      <w:hyperlink w:anchor="_Toc28594" w:history="1">
        <w:r>
          <w:rPr>
            <w:rFonts w:ascii="仿宋" w:eastAsia="仿宋" w:hAnsi="仿宋" w:cs="仿宋" w:hint="eastAsia"/>
            <w:lang w:eastAsia="zh-CN"/>
          </w:rPr>
          <w:t>(四)、土建工程建设指标</w:t>
        </w:r>
        <w:r>
          <w:tab/>
        </w:r>
        <w:r>
          <w:fldChar w:fldCharType="begin"/>
        </w:r>
        <w:r>
          <w:instrText xml:space="preserve"> PAGEREF _Toc28594 \h </w:instrText>
        </w:r>
        <w:r>
          <w:fldChar w:fldCharType="separate"/>
        </w:r>
        <w:r>
          <w:t>10</w:t>
        </w:r>
        <w:r>
          <w:fldChar w:fldCharType="end"/>
        </w:r>
      </w:hyperlink>
    </w:p>
    <w:p>
      <w:pPr>
        <w:pStyle w:val="TOC1"/>
        <w:tabs>
          <w:tab w:val="right" w:leader="dot" w:pos="8306"/>
        </w:tabs>
      </w:pPr>
      <w:hyperlink w:anchor="_Toc12648" w:history="1">
        <w:r>
          <w:rPr>
            <w:rFonts w:ascii="仿宋" w:eastAsia="仿宋" w:hAnsi="仿宋" w:cs="仿宋" w:hint="eastAsia"/>
            <w:lang w:eastAsia="zh-CN"/>
          </w:rPr>
          <w:t>三、市场分析、调研</w:t>
        </w:r>
        <w:r>
          <w:tab/>
        </w:r>
        <w:r>
          <w:fldChar w:fldCharType="begin"/>
        </w:r>
        <w:r>
          <w:instrText xml:space="preserve"> PAGEREF _Toc12648 \h </w:instrText>
        </w:r>
        <w:r>
          <w:fldChar w:fldCharType="separate"/>
        </w:r>
        <w:r>
          <w:t>10</w:t>
        </w:r>
        <w:r>
          <w:fldChar w:fldCharType="end"/>
        </w:r>
      </w:hyperlink>
    </w:p>
    <w:p>
      <w:pPr>
        <w:pStyle w:val="TOC2"/>
        <w:tabs>
          <w:tab w:val="right" w:leader="dot" w:pos="8306"/>
        </w:tabs>
      </w:pPr>
      <w:hyperlink w:anchor="_Toc18280" w:history="1">
        <w:r>
          <w:rPr>
            <w:rFonts w:ascii="仿宋" w:eastAsia="仿宋" w:hAnsi="仿宋" w:cs="仿宋" w:hint="eastAsia"/>
            <w:lang w:eastAsia="zh-CN"/>
          </w:rPr>
          <w:t>(一)、润滑油加氢异构脱蜡催化剂行业分析</w:t>
        </w:r>
        <w:r>
          <w:tab/>
        </w:r>
        <w:r>
          <w:fldChar w:fldCharType="begin"/>
        </w:r>
        <w:r>
          <w:instrText xml:space="preserve"> PAGEREF _Toc18280 \h </w:instrText>
        </w:r>
        <w:r>
          <w:fldChar w:fldCharType="separate"/>
        </w:r>
        <w:r>
          <w:t>10</w:t>
        </w:r>
        <w:r>
          <w:fldChar w:fldCharType="end"/>
        </w:r>
      </w:hyperlink>
    </w:p>
    <w:p>
      <w:pPr>
        <w:pStyle w:val="TOC2"/>
        <w:tabs>
          <w:tab w:val="right" w:leader="dot" w:pos="8306"/>
        </w:tabs>
      </w:pPr>
      <w:hyperlink w:anchor="_Toc9709" w:history="1">
        <w:r>
          <w:rPr>
            <w:rFonts w:ascii="仿宋" w:eastAsia="仿宋" w:hAnsi="仿宋" w:cs="仿宋" w:hint="eastAsia"/>
            <w:lang w:eastAsia="zh-CN"/>
          </w:rPr>
          <w:t>(二)、润滑油加氢异构脱蜡催化剂市场分析预测</w:t>
        </w:r>
        <w:r>
          <w:tab/>
        </w:r>
        <w:r>
          <w:fldChar w:fldCharType="begin"/>
        </w:r>
        <w:r>
          <w:instrText xml:space="preserve"> PAGEREF _Toc9709 \h </w:instrText>
        </w:r>
        <w:r>
          <w:fldChar w:fldCharType="separate"/>
        </w:r>
        <w:r>
          <w:t>11</w:t>
        </w:r>
        <w:r>
          <w:fldChar w:fldCharType="end"/>
        </w:r>
      </w:hyperlink>
    </w:p>
    <w:p>
      <w:pPr>
        <w:pStyle w:val="TOC1"/>
        <w:tabs>
          <w:tab w:val="right" w:leader="dot" w:pos="8306"/>
        </w:tabs>
      </w:pPr>
      <w:hyperlink w:anchor="_Toc21247" w:history="1">
        <w:r>
          <w:rPr>
            <w:rFonts w:ascii="仿宋" w:eastAsia="仿宋" w:hAnsi="仿宋" w:cs="仿宋" w:hint="eastAsia"/>
            <w:lang w:eastAsia="zh-CN"/>
          </w:rPr>
          <w:t>四、润滑油加氢异构脱蜡催化剂项目建设背景及必要性分析</w:t>
        </w:r>
        <w:r>
          <w:tab/>
        </w:r>
        <w:r>
          <w:fldChar w:fldCharType="begin"/>
        </w:r>
        <w:r>
          <w:instrText xml:space="preserve"> PAGEREF _Toc21247 \h </w:instrText>
        </w:r>
        <w:r>
          <w:fldChar w:fldCharType="separate"/>
        </w:r>
        <w:r>
          <w:t>12</w:t>
        </w:r>
        <w:r>
          <w:fldChar w:fldCharType="end"/>
        </w:r>
      </w:hyperlink>
    </w:p>
    <w:p>
      <w:pPr>
        <w:pStyle w:val="TOC2"/>
        <w:tabs>
          <w:tab w:val="right" w:leader="dot" w:pos="8306"/>
        </w:tabs>
      </w:pPr>
      <w:hyperlink w:anchor="_Toc13140" w:history="1">
        <w:r>
          <w:rPr>
            <w:rFonts w:ascii="仿宋" w:eastAsia="仿宋" w:hAnsi="仿宋" w:cs="仿宋" w:hint="eastAsia"/>
            <w:lang w:eastAsia="zh-CN"/>
          </w:rPr>
          <w:t>(一)、润滑油加氢异构脱蜡催化剂项目背景分析</w:t>
        </w:r>
        <w:r>
          <w:tab/>
        </w:r>
        <w:r>
          <w:fldChar w:fldCharType="begin"/>
        </w:r>
        <w:r>
          <w:instrText xml:space="preserve"> PAGEREF _Toc13140 \h </w:instrText>
        </w:r>
        <w:r>
          <w:fldChar w:fldCharType="separate"/>
        </w:r>
        <w:r>
          <w:t>12</w:t>
        </w:r>
        <w:r>
          <w:fldChar w:fldCharType="end"/>
        </w:r>
      </w:hyperlink>
    </w:p>
    <w:p>
      <w:pPr>
        <w:pStyle w:val="TOC2"/>
        <w:tabs>
          <w:tab w:val="right" w:leader="dot" w:pos="8306"/>
        </w:tabs>
      </w:pPr>
      <w:hyperlink w:anchor="_Toc22373" w:history="1">
        <w:r>
          <w:rPr>
            <w:rFonts w:ascii="仿宋" w:eastAsia="仿宋" w:hAnsi="仿宋" w:cs="仿宋" w:hint="eastAsia"/>
            <w:lang w:eastAsia="zh-CN"/>
          </w:rPr>
          <w:t>(二)、润滑油加氢异构脱蜡催化剂项目建设必要性分析</w:t>
        </w:r>
        <w:r>
          <w:tab/>
        </w:r>
        <w:r>
          <w:fldChar w:fldCharType="begin"/>
        </w:r>
        <w:r>
          <w:instrText xml:space="preserve"> PAGEREF _Toc22373 \h </w:instrText>
        </w:r>
        <w:r>
          <w:fldChar w:fldCharType="separate"/>
        </w:r>
        <w:r>
          <w:t>14</w:t>
        </w:r>
        <w:r>
          <w:fldChar w:fldCharType="end"/>
        </w:r>
      </w:hyperlink>
    </w:p>
    <w:p>
      <w:pPr>
        <w:pStyle w:val="TOC1"/>
        <w:tabs>
          <w:tab w:val="right" w:leader="dot" w:pos="8306"/>
        </w:tabs>
      </w:pPr>
      <w:hyperlink w:anchor="_Toc26871" w:history="1">
        <w:r>
          <w:rPr>
            <w:rFonts w:ascii="仿宋" w:eastAsia="仿宋" w:hAnsi="仿宋" w:cs="仿宋" w:hint="eastAsia"/>
            <w:lang w:eastAsia="zh-CN"/>
          </w:rPr>
          <w:t>五、工艺说明</w:t>
        </w:r>
        <w:r>
          <w:tab/>
        </w:r>
        <w:r>
          <w:fldChar w:fldCharType="begin"/>
        </w:r>
        <w:r>
          <w:instrText xml:space="preserve"> PAGEREF _Toc26871 \h </w:instrText>
        </w:r>
        <w:r>
          <w:fldChar w:fldCharType="separate"/>
        </w:r>
        <w:r>
          <w:t>15</w:t>
        </w:r>
        <w:r>
          <w:fldChar w:fldCharType="end"/>
        </w:r>
      </w:hyperlink>
    </w:p>
    <w:p>
      <w:pPr>
        <w:pStyle w:val="TOC2"/>
        <w:tabs>
          <w:tab w:val="right" w:leader="dot" w:pos="8306"/>
        </w:tabs>
      </w:pPr>
      <w:hyperlink w:anchor="_Toc5154" w:history="1">
        <w:r>
          <w:rPr>
            <w:rFonts w:ascii="仿宋" w:eastAsia="仿宋" w:hAnsi="仿宋" w:cs="仿宋" w:hint="eastAsia"/>
            <w:lang w:eastAsia="zh-CN"/>
          </w:rPr>
          <w:t>(一)、技术管理特点</w:t>
        </w:r>
        <w:r>
          <w:tab/>
        </w:r>
        <w:r>
          <w:fldChar w:fldCharType="begin"/>
        </w:r>
        <w:r>
          <w:instrText xml:space="preserve"> PAGEREF _Toc5154 \h </w:instrText>
        </w:r>
        <w:r>
          <w:fldChar w:fldCharType="separate"/>
        </w:r>
        <w:r>
          <w:t>15</w:t>
        </w:r>
        <w:r>
          <w:fldChar w:fldCharType="end"/>
        </w:r>
      </w:hyperlink>
    </w:p>
    <w:p>
      <w:pPr>
        <w:pStyle w:val="TOC2"/>
        <w:tabs>
          <w:tab w:val="right" w:leader="dot" w:pos="8306"/>
        </w:tabs>
      </w:pPr>
      <w:hyperlink w:anchor="_Toc10090" w:history="1">
        <w:r>
          <w:rPr>
            <w:rFonts w:ascii="仿宋" w:eastAsia="仿宋" w:hAnsi="仿宋" w:cs="仿宋" w:hint="eastAsia"/>
            <w:lang w:eastAsia="zh-CN"/>
          </w:rPr>
          <w:t>(二)、润滑油加氢异构脱蜡催化剂项目工艺技术设计方案</w:t>
        </w:r>
        <w:r>
          <w:tab/>
        </w:r>
        <w:r>
          <w:fldChar w:fldCharType="begin"/>
        </w:r>
        <w:r>
          <w:instrText xml:space="preserve"> PAGEREF _Toc10090 \h </w:instrText>
        </w:r>
        <w:r>
          <w:fldChar w:fldCharType="separate"/>
        </w:r>
        <w:r>
          <w:t>16</w:t>
        </w:r>
        <w:r>
          <w:fldChar w:fldCharType="end"/>
        </w:r>
      </w:hyperlink>
    </w:p>
    <w:p>
      <w:pPr>
        <w:pStyle w:val="TOC2"/>
        <w:tabs>
          <w:tab w:val="right" w:leader="dot" w:pos="8306"/>
        </w:tabs>
      </w:pPr>
      <w:hyperlink w:anchor="_Toc20967" w:history="1">
        <w:r>
          <w:rPr>
            <w:rFonts w:ascii="仿宋" w:eastAsia="仿宋" w:hAnsi="仿宋" w:cs="仿宋" w:hint="eastAsia"/>
            <w:lang w:eastAsia="zh-CN"/>
          </w:rPr>
          <w:t>(三)、设备选型方案</w:t>
        </w:r>
        <w:r>
          <w:tab/>
        </w:r>
        <w:r>
          <w:fldChar w:fldCharType="begin"/>
        </w:r>
        <w:r>
          <w:instrText xml:space="preserve"> PAGEREF _Toc20967 \h </w:instrText>
        </w:r>
        <w:r>
          <w:fldChar w:fldCharType="separate"/>
        </w:r>
        <w:r>
          <w:t>18</w:t>
        </w:r>
        <w:r>
          <w:fldChar w:fldCharType="end"/>
        </w:r>
      </w:hyperlink>
    </w:p>
    <w:p>
      <w:pPr>
        <w:pStyle w:val="TOC1"/>
        <w:tabs>
          <w:tab w:val="right" w:leader="dot" w:pos="8306"/>
        </w:tabs>
      </w:pPr>
      <w:hyperlink w:anchor="_Toc32098" w:history="1">
        <w:r>
          <w:rPr>
            <w:rFonts w:ascii="仿宋" w:eastAsia="仿宋" w:hAnsi="仿宋" w:cs="仿宋" w:hint="eastAsia"/>
            <w:lang w:eastAsia="zh-CN"/>
          </w:rPr>
          <w:t>六、润滑油加氢异构脱蜡催化剂项目选址可行性分析</w:t>
        </w:r>
        <w:r>
          <w:tab/>
        </w:r>
        <w:r>
          <w:fldChar w:fldCharType="begin"/>
        </w:r>
        <w:r>
          <w:instrText xml:space="preserve"> PAGEREF _Toc32098 \h </w:instrText>
        </w:r>
        <w:r>
          <w:fldChar w:fldCharType="separate"/>
        </w:r>
        <w:r>
          <w:t>19</w:t>
        </w:r>
        <w:r>
          <w:fldChar w:fldCharType="end"/>
        </w:r>
      </w:hyperlink>
    </w:p>
    <w:p>
      <w:pPr>
        <w:pStyle w:val="TOC2"/>
        <w:tabs>
          <w:tab w:val="right" w:leader="dot" w:pos="8306"/>
        </w:tabs>
      </w:pPr>
      <w:hyperlink w:anchor="_Toc12881" w:history="1">
        <w:r>
          <w:rPr>
            <w:rFonts w:ascii="仿宋" w:eastAsia="仿宋" w:hAnsi="仿宋" w:cs="仿宋" w:hint="eastAsia"/>
            <w:lang w:eastAsia="zh-CN"/>
          </w:rPr>
          <w:t>(一)、润滑油加氢异构脱蜡催化剂项目选址</w:t>
        </w:r>
        <w:r>
          <w:tab/>
        </w:r>
        <w:r>
          <w:fldChar w:fldCharType="begin"/>
        </w:r>
        <w:r>
          <w:instrText xml:space="preserve"> PAGEREF _Toc12881 \h </w:instrText>
        </w:r>
        <w:r>
          <w:fldChar w:fldCharType="separate"/>
        </w:r>
        <w:r>
          <w:t>19</w:t>
        </w:r>
        <w:r>
          <w:fldChar w:fldCharType="end"/>
        </w:r>
      </w:hyperlink>
    </w:p>
    <w:p>
      <w:pPr>
        <w:pStyle w:val="TOC2"/>
        <w:tabs>
          <w:tab w:val="right" w:leader="dot" w:pos="8306"/>
        </w:tabs>
      </w:pPr>
      <w:hyperlink w:anchor="_Toc1238" w:history="1">
        <w:r>
          <w:rPr>
            <w:rFonts w:ascii="仿宋" w:eastAsia="仿宋" w:hAnsi="仿宋" w:cs="仿宋" w:hint="eastAsia"/>
            <w:lang w:eastAsia="zh-CN"/>
          </w:rPr>
          <w:t>(二)、用地控制指标</w:t>
        </w:r>
        <w:r>
          <w:tab/>
        </w:r>
        <w:r>
          <w:fldChar w:fldCharType="begin"/>
        </w:r>
        <w:r>
          <w:instrText xml:space="preserve"> PAGEREF _Toc1238 \h </w:instrText>
        </w:r>
        <w:r>
          <w:fldChar w:fldCharType="separate"/>
        </w:r>
        <w:r>
          <w:t>19</w:t>
        </w:r>
        <w:r>
          <w:fldChar w:fldCharType="end"/>
        </w:r>
      </w:hyperlink>
    </w:p>
    <w:p>
      <w:pPr>
        <w:pStyle w:val="TOC2"/>
        <w:tabs>
          <w:tab w:val="right" w:leader="dot" w:pos="8306"/>
        </w:tabs>
      </w:pPr>
      <w:hyperlink w:anchor="_Toc13053" w:history="1">
        <w:r>
          <w:rPr>
            <w:rFonts w:ascii="仿宋" w:eastAsia="仿宋" w:hAnsi="仿宋" w:cs="仿宋" w:hint="eastAsia"/>
            <w:lang w:eastAsia="zh-CN"/>
          </w:rPr>
          <w:t>(三)、节约用地措施</w:t>
        </w:r>
        <w:r>
          <w:tab/>
        </w:r>
        <w:r>
          <w:fldChar w:fldCharType="begin"/>
        </w:r>
        <w:r>
          <w:instrText xml:space="preserve"> PAGEREF _Toc13053 \h </w:instrText>
        </w:r>
        <w:r>
          <w:fldChar w:fldCharType="separate"/>
        </w:r>
        <w:r>
          <w:t>21</w:t>
        </w:r>
        <w:r>
          <w:fldChar w:fldCharType="end"/>
        </w:r>
      </w:hyperlink>
    </w:p>
    <w:p>
      <w:pPr>
        <w:pStyle w:val="TOC2"/>
        <w:tabs>
          <w:tab w:val="right" w:leader="dot" w:pos="8306"/>
        </w:tabs>
      </w:pPr>
      <w:hyperlink w:anchor="_Toc2641" w:history="1">
        <w:r>
          <w:rPr>
            <w:rFonts w:ascii="仿宋" w:eastAsia="仿宋" w:hAnsi="仿宋" w:cs="仿宋" w:hint="eastAsia"/>
            <w:lang w:eastAsia="zh-CN"/>
          </w:rPr>
          <w:t>(四)、总图布置方案</w:t>
        </w:r>
        <w:r>
          <w:tab/>
        </w:r>
        <w:r>
          <w:fldChar w:fldCharType="begin"/>
        </w:r>
        <w:r>
          <w:instrText xml:space="preserve"> PAGEREF _Toc2641 \h </w:instrText>
        </w:r>
        <w:r>
          <w:fldChar w:fldCharType="separate"/>
        </w:r>
        <w:r>
          <w:t>23</w:t>
        </w:r>
        <w:r>
          <w:fldChar w:fldCharType="end"/>
        </w:r>
      </w:hyperlink>
    </w:p>
    <w:p>
      <w:pPr>
        <w:pStyle w:val="TOC2"/>
        <w:tabs>
          <w:tab w:val="right" w:leader="dot" w:pos="8306"/>
        </w:tabs>
      </w:pPr>
      <w:hyperlink w:anchor="_Toc9774" w:history="1">
        <w:r>
          <w:rPr>
            <w:rFonts w:ascii="仿宋" w:eastAsia="仿宋" w:hAnsi="仿宋" w:cs="仿宋" w:hint="eastAsia"/>
            <w:lang w:eastAsia="zh-CN"/>
          </w:rPr>
          <w:t>(五)、选址综合评价</w:t>
        </w:r>
        <w:r>
          <w:tab/>
        </w:r>
        <w:r>
          <w:fldChar w:fldCharType="begin"/>
        </w:r>
        <w:r>
          <w:instrText xml:space="preserve"> PAGEREF _Toc9774 \h </w:instrText>
        </w:r>
        <w:r>
          <w:fldChar w:fldCharType="separate"/>
        </w:r>
        <w:r>
          <w:t>24</w:t>
        </w:r>
        <w:r>
          <w:fldChar w:fldCharType="end"/>
        </w:r>
      </w:hyperlink>
    </w:p>
    <w:p>
      <w:pPr>
        <w:pStyle w:val="TOC1"/>
        <w:tabs>
          <w:tab w:val="right" w:leader="dot" w:pos="8306"/>
        </w:tabs>
      </w:pPr>
      <w:hyperlink w:anchor="_Toc22398" w:history="1">
        <w:r>
          <w:rPr>
            <w:rFonts w:ascii="仿宋" w:eastAsia="仿宋" w:hAnsi="仿宋" w:cs="仿宋" w:hint="eastAsia"/>
            <w:lang w:eastAsia="zh-CN"/>
          </w:rPr>
          <w:t>七、润滑油加氢异构脱蜡催化剂项目财务管理</w:t>
        </w:r>
        <w:r>
          <w:tab/>
        </w:r>
        <w:r>
          <w:fldChar w:fldCharType="begin"/>
        </w:r>
        <w:r>
          <w:instrText xml:space="preserve"> PAGEREF _Toc22398 \h </w:instrText>
        </w:r>
        <w:r>
          <w:fldChar w:fldCharType="separate"/>
        </w:r>
        <w:r>
          <w:t>25</w:t>
        </w:r>
        <w:r>
          <w:fldChar w:fldCharType="end"/>
        </w:r>
      </w:hyperlink>
    </w:p>
    <w:p>
      <w:pPr>
        <w:pStyle w:val="TOC2"/>
        <w:tabs>
          <w:tab w:val="right" w:leader="dot" w:pos="8306"/>
        </w:tabs>
      </w:pPr>
      <w:hyperlink w:anchor="_Toc13700" w:history="1">
        <w:r>
          <w:rPr>
            <w:rFonts w:ascii="仿宋" w:eastAsia="仿宋" w:hAnsi="仿宋" w:cs="仿宋" w:hint="eastAsia"/>
            <w:lang w:eastAsia="zh-CN"/>
          </w:rPr>
          <w:t>(一)、资金需求大</w:t>
        </w:r>
        <w:r>
          <w:tab/>
        </w:r>
        <w:r>
          <w:fldChar w:fldCharType="begin"/>
        </w:r>
        <w:r>
          <w:instrText xml:space="preserve"> PAGEREF _Toc13700 \h </w:instrText>
        </w:r>
        <w:r>
          <w:fldChar w:fldCharType="separate"/>
        </w:r>
        <w:r>
          <w:t>25</w:t>
        </w:r>
        <w:r>
          <w:fldChar w:fldCharType="end"/>
        </w:r>
      </w:hyperlink>
    </w:p>
    <w:p>
      <w:pPr>
        <w:pStyle w:val="TOC2"/>
        <w:tabs>
          <w:tab w:val="right" w:leader="dot" w:pos="8306"/>
        </w:tabs>
      </w:pPr>
      <w:hyperlink w:anchor="_Toc894" w:history="1">
        <w:r>
          <w:rPr>
            <w:rFonts w:ascii="仿宋" w:eastAsia="仿宋" w:hAnsi="仿宋" w:cs="仿宋" w:hint="eastAsia"/>
            <w:lang w:eastAsia="zh-CN"/>
          </w:rPr>
          <w:t>(二)、研发周期长</w:t>
        </w:r>
        <w:r>
          <w:tab/>
        </w:r>
        <w:r>
          <w:fldChar w:fldCharType="begin"/>
        </w:r>
        <w:r>
          <w:instrText xml:space="preserve"> PAGEREF _Toc894 \h </w:instrText>
        </w:r>
        <w:r>
          <w:fldChar w:fldCharType="separate"/>
        </w:r>
        <w:r>
          <w:t>26</w:t>
        </w:r>
        <w:r>
          <w:fldChar w:fldCharType="end"/>
        </w:r>
      </w:hyperlink>
    </w:p>
    <w:p>
      <w:pPr>
        <w:pStyle w:val="TOC2"/>
        <w:tabs>
          <w:tab w:val="right" w:leader="dot" w:pos="8306"/>
        </w:tabs>
      </w:pPr>
      <w:hyperlink w:anchor="_Toc26526" w:history="1">
        <w:r>
          <w:rPr>
            <w:rFonts w:ascii="仿宋" w:eastAsia="仿宋" w:hAnsi="仿宋" w:cs="仿宋" w:hint="eastAsia"/>
            <w:lang w:eastAsia="zh-CN"/>
          </w:rPr>
          <w:t>(三)、市场风险大</w:t>
        </w:r>
        <w:r>
          <w:tab/>
        </w:r>
        <w:r>
          <w:fldChar w:fldCharType="begin"/>
        </w:r>
        <w:r>
          <w:instrText xml:space="preserve"> PAGEREF _Toc26526 \h </w:instrText>
        </w:r>
        <w:r>
          <w:fldChar w:fldCharType="separate"/>
        </w:r>
        <w:r>
          <w:t>27</w:t>
        </w:r>
        <w:r>
          <w:fldChar w:fldCharType="end"/>
        </w:r>
      </w:hyperlink>
    </w:p>
    <w:p>
      <w:pPr>
        <w:pStyle w:val="TOC2"/>
        <w:tabs>
          <w:tab w:val="right" w:leader="dot" w:pos="8306"/>
        </w:tabs>
      </w:pPr>
      <w:hyperlink w:anchor="_Toc32392" w:history="1">
        <w:r>
          <w:rPr>
            <w:rFonts w:ascii="仿宋" w:eastAsia="仿宋" w:hAnsi="仿宋" w:cs="仿宋" w:hint="eastAsia"/>
            <w:lang w:eastAsia="zh-CN"/>
          </w:rPr>
          <w:t>(四)、利润率高</w:t>
        </w:r>
        <w:r>
          <w:tab/>
        </w:r>
        <w:r>
          <w:fldChar w:fldCharType="begin"/>
        </w:r>
        <w:r>
          <w:instrText xml:space="preserve"> PAGEREF _Toc32392 \h </w:instrText>
        </w:r>
        <w:r>
          <w:fldChar w:fldCharType="separate"/>
        </w:r>
        <w:r>
          <w:t>30</w:t>
        </w:r>
        <w:r>
          <w:fldChar w:fldCharType="end"/>
        </w:r>
      </w:hyperlink>
    </w:p>
    <w:p>
      <w:pPr>
        <w:pStyle w:val="TOC1"/>
        <w:tabs>
          <w:tab w:val="right" w:leader="dot" w:pos="8306"/>
        </w:tabs>
      </w:pPr>
      <w:hyperlink w:anchor="_Toc10140" w:history="1">
        <w:r>
          <w:rPr>
            <w:rFonts w:ascii="仿宋" w:eastAsia="仿宋" w:hAnsi="仿宋" w:cs="仿宋" w:hint="eastAsia"/>
            <w:lang w:eastAsia="zh-CN"/>
          </w:rPr>
          <w:t>八、润滑油加氢异构脱蜡催化剂项目技术管理</w:t>
        </w:r>
        <w:r>
          <w:tab/>
        </w:r>
        <w:r>
          <w:fldChar w:fldCharType="begin"/>
        </w:r>
        <w:r>
          <w:instrText xml:space="preserve"> PAGEREF _Toc10140 \h </w:instrText>
        </w:r>
        <w:r>
          <w:fldChar w:fldCharType="separate"/>
        </w:r>
        <w:r>
          <w:t>33</w:t>
        </w:r>
        <w:r>
          <w:fldChar w:fldCharType="end"/>
        </w:r>
      </w:hyperlink>
    </w:p>
    <w:p>
      <w:pPr>
        <w:pStyle w:val="TOC2"/>
        <w:tabs>
          <w:tab w:val="right" w:leader="dot" w:pos="8306"/>
        </w:tabs>
      </w:pPr>
      <w:hyperlink w:anchor="_Toc31708" w:history="1">
        <w:r>
          <w:rPr>
            <w:rFonts w:ascii="仿宋" w:eastAsia="仿宋" w:hAnsi="仿宋" w:cs="仿宋" w:hint="eastAsia"/>
            <w:lang w:eastAsia="zh-CN"/>
          </w:rPr>
          <w:t>(一)、技术方案选用方向</w:t>
        </w:r>
        <w:r>
          <w:tab/>
        </w:r>
        <w:r>
          <w:fldChar w:fldCharType="begin"/>
        </w:r>
        <w:r>
          <w:instrText xml:space="preserve"> PAGEREF _Toc31708 \h </w:instrText>
        </w:r>
        <w:r>
          <w:fldChar w:fldCharType="separate"/>
        </w:r>
        <w:r>
          <w:t>33</w:t>
        </w:r>
        <w:r>
          <w:fldChar w:fldCharType="end"/>
        </w:r>
      </w:hyperlink>
    </w:p>
    <w:p>
      <w:pPr>
        <w:pStyle w:val="TOC2"/>
        <w:tabs>
          <w:tab w:val="right" w:leader="dot" w:pos="8306"/>
        </w:tabs>
      </w:pPr>
      <w:hyperlink w:anchor="_Toc1496" w:history="1">
        <w:r>
          <w:rPr>
            <w:rFonts w:ascii="仿宋" w:eastAsia="仿宋" w:hAnsi="仿宋" w:cs="仿宋" w:hint="eastAsia"/>
            <w:lang w:eastAsia="zh-CN"/>
          </w:rPr>
          <w:t>(二)、工艺技术方案选用原则</w:t>
        </w:r>
        <w:r>
          <w:tab/>
        </w:r>
        <w:r>
          <w:fldChar w:fldCharType="begin"/>
        </w:r>
        <w:r>
          <w:instrText xml:space="preserve"> PAGEREF _Toc1496 \h </w:instrText>
        </w:r>
        <w:r>
          <w:fldChar w:fldCharType="separate"/>
        </w:r>
        <w:r>
          <w:t>35</w:t>
        </w:r>
        <w:r>
          <w:fldChar w:fldCharType="end"/>
        </w:r>
      </w:hyperlink>
    </w:p>
    <w:p>
      <w:pPr>
        <w:pStyle w:val="TOC2"/>
        <w:tabs>
          <w:tab w:val="right" w:leader="dot" w:pos="8306"/>
        </w:tabs>
      </w:pPr>
      <w:hyperlink w:anchor="_Toc13340" w:history="1">
        <w:r>
          <w:rPr>
            <w:rFonts w:ascii="仿宋" w:eastAsia="仿宋" w:hAnsi="仿宋" w:cs="仿宋" w:hint="eastAsia"/>
            <w:lang w:eastAsia="zh-CN"/>
          </w:rPr>
          <w:t>(三)、工艺技术方案要求</w:t>
        </w:r>
        <w:r>
          <w:tab/>
        </w:r>
        <w:r>
          <w:fldChar w:fldCharType="begin"/>
        </w:r>
        <w:r>
          <w:instrText xml:space="preserve"> PAGEREF _Toc13340 \h </w:instrText>
        </w:r>
        <w:r>
          <w:fldChar w:fldCharType="separate"/>
        </w:r>
        <w:r>
          <w:t>37</w:t>
        </w:r>
        <w:r>
          <w:fldChar w:fldCharType="end"/>
        </w:r>
      </w:hyperlink>
    </w:p>
    <w:p>
      <w:pPr>
        <w:pStyle w:val="TOC1"/>
        <w:tabs>
          <w:tab w:val="right" w:leader="dot" w:pos="8306"/>
        </w:tabs>
      </w:pPr>
      <w:hyperlink w:anchor="_Toc25432" w:history="1">
        <w:r>
          <w:rPr>
            <w:rFonts w:ascii="仿宋" w:eastAsia="仿宋" w:hAnsi="仿宋" w:cs="仿宋" w:hint="eastAsia"/>
            <w:lang w:eastAsia="zh-CN"/>
          </w:rPr>
          <w:t>九、润滑油加氢异构脱蜡催化剂项目创新与研发</w:t>
        </w:r>
        <w:r>
          <w:tab/>
        </w:r>
        <w:r>
          <w:fldChar w:fldCharType="begin"/>
        </w:r>
        <w:r>
          <w:instrText xml:space="preserve"> PAGEREF _Toc25432 \h </w:instrText>
        </w:r>
        <w:r>
          <w:fldChar w:fldCharType="separate"/>
        </w:r>
        <w:r>
          <w:t>39</w:t>
        </w:r>
        <w:r>
          <w:fldChar w:fldCharType="end"/>
        </w:r>
      </w:hyperlink>
    </w:p>
    <w:p>
      <w:pPr>
        <w:pStyle w:val="TOC2"/>
        <w:tabs>
          <w:tab w:val="right" w:leader="dot" w:pos="8306"/>
        </w:tabs>
      </w:pPr>
      <w:hyperlink w:anchor="_Toc2939" w:history="1">
        <w:r>
          <w:rPr>
            <w:rFonts w:ascii="仿宋" w:eastAsia="仿宋" w:hAnsi="仿宋" w:cs="仿宋" w:hint="eastAsia"/>
            <w:lang w:eastAsia="zh-CN"/>
          </w:rPr>
          <w:t>(一)、创新策略与方向</w:t>
        </w:r>
        <w:r>
          <w:tab/>
        </w:r>
        <w:r>
          <w:fldChar w:fldCharType="begin"/>
        </w:r>
        <w:r>
          <w:instrText xml:space="preserve"> PAGEREF _Toc2939 \h </w:instrText>
        </w:r>
        <w:r>
          <w:fldChar w:fldCharType="separate"/>
        </w:r>
        <w:r>
          <w:t>39</w:t>
        </w:r>
        <w:r>
          <w:fldChar w:fldCharType="end"/>
        </w:r>
      </w:hyperlink>
    </w:p>
    <w:p>
      <w:pPr>
        <w:pStyle w:val="TOC2"/>
        <w:tabs>
          <w:tab w:val="right" w:leader="dot" w:pos="8306"/>
        </w:tabs>
      </w:pPr>
      <w:hyperlink w:anchor="_Toc1468" w:history="1">
        <w:r>
          <w:rPr>
            <w:rFonts w:ascii="仿宋" w:eastAsia="仿宋" w:hAnsi="仿宋" w:cs="仿宋" w:hint="eastAsia"/>
            <w:lang w:eastAsia="zh-CN"/>
          </w:rPr>
          <w:t>(二)、研发规划与投入</w:t>
        </w:r>
        <w:r>
          <w:tab/>
        </w:r>
        <w:r>
          <w:fldChar w:fldCharType="begin"/>
        </w:r>
        <w:r>
          <w:instrText xml:space="preserve"> PAGEREF _Toc1468 \h </w:instrText>
        </w:r>
        <w:r>
          <w:fldChar w:fldCharType="separate"/>
        </w:r>
        <w:r>
          <w:t>40</w:t>
        </w:r>
        <w:r>
          <w:fldChar w:fldCharType="end"/>
        </w:r>
      </w:hyperlink>
    </w:p>
    <w:p>
      <w:pPr>
        <w:pStyle w:val="TOC1"/>
        <w:tabs>
          <w:tab w:val="right" w:leader="dot" w:pos="8306"/>
        </w:tabs>
      </w:pPr>
      <w:hyperlink w:anchor="_Toc17003" w:history="1">
        <w:r>
          <w:rPr>
            <w:rFonts w:ascii="仿宋" w:eastAsia="仿宋" w:hAnsi="仿宋" w:cs="仿宋" w:hint="eastAsia"/>
            <w:lang w:eastAsia="zh-CN"/>
          </w:rPr>
          <w:t>十、生产安全保护</w:t>
        </w:r>
        <w:r>
          <w:tab/>
        </w:r>
        <w:r>
          <w:fldChar w:fldCharType="begin"/>
        </w:r>
        <w:r>
          <w:instrText xml:space="preserve"> PAGEREF _Toc17003 \h </w:instrText>
        </w:r>
        <w:r>
          <w:fldChar w:fldCharType="separate"/>
        </w:r>
        <w:r>
          <w:t>42</w:t>
        </w:r>
        <w:r>
          <w:fldChar w:fldCharType="end"/>
        </w:r>
      </w:hyperlink>
    </w:p>
    <w:p>
      <w:pPr>
        <w:pStyle w:val="TOC2"/>
        <w:tabs>
          <w:tab w:val="right" w:leader="dot" w:pos="8306"/>
        </w:tabs>
      </w:pPr>
      <w:hyperlink w:anchor="_Toc16314" w:history="1">
        <w:r>
          <w:rPr>
            <w:rFonts w:ascii="仿宋" w:eastAsia="仿宋" w:hAnsi="仿宋" w:cs="仿宋" w:hint="eastAsia"/>
            <w:lang w:eastAsia="zh-CN"/>
          </w:rPr>
          <w:t>(一)、消防安全</w:t>
        </w:r>
        <w:r>
          <w:tab/>
        </w:r>
        <w:r>
          <w:fldChar w:fldCharType="begin"/>
        </w:r>
        <w:r>
          <w:instrText xml:space="preserve"> PAGEREF _Toc16314 \h </w:instrText>
        </w:r>
        <w:r>
          <w:fldChar w:fldCharType="separate"/>
        </w:r>
        <w:r>
          <w:t>42</w:t>
        </w:r>
        <w:r>
          <w:fldChar w:fldCharType="end"/>
        </w:r>
      </w:hyperlink>
    </w:p>
    <w:p>
      <w:pPr>
        <w:pStyle w:val="TOC2"/>
        <w:tabs>
          <w:tab w:val="right" w:leader="dot" w:pos="8306"/>
        </w:tabs>
      </w:pPr>
      <w:hyperlink w:anchor="_Toc19628" w:history="1">
        <w:r>
          <w:rPr>
            <w:rFonts w:ascii="仿宋" w:eastAsia="仿宋" w:hAnsi="仿宋" w:cs="仿宋" w:hint="eastAsia"/>
            <w:lang w:eastAsia="zh-CN"/>
          </w:rPr>
          <w:t>(二)、防火防爆总图布置措施</w:t>
        </w:r>
        <w:r>
          <w:tab/>
        </w:r>
        <w:r>
          <w:fldChar w:fldCharType="begin"/>
        </w:r>
        <w:r>
          <w:instrText xml:space="preserve"> PAGEREF _Toc19628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35" w:history="1">
        <w:r>
          <w:rPr>
            <w:rFonts w:ascii="仿宋" w:eastAsia="仿宋" w:hAnsi="仿宋" w:cs="仿宋" w:hint="eastAsia"/>
            <w:lang w:eastAsia="zh-CN"/>
          </w:rPr>
          <w:t>(三)、自然灾害防范措施</w:t>
        </w:r>
        <w:r>
          <w:tab/>
        </w:r>
        <w:r>
          <w:fldChar w:fldCharType="begin"/>
        </w:r>
        <w:r>
          <w:instrText xml:space="preserve"> PAGEREF _Toc31335 \h </w:instrText>
        </w:r>
        <w:r>
          <w:fldChar w:fldCharType="separate"/>
        </w:r>
        <w:r>
          <w:t>45</w:t>
        </w:r>
        <w:r>
          <w:fldChar w:fldCharType="end"/>
        </w:r>
      </w:hyperlink>
    </w:p>
    <w:p>
      <w:pPr>
        <w:pStyle w:val="TOC2"/>
        <w:tabs>
          <w:tab w:val="right" w:leader="dot" w:pos="8306"/>
        </w:tabs>
      </w:pPr>
      <w:hyperlink w:anchor="_Toc2544" w:history="1">
        <w:r>
          <w:rPr>
            <w:rFonts w:ascii="仿宋" w:eastAsia="仿宋" w:hAnsi="仿宋" w:cs="仿宋" w:hint="eastAsia"/>
            <w:lang w:eastAsia="zh-CN"/>
          </w:rPr>
          <w:t>(四)、安全色及安全标志使用要求</w:t>
        </w:r>
        <w:r>
          <w:tab/>
        </w:r>
        <w:r>
          <w:fldChar w:fldCharType="begin"/>
        </w:r>
        <w:r>
          <w:instrText xml:space="preserve"> PAGEREF _Toc2544 \h </w:instrText>
        </w:r>
        <w:r>
          <w:fldChar w:fldCharType="separate"/>
        </w:r>
        <w:r>
          <w:t>46</w:t>
        </w:r>
        <w:r>
          <w:fldChar w:fldCharType="end"/>
        </w:r>
      </w:hyperlink>
    </w:p>
    <w:p>
      <w:pPr>
        <w:pStyle w:val="TOC2"/>
        <w:tabs>
          <w:tab w:val="right" w:leader="dot" w:pos="8306"/>
        </w:tabs>
      </w:pPr>
      <w:hyperlink w:anchor="_Toc3550" w:history="1">
        <w:r>
          <w:rPr>
            <w:rFonts w:ascii="仿宋" w:eastAsia="仿宋" w:hAnsi="仿宋" w:cs="仿宋" w:hint="eastAsia"/>
            <w:lang w:eastAsia="zh-CN"/>
          </w:rPr>
          <w:t>(五)、防尘防毒措施</w:t>
        </w:r>
        <w:r>
          <w:tab/>
        </w:r>
        <w:r>
          <w:fldChar w:fldCharType="begin"/>
        </w:r>
        <w:r>
          <w:instrText xml:space="preserve"> PAGEREF _Toc3550 \h </w:instrText>
        </w:r>
        <w:r>
          <w:fldChar w:fldCharType="separate"/>
        </w:r>
        <w:r>
          <w:t>47</w:t>
        </w:r>
        <w:r>
          <w:fldChar w:fldCharType="end"/>
        </w:r>
      </w:hyperlink>
    </w:p>
    <w:p>
      <w:pPr>
        <w:pStyle w:val="TOC2"/>
        <w:tabs>
          <w:tab w:val="right" w:leader="dot" w:pos="8306"/>
        </w:tabs>
      </w:pPr>
      <w:hyperlink w:anchor="_Toc13415" w:history="1">
        <w:r>
          <w:rPr>
            <w:rFonts w:ascii="仿宋" w:eastAsia="仿宋" w:hAnsi="仿宋" w:cs="仿宋" w:hint="eastAsia"/>
            <w:lang w:eastAsia="zh-CN"/>
          </w:rPr>
          <w:t>(六)、防静电、触电防护及防雷措施</w:t>
        </w:r>
        <w:r>
          <w:tab/>
        </w:r>
        <w:r>
          <w:fldChar w:fldCharType="begin"/>
        </w:r>
        <w:r>
          <w:instrText xml:space="preserve"> PAGEREF _Toc13415 \h </w:instrText>
        </w:r>
        <w:r>
          <w:fldChar w:fldCharType="separate"/>
        </w:r>
        <w:r>
          <w:t>48</w:t>
        </w:r>
        <w:r>
          <w:fldChar w:fldCharType="end"/>
        </w:r>
      </w:hyperlink>
    </w:p>
    <w:p>
      <w:pPr>
        <w:pStyle w:val="TOC2"/>
        <w:tabs>
          <w:tab w:val="right" w:leader="dot" w:pos="8306"/>
        </w:tabs>
      </w:pPr>
      <w:hyperlink w:anchor="_Toc3076" w:history="1">
        <w:r>
          <w:rPr>
            <w:rFonts w:ascii="仿宋" w:eastAsia="仿宋" w:hAnsi="仿宋" w:cs="仿宋" w:hint="eastAsia"/>
            <w:lang w:eastAsia="zh-CN"/>
          </w:rPr>
          <w:t>(七)、机械设备安全保障措施</w:t>
        </w:r>
        <w:r>
          <w:tab/>
        </w:r>
        <w:r>
          <w:fldChar w:fldCharType="begin"/>
        </w:r>
        <w:r>
          <w:instrText xml:space="preserve"> PAGEREF _Toc3076 \h </w:instrText>
        </w:r>
        <w:r>
          <w:fldChar w:fldCharType="separate"/>
        </w:r>
        <w:r>
          <w:t>50</w:t>
        </w:r>
        <w:r>
          <w:fldChar w:fldCharType="end"/>
        </w:r>
      </w:hyperlink>
    </w:p>
    <w:p>
      <w:pPr>
        <w:pStyle w:val="TOC1"/>
        <w:tabs>
          <w:tab w:val="right" w:leader="dot" w:pos="8306"/>
        </w:tabs>
      </w:pPr>
      <w:hyperlink w:anchor="_Toc15605" w:history="1">
        <w:r>
          <w:rPr>
            <w:rFonts w:ascii="仿宋" w:eastAsia="仿宋" w:hAnsi="仿宋" w:cs="仿宋" w:hint="eastAsia"/>
            <w:lang w:eastAsia="zh-CN"/>
          </w:rPr>
          <w:t>十一、润滑油加氢异构脱蜡催化剂项目社会影响</w:t>
        </w:r>
        <w:r>
          <w:tab/>
        </w:r>
        <w:r>
          <w:fldChar w:fldCharType="begin"/>
        </w:r>
        <w:r>
          <w:instrText xml:space="preserve"> PAGEREF _Toc15605 \h </w:instrText>
        </w:r>
        <w:r>
          <w:fldChar w:fldCharType="separate"/>
        </w:r>
        <w:r>
          <w:t>51</w:t>
        </w:r>
        <w:r>
          <w:fldChar w:fldCharType="end"/>
        </w:r>
      </w:hyperlink>
    </w:p>
    <w:p>
      <w:pPr>
        <w:pStyle w:val="TOC2"/>
        <w:tabs>
          <w:tab w:val="right" w:leader="dot" w:pos="8306"/>
        </w:tabs>
      </w:pPr>
      <w:hyperlink w:anchor="_Toc30325" w:history="1">
        <w:r>
          <w:rPr>
            <w:rFonts w:ascii="仿宋" w:eastAsia="仿宋" w:hAnsi="仿宋" w:cs="仿宋" w:hint="eastAsia"/>
            <w:lang w:eastAsia="zh-CN"/>
          </w:rPr>
          <w:t>(一)、社会责任与义务</w:t>
        </w:r>
        <w:r>
          <w:tab/>
        </w:r>
        <w:r>
          <w:fldChar w:fldCharType="begin"/>
        </w:r>
        <w:r>
          <w:instrText xml:space="preserve"> PAGEREF _Toc30325 \h </w:instrText>
        </w:r>
        <w:r>
          <w:fldChar w:fldCharType="separate"/>
        </w:r>
        <w:r>
          <w:t>51</w:t>
        </w:r>
        <w:r>
          <w:fldChar w:fldCharType="end"/>
        </w:r>
      </w:hyperlink>
    </w:p>
    <w:p>
      <w:pPr>
        <w:pStyle w:val="TOC2"/>
        <w:tabs>
          <w:tab w:val="right" w:leader="dot" w:pos="8306"/>
        </w:tabs>
      </w:pPr>
      <w:hyperlink w:anchor="_Toc18921" w:history="1">
        <w:r>
          <w:rPr>
            <w:rFonts w:ascii="仿宋" w:eastAsia="仿宋" w:hAnsi="仿宋" w:cs="仿宋" w:hint="eastAsia"/>
            <w:lang w:eastAsia="zh-CN"/>
          </w:rPr>
          <w:t>(二)、社会参与与沟通</w:t>
        </w:r>
        <w:r>
          <w:tab/>
        </w:r>
        <w:r>
          <w:fldChar w:fldCharType="begin"/>
        </w:r>
        <w:r>
          <w:instrText xml:space="preserve"> PAGEREF _Toc18921 \h </w:instrText>
        </w:r>
        <w:r>
          <w:fldChar w:fldCharType="separate"/>
        </w:r>
        <w:r>
          <w:t>52</w:t>
        </w:r>
        <w:r>
          <w:fldChar w:fldCharType="end"/>
        </w:r>
      </w:hyperlink>
    </w:p>
    <w:p>
      <w:pPr>
        <w:pStyle w:val="TOC1"/>
        <w:tabs>
          <w:tab w:val="right" w:leader="dot" w:pos="8306"/>
        </w:tabs>
      </w:pPr>
      <w:hyperlink w:anchor="_Toc24804" w:history="1">
        <w:r>
          <w:rPr>
            <w:rFonts w:ascii="仿宋" w:eastAsia="仿宋" w:hAnsi="仿宋" w:cs="仿宋" w:hint="eastAsia"/>
            <w:lang w:eastAsia="zh-CN"/>
          </w:rPr>
          <w:t>十二、润滑油加氢异构脱蜡催化剂项目人力资源培养与发展</w:t>
        </w:r>
        <w:r>
          <w:tab/>
        </w:r>
        <w:r>
          <w:fldChar w:fldCharType="begin"/>
        </w:r>
        <w:r>
          <w:instrText xml:space="preserve"> PAGEREF _Toc24804 \h </w:instrText>
        </w:r>
        <w:r>
          <w:fldChar w:fldCharType="separate"/>
        </w:r>
        <w:r>
          <w:t>53</w:t>
        </w:r>
        <w:r>
          <w:fldChar w:fldCharType="end"/>
        </w:r>
      </w:hyperlink>
    </w:p>
    <w:p>
      <w:pPr>
        <w:pStyle w:val="TOC2"/>
        <w:tabs>
          <w:tab w:val="right" w:leader="dot" w:pos="8306"/>
        </w:tabs>
      </w:pPr>
      <w:hyperlink w:anchor="_Toc29786" w:history="1">
        <w:r>
          <w:rPr>
            <w:rFonts w:ascii="仿宋" w:eastAsia="仿宋" w:hAnsi="仿宋" w:cs="仿宋" w:hint="eastAsia"/>
            <w:lang w:eastAsia="zh-CN"/>
          </w:rPr>
          <w:t>(一)、人才需求与规划</w:t>
        </w:r>
        <w:r>
          <w:tab/>
        </w:r>
        <w:r>
          <w:fldChar w:fldCharType="begin"/>
        </w:r>
        <w:r>
          <w:instrText xml:space="preserve"> PAGEREF _Toc29786 \h </w:instrText>
        </w:r>
        <w:r>
          <w:fldChar w:fldCharType="separate"/>
        </w:r>
        <w:r>
          <w:t>53</w:t>
        </w:r>
        <w:r>
          <w:fldChar w:fldCharType="end"/>
        </w:r>
      </w:hyperlink>
    </w:p>
    <w:p>
      <w:pPr>
        <w:pStyle w:val="TOC2"/>
        <w:tabs>
          <w:tab w:val="right" w:leader="dot" w:pos="8306"/>
        </w:tabs>
      </w:pPr>
      <w:hyperlink w:anchor="_Toc19317" w:history="1">
        <w:r>
          <w:rPr>
            <w:rFonts w:ascii="仿宋" w:eastAsia="仿宋" w:hAnsi="仿宋" w:cs="仿宋" w:hint="eastAsia"/>
            <w:lang w:eastAsia="zh-CN"/>
          </w:rPr>
          <w:t>(二)、培训与发展计划</w:t>
        </w:r>
        <w:r>
          <w:tab/>
        </w:r>
        <w:r>
          <w:fldChar w:fldCharType="begin"/>
        </w:r>
        <w:r>
          <w:instrText xml:space="preserve"> PAGEREF _Toc19317 \h </w:instrText>
        </w:r>
        <w:r>
          <w:fldChar w:fldCharType="separate"/>
        </w:r>
        <w:r>
          <w:t>54</w:t>
        </w:r>
        <w:r>
          <w:fldChar w:fldCharType="end"/>
        </w:r>
      </w:hyperlink>
    </w:p>
    <w:p>
      <w:pPr>
        <w:pStyle w:val="TOC1"/>
        <w:tabs>
          <w:tab w:val="right" w:leader="dot" w:pos="8306"/>
        </w:tabs>
      </w:pPr>
      <w:hyperlink w:anchor="_Toc417" w:history="1">
        <w:r>
          <w:rPr>
            <w:rFonts w:ascii="仿宋" w:eastAsia="仿宋" w:hAnsi="仿宋" w:cs="仿宋" w:hint="eastAsia"/>
            <w:lang w:eastAsia="zh-CN"/>
          </w:rPr>
          <w:t>十三、风险识别与分类</w:t>
        </w:r>
        <w:r>
          <w:tab/>
        </w:r>
        <w:r>
          <w:fldChar w:fldCharType="begin"/>
        </w:r>
        <w:r>
          <w:instrText xml:space="preserve"> PAGEREF _Toc417 \h </w:instrText>
        </w:r>
        <w:r>
          <w:fldChar w:fldCharType="separate"/>
        </w:r>
        <w:r>
          <w:t>54</w:t>
        </w:r>
        <w:r>
          <w:fldChar w:fldCharType="end"/>
        </w:r>
      </w:hyperlink>
    </w:p>
    <w:p>
      <w:pPr>
        <w:pStyle w:val="TOC2"/>
        <w:tabs>
          <w:tab w:val="right" w:leader="dot" w:pos="8306"/>
        </w:tabs>
      </w:pPr>
      <w:hyperlink w:anchor="_Toc7378" w:history="1">
        <w:r>
          <w:rPr>
            <w:rFonts w:ascii="仿宋" w:eastAsia="仿宋" w:hAnsi="仿宋" w:cs="仿宋" w:hint="eastAsia"/>
            <w:lang w:eastAsia="zh-CN"/>
          </w:rPr>
          <w:t>(一)、风险识别</w:t>
        </w:r>
        <w:r>
          <w:tab/>
        </w:r>
        <w:r>
          <w:fldChar w:fldCharType="begin"/>
        </w:r>
        <w:r>
          <w:instrText xml:space="preserve"> PAGEREF _Toc7378 \h </w:instrText>
        </w:r>
        <w:r>
          <w:fldChar w:fldCharType="separate"/>
        </w:r>
        <w:r>
          <w:t>54</w:t>
        </w:r>
        <w:r>
          <w:fldChar w:fldCharType="end"/>
        </w:r>
      </w:hyperlink>
    </w:p>
    <w:p>
      <w:pPr>
        <w:pStyle w:val="TOC2"/>
        <w:tabs>
          <w:tab w:val="right" w:leader="dot" w:pos="8306"/>
        </w:tabs>
      </w:pPr>
      <w:hyperlink w:anchor="_Toc402" w:history="1">
        <w:r>
          <w:rPr>
            <w:rFonts w:ascii="仿宋" w:eastAsia="仿宋" w:hAnsi="仿宋" w:cs="仿宋" w:hint="eastAsia"/>
            <w:lang w:eastAsia="zh-CN"/>
          </w:rPr>
          <w:t>(二)、风险分类</w:t>
        </w:r>
        <w:r>
          <w:tab/>
        </w:r>
        <w:r>
          <w:fldChar w:fldCharType="begin"/>
        </w:r>
        <w:r>
          <w:instrText xml:space="preserve"> PAGEREF _Toc402 \h </w:instrText>
        </w:r>
        <w:r>
          <w:fldChar w:fldCharType="separate"/>
        </w:r>
        <w:r>
          <w:t>56</w:t>
        </w:r>
        <w:r>
          <w:fldChar w:fldCharType="end"/>
        </w:r>
      </w:hyperlink>
    </w:p>
    <w:p>
      <w:pPr>
        <w:pStyle w:val="TOC1"/>
        <w:tabs>
          <w:tab w:val="right" w:leader="dot" w:pos="8306"/>
        </w:tabs>
      </w:pPr>
      <w:hyperlink w:anchor="_Toc8719" w:history="1">
        <w:r>
          <w:rPr>
            <w:rFonts w:ascii="仿宋" w:eastAsia="仿宋" w:hAnsi="仿宋" w:cs="仿宋" w:hint="eastAsia"/>
            <w:lang w:eastAsia="zh-CN"/>
          </w:rPr>
          <w:t>十四、润滑油加氢异构脱蜡催化剂项目实施保障措施</w:t>
        </w:r>
        <w:r>
          <w:tab/>
        </w:r>
        <w:r>
          <w:fldChar w:fldCharType="begin"/>
        </w:r>
        <w:r>
          <w:instrText xml:space="preserve"> PAGEREF _Toc8719 \h </w:instrText>
        </w:r>
        <w:r>
          <w:fldChar w:fldCharType="separate"/>
        </w:r>
        <w:r>
          <w:t>58</w:t>
        </w:r>
        <w:r>
          <w:fldChar w:fldCharType="end"/>
        </w:r>
      </w:hyperlink>
    </w:p>
    <w:p>
      <w:pPr>
        <w:pStyle w:val="TOC2"/>
        <w:tabs>
          <w:tab w:val="right" w:leader="dot" w:pos="8306"/>
        </w:tabs>
      </w:pPr>
      <w:hyperlink w:anchor="_Toc16205" w:history="1">
        <w:r>
          <w:rPr>
            <w:rFonts w:ascii="仿宋" w:eastAsia="仿宋" w:hAnsi="仿宋" w:cs="仿宋" w:hint="eastAsia"/>
            <w:lang w:eastAsia="zh-CN"/>
          </w:rPr>
          <w:t>(一)、润滑油加氢异构脱蜡催化剂项目实施保障机制</w:t>
        </w:r>
        <w:r>
          <w:tab/>
        </w:r>
        <w:r>
          <w:fldChar w:fldCharType="begin"/>
        </w:r>
        <w:r>
          <w:instrText xml:space="preserve"> PAGEREF _Toc16205 \h </w:instrText>
        </w:r>
        <w:r>
          <w:fldChar w:fldCharType="separate"/>
        </w:r>
        <w:r>
          <w:t>58</w:t>
        </w:r>
        <w:r>
          <w:fldChar w:fldCharType="end"/>
        </w:r>
      </w:hyperlink>
    </w:p>
    <w:p>
      <w:pPr>
        <w:pStyle w:val="TOC2"/>
        <w:tabs>
          <w:tab w:val="right" w:leader="dot" w:pos="8306"/>
        </w:tabs>
      </w:pPr>
      <w:hyperlink w:anchor="_Toc27296" w:history="1">
        <w:r>
          <w:rPr>
            <w:rFonts w:ascii="仿宋" w:eastAsia="仿宋" w:hAnsi="仿宋" w:cs="仿宋" w:hint="eastAsia"/>
            <w:lang w:eastAsia="zh-CN"/>
          </w:rPr>
          <w:t>(二)、润滑油加氢异构脱蜡催化剂项目法律合规要求</w:t>
        </w:r>
        <w:r>
          <w:tab/>
        </w:r>
        <w:r>
          <w:fldChar w:fldCharType="begin"/>
        </w:r>
        <w:r>
          <w:instrText xml:space="preserve"> PAGEREF _Toc27296 \h </w:instrText>
        </w:r>
        <w:r>
          <w:fldChar w:fldCharType="separate"/>
        </w:r>
        <w:r>
          <w:t>62</w:t>
        </w:r>
        <w:r>
          <w:fldChar w:fldCharType="end"/>
        </w:r>
      </w:hyperlink>
    </w:p>
    <w:p>
      <w:pPr>
        <w:pStyle w:val="TOC2"/>
        <w:tabs>
          <w:tab w:val="right" w:leader="dot" w:pos="8306"/>
        </w:tabs>
      </w:pPr>
      <w:hyperlink w:anchor="_Toc8686" w:history="1">
        <w:r>
          <w:rPr>
            <w:rFonts w:ascii="仿宋" w:eastAsia="仿宋" w:hAnsi="仿宋" w:cs="仿宋" w:hint="eastAsia"/>
            <w:lang w:eastAsia="zh-CN"/>
          </w:rPr>
          <w:t>(三)、润滑油加氢异构脱蜡催化剂项目合同管理与法律事务</w:t>
        </w:r>
        <w:r>
          <w:tab/>
        </w:r>
        <w:r>
          <w:fldChar w:fldCharType="begin"/>
        </w:r>
        <w:r>
          <w:instrText xml:space="preserve"> PAGEREF _Toc8686 \h </w:instrText>
        </w:r>
        <w:r>
          <w:fldChar w:fldCharType="separate"/>
        </w:r>
        <w:r>
          <w:t>66</w:t>
        </w:r>
        <w:r>
          <w:fldChar w:fldCharType="end"/>
        </w:r>
      </w:hyperlink>
    </w:p>
    <w:p>
      <w:pPr>
        <w:pStyle w:val="TOC2"/>
        <w:tabs>
          <w:tab w:val="right" w:leader="dot" w:pos="8306"/>
        </w:tabs>
      </w:pPr>
      <w:hyperlink w:anchor="_Toc18658" w:history="1">
        <w:r>
          <w:rPr>
            <w:rFonts w:ascii="仿宋" w:eastAsia="仿宋" w:hAnsi="仿宋" w:cs="仿宋" w:hint="eastAsia"/>
            <w:lang w:eastAsia="zh-CN"/>
          </w:rPr>
          <w:t>(四)、润滑油加氢异构脱蜡催化剂项目知识产权保护策略</w:t>
        </w:r>
        <w:r>
          <w:tab/>
        </w:r>
        <w:r>
          <w:fldChar w:fldCharType="begin"/>
        </w:r>
        <w:r>
          <w:instrText xml:space="preserve"> PAGEREF _Toc18658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606"/>
      <w:r>
        <w:rPr>
          <w:rFonts w:ascii="仿宋" w:eastAsia="仿宋" w:hAnsi="仿宋" w:cs="仿宋" w:hint="eastAsia"/>
          <w:sz w:val="28"/>
          <w:lang w:eastAsia="zh-CN"/>
        </w:rPr>
        <w:t>一、润滑油加氢异构脱蜡催化剂项目文档管理</w:t>
      </w:r>
      <w:bookmarkEnd w:id="2"/>
    </w:p>
    <w:p>
      <w:pPr>
        <w:pStyle w:val="Heading2"/>
        <w:rPr>
          <w:rFonts w:ascii="仿宋" w:eastAsia="仿宋" w:hAnsi="仿宋" w:cs="仿宋" w:hint="eastAsia"/>
          <w:lang w:eastAsia="zh-CN"/>
        </w:rPr>
      </w:pPr>
      <w:bookmarkStart w:id="3" w:name="_Toc1451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润滑油加氢异构脱蜡催化剂项目高度重视文档的质量和准确性，以支持润滑油加氢异构脱蜡催化剂项目的各项活动和决策。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文档的编制始于润滑油加氢异构脱蜡催化剂项目计划的初期，我们制定了详细的文档编制计划，明确了每个文档的内容、格式和编写责任人。在润滑油加氢异构脱蜡催化剂项目启动阶段，我们首先编制了润滑油加氢异构脱蜡催化剂项目章程，明确定义了润滑油加氢异构脱蜡催化剂项目的目标、范围、风险等关键要素。随后，润滑油加氢异构脱蜡催化剂项目团队根据计划陆续编制了需求文档、设计文档、测试文档等各类文档，确保润滑油加氢异构脱蜡催化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润滑油加氢异构脱蜡催化剂项目管理中的重要环节，旨在确保润滑油加氢异构脱蜡催化剂项目文档符合质量标准和润滑油加氢异构脱蜡催化剂项目需求。在润滑油加氢异构脱蜡催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润滑油加氢异构脱蜡催化剂项目相关利益方和专业领域的专家对文档进行独立审查。这有助于获取更全面、客观的反馈，确保润滑油加氢异构脱蜡催化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在文档编制与审查方面建立了严格的管理机制，通过规范的流程和多维度的审查，确保润滑油加氢异构脱蜡催化剂项目文档的质量、准确性和可靠性，为润滑油加氢异构脱蜡催化剂项目的顺利推进提供了有力支持。</w:t>
      </w:r>
    </w:p>
    <w:p>
      <w:pPr>
        <w:pStyle w:val="Heading2"/>
        <w:ind w:firstLine="560" w:firstLineChars="200"/>
        <w:rPr>
          <w:rFonts w:ascii="仿宋" w:eastAsia="仿宋" w:hAnsi="仿宋" w:cs="仿宋" w:hint="eastAsia"/>
          <w:sz w:val="28"/>
          <w:lang w:eastAsia="zh-CN"/>
        </w:rPr>
      </w:pPr>
      <w:bookmarkStart w:id="4" w:name="_Toc2146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在润滑油加氢异构脱蜡催化剂项目中，我们致力于优化文档发布与分发过程，以确保信息的高效传递和团队间协作的顺畅进行。以下是我们采取的关键优化策略：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我们通过多渠道发布文档，包括电子邮件、润滑油加氢异构脱蜡催化剂项目管理平台、内部网站等，以满足不同团队成员的偏好和需求。多渠道发布确保了信息的全面覆盖。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我们采用了精细的权限控制，确保只有授权人员可以访问敏感信息。这种安全措施保护了润滑油加氢异构脱蜡催化剂项目文档的机密性，防止了未经授权的信息泄露。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58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润滑油加氢异构脱蜡催化剂项目生命周期中一个至关重要的环节，直接关系到润滑油加氢异构脱蜡催化剂项目信息的长期保存和历史记录的完整性。在润滑油加氢异构脱蜡催化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962"/>
      <w:r>
        <w:rPr>
          <w:rFonts w:ascii="仿宋" w:eastAsia="仿宋" w:hAnsi="仿宋" w:cs="仿宋" w:hint="eastAsia"/>
          <w:sz w:val="28"/>
          <w:lang w:eastAsia="zh-CN"/>
        </w:rPr>
        <w:t>二、润滑油加氢异构脱蜡催化剂项目土建工程</w:t>
      </w:r>
      <w:bookmarkEnd w:id="6"/>
    </w:p>
    <w:p>
      <w:pPr>
        <w:pStyle w:val="Heading2"/>
        <w:rPr>
          <w:rFonts w:ascii="仿宋" w:eastAsia="仿宋" w:hAnsi="仿宋" w:cs="仿宋" w:hint="eastAsia"/>
          <w:lang w:eastAsia="zh-CN"/>
        </w:rPr>
      </w:pPr>
      <w:bookmarkStart w:id="7" w:name="_Toc971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在润滑油加氢异构脱蜡催化剂项目的建筑工程设计中，我们将秉承一系列重要的设计原则，以确保润滑油加氢异构脱蜡催化剂项目建筑在功能、美观、可持续性等方面达到最佳效果。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首要原则是确保建筑的功能性得到最大化的发挥。我们将充分理解润滑油加氢异构脱蜡催化剂项目的实际需求，合理布局各个功能区域，保证建筑在满足业务需求的同时，提供高效的工作环境。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在建筑设计中，我们将综合考虑建设和运营成本。通过精细的经济效益分析，确保设计方案在高效利用资源的同时，对润滑油加氢异构脱蜡催化剂项目的长期盈利能力有积极的贡献。</w:t>
      </w:r>
    </w:p>
    <w:p>
      <w:pPr>
        <w:pStyle w:val="Heading2"/>
        <w:ind w:firstLine="560" w:firstLineChars="200"/>
        <w:rPr>
          <w:rFonts w:ascii="仿宋" w:eastAsia="仿宋" w:hAnsi="仿宋" w:cs="仿宋" w:hint="eastAsia"/>
          <w:sz w:val="28"/>
          <w:lang w:eastAsia="zh-CN"/>
        </w:rPr>
      </w:pPr>
      <w:bookmarkStart w:id="8" w:name="_Toc831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加氢异构脱蜡催化剂项目的土建工程设计中，我们将精准设定设计年限，结合润滑油加氢异构脱蜡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润滑油加氢异构脱蜡催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209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润滑油加氢异构脱蜡催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润滑油加氢异构脱蜡催化剂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润滑油加氢异构脱蜡催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859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本期工程润滑油加氢异构脱蜡催化剂项目预计总建筑面积XXX平方米，其中：计容建筑面积XXX平方米，计划建筑工程投资XX万元，占润滑油加氢异构脱蜡催化剂项目总投资的XX%。</w:t>
      </w:r>
    </w:p>
    <w:p>
      <w:pPr>
        <w:pStyle w:val="Heading1"/>
        <w:ind w:firstLine="560" w:firstLineChars="200"/>
        <w:rPr>
          <w:rFonts w:ascii="仿宋" w:eastAsia="仿宋" w:hAnsi="仿宋" w:cs="仿宋" w:hint="eastAsia"/>
          <w:sz w:val="28"/>
          <w:lang w:eastAsia="zh-CN"/>
        </w:rPr>
      </w:pPr>
      <w:bookmarkStart w:id="11" w:name="_Toc1264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8280"/>
      <w:r>
        <w:rPr>
          <w:rFonts w:ascii="仿宋" w:eastAsia="仿宋" w:hAnsi="仿宋" w:cs="仿宋" w:hint="eastAsia"/>
          <w:lang w:eastAsia="zh-CN"/>
        </w:rPr>
        <w:t>(一)、润滑油加氢异构脱蜡催化剂行业分析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行业一直以来都是市场的关注焦点。行业内的发展趋势、竞争态势以及潜在机会都对润滑油加氢异构脱蜡催化剂项目的推进产生深远的影响。通过深入研究行业的整体概貌，我们将更好地理解行业的核心特征，为润滑油加氢异构脱蜡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润滑油加氢异构脱蜡催化剂行业，技术一直是推动创新和发展的关键因素。我们将对当前技术趋势进行详尽分析，包括但不限于人工智能、大数据应用、先进制造技术等。这有助于润滑油加氢异构脱蜡催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润滑油加氢异构脱蜡催化剂项目成功的基础。我们将对主要竞争对手进行深入研究，包括其市场份额、产品特点、市场定位等。通过全面了解竞争对手的优势和劣势，润滑油加氢异构脱蜡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9709"/>
      <w:r>
        <w:rPr>
          <w:rFonts w:ascii="仿宋" w:eastAsia="仿宋" w:hAnsi="仿宋" w:cs="仿宋" w:hint="eastAsia"/>
          <w:sz w:val="28"/>
          <w:lang w:eastAsia="zh-CN"/>
        </w:rPr>
        <w:t>(二)、润滑油加氢异构脱蜡催化剂市场分析预测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润滑油加氢异构脱蜡催化剂市场未来的增长趋势。这包括市场的整体规模、各细分领域的发展趋势等。润滑油加氢异构脱蜡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润滑油加氢异构脱蜡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润滑油加氢异构脱蜡催化剂项目实施过程中需要充分考虑的因素。我们将对市场风险进行全面评估，包括但不限于政策法规风险、市场竞争风险、技术变革风险等。通过对潜在风险的深入分析，润滑油加氢异构脱蜡催化剂项目可以制定相应的风险缓解策略，降低不确定性对润滑油加氢异构脱蜡催化剂项目的影响。</w:t>
      </w:r>
    </w:p>
    <w:p>
      <w:pPr>
        <w:pStyle w:val="Heading1"/>
        <w:ind w:firstLine="560" w:firstLineChars="200"/>
        <w:rPr>
          <w:rFonts w:ascii="仿宋" w:eastAsia="仿宋" w:hAnsi="仿宋" w:cs="仿宋" w:hint="eastAsia"/>
          <w:sz w:val="28"/>
          <w:lang w:eastAsia="zh-CN"/>
        </w:rPr>
      </w:pPr>
      <w:bookmarkStart w:id="14" w:name="_Toc21247"/>
      <w:r>
        <w:rPr>
          <w:rFonts w:ascii="仿宋" w:eastAsia="仿宋" w:hAnsi="仿宋" w:cs="仿宋" w:hint="eastAsia"/>
          <w:sz w:val="28"/>
          <w:lang w:eastAsia="zh-CN"/>
        </w:rPr>
        <w:t>四、润滑油加氢异构脱蜡催化剂项目建设背景及必要性分析</w:t>
      </w:r>
      <w:bookmarkEnd w:id="14"/>
    </w:p>
    <w:p>
      <w:pPr>
        <w:pStyle w:val="Heading2"/>
        <w:rPr>
          <w:rFonts w:ascii="仿宋" w:eastAsia="仿宋" w:hAnsi="仿宋" w:cs="仿宋" w:hint="eastAsia"/>
          <w:lang w:eastAsia="zh-CN"/>
        </w:rPr>
      </w:pPr>
      <w:bookmarkStart w:id="15" w:name="_Toc13140"/>
      <w:r>
        <w:rPr>
          <w:rFonts w:ascii="仿宋" w:eastAsia="仿宋" w:hAnsi="仿宋" w:cs="仿宋" w:hint="eastAsia"/>
          <w:lang w:eastAsia="zh-CN"/>
        </w:rPr>
        <w:t>(一)、润滑油加氢异构脱蜡催化剂项目背景分析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润滑油加氢异构脱蜡催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润滑油加氢异构脱蜡催化剂项目在这个潮流中的定位。同时，我们将关注行业内涌现的新兴机遇，以便润滑油加氢异构脱蜡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润滑油加氢异构脱蜡催化剂项目提供了强大的发展动力。我们将聚焦于行业内最新的技术发展趋势，包括但不限于人工智能、大数据分析、物联网等领域。通过深度的技术研究，我们将确保润滑油加氢异构脱蜡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润滑油加氢异构脱蜡催化剂项目发展的源泉。我们将投入更多的精力对市场需求进行深入剖析，超越表面的需求，深入挖掘潜在的市场痛点和机遇。通过对市场需求的细致了解，润滑油加氢异构脱蜡催化剂项目将更有针对性地设计解决方案，满足市场的多样化需求，从而更好地促进润滑油加氢异构脱蜡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润滑油加氢异构脱蜡催化剂项目战略至关重要。我们将对竞争态势进行更为深入的分析，包括但不限于市场份额、产品特点、客户满意度等多个维度。通过深度的竞争分析，润滑油加氢异构脱蜡催化剂项目将能够更准确地把握市场脉搏，制定具有竞争力的润滑油加氢异构脱蜡催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润滑油加氢异构脱蜡催化剂项目的发展具有直接的影响。我们将进行更为全面的法规和政策分析，了解行业发展中的潜在法律风险和合规挑战。通过充分了解和遵守相关法规，润滑油加氢异构脱蜡催化剂项目将确保在法律框架内合法合规运营，为润滑油加氢异构脱蜡催化剂项目的稳健发展提供有力支持。</w:t>
      </w:r>
    </w:p>
    <w:p>
      <w:pPr>
        <w:pStyle w:val="Heading2"/>
        <w:ind w:firstLine="560" w:firstLineChars="200"/>
        <w:rPr>
          <w:rFonts w:ascii="仿宋" w:eastAsia="仿宋" w:hAnsi="仿宋" w:cs="仿宋" w:hint="eastAsia"/>
          <w:sz w:val="28"/>
          <w:lang w:eastAsia="zh-CN"/>
        </w:rPr>
      </w:pPr>
      <w:bookmarkStart w:id="16" w:name="_Toc22373"/>
      <w:r>
        <w:rPr>
          <w:rFonts w:ascii="仿宋" w:eastAsia="仿宋" w:hAnsi="仿宋" w:cs="仿宋" w:hint="eastAsia"/>
          <w:sz w:val="28"/>
          <w:lang w:eastAsia="zh-CN"/>
        </w:rPr>
        <w:t>(二)、润滑油加氢异构脱蜡催化剂项目建设必要性分析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建设的迫切性源于对行业发展趋势的深刻洞察。我们正处于一个行业变革的时代，科技创新、数字化转型成为企业发展的关键动力。润滑油加氢异构脱蜡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建设不仅仅是为了跟上潮流，更是为了通过技术创新推动企业的持续发展。通过引入先进的技术和解决方案，润滑油加氢异构脱蜡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润滑油加氢异构脱蜡催化剂项目的建设成为必然选择，通过提高产品质量、拓展服务领域，从而在竞争中获得更多的机会。润滑油加氢异构脱蜡催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润滑油加氢异构脱蜡催化剂项目建设的必要性体现在对客户需求更精准的满足。通过润滑油加氢异构脱蜡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建设的背后是对企业持续创新的追求。只有通过不断创新，企业才能在竞争中立于不败之地。润滑油加氢异构脱蜡催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687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515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技术管理特点体现在其创新导向。通过引入最先进的技术趋势和解决方案，润滑油加氢异构脱蜡催化剂项目致力于提升科技含量、提高质量和效率水平。这意味着我们将采用最新的工具和方法，确保润滑油加氢异构脱蜡催化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润滑油加氢异构脱蜡催化剂项目技术管理的显著特征。通过整合不同领域的技术资源，我们实现了跨学科的协同工作。这有助于优化技术架构，提高整体效能。此外，整合性策略还促进了不同技术团队之间的紧密沟通和高效合作，确保润滑油加氢异构脱蜡催化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润滑油加氢异构脱蜡催化剂项目所采用的技术。通过不断优化技术方案，润滑油加氢异构脱蜡催化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润滑油加氢异构脱蜡催化剂项目团队将在润滑油加氢异构脱蜡催化剂项目初期识别可能的技术风险，并采取相应的预防和应对措施。通过建立健全的风险评估机制，润滑油加氢异构脱蜡催化剂项目能够在实施过程中及时发现并解决潜在的技术问题，保障润滑油加氢异构脱蜡催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润滑油加氢异构脱蜡催化剂项目中，技术将成为润滑油加氢异构脱蜡催化剂项目成功的有力支持。这一深度剖析揭示了技术管理在润滑油加氢异构脱蜡催化剂项目实施中的关键作用，为润滑油加氢异构脱蜡催化剂项目的技术基础奠定了坚实的基础。</w:t>
      </w:r>
    </w:p>
    <w:p>
      <w:pPr>
        <w:pStyle w:val="Heading2"/>
        <w:ind w:firstLine="560" w:firstLineChars="200"/>
        <w:rPr>
          <w:rFonts w:ascii="仿宋" w:eastAsia="仿宋" w:hAnsi="仿宋" w:cs="仿宋" w:hint="eastAsia"/>
          <w:sz w:val="28"/>
          <w:lang w:eastAsia="zh-CN"/>
        </w:rPr>
      </w:pPr>
      <w:bookmarkStart w:id="19" w:name="_Toc10090"/>
      <w:r>
        <w:rPr>
          <w:rFonts w:ascii="仿宋" w:eastAsia="仿宋" w:hAnsi="仿宋" w:cs="仿宋" w:hint="eastAsia"/>
          <w:sz w:val="28"/>
          <w:lang w:eastAsia="zh-CN"/>
        </w:rPr>
        <w:t>(二)、润滑油加氢异构脱蜡催化剂项目工艺技术设计方案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https://d.book118.com/938011134035006023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67D45"/>
    <w:rsid w:val="74567D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1113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2024-01-02T10:15:00Z</dcterms:created>
  <dcterms:modified xsi:type="dcterms:W3CDTF">2024-01-02T10:15:18Z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C9725FCB08CE455E929F20B302DF7CAF_11</vt:lpwstr>
  </property>
  <property fmtid="{D5CDD505-2E9C-101B-9397-08002B2CF9AE}" pid="3" name="KSOProductBuildVer">
    <vt:lpwstr>2052-12.1.0.16120</vt:lpwstr>
  </property>
</Properties>
</file>