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体育专用地坪漆项目计划设计方案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4" w:history="1">
        <w:r>
          <w:rPr>
            <w:rFonts w:ascii="仿宋" w:eastAsia="仿宋" w:hAnsi="仿宋" w:cs="仿宋" w:hint="eastAsia"/>
            <w:lang w:eastAsia="zh-CN"/>
          </w:rPr>
          <w:t>前言</w:t>
        </w:r>
        <w:r>
          <w:tab/>
        </w:r>
        <w:r>
          <w:fldChar w:fldCharType="begin"/>
        </w:r>
        <w:r>
          <w:instrText xml:space="preserve"> PAGEREF _Toc21774 \h </w:instrText>
        </w:r>
        <w:r>
          <w:fldChar w:fldCharType="separate"/>
        </w:r>
        <w:r>
          <w:t>3</w:t>
        </w:r>
        <w:r>
          <w:fldChar w:fldCharType="end"/>
        </w:r>
      </w:hyperlink>
    </w:p>
    <w:p>
      <w:pPr>
        <w:pStyle w:val="TOC1"/>
        <w:tabs>
          <w:tab w:val="right" w:leader="dot" w:pos="8306"/>
        </w:tabs>
      </w:pPr>
      <w:hyperlink w:anchor="_Toc14816" w:history="1">
        <w:r>
          <w:rPr>
            <w:rFonts w:ascii="仿宋" w:eastAsia="仿宋" w:hAnsi="仿宋" w:cs="仿宋" w:hint="eastAsia"/>
            <w:lang w:eastAsia="zh-CN"/>
          </w:rPr>
          <w:t>一、工艺说明</w:t>
        </w:r>
        <w:r>
          <w:tab/>
        </w:r>
        <w:r>
          <w:fldChar w:fldCharType="begin"/>
        </w:r>
        <w:r>
          <w:instrText xml:space="preserve"> PAGEREF _Toc14816 \h </w:instrText>
        </w:r>
        <w:r>
          <w:fldChar w:fldCharType="separate"/>
        </w:r>
        <w:r>
          <w:t>3</w:t>
        </w:r>
        <w:r>
          <w:fldChar w:fldCharType="end"/>
        </w:r>
      </w:hyperlink>
    </w:p>
    <w:p>
      <w:pPr>
        <w:pStyle w:val="TOC2"/>
        <w:tabs>
          <w:tab w:val="right" w:leader="dot" w:pos="8306"/>
        </w:tabs>
      </w:pPr>
      <w:hyperlink w:anchor="_Toc28111" w:history="1">
        <w:r>
          <w:rPr>
            <w:rFonts w:ascii="仿宋" w:eastAsia="仿宋" w:hAnsi="仿宋" w:cs="仿宋" w:hint="eastAsia"/>
            <w:lang w:eastAsia="zh-CN"/>
          </w:rPr>
          <w:t>(一)、技术管理特点</w:t>
        </w:r>
        <w:r>
          <w:tab/>
        </w:r>
        <w:r>
          <w:fldChar w:fldCharType="begin"/>
        </w:r>
        <w:r>
          <w:instrText xml:space="preserve"> PAGEREF _Toc28111 \h </w:instrText>
        </w:r>
        <w:r>
          <w:fldChar w:fldCharType="separate"/>
        </w:r>
        <w:r>
          <w:t>3</w:t>
        </w:r>
        <w:r>
          <w:fldChar w:fldCharType="end"/>
        </w:r>
      </w:hyperlink>
    </w:p>
    <w:p>
      <w:pPr>
        <w:pStyle w:val="TOC2"/>
        <w:tabs>
          <w:tab w:val="right" w:leader="dot" w:pos="8306"/>
        </w:tabs>
      </w:pPr>
      <w:hyperlink w:anchor="_Toc30464" w:history="1">
        <w:r>
          <w:rPr>
            <w:rFonts w:ascii="仿宋" w:eastAsia="仿宋" w:hAnsi="仿宋" w:cs="仿宋" w:hint="eastAsia"/>
            <w:lang w:eastAsia="zh-CN"/>
          </w:rPr>
          <w:t>(二)、体育专用地坪漆项目工艺技术设计方案</w:t>
        </w:r>
        <w:r>
          <w:tab/>
        </w:r>
        <w:r>
          <w:fldChar w:fldCharType="begin"/>
        </w:r>
        <w:r>
          <w:instrText xml:space="preserve"> PAGEREF _Toc30464 \h </w:instrText>
        </w:r>
        <w:r>
          <w:fldChar w:fldCharType="separate"/>
        </w:r>
        <w:r>
          <w:t>4</w:t>
        </w:r>
        <w:r>
          <w:fldChar w:fldCharType="end"/>
        </w:r>
      </w:hyperlink>
    </w:p>
    <w:p>
      <w:pPr>
        <w:pStyle w:val="TOC2"/>
        <w:tabs>
          <w:tab w:val="right" w:leader="dot" w:pos="8306"/>
        </w:tabs>
      </w:pPr>
      <w:hyperlink w:anchor="_Toc18397" w:history="1">
        <w:r>
          <w:rPr>
            <w:rFonts w:ascii="仿宋" w:eastAsia="仿宋" w:hAnsi="仿宋" w:cs="仿宋" w:hint="eastAsia"/>
            <w:lang w:eastAsia="zh-CN"/>
          </w:rPr>
          <w:t>(三)、设备选型方案</w:t>
        </w:r>
        <w:r>
          <w:tab/>
        </w:r>
        <w:r>
          <w:fldChar w:fldCharType="begin"/>
        </w:r>
        <w:r>
          <w:instrText xml:space="preserve"> PAGEREF _Toc18397 \h </w:instrText>
        </w:r>
        <w:r>
          <w:fldChar w:fldCharType="separate"/>
        </w:r>
        <w:r>
          <w:t>5</w:t>
        </w:r>
        <w:r>
          <w:fldChar w:fldCharType="end"/>
        </w:r>
      </w:hyperlink>
    </w:p>
    <w:p>
      <w:pPr>
        <w:pStyle w:val="TOC1"/>
        <w:tabs>
          <w:tab w:val="right" w:leader="dot" w:pos="8306"/>
        </w:tabs>
      </w:pPr>
      <w:hyperlink w:anchor="_Toc15785" w:history="1">
        <w:r>
          <w:rPr>
            <w:rFonts w:ascii="仿宋" w:eastAsia="仿宋" w:hAnsi="仿宋" w:cs="仿宋" w:hint="eastAsia"/>
            <w:lang w:eastAsia="zh-CN"/>
          </w:rPr>
          <w:t>二、体育专用地坪漆项目可持续发展</w:t>
        </w:r>
        <w:r>
          <w:tab/>
        </w:r>
        <w:r>
          <w:fldChar w:fldCharType="begin"/>
        </w:r>
        <w:r>
          <w:instrText xml:space="preserve"> PAGEREF _Toc15785 \h </w:instrText>
        </w:r>
        <w:r>
          <w:fldChar w:fldCharType="separate"/>
        </w:r>
        <w:r>
          <w:t>7</w:t>
        </w:r>
        <w:r>
          <w:fldChar w:fldCharType="end"/>
        </w:r>
      </w:hyperlink>
    </w:p>
    <w:p>
      <w:pPr>
        <w:pStyle w:val="TOC2"/>
        <w:tabs>
          <w:tab w:val="right" w:leader="dot" w:pos="8306"/>
        </w:tabs>
      </w:pPr>
      <w:hyperlink w:anchor="_Toc23057" w:history="1">
        <w:r>
          <w:rPr>
            <w:rFonts w:ascii="仿宋" w:eastAsia="仿宋" w:hAnsi="仿宋" w:cs="仿宋" w:hint="eastAsia"/>
            <w:lang w:eastAsia="zh-CN"/>
          </w:rPr>
          <w:t>(一)、可持续战略与实践</w:t>
        </w:r>
        <w:r>
          <w:tab/>
        </w:r>
        <w:r>
          <w:fldChar w:fldCharType="begin"/>
        </w:r>
        <w:r>
          <w:instrText xml:space="preserve"> PAGEREF _Toc23057 \h </w:instrText>
        </w:r>
        <w:r>
          <w:fldChar w:fldCharType="separate"/>
        </w:r>
        <w:r>
          <w:t>7</w:t>
        </w:r>
        <w:r>
          <w:fldChar w:fldCharType="end"/>
        </w:r>
      </w:hyperlink>
    </w:p>
    <w:p>
      <w:pPr>
        <w:pStyle w:val="TOC2"/>
        <w:tabs>
          <w:tab w:val="right" w:leader="dot" w:pos="8306"/>
        </w:tabs>
      </w:pPr>
      <w:hyperlink w:anchor="_Toc9888" w:history="1">
        <w:r>
          <w:rPr>
            <w:rFonts w:ascii="仿宋" w:eastAsia="仿宋" w:hAnsi="仿宋" w:cs="仿宋" w:hint="eastAsia"/>
            <w:lang w:eastAsia="zh-CN"/>
          </w:rPr>
          <w:t>(二)、环保与社会责任</w:t>
        </w:r>
        <w:r>
          <w:tab/>
        </w:r>
        <w:r>
          <w:fldChar w:fldCharType="begin"/>
        </w:r>
        <w:r>
          <w:instrText xml:space="preserve"> PAGEREF _Toc9888 \h </w:instrText>
        </w:r>
        <w:r>
          <w:fldChar w:fldCharType="separate"/>
        </w:r>
        <w:r>
          <w:t>8</w:t>
        </w:r>
        <w:r>
          <w:fldChar w:fldCharType="end"/>
        </w:r>
      </w:hyperlink>
    </w:p>
    <w:p>
      <w:pPr>
        <w:pStyle w:val="TOC1"/>
        <w:tabs>
          <w:tab w:val="right" w:leader="dot" w:pos="8306"/>
        </w:tabs>
      </w:pPr>
      <w:hyperlink w:anchor="_Toc18954" w:history="1">
        <w:r>
          <w:rPr>
            <w:rFonts w:ascii="仿宋" w:eastAsia="仿宋" w:hAnsi="仿宋" w:cs="仿宋" w:hint="eastAsia"/>
            <w:lang w:eastAsia="zh-CN"/>
          </w:rPr>
          <w:t>三、体育专用地坪漆项目土建工程</w:t>
        </w:r>
        <w:r>
          <w:tab/>
        </w:r>
        <w:r>
          <w:fldChar w:fldCharType="begin"/>
        </w:r>
        <w:r>
          <w:instrText xml:space="preserve"> PAGEREF _Toc18954 \h </w:instrText>
        </w:r>
        <w:r>
          <w:fldChar w:fldCharType="separate"/>
        </w:r>
        <w:r>
          <w:t>9</w:t>
        </w:r>
        <w:r>
          <w:fldChar w:fldCharType="end"/>
        </w:r>
      </w:hyperlink>
    </w:p>
    <w:p>
      <w:pPr>
        <w:pStyle w:val="TOC2"/>
        <w:tabs>
          <w:tab w:val="right" w:leader="dot" w:pos="8306"/>
        </w:tabs>
      </w:pPr>
      <w:hyperlink w:anchor="_Toc14652" w:history="1">
        <w:r>
          <w:rPr>
            <w:rFonts w:ascii="仿宋" w:eastAsia="仿宋" w:hAnsi="仿宋" w:cs="仿宋" w:hint="eastAsia"/>
            <w:lang w:eastAsia="zh-CN"/>
          </w:rPr>
          <w:t>(一)、建筑工程设计原则</w:t>
        </w:r>
        <w:r>
          <w:tab/>
        </w:r>
        <w:r>
          <w:fldChar w:fldCharType="begin"/>
        </w:r>
        <w:r>
          <w:instrText xml:space="preserve"> PAGEREF _Toc14652 \h </w:instrText>
        </w:r>
        <w:r>
          <w:fldChar w:fldCharType="separate"/>
        </w:r>
        <w:r>
          <w:t>9</w:t>
        </w:r>
        <w:r>
          <w:fldChar w:fldCharType="end"/>
        </w:r>
      </w:hyperlink>
    </w:p>
    <w:p>
      <w:pPr>
        <w:pStyle w:val="TOC2"/>
        <w:tabs>
          <w:tab w:val="right" w:leader="dot" w:pos="8306"/>
        </w:tabs>
      </w:pPr>
      <w:hyperlink w:anchor="_Toc16710" w:history="1">
        <w:r>
          <w:rPr>
            <w:rFonts w:ascii="仿宋" w:eastAsia="仿宋" w:hAnsi="仿宋" w:cs="仿宋" w:hint="eastAsia"/>
            <w:lang w:eastAsia="zh-CN"/>
          </w:rPr>
          <w:t>(二)、土建工程设计年限及安全等级</w:t>
        </w:r>
        <w:r>
          <w:tab/>
        </w:r>
        <w:r>
          <w:fldChar w:fldCharType="begin"/>
        </w:r>
        <w:r>
          <w:instrText xml:space="preserve"> PAGEREF _Toc16710 \h </w:instrText>
        </w:r>
        <w:r>
          <w:fldChar w:fldCharType="separate"/>
        </w:r>
        <w:r>
          <w:t>10</w:t>
        </w:r>
        <w:r>
          <w:fldChar w:fldCharType="end"/>
        </w:r>
      </w:hyperlink>
    </w:p>
    <w:p>
      <w:pPr>
        <w:pStyle w:val="TOC2"/>
        <w:tabs>
          <w:tab w:val="right" w:leader="dot" w:pos="8306"/>
        </w:tabs>
      </w:pPr>
      <w:hyperlink w:anchor="_Toc17015" w:history="1">
        <w:r>
          <w:rPr>
            <w:rFonts w:ascii="仿宋" w:eastAsia="仿宋" w:hAnsi="仿宋" w:cs="仿宋" w:hint="eastAsia"/>
            <w:lang w:eastAsia="zh-CN"/>
          </w:rPr>
          <w:t>(三)、建筑工程设计总体要求</w:t>
        </w:r>
        <w:r>
          <w:tab/>
        </w:r>
        <w:r>
          <w:fldChar w:fldCharType="begin"/>
        </w:r>
        <w:r>
          <w:instrText xml:space="preserve"> PAGEREF _Toc17015 \h </w:instrText>
        </w:r>
        <w:r>
          <w:fldChar w:fldCharType="separate"/>
        </w:r>
        <w:r>
          <w:t>11</w:t>
        </w:r>
        <w:r>
          <w:fldChar w:fldCharType="end"/>
        </w:r>
      </w:hyperlink>
    </w:p>
    <w:p>
      <w:pPr>
        <w:pStyle w:val="TOC2"/>
        <w:tabs>
          <w:tab w:val="right" w:leader="dot" w:pos="8306"/>
        </w:tabs>
      </w:pPr>
      <w:hyperlink w:anchor="_Toc25706" w:history="1">
        <w:r>
          <w:rPr>
            <w:rFonts w:ascii="仿宋" w:eastAsia="仿宋" w:hAnsi="仿宋" w:cs="仿宋" w:hint="eastAsia"/>
            <w:lang w:eastAsia="zh-CN"/>
          </w:rPr>
          <w:t>(四)、土建工程建设指标</w:t>
        </w:r>
        <w:r>
          <w:tab/>
        </w:r>
        <w:r>
          <w:fldChar w:fldCharType="begin"/>
        </w:r>
        <w:r>
          <w:instrText xml:space="preserve"> PAGEREF _Toc25706 \h </w:instrText>
        </w:r>
        <w:r>
          <w:fldChar w:fldCharType="separate"/>
        </w:r>
        <w:r>
          <w:t>12</w:t>
        </w:r>
        <w:r>
          <w:fldChar w:fldCharType="end"/>
        </w:r>
      </w:hyperlink>
    </w:p>
    <w:p>
      <w:pPr>
        <w:pStyle w:val="TOC1"/>
        <w:tabs>
          <w:tab w:val="right" w:leader="dot" w:pos="8306"/>
        </w:tabs>
      </w:pPr>
      <w:hyperlink w:anchor="_Toc31148" w:history="1">
        <w:r>
          <w:rPr>
            <w:rFonts w:ascii="仿宋" w:eastAsia="仿宋" w:hAnsi="仿宋" w:cs="仿宋" w:hint="eastAsia"/>
            <w:lang w:eastAsia="zh-CN"/>
          </w:rPr>
          <w:t>四、市场分析、调研</w:t>
        </w:r>
        <w:r>
          <w:tab/>
        </w:r>
        <w:r>
          <w:fldChar w:fldCharType="begin"/>
        </w:r>
        <w:r>
          <w:instrText xml:space="preserve"> PAGEREF _Toc31148 \h </w:instrText>
        </w:r>
        <w:r>
          <w:fldChar w:fldCharType="separate"/>
        </w:r>
        <w:r>
          <w:t>12</w:t>
        </w:r>
        <w:r>
          <w:fldChar w:fldCharType="end"/>
        </w:r>
      </w:hyperlink>
    </w:p>
    <w:p>
      <w:pPr>
        <w:pStyle w:val="TOC2"/>
        <w:tabs>
          <w:tab w:val="right" w:leader="dot" w:pos="8306"/>
        </w:tabs>
      </w:pPr>
      <w:hyperlink w:anchor="_Toc17797" w:history="1">
        <w:r>
          <w:rPr>
            <w:rFonts w:ascii="仿宋" w:eastAsia="仿宋" w:hAnsi="仿宋" w:cs="仿宋" w:hint="eastAsia"/>
            <w:lang w:eastAsia="zh-CN"/>
          </w:rPr>
          <w:t>(一)、体育专用地坪漆行业分析</w:t>
        </w:r>
        <w:r>
          <w:tab/>
        </w:r>
        <w:r>
          <w:fldChar w:fldCharType="begin"/>
        </w:r>
        <w:r>
          <w:instrText xml:space="preserve"> PAGEREF _Toc17797 \h </w:instrText>
        </w:r>
        <w:r>
          <w:fldChar w:fldCharType="separate"/>
        </w:r>
        <w:r>
          <w:t>12</w:t>
        </w:r>
        <w:r>
          <w:fldChar w:fldCharType="end"/>
        </w:r>
      </w:hyperlink>
    </w:p>
    <w:p>
      <w:pPr>
        <w:pStyle w:val="TOC2"/>
        <w:tabs>
          <w:tab w:val="right" w:leader="dot" w:pos="8306"/>
        </w:tabs>
      </w:pPr>
      <w:hyperlink w:anchor="_Toc2120" w:history="1">
        <w:r>
          <w:rPr>
            <w:rFonts w:ascii="仿宋" w:eastAsia="仿宋" w:hAnsi="仿宋" w:cs="仿宋" w:hint="eastAsia"/>
            <w:lang w:eastAsia="zh-CN"/>
          </w:rPr>
          <w:t>(二)、体育专用地坪漆市场分析预测</w:t>
        </w:r>
        <w:r>
          <w:tab/>
        </w:r>
        <w:r>
          <w:fldChar w:fldCharType="begin"/>
        </w:r>
        <w:r>
          <w:instrText xml:space="preserve"> PAGEREF _Toc2120 \h </w:instrText>
        </w:r>
        <w:r>
          <w:fldChar w:fldCharType="separate"/>
        </w:r>
        <w:r>
          <w:t>13</w:t>
        </w:r>
        <w:r>
          <w:fldChar w:fldCharType="end"/>
        </w:r>
      </w:hyperlink>
    </w:p>
    <w:p>
      <w:pPr>
        <w:pStyle w:val="TOC1"/>
        <w:tabs>
          <w:tab w:val="right" w:leader="dot" w:pos="8306"/>
        </w:tabs>
      </w:pPr>
      <w:hyperlink w:anchor="_Toc12677" w:history="1">
        <w:r>
          <w:rPr>
            <w:rFonts w:ascii="仿宋" w:eastAsia="仿宋" w:hAnsi="仿宋" w:cs="仿宋" w:hint="eastAsia"/>
            <w:lang w:eastAsia="zh-CN"/>
          </w:rPr>
          <w:t>五、体育专用地坪漆项目建设单位说明</w:t>
        </w:r>
        <w:r>
          <w:tab/>
        </w:r>
        <w:r>
          <w:fldChar w:fldCharType="begin"/>
        </w:r>
        <w:r>
          <w:instrText xml:space="preserve"> PAGEREF _Toc12677 \h </w:instrText>
        </w:r>
        <w:r>
          <w:fldChar w:fldCharType="separate"/>
        </w:r>
        <w:r>
          <w:t>14</w:t>
        </w:r>
        <w:r>
          <w:fldChar w:fldCharType="end"/>
        </w:r>
      </w:hyperlink>
    </w:p>
    <w:p>
      <w:pPr>
        <w:pStyle w:val="TOC2"/>
        <w:tabs>
          <w:tab w:val="right" w:leader="dot" w:pos="8306"/>
        </w:tabs>
      </w:pPr>
      <w:hyperlink w:anchor="_Toc29681" w:history="1">
        <w:r>
          <w:rPr>
            <w:rFonts w:ascii="仿宋" w:eastAsia="仿宋" w:hAnsi="仿宋" w:cs="仿宋" w:hint="eastAsia"/>
            <w:lang w:eastAsia="zh-CN"/>
          </w:rPr>
          <w:t>(一)、体育专用地坪漆项目承办单位基本情况</w:t>
        </w:r>
        <w:r>
          <w:tab/>
        </w:r>
        <w:r>
          <w:fldChar w:fldCharType="begin"/>
        </w:r>
        <w:r>
          <w:instrText xml:space="preserve"> PAGEREF _Toc29681 \h </w:instrText>
        </w:r>
        <w:r>
          <w:fldChar w:fldCharType="separate"/>
        </w:r>
        <w:r>
          <w:t>14</w:t>
        </w:r>
        <w:r>
          <w:fldChar w:fldCharType="end"/>
        </w:r>
      </w:hyperlink>
    </w:p>
    <w:p>
      <w:pPr>
        <w:pStyle w:val="TOC2"/>
        <w:tabs>
          <w:tab w:val="right" w:leader="dot" w:pos="8306"/>
        </w:tabs>
      </w:pPr>
      <w:hyperlink w:anchor="_Toc31288" w:history="1">
        <w:r>
          <w:rPr>
            <w:rFonts w:ascii="仿宋" w:eastAsia="仿宋" w:hAnsi="仿宋" w:cs="仿宋" w:hint="eastAsia"/>
            <w:lang w:eastAsia="zh-CN"/>
          </w:rPr>
          <w:t>(二)、公司经济效益分析</w:t>
        </w:r>
        <w:r>
          <w:tab/>
        </w:r>
        <w:r>
          <w:fldChar w:fldCharType="begin"/>
        </w:r>
        <w:r>
          <w:instrText xml:space="preserve"> PAGEREF _Toc31288 \h </w:instrText>
        </w:r>
        <w:r>
          <w:fldChar w:fldCharType="separate"/>
        </w:r>
        <w:r>
          <w:t>14</w:t>
        </w:r>
        <w:r>
          <w:fldChar w:fldCharType="end"/>
        </w:r>
      </w:hyperlink>
    </w:p>
    <w:p>
      <w:pPr>
        <w:pStyle w:val="TOC1"/>
        <w:tabs>
          <w:tab w:val="right" w:leader="dot" w:pos="8306"/>
        </w:tabs>
      </w:pPr>
      <w:hyperlink w:anchor="_Toc9967" w:history="1">
        <w:r>
          <w:rPr>
            <w:rFonts w:ascii="仿宋" w:eastAsia="仿宋" w:hAnsi="仿宋" w:cs="仿宋" w:hint="eastAsia"/>
            <w:lang w:eastAsia="zh-CN"/>
          </w:rPr>
          <w:t>六、体育专用地坪漆项目绩效评估</w:t>
        </w:r>
        <w:r>
          <w:tab/>
        </w:r>
        <w:r>
          <w:fldChar w:fldCharType="begin"/>
        </w:r>
        <w:r>
          <w:instrText xml:space="preserve"> PAGEREF _Toc9967 \h </w:instrText>
        </w:r>
        <w:r>
          <w:fldChar w:fldCharType="separate"/>
        </w:r>
        <w:r>
          <w:t>15</w:t>
        </w:r>
        <w:r>
          <w:fldChar w:fldCharType="end"/>
        </w:r>
      </w:hyperlink>
    </w:p>
    <w:p>
      <w:pPr>
        <w:pStyle w:val="TOC2"/>
        <w:tabs>
          <w:tab w:val="right" w:leader="dot" w:pos="8306"/>
        </w:tabs>
      </w:pPr>
      <w:hyperlink w:anchor="_Toc10649" w:history="1">
        <w:r>
          <w:rPr>
            <w:rFonts w:ascii="仿宋" w:eastAsia="仿宋" w:hAnsi="仿宋" w:cs="仿宋" w:hint="eastAsia"/>
            <w:lang w:eastAsia="zh-CN"/>
          </w:rPr>
          <w:t>(一)、绩效评估指标</w:t>
        </w:r>
        <w:r>
          <w:tab/>
        </w:r>
        <w:r>
          <w:fldChar w:fldCharType="begin"/>
        </w:r>
        <w:r>
          <w:instrText xml:space="preserve"> PAGEREF _Toc10649 \h </w:instrText>
        </w:r>
        <w:r>
          <w:fldChar w:fldCharType="separate"/>
        </w:r>
        <w:r>
          <w:t>15</w:t>
        </w:r>
        <w:r>
          <w:fldChar w:fldCharType="end"/>
        </w:r>
      </w:hyperlink>
    </w:p>
    <w:p>
      <w:pPr>
        <w:pStyle w:val="TOC2"/>
        <w:tabs>
          <w:tab w:val="right" w:leader="dot" w:pos="8306"/>
        </w:tabs>
      </w:pPr>
      <w:hyperlink w:anchor="_Toc28893" w:history="1">
        <w:r>
          <w:rPr>
            <w:rFonts w:ascii="仿宋" w:eastAsia="仿宋" w:hAnsi="仿宋" w:cs="仿宋" w:hint="eastAsia"/>
            <w:lang w:eastAsia="zh-CN"/>
          </w:rPr>
          <w:t>(二)、绩效评估方法</w:t>
        </w:r>
        <w:r>
          <w:tab/>
        </w:r>
        <w:r>
          <w:fldChar w:fldCharType="begin"/>
        </w:r>
        <w:r>
          <w:instrText xml:space="preserve"> PAGEREF _Toc28893 \h </w:instrText>
        </w:r>
        <w:r>
          <w:fldChar w:fldCharType="separate"/>
        </w:r>
        <w:r>
          <w:t>16</w:t>
        </w:r>
        <w:r>
          <w:fldChar w:fldCharType="end"/>
        </w:r>
      </w:hyperlink>
    </w:p>
    <w:p>
      <w:pPr>
        <w:pStyle w:val="TOC2"/>
        <w:tabs>
          <w:tab w:val="right" w:leader="dot" w:pos="8306"/>
        </w:tabs>
      </w:pPr>
      <w:hyperlink w:anchor="_Toc12341" w:history="1">
        <w:r>
          <w:rPr>
            <w:rFonts w:ascii="仿宋" w:eastAsia="仿宋" w:hAnsi="仿宋" w:cs="仿宋" w:hint="eastAsia"/>
            <w:lang w:eastAsia="zh-CN"/>
          </w:rPr>
          <w:t>(三)、绩效评估周期</w:t>
        </w:r>
        <w:r>
          <w:tab/>
        </w:r>
        <w:r>
          <w:fldChar w:fldCharType="begin"/>
        </w:r>
        <w:r>
          <w:instrText xml:space="preserve"> PAGEREF _Toc12341 \h </w:instrText>
        </w:r>
        <w:r>
          <w:fldChar w:fldCharType="separate"/>
        </w:r>
        <w:r>
          <w:t>17</w:t>
        </w:r>
        <w:r>
          <w:fldChar w:fldCharType="end"/>
        </w:r>
      </w:hyperlink>
    </w:p>
    <w:p>
      <w:pPr>
        <w:pStyle w:val="TOC1"/>
        <w:tabs>
          <w:tab w:val="right" w:leader="dot" w:pos="8306"/>
        </w:tabs>
      </w:pPr>
      <w:hyperlink w:anchor="_Toc27121" w:history="1">
        <w:r>
          <w:rPr>
            <w:rFonts w:ascii="仿宋" w:eastAsia="仿宋" w:hAnsi="仿宋" w:cs="仿宋" w:hint="eastAsia"/>
            <w:lang w:eastAsia="zh-CN"/>
          </w:rPr>
          <w:t>七、体育专用地坪漆项目技术管理</w:t>
        </w:r>
        <w:r>
          <w:tab/>
        </w:r>
        <w:r>
          <w:fldChar w:fldCharType="begin"/>
        </w:r>
        <w:r>
          <w:instrText xml:space="preserve"> PAGEREF _Toc27121 \h </w:instrText>
        </w:r>
        <w:r>
          <w:fldChar w:fldCharType="separate"/>
        </w:r>
        <w:r>
          <w:t>19</w:t>
        </w:r>
        <w:r>
          <w:fldChar w:fldCharType="end"/>
        </w:r>
      </w:hyperlink>
    </w:p>
    <w:p>
      <w:pPr>
        <w:pStyle w:val="TOC2"/>
        <w:tabs>
          <w:tab w:val="right" w:leader="dot" w:pos="8306"/>
        </w:tabs>
      </w:pPr>
      <w:hyperlink w:anchor="_Toc28642" w:history="1">
        <w:r>
          <w:rPr>
            <w:rFonts w:ascii="仿宋" w:eastAsia="仿宋" w:hAnsi="仿宋" w:cs="仿宋" w:hint="eastAsia"/>
            <w:lang w:eastAsia="zh-CN"/>
          </w:rPr>
          <w:t>(一)、技术方案选用方向</w:t>
        </w:r>
        <w:r>
          <w:tab/>
        </w:r>
        <w:r>
          <w:fldChar w:fldCharType="begin"/>
        </w:r>
        <w:r>
          <w:instrText xml:space="preserve"> PAGEREF _Toc28642 \h </w:instrText>
        </w:r>
        <w:r>
          <w:fldChar w:fldCharType="separate"/>
        </w:r>
        <w:r>
          <w:t>19</w:t>
        </w:r>
        <w:r>
          <w:fldChar w:fldCharType="end"/>
        </w:r>
      </w:hyperlink>
    </w:p>
    <w:p>
      <w:pPr>
        <w:pStyle w:val="TOC2"/>
        <w:tabs>
          <w:tab w:val="right" w:leader="dot" w:pos="8306"/>
        </w:tabs>
      </w:pPr>
      <w:hyperlink w:anchor="_Toc13650" w:history="1">
        <w:r>
          <w:rPr>
            <w:rFonts w:ascii="仿宋" w:eastAsia="仿宋" w:hAnsi="仿宋" w:cs="仿宋" w:hint="eastAsia"/>
            <w:lang w:eastAsia="zh-CN"/>
          </w:rPr>
          <w:t>(二)、工艺技术方案选用原则</w:t>
        </w:r>
        <w:r>
          <w:tab/>
        </w:r>
        <w:r>
          <w:fldChar w:fldCharType="begin"/>
        </w:r>
        <w:r>
          <w:instrText xml:space="preserve"> PAGEREF _Toc13650 \h </w:instrText>
        </w:r>
        <w:r>
          <w:fldChar w:fldCharType="separate"/>
        </w:r>
        <w:r>
          <w:t>20</w:t>
        </w:r>
        <w:r>
          <w:fldChar w:fldCharType="end"/>
        </w:r>
      </w:hyperlink>
    </w:p>
    <w:p>
      <w:pPr>
        <w:pStyle w:val="TOC2"/>
        <w:tabs>
          <w:tab w:val="right" w:leader="dot" w:pos="8306"/>
        </w:tabs>
      </w:pPr>
      <w:hyperlink w:anchor="_Toc19755" w:history="1">
        <w:r>
          <w:rPr>
            <w:rFonts w:ascii="仿宋" w:eastAsia="仿宋" w:hAnsi="仿宋" w:cs="仿宋" w:hint="eastAsia"/>
            <w:lang w:eastAsia="zh-CN"/>
          </w:rPr>
          <w:t>(三)、工艺技术方案要求</w:t>
        </w:r>
        <w:r>
          <w:tab/>
        </w:r>
        <w:r>
          <w:fldChar w:fldCharType="begin"/>
        </w:r>
        <w:r>
          <w:instrText xml:space="preserve"> PAGEREF _Toc19755 \h </w:instrText>
        </w:r>
        <w:r>
          <w:fldChar w:fldCharType="separate"/>
        </w:r>
        <w:r>
          <w:t>23</w:t>
        </w:r>
        <w:r>
          <w:fldChar w:fldCharType="end"/>
        </w:r>
      </w:hyperlink>
    </w:p>
    <w:p>
      <w:pPr>
        <w:pStyle w:val="TOC1"/>
        <w:tabs>
          <w:tab w:val="right" w:leader="dot" w:pos="8306"/>
        </w:tabs>
      </w:pPr>
      <w:hyperlink w:anchor="_Toc17239" w:history="1">
        <w:r>
          <w:rPr>
            <w:rFonts w:ascii="仿宋" w:eastAsia="仿宋" w:hAnsi="仿宋" w:cs="仿宋" w:hint="eastAsia"/>
            <w:lang w:eastAsia="zh-CN"/>
          </w:rPr>
          <w:t>八、生产安全保护</w:t>
        </w:r>
        <w:r>
          <w:tab/>
        </w:r>
        <w:r>
          <w:fldChar w:fldCharType="begin"/>
        </w:r>
        <w:r>
          <w:instrText xml:space="preserve"> PAGEREF _Toc17239 \h </w:instrText>
        </w:r>
        <w:r>
          <w:fldChar w:fldCharType="separate"/>
        </w:r>
        <w:r>
          <w:t>25</w:t>
        </w:r>
        <w:r>
          <w:fldChar w:fldCharType="end"/>
        </w:r>
      </w:hyperlink>
    </w:p>
    <w:p>
      <w:pPr>
        <w:pStyle w:val="TOC2"/>
        <w:tabs>
          <w:tab w:val="right" w:leader="dot" w:pos="8306"/>
        </w:tabs>
      </w:pPr>
      <w:hyperlink w:anchor="_Toc1305" w:history="1">
        <w:r>
          <w:rPr>
            <w:rFonts w:ascii="仿宋" w:eastAsia="仿宋" w:hAnsi="仿宋" w:cs="仿宋" w:hint="eastAsia"/>
            <w:lang w:eastAsia="zh-CN"/>
          </w:rPr>
          <w:t>(一)、消防安全</w:t>
        </w:r>
        <w:r>
          <w:tab/>
        </w:r>
        <w:r>
          <w:fldChar w:fldCharType="begin"/>
        </w:r>
        <w:r>
          <w:instrText xml:space="preserve"> PAGEREF _Toc1305 \h </w:instrText>
        </w:r>
        <w:r>
          <w:fldChar w:fldCharType="separate"/>
        </w:r>
        <w:r>
          <w:t>25</w:t>
        </w:r>
        <w:r>
          <w:fldChar w:fldCharType="end"/>
        </w:r>
      </w:hyperlink>
    </w:p>
    <w:p>
      <w:pPr>
        <w:pStyle w:val="TOC2"/>
        <w:tabs>
          <w:tab w:val="right" w:leader="dot" w:pos="8306"/>
        </w:tabs>
      </w:pPr>
      <w:hyperlink w:anchor="_Toc31409" w:history="1">
        <w:r>
          <w:rPr>
            <w:rFonts w:ascii="仿宋" w:eastAsia="仿宋" w:hAnsi="仿宋" w:cs="仿宋" w:hint="eastAsia"/>
            <w:lang w:eastAsia="zh-CN"/>
          </w:rPr>
          <w:t>(二)、防火防爆总图布置措施</w:t>
        </w:r>
        <w:r>
          <w:tab/>
        </w:r>
        <w:r>
          <w:fldChar w:fldCharType="begin"/>
        </w:r>
        <w:r>
          <w:instrText xml:space="preserve"> PAGEREF _Toc31409 \h </w:instrText>
        </w:r>
        <w:r>
          <w:fldChar w:fldCharType="separate"/>
        </w:r>
        <w:r>
          <w:t>26</w:t>
        </w:r>
        <w:r>
          <w:fldChar w:fldCharType="end"/>
        </w:r>
      </w:hyperlink>
    </w:p>
    <w:p>
      <w:pPr>
        <w:pStyle w:val="TOC2"/>
        <w:tabs>
          <w:tab w:val="right" w:leader="dot" w:pos="8306"/>
        </w:tabs>
      </w:pPr>
      <w:hyperlink w:anchor="_Toc12864" w:history="1">
        <w:r>
          <w:rPr>
            <w:rFonts w:ascii="仿宋" w:eastAsia="仿宋" w:hAnsi="仿宋" w:cs="仿宋" w:hint="eastAsia"/>
            <w:lang w:eastAsia="zh-CN"/>
          </w:rPr>
          <w:t>(三)、自然灾害防范措施</w:t>
        </w:r>
        <w:r>
          <w:tab/>
        </w:r>
        <w:r>
          <w:fldChar w:fldCharType="begin"/>
        </w:r>
        <w:r>
          <w:instrText xml:space="preserve"> PAGEREF _Toc12864 \h </w:instrText>
        </w:r>
        <w:r>
          <w:fldChar w:fldCharType="separate"/>
        </w:r>
        <w:r>
          <w:t>27</w:t>
        </w:r>
        <w:r>
          <w:fldChar w:fldCharType="end"/>
        </w:r>
      </w:hyperlink>
    </w:p>
    <w:p>
      <w:pPr>
        <w:pStyle w:val="TOC2"/>
        <w:tabs>
          <w:tab w:val="right" w:leader="dot" w:pos="8306"/>
        </w:tabs>
      </w:pPr>
      <w:hyperlink w:anchor="_Toc10173" w:history="1">
        <w:r>
          <w:rPr>
            <w:rFonts w:ascii="仿宋" w:eastAsia="仿宋" w:hAnsi="仿宋" w:cs="仿宋" w:hint="eastAsia"/>
            <w:lang w:eastAsia="zh-CN"/>
          </w:rPr>
          <w:t>(四)、安全色及安全标志使用要求</w:t>
        </w:r>
        <w:r>
          <w:tab/>
        </w:r>
        <w:r>
          <w:fldChar w:fldCharType="begin"/>
        </w:r>
        <w:r>
          <w:instrText xml:space="preserve"> PAGEREF _Toc10173 \h </w:instrText>
        </w:r>
        <w:r>
          <w:fldChar w:fldCharType="separate"/>
        </w:r>
        <w:r>
          <w:t>28</w:t>
        </w:r>
        <w:r>
          <w:fldChar w:fldCharType="end"/>
        </w:r>
      </w:hyperlink>
    </w:p>
    <w:p>
      <w:pPr>
        <w:pStyle w:val="TOC2"/>
        <w:tabs>
          <w:tab w:val="right" w:leader="dot" w:pos="8306"/>
        </w:tabs>
      </w:pPr>
      <w:hyperlink w:anchor="_Toc827" w:history="1">
        <w:r>
          <w:rPr>
            <w:rFonts w:ascii="仿宋" w:eastAsia="仿宋" w:hAnsi="仿宋" w:cs="仿宋" w:hint="eastAsia"/>
            <w:lang w:eastAsia="zh-CN"/>
          </w:rPr>
          <w:t>(五)、防尘防毒措施</w:t>
        </w:r>
        <w:r>
          <w:tab/>
        </w:r>
        <w:r>
          <w:fldChar w:fldCharType="begin"/>
        </w:r>
        <w:r>
          <w:instrText xml:space="preserve"> PAGEREF _Toc827 \h </w:instrText>
        </w:r>
        <w:r>
          <w:fldChar w:fldCharType="separate"/>
        </w:r>
        <w:r>
          <w:t>29</w:t>
        </w:r>
        <w:r>
          <w:fldChar w:fldCharType="end"/>
        </w:r>
      </w:hyperlink>
    </w:p>
    <w:p>
      <w:pPr>
        <w:pStyle w:val="TOC2"/>
        <w:tabs>
          <w:tab w:val="right" w:leader="dot" w:pos="8306"/>
        </w:tabs>
      </w:pPr>
      <w:hyperlink w:anchor="_Toc19349" w:history="1">
        <w:r>
          <w:rPr>
            <w:rFonts w:ascii="仿宋" w:eastAsia="仿宋" w:hAnsi="仿宋" w:cs="仿宋" w:hint="eastAsia"/>
            <w:lang w:eastAsia="zh-CN"/>
          </w:rPr>
          <w:t>(六)、防静电、触电防护及防雷措施</w:t>
        </w:r>
        <w:r>
          <w:tab/>
        </w:r>
        <w:r>
          <w:fldChar w:fldCharType="begin"/>
        </w:r>
        <w:r>
          <w:instrText xml:space="preserve"> PAGEREF _Toc19349 \h </w:instrText>
        </w:r>
        <w:r>
          <w:fldChar w:fldCharType="separate"/>
        </w:r>
        <w:r>
          <w:t>30</w:t>
        </w:r>
        <w:r>
          <w:fldChar w:fldCharType="end"/>
        </w:r>
      </w:hyperlink>
    </w:p>
    <w:p>
      <w:pPr>
        <w:pStyle w:val="TOC2"/>
        <w:tabs>
          <w:tab w:val="right" w:leader="dot" w:pos="8306"/>
        </w:tabs>
      </w:pPr>
      <w:hyperlink w:anchor="_Toc30200" w:history="1">
        <w:r>
          <w:rPr>
            <w:rFonts w:ascii="仿宋" w:eastAsia="仿宋" w:hAnsi="仿宋" w:cs="仿宋" w:hint="eastAsia"/>
            <w:lang w:eastAsia="zh-CN"/>
          </w:rPr>
          <w:t>(七)、机械设备安全保障措施</w:t>
        </w:r>
        <w:r>
          <w:tab/>
        </w:r>
        <w:r>
          <w:fldChar w:fldCharType="begin"/>
        </w:r>
        <w:r>
          <w:instrText xml:space="preserve"> PAGEREF _Toc30200 \h </w:instrText>
        </w:r>
        <w:r>
          <w:fldChar w:fldCharType="separate"/>
        </w:r>
        <w:r>
          <w:t>32</w:t>
        </w:r>
        <w:r>
          <w:fldChar w:fldCharType="end"/>
        </w:r>
      </w:hyperlink>
    </w:p>
    <w:p>
      <w:pPr>
        <w:pStyle w:val="TOC1"/>
        <w:tabs>
          <w:tab w:val="right" w:leader="dot" w:pos="8306"/>
        </w:tabs>
      </w:pPr>
      <w:hyperlink w:anchor="_Toc28838" w:history="1">
        <w:r>
          <w:rPr>
            <w:rFonts w:ascii="仿宋" w:eastAsia="仿宋" w:hAnsi="仿宋" w:cs="仿宋" w:hint="eastAsia"/>
            <w:lang w:eastAsia="zh-CN"/>
          </w:rPr>
          <w:t>九、体育专用地坪漆项目风险管理</w:t>
        </w:r>
        <w:r>
          <w:tab/>
        </w:r>
        <w:r>
          <w:fldChar w:fldCharType="begin"/>
        </w:r>
        <w:r>
          <w:instrText xml:space="preserve"> PAGEREF _Toc28838 \h </w:instrText>
        </w:r>
        <w:r>
          <w:fldChar w:fldCharType="separate"/>
        </w:r>
        <w:r>
          <w:t>33</w:t>
        </w:r>
        <w:r>
          <w:fldChar w:fldCharType="end"/>
        </w:r>
      </w:hyperlink>
    </w:p>
    <w:p>
      <w:pPr>
        <w:pStyle w:val="TOC2"/>
        <w:tabs>
          <w:tab w:val="right" w:leader="dot" w:pos="8306"/>
        </w:tabs>
      </w:pPr>
      <w:hyperlink w:anchor="_Toc18059" w:history="1">
        <w:r>
          <w:rPr>
            <w:rFonts w:ascii="仿宋" w:eastAsia="仿宋" w:hAnsi="仿宋" w:cs="仿宋" w:hint="eastAsia"/>
            <w:lang w:eastAsia="zh-CN"/>
          </w:rPr>
          <w:t>(一)、风险识别与评估</w:t>
        </w:r>
        <w:r>
          <w:tab/>
        </w:r>
        <w:r>
          <w:fldChar w:fldCharType="begin"/>
        </w:r>
        <w:r>
          <w:instrText xml:space="preserve"> PAGEREF _Toc18059 \h </w:instrText>
        </w:r>
        <w:r>
          <w:fldChar w:fldCharType="separate"/>
        </w:r>
        <w:r>
          <w:t>33</w:t>
        </w:r>
        <w:r>
          <w:fldChar w:fldCharType="end"/>
        </w:r>
      </w:hyperlink>
    </w:p>
    <w:p>
      <w:pPr>
        <w:pStyle w:val="TOC2"/>
        <w:tabs>
          <w:tab w:val="right" w:leader="dot" w:pos="8306"/>
        </w:tabs>
      </w:pPr>
      <w:hyperlink w:anchor="_Toc6338" w:history="1">
        <w:r>
          <w:rPr>
            <w:rFonts w:ascii="仿宋" w:eastAsia="仿宋" w:hAnsi="仿宋" w:cs="仿宋" w:hint="eastAsia"/>
            <w:lang w:eastAsia="zh-CN"/>
          </w:rPr>
          <w:t>(二)、风险应对策略</w:t>
        </w:r>
        <w:r>
          <w:tab/>
        </w:r>
        <w:r>
          <w:fldChar w:fldCharType="begin"/>
        </w:r>
        <w:r>
          <w:instrText xml:space="preserve"> PAGEREF _Toc6338 \h </w:instrText>
        </w:r>
        <w:r>
          <w:fldChar w:fldCharType="separate"/>
        </w:r>
        <w:r>
          <w:t>34</w:t>
        </w:r>
        <w:r>
          <w:fldChar w:fldCharType="end"/>
        </w:r>
      </w:hyperlink>
    </w:p>
    <w:p>
      <w:pPr>
        <w:pStyle w:val="TOC2"/>
        <w:tabs>
          <w:tab w:val="right" w:leader="dot" w:pos="8306"/>
        </w:tabs>
      </w:pPr>
      <w:hyperlink w:anchor="_Toc30041" w:history="1">
        <w:r>
          <w:rPr>
            <w:rFonts w:ascii="仿宋" w:eastAsia="仿宋" w:hAnsi="仿宋" w:cs="仿宋" w:hint="eastAsia"/>
            <w:lang w:eastAsia="zh-CN"/>
          </w:rPr>
          <w:t>(三)、风险监控与控制</w:t>
        </w:r>
        <w:r>
          <w:tab/>
        </w:r>
        <w:r>
          <w:fldChar w:fldCharType="begin"/>
        </w:r>
        <w:r>
          <w:instrText xml:space="preserve"> PAGEREF _Toc30041 \h </w:instrText>
        </w:r>
        <w:r>
          <w:fldChar w:fldCharType="separate"/>
        </w:r>
        <w:r>
          <w:t>36</w:t>
        </w:r>
        <w:r>
          <w:fldChar w:fldCharType="end"/>
        </w:r>
      </w:hyperlink>
    </w:p>
    <w:p>
      <w:pPr>
        <w:pStyle w:val="TOC1"/>
        <w:tabs>
          <w:tab w:val="right" w:leader="dot" w:pos="8306"/>
        </w:tabs>
      </w:pPr>
      <w:hyperlink w:anchor="_Toc14610" w:history="1">
        <w:r>
          <w:rPr>
            <w:rFonts w:ascii="仿宋" w:eastAsia="仿宋" w:hAnsi="仿宋" w:cs="仿宋" w:hint="eastAsia"/>
            <w:lang w:eastAsia="zh-CN"/>
          </w:rPr>
          <w:t>十、体育专用地坪漆项目社会影响</w:t>
        </w:r>
        <w:r>
          <w:tab/>
        </w:r>
        <w:r>
          <w:fldChar w:fldCharType="begin"/>
        </w:r>
        <w:r>
          <w:instrText xml:space="preserve"> PAGEREF _Toc14610 \h </w:instrText>
        </w:r>
        <w:r>
          <w:fldChar w:fldCharType="separate"/>
        </w:r>
        <w:r>
          <w:t>37</w:t>
        </w:r>
        <w:r>
          <w:fldChar w:fldCharType="end"/>
        </w:r>
      </w:hyperlink>
    </w:p>
    <w:p>
      <w:pPr>
        <w:pStyle w:val="TOC2"/>
        <w:tabs>
          <w:tab w:val="right" w:leader="dot" w:pos="8306"/>
        </w:tabs>
      </w:pPr>
      <w:hyperlink w:anchor="_Toc10202" w:history="1">
        <w:r>
          <w:rPr>
            <w:rFonts w:ascii="仿宋" w:eastAsia="仿宋" w:hAnsi="仿宋" w:cs="仿宋" w:hint="eastAsia"/>
            <w:lang w:eastAsia="zh-CN"/>
          </w:rPr>
          <w:t>(一)、社会责任与义务</w:t>
        </w:r>
        <w:r>
          <w:tab/>
        </w:r>
        <w:r>
          <w:fldChar w:fldCharType="begin"/>
        </w:r>
        <w:r>
          <w:instrText xml:space="preserve"> PAGEREF _Toc10202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44" w:history="1">
        <w:r>
          <w:rPr>
            <w:rFonts w:ascii="仿宋" w:eastAsia="仿宋" w:hAnsi="仿宋" w:cs="仿宋" w:hint="eastAsia"/>
            <w:lang w:eastAsia="zh-CN"/>
          </w:rPr>
          <w:t>(二)、社会参与与沟通</w:t>
        </w:r>
        <w:r>
          <w:tab/>
        </w:r>
        <w:r>
          <w:fldChar w:fldCharType="begin"/>
        </w:r>
        <w:r>
          <w:instrText xml:space="preserve"> PAGEREF _Toc6744 \h </w:instrText>
        </w:r>
        <w:r>
          <w:fldChar w:fldCharType="separate"/>
        </w:r>
        <w:r>
          <w:t>38</w:t>
        </w:r>
        <w:r>
          <w:fldChar w:fldCharType="end"/>
        </w:r>
      </w:hyperlink>
    </w:p>
    <w:p>
      <w:pPr>
        <w:pStyle w:val="TOC1"/>
        <w:tabs>
          <w:tab w:val="right" w:leader="dot" w:pos="8306"/>
        </w:tabs>
      </w:pPr>
      <w:hyperlink w:anchor="_Toc77" w:history="1">
        <w:r>
          <w:rPr>
            <w:rFonts w:ascii="仿宋" w:eastAsia="仿宋" w:hAnsi="仿宋" w:cs="仿宋" w:hint="eastAsia"/>
            <w:lang w:eastAsia="zh-CN"/>
          </w:rPr>
          <w:t>十一、体育专用地坪漆项目投资规划</w:t>
        </w:r>
        <w:r>
          <w:tab/>
        </w:r>
        <w:r>
          <w:fldChar w:fldCharType="begin"/>
        </w:r>
        <w:r>
          <w:instrText xml:space="preserve"> PAGEREF _Toc77 \h </w:instrText>
        </w:r>
        <w:r>
          <w:fldChar w:fldCharType="separate"/>
        </w:r>
        <w:r>
          <w:t>39</w:t>
        </w:r>
        <w:r>
          <w:fldChar w:fldCharType="end"/>
        </w:r>
      </w:hyperlink>
    </w:p>
    <w:p>
      <w:pPr>
        <w:pStyle w:val="TOC2"/>
        <w:tabs>
          <w:tab w:val="right" w:leader="dot" w:pos="8306"/>
        </w:tabs>
      </w:pPr>
      <w:hyperlink w:anchor="_Toc26707" w:history="1">
        <w:r>
          <w:rPr>
            <w:rFonts w:ascii="仿宋" w:eastAsia="仿宋" w:hAnsi="仿宋" w:cs="仿宋" w:hint="eastAsia"/>
            <w:lang w:eastAsia="zh-CN"/>
          </w:rPr>
          <w:t>(一)、体育专用地坪漆项目总投资估算</w:t>
        </w:r>
        <w:r>
          <w:tab/>
        </w:r>
        <w:r>
          <w:fldChar w:fldCharType="begin"/>
        </w:r>
        <w:r>
          <w:instrText xml:space="preserve"> PAGEREF _Toc26707 \h </w:instrText>
        </w:r>
        <w:r>
          <w:fldChar w:fldCharType="separate"/>
        </w:r>
        <w:r>
          <w:t>39</w:t>
        </w:r>
        <w:r>
          <w:fldChar w:fldCharType="end"/>
        </w:r>
      </w:hyperlink>
    </w:p>
    <w:p>
      <w:pPr>
        <w:pStyle w:val="TOC2"/>
        <w:tabs>
          <w:tab w:val="right" w:leader="dot" w:pos="8306"/>
        </w:tabs>
      </w:pPr>
      <w:hyperlink w:anchor="_Toc11270" w:history="1">
        <w:r>
          <w:rPr>
            <w:rFonts w:ascii="仿宋" w:eastAsia="仿宋" w:hAnsi="仿宋" w:cs="仿宋" w:hint="eastAsia"/>
            <w:lang w:eastAsia="zh-CN"/>
          </w:rPr>
          <w:t>(二)、资金筹措</w:t>
        </w:r>
        <w:r>
          <w:tab/>
        </w:r>
        <w:r>
          <w:fldChar w:fldCharType="begin"/>
        </w:r>
        <w:r>
          <w:instrText xml:space="preserve"> PAGEREF _Toc11270 \h </w:instrText>
        </w:r>
        <w:r>
          <w:fldChar w:fldCharType="separate"/>
        </w:r>
        <w:r>
          <w:t>40</w:t>
        </w:r>
        <w:r>
          <w:fldChar w:fldCharType="end"/>
        </w:r>
      </w:hyperlink>
    </w:p>
    <w:p>
      <w:pPr>
        <w:pStyle w:val="TOC1"/>
        <w:tabs>
          <w:tab w:val="right" w:leader="dot" w:pos="8306"/>
        </w:tabs>
      </w:pPr>
      <w:hyperlink w:anchor="_Toc20813" w:history="1">
        <w:r>
          <w:rPr>
            <w:rFonts w:ascii="仿宋" w:eastAsia="仿宋" w:hAnsi="仿宋" w:cs="仿宋" w:hint="eastAsia"/>
            <w:lang w:eastAsia="zh-CN"/>
          </w:rPr>
          <w:t>十二、体育专用地坪漆项目经营效益</w:t>
        </w:r>
        <w:r>
          <w:tab/>
        </w:r>
        <w:r>
          <w:fldChar w:fldCharType="begin"/>
        </w:r>
        <w:r>
          <w:instrText xml:space="preserve"> PAGEREF _Toc20813 \h </w:instrText>
        </w:r>
        <w:r>
          <w:fldChar w:fldCharType="separate"/>
        </w:r>
        <w:r>
          <w:t>41</w:t>
        </w:r>
        <w:r>
          <w:fldChar w:fldCharType="end"/>
        </w:r>
      </w:hyperlink>
    </w:p>
    <w:p>
      <w:pPr>
        <w:pStyle w:val="TOC2"/>
        <w:tabs>
          <w:tab w:val="right" w:leader="dot" w:pos="8306"/>
        </w:tabs>
      </w:pPr>
      <w:hyperlink w:anchor="_Toc9543" w:history="1">
        <w:r>
          <w:rPr>
            <w:rFonts w:ascii="仿宋" w:eastAsia="仿宋" w:hAnsi="仿宋" w:cs="仿宋" w:hint="eastAsia"/>
            <w:lang w:eastAsia="zh-CN"/>
          </w:rPr>
          <w:t>(一)、经济评价财务测算</w:t>
        </w:r>
        <w:r>
          <w:tab/>
        </w:r>
        <w:r>
          <w:fldChar w:fldCharType="begin"/>
        </w:r>
        <w:r>
          <w:instrText xml:space="preserve"> PAGEREF _Toc9543 \h </w:instrText>
        </w:r>
        <w:r>
          <w:fldChar w:fldCharType="separate"/>
        </w:r>
        <w:r>
          <w:t>41</w:t>
        </w:r>
        <w:r>
          <w:fldChar w:fldCharType="end"/>
        </w:r>
      </w:hyperlink>
    </w:p>
    <w:p>
      <w:pPr>
        <w:pStyle w:val="TOC2"/>
        <w:tabs>
          <w:tab w:val="right" w:leader="dot" w:pos="8306"/>
        </w:tabs>
      </w:pPr>
      <w:hyperlink w:anchor="_Toc24348" w:history="1">
        <w:r>
          <w:rPr>
            <w:rFonts w:ascii="仿宋" w:eastAsia="仿宋" w:hAnsi="仿宋" w:cs="仿宋" w:hint="eastAsia"/>
            <w:lang w:eastAsia="zh-CN"/>
          </w:rPr>
          <w:t>(二)、体育专用地坪漆项目盈利能力分析</w:t>
        </w:r>
        <w:r>
          <w:tab/>
        </w:r>
        <w:r>
          <w:fldChar w:fldCharType="begin"/>
        </w:r>
        <w:r>
          <w:instrText xml:space="preserve"> PAGEREF _Toc24348 \h </w:instrText>
        </w:r>
        <w:r>
          <w:fldChar w:fldCharType="separate"/>
        </w:r>
        <w:r>
          <w:t>42</w:t>
        </w:r>
        <w:r>
          <w:fldChar w:fldCharType="end"/>
        </w:r>
      </w:hyperlink>
    </w:p>
    <w:p>
      <w:pPr>
        <w:pStyle w:val="TOC1"/>
        <w:tabs>
          <w:tab w:val="right" w:leader="dot" w:pos="8306"/>
        </w:tabs>
      </w:pPr>
      <w:hyperlink w:anchor="_Toc19649" w:history="1">
        <w:r>
          <w:rPr>
            <w:rFonts w:ascii="仿宋" w:eastAsia="仿宋" w:hAnsi="仿宋" w:cs="仿宋" w:hint="eastAsia"/>
            <w:lang w:eastAsia="zh-CN"/>
          </w:rPr>
          <w:t>十三、体育专用地坪漆项目治理与监督</w:t>
        </w:r>
        <w:r>
          <w:tab/>
        </w:r>
        <w:r>
          <w:fldChar w:fldCharType="begin"/>
        </w:r>
        <w:r>
          <w:instrText xml:space="preserve"> PAGEREF _Toc19649 \h </w:instrText>
        </w:r>
        <w:r>
          <w:fldChar w:fldCharType="separate"/>
        </w:r>
        <w:r>
          <w:t>43</w:t>
        </w:r>
        <w:r>
          <w:fldChar w:fldCharType="end"/>
        </w:r>
      </w:hyperlink>
    </w:p>
    <w:p>
      <w:pPr>
        <w:pStyle w:val="TOC2"/>
        <w:tabs>
          <w:tab w:val="right" w:leader="dot" w:pos="8306"/>
        </w:tabs>
      </w:pPr>
      <w:hyperlink w:anchor="_Toc15641" w:history="1">
        <w:r>
          <w:rPr>
            <w:rFonts w:ascii="仿宋" w:eastAsia="仿宋" w:hAnsi="仿宋" w:cs="仿宋" w:hint="eastAsia"/>
            <w:lang w:eastAsia="zh-CN"/>
          </w:rPr>
          <w:t>(一)、体育专用地坪漆项目治理结构</w:t>
        </w:r>
        <w:r>
          <w:tab/>
        </w:r>
        <w:r>
          <w:fldChar w:fldCharType="begin"/>
        </w:r>
        <w:r>
          <w:instrText xml:space="preserve"> PAGEREF _Toc15641 \h </w:instrText>
        </w:r>
        <w:r>
          <w:fldChar w:fldCharType="separate"/>
        </w:r>
        <w:r>
          <w:t>43</w:t>
        </w:r>
        <w:r>
          <w:fldChar w:fldCharType="end"/>
        </w:r>
      </w:hyperlink>
    </w:p>
    <w:p>
      <w:pPr>
        <w:pStyle w:val="TOC2"/>
        <w:tabs>
          <w:tab w:val="right" w:leader="dot" w:pos="8306"/>
        </w:tabs>
      </w:pPr>
      <w:hyperlink w:anchor="_Toc24617" w:history="1">
        <w:r>
          <w:rPr>
            <w:rFonts w:ascii="仿宋" w:eastAsia="仿宋" w:hAnsi="仿宋" w:cs="仿宋" w:hint="eastAsia"/>
            <w:lang w:eastAsia="zh-CN"/>
          </w:rPr>
          <w:t>(二)、监督与审计</w:t>
        </w:r>
        <w:r>
          <w:tab/>
        </w:r>
        <w:r>
          <w:fldChar w:fldCharType="begin"/>
        </w:r>
        <w:r>
          <w:instrText xml:space="preserve"> PAGEREF _Toc24617 \h </w:instrText>
        </w:r>
        <w:r>
          <w:fldChar w:fldCharType="separate"/>
        </w:r>
        <w:r>
          <w:t>45</w:t>
        </w:r>
        <w:r>
          <w:fldChar w:fldCharType="end"/>
        </w:r>
      </w:hyperlink>
    </w:p>
    <w:p>
      <w:pPr>
        <w:pStyle w:val="TOC1"/>
        <w:tabs>
          <w:tab w:val="right" w:leader="dot" w:pos="8306"/>
        </w:tabs>
      </w:pPr>
      <w:hyperlink w:anchor="_Toc31451" w:history="1">
        <w:r>
          <w:rPr>
            <w:rFonts w:ascii="仿宋" w:eastAsia="仿宋" w:hAnsi="仿宋" w:cs="仿宋" w:hint="eastAsia"/>
            <w:lang w:eastAsia="zh-CN"/>
          </w:rPr>
          <w:t>十四、体育专用地坪漆项目变更管理</w:t>
        </w:r>
        <w:r>
          <w:tab/>
        </w:r>
        <w:r>
          <w:fldChar w:fldCharType="begin"/>
        </w:r>
        <w:r>
          <w:instrText xml:space="preserve"> PAGEREF _Toc31451 \h </w:instrText>
        </w:r>
        <w:r>
          <w:fldChar w:fldCharType="separate"/>
        </w:r>
        <w:r>
          <w:t>46</w:t>
        </w:r>
        <w:r>
          <w:fldChar w:fldCharType="end"/>
        </w:r>
      </w:hyperlink>
    </w:p>
    <w:p>
      <w:pPr>
        <w:pStyle w:val="TOC2"/>
        <w:tabs>
          <w:tab w:val="right" w:leader="dot" w:pos="8306"/>
        </w:tabs>
      </w:pPr>
      <w:hyperlink w:anchor="_Toc16019" w:history="1">
        <w:r>
          <w:rPr>
            <w:rFonts w:ascii="仿宋" w:eastAsia="仿宋" w:hAnsi="仿宋" w:cs="仿宋" w:hint="eastAsia"/>
            <w:lang w:eastAsia="zh-CN"/>
          </w:rPr>
          <w:t>(一)、变更申请与评估</w:t>
        </w:r>
        <w:r>
          <w:tab/>
        </w:r>
        <w:r>
          <w:fldChar w:fldCharType="begin"/>
        </w:r>
        <w:r>
          <w:instrText xml:space="preserve"> PAGEREF _Toc16019 \h </w:instrText>
        </w:r>
        <w:r>
          <w:fldChar w:fldCharType="separate"/>
        </w:r>
        <w:r>
          <w:t>46</w:t>
        </w:r>
        <w:r>
          <w:fldChar w:fldCharType="end"/>
        </w:r>
      </w:hyperlink>
    </w:p>
    <w:p>
      <w:pPr>
        <w:pStyle w:val="TOC2"/>
        <w:tabs>
          <w:tab w:val="right" w:leader="dot" w:pos="8306"/>
        </w:tabs>
      </w:pPr>
      <w:hyperlink w:anchor="_Toc6579" w:history="1">
        <w:r>
          <w:rPr>
            <w:rFonts w:ascii="仿宋" w:eastAsia="仿宋" w:hAnsi="仿宋" w:cs="仿宋" w:hint="eastAsia"/>
            <w:lang w:eastAsia="zh-CN"/>
          </w:rPr>
          <w:t>(二)、变更实施与控制</w:t>
        </w:r>
        <w:r>
          <w:tab/>
        </w:r>
        <w:r>
          <w:fldChar w:fldCharType="begin"/>
        </w:r>
        <w:r>
          <w:instrText xml:space="preserve"> PAGEREF _Toc6579 \h </w:instrText>
        </w:r>
        <w:r>
          <w:fldChar w:fldCharType="separate"/>
        </w:r>
        <w:r>
          <w:t>46</w:t>
        </w:r>
        <w:r>
          <w:fldChar w:fldCharType="end"/>
        </w:r>
      </w:hyperlink>
    </w:p>
    <w:p>
      <w:pPr>
        <w:pStyle w:val="TOC1"/>
        <w:tabs>
          <w:tab w:val="right" w:leader="dot" w:pos="8306"/>
        </w:tabs>
      </w:pPr>
      <w:hyperlink w:anchor="_Toc12390" w:history="1">
        <w:r>
          <w:rPr>
            <w:rFonts w:ascii="仿宋" w:eastAsia="仿宋" w:hAnsi="仿宋" w:cs="仿宋" w:hint="eastAsia"/>
            <w:lang w:eastAsia="zh-CN"/>
          </w:rPr>
          <w:t>十五、供应链管理</w:t>
        </w:r>
        <w:r>
          <w:tab/>
        </w:r>
        <w:r>
          <w:fldChar w:fldCharType="begin"/>
        </w:r>
        <w:r>
          <w:instrText xml:space="preserve"> PAGEREF _Toc12390 \h </w:instrText>
        </w:r>
        <w:r>
          <w:fldChar w:fldCharType="separate"/>
        </w:r>
        <w:r>
          <w:t>47</w:t>
        </w:r>
        <w:r>
          <w:fldChar w:fldCharType="end"/>
        </w:r>
      </w:hyperlink>
    </w:p>
    <w:p>
      <w:pPr>
        <w:pStyle w:val="TOC2"/>
        <w:tabs>
          <w:tab w:val="right" w:leader="dot" w:pos="8306"/>
        </w:tabs>
      </w:pPr>
      <w:hyperlink w:anchor="_Toc25416" w:history="1">
        <w:r>
          <w:rPr>
            <w:rFonts w:ascii="仿宋" w:eastAsia="仿宋" w:hAnsi="仿宋" w:cs="仿宋" w:hint="eastAsia"/>
            <w:lang w:eastAsia="zh-CN"/>
          </w:rPr>
          <w:t>(一)、供应链战略规划</w:t>
        </w:r>
        <w:r>
          <w:tab/>
        </w:r>
        <w:r>
          <w:fldChar w:fldCharType="begin"/>
        </w:r>
        <w:r>
          <w:instrText xml:space="preserve"> PAGEREF _Toc25416 \h </w:instrText>
        </w:r>
        <w:r>
          <w:fldChar w:fldCharType="separate"/>
        </w:r>
        <w:r>
          <w:t>47</w:t>
        </w:r>
        <w:r>
          <w:fldChar w:fldCharType="end"/>
        </w:r>
      </w:hyperlink>
    </w:p>
    <w:p>
      <w:pPr>
        <w:pStyle w:val="TOC2"/>
        <w:tabs>
          <w:tab w:val="right" w:leader="dot" w:pos="8306"/>
        </w:tabs>
      </w:pPr>
      <w:hyperlink w:anchor="_Toc22562" w:history="1">
        <w:r>
          <w:rPr>
            <w:rFonts w:ascii="仿宋" w:eastAsia="仿宋" w:hAnsi="仿宋" w:cs="仿宋" w:hint="eastAsia"/>
            <w:lang w:eastAsia="zh-CN"/>
          </w:rPr>
          <w:t>(二)、供应商选择与合作</w:t>
        </w:r>
        <w:r>
          <w:tab/>
        </w:r>
        <w:r>
          <w:fldChar w:fldCharType="begin"/>
        </w:r>
        <w:r>
          <w:instrText xml:space="preserve"> PAGEREF _Toc22562 \h </w:instrText>
        </w:r>
        <w:r>
          <w:fldChar w:fldCharType="separate"/>
        </w:r>
        <w:r>
          <w:t>49</w:t>
        </w:r>
        <w:r>
          <w:fldChar w:fldCharType="end"/>
        </w:r>
      </w:hyperlink>
    </w:p>
    <w:p>
      <w:pPr>
        <w:pStyle w:val="TOC2"/>
        <w:tabs>
          <w:tab w:val="right" w:leader="dot" w:pos="8306"/>
        </w:tabs>
      </w:pPr>
      <w:hyperlink w:anchor="_Toc14781" w:history="1">
        <w:r>
          <w:rPr>
            <w:rFonts w:ascii="仿宋" w:eastAsia="仿宋" w:hAnsi="仿宋" w:cs="仿宋" w:hint="eastAsia"/>
            <w:lang w:eastAsia="zh-CN"/>
          </w:rPr>
          <w:t>(三)、物流与库存管理</w:t>
        </w:r>
        <w:r>
          <w:tab/>
        </w:r>
        <w:r>
          <w:fldChar w:fldCharType="begin"/>
        </w:r>
        <w:r>
          <w:instrText xml:space="preserve"> PAGEREF _Toc14781 \h </w:instrText>
        </w:r>
        <w:r>
          <w:fldChar w:fldCharType="separate"/>
        </w:r>
        <w:r>
          <w:t>50</w:t>
        </w:r>
        <w:r>
          <w:fldChar w:fldCharType="end"/>
        </w:r>
      </w:hyperlink>
    </w:p>
    <w:p>
      <w:pPr>
        <w:pStyle w:val="TOC1"/>
        <w:tabs>
          <w:tab w:val="right" w:leader="dot" w:pos="8306"/>
        </w:tabs>
      </w:pPr>
      <w:hyperlink w:anchor="_Toc23139" w:history="1">
        <w:r>
          <w:rPr>
            <w:rFonts w:ascii="仿宋" w:eastAsia="仿宋" w:hAnsi="仿宋" w:cs="仿宋" w:hint="eastAsia"/>
            <w:lang w:eastAsia="zh-CN"/>
          </w:rPr>
          <w:t>十六、体育专用地坪漆项目实施时间节点</w:t>
        </w:r>
        <w:r>
          <w:tab/>
        </w:r>
        <w:r>
          <w:fldChar w:fldCharType="begin"/>
        </w:r>
        <w:r>
          <w:instrText xml:space="preserve"> PAGEREF _Toc23139 \h </w:instrText>
        </w:r>
        <w:r>
          <w:fldChar w:fldCharType="separate"/>
        </w:r>
        <w:r>
          <w:t>51</w:t>
        </w:r>
        <w:r>
          <w:fldChar w:fldCharType="end"/>
        </w:r>
      </w:hyperlink>
    </w:p>
    <w:p>
      <w:pPr>
        <w:pStyle w:val="TOC2"/>
        <w:tabs>
          <w:tab w:val="right" w:leader="dot" w:pos="8306"/>
        </w:tabs>
      </w:pPr>
      <w:hyperlink w:anchor="_Toc22078" w:history="1">
        <w:r>
          <w:rPr>
            <w:rFonts w:ascii="仿宋" w:eastAsia="仿宋" w:hAnsi="仿宋" w:cs="仿宋" w:hint="eastAsia"/>
            <w:lang w:eastAsia="zh-CN"/>
          </w:rPr>
          <w:t>(一)、体育专用地坪漆项目启动阶段时间节点</w:t>
        </w:r>
        <w:r>
          <w:tab/>
        </w:r>
        <w:r>
          <w:fldChar w:fldCharType="begin"/>
        </w:r>
        <w:r>
          <w:instrText xml:space="preserve"> PAGEREF _Toc22078 \h </w:instrText>
        </w:r>
        <w:r>
          <w:fldChar w:fldCharType="separate"/>
        </w:r>
        <w:r>
          <w:t>51</w:t>
        </w:r>
        <w:r>
          <w:fldChar w:fldCharType="end"/>
        </w:r>
      </w:hyperlink>
    </w:p>
    <w:p>
      <w:pPr>
        <w:pStyle w:val="TOC2"/>
        <w:tabs>
          <w:tab w:val="right" w:leader="dot" w:pos="8306"/>
        </w:tabs>
      </w:pPr>
      <w:hyperlink w:anchor="_Toc32434" w:history="1">
        <w:r>
          <w:rPr>
            <w:rFonts w:ascii="仿宋" w:eastAsia="仿宋" w:hAnsi="仿宋" w:cs="仿宋" w:hint="eastAsia"/>
            <w:lang w:eastAsia="zh-CN"/>
          </w:rPr>
          <w:t>(二)、体育专用地坪漆项目执行阶段时间节点</w:t>
        </w:r>
        <w:r>
          <w:tab/>
        </w:r>
        <w:r>
          <w:fldChar w:fldCharType="begin"/>
        </w:r>
        <w:r>
          <w:instrText xml:space="preserve"> PAGEREF _Toc32434 \h </w:instrText>
        </w:r>
        <w:r>
          <w:fldChar w:fldCharType="separate"/>
        </w:r>
        <w:r>
          <w:t>53</w:t>
        </w:r>
        <w:r>
          <w:fldChar w:fldCharType="end"/>
        </w:r>
      </w:hyperlink>
    </w:p>
    <w:p>
      <w:pPr>
        <w:pStyle w:val="TOC2"/>
        <w:tabs>
          <w:tab w:val="right" w:leader="dot" w:pos="8306"/>
        </w:tabs>
      </w:pPr>
      <w:hyperlink w:anchor="_Toc20731" w:history="1">
        <w:r>
          <w:rPr>
            <w:rFonts w:ascii="仿宋" w:eastAsia="仿宋" w:hAnsi="仿宋" w:cs="仿宋" w:hint="eastAsia"/>
            <w:lang w:eastAsia="zh-CN"/>
          </w:rPr>
          <w:t>(三)、体育专用地坪漆项目完成阶段时间节点</w:t>
        </w:r>
        <w:r>
          <w:tab/>
        </w:r>
        <w:r>
          <w:fldChar w:fldCharType="begin"/>
        </w:r>
        <w:r>
          <w:instrText xml:space="preserve"> PAGEREF _Toc20731 \h </w:instrText>
        </w:r>
        <w:r>
          <w:fldChar w:fldCharType="separate"/>
        </w:r>
        <w:r>
          <w:t>54</w:t>
        </w:r>
        <w:r>
          <w:fldChar w:fldCharType="end"/>
        </w:r>
      </w:hyperlink>
    </w:p>
    <w:p>
      <w:pPr>
        <w:pStyle w:val="TOC1"/>
        <w:tabs>
          <w:tab w:val="right" w:leader="dot" w:pos="8306"/>
        </w:tabs>
      </w:pPr>
      <w:hyperlink w:anchor="_Toc22564" w:history="1">
        <w:r>
          <w:rPr>
            <w:rFonts w:ascii="仿宋" w:eastAsia="仿宋" w:hAnsi="仿宋" w:cs="仿宋" w:hint="eastAsia"/>
            <w:lang w:eastAsia="zh-CN"/>
          </w:rPr>
          <w:t>十七、体育专用地坪漆项目实施保障措施</w:t>
        </w:r>
        <w:r>
          <w:tab/>
        </w:r>
        <w:r>
          <w:fldChar w:fldCharType="begin"/>
        </w:r>
        <w:r>
          <w:instrText xml:space="preserve"> PAGEREF _Toc22564 \h </w:instrText>
        </w:r>
        <w:r>
          <w:fldChar w:fldCharType="separate"/>
        </w:r>
        <w:r>
          <w:t>55</w:t>
        </w:r>
        <w:r>
          <w:fldChar w:fldCharType="end"/>
        </w:r>
      </w:hyperlink>
    </w:p>
    <w:p>
      <w:pPr>
        <w:pStyle w:val="TOC2"/>
        <w:tabs>
          <w:tab w:val="right" w:leader="dot" w:pos="8306"/>
        </w:tabs>
      </w:pPr>
      <w:hyperlink w:anchor="_Toc26059" w:history="1">
        <w:r>
          <w:rPr>
            <w:rFonts w:ascii="仿宋" w:eastAsia="仿宋" w:hAnsi="仿宋" w:cs="仿宋" w:hint="eastAsia"/>
            <w:lang w:eastAsia="zh-CN"/>
          </w:rPr>
          <w:t>(一)、体育专用地坪漆项目实施保障机制</w:t>
        </w:r>
        <w:r>
          <w:tab/>
        </w:r>
        <w:r>
          <w:fldChar w:fldCharType="begin"/>
        </w:r>
        <w:r>
          <w:instrText xml:space="preserve"> PAGEREF _Toc26059 \h </w:instrText>
        </w:r>
        <w:r>
          <w:fldChar w:fldCharType="separate"/>
        </w:r>
        <w:r>
          <w:t>55</w:t>
        </w:r>
        <w:r>
          <w:fldChar w:fldCharType="end"/>
        </w:r>
      </w:hyperlink>
    </w:p>
    <w:p>
      <w:pPr>
        <w:pStyle w:val="TOC2"/>
        <w:tabs>
          <w:tab w:val="right" w:leader="dot" w:pos="8306"/>
        </w:tabs>
      </w:pPr>
      <w:hyperlink w:anchor="_Toc15336" w:history="1">
        <w:r>
          <w:rPr>
            <w:rFonts w:ascii="仿宋" w:eastAsia="仿宋" w:hAnsi="仿宋" w:cs="仿宋" w:hint="eastAsia"/>
            <w:lang w:eastAsia="zh-CN"/>
          </w:rPr>
          <w:t>(二)、体育专用地坪漆项目法律合规要求</w:t>
        </w:r>
        <w:r>
          <w:tab/>
        </w:r>
        <w:r>
          <w:fldChar w:fldCharType="begin"/>
        </w:r>
        <w:r>
          <w:instrText xml:space="preserve"> PAGEREF _Toc15336 \h </w:instrText>
        </w:r>
        <w:r>
          <w:fldChar w:fldCharType="separate"/>
        </w:r>
        <w:r>
          <w:t>58</w:t>
        </w:r>
        <w:r>
          <w:fldChar w:fldCharType="end"/>
        </w:r>
      </w:hyperlink>
    </w:p>
    <w:p>
      <w:pPr>
        <w:pStyle w:val="TOC2"/>
        <w:tabs>
          <w:tab w:val="right" w:leader="dot" w:pos="8306"/>
        </w:tabs>
      </w:pPr>
      <w:hyperlink w:anchor="_Toc17162" w:history="1">
        <w:r>
          <w:rPr>
            <w:rFonts w:ascii="仿宋" w:eastAsia="仿宋" w:hAnsi="仿宋" w:cs="仿宋" w:hint="eastAsia"/>
            <w:lang w:eastAsia="zh-CN"/>
          </w:rPr>
          <w:t>(三)、体育专用地坪漆项目合同管理与法律事务</w:t>
        </w:r>
        <w:r>
          <w:tab/>
        </w:r>
        <w:r>
          <w:fldChar w:fldCharType="begin"/>
        </w:r>
        <w:r>
          <w:instrText xml:space="preserve"> PAGEREF _Toc17162 \h </w:instrText>
        </w:r>
        <w:r>
          <w:fldChar w:fldCharType="separate"/>
        </w:r>
        <w:r>
          <w:t>63</w:t>
        </w:r>
        <w:r>
          <w:fldChar w:fldCharType="end"/>
        </w:r>
      </w:hyperlink>
    </w:p>
    <w:p>
      <w:pPr>
        <w:pStyle w:val="TOC2"/>
        <w:tabs>
          <w:tab w:val="right" w:leader="dot" w:pos="8306"/>
        </w:tabs>
      </w:pPr>
      <w:hyperlink w:anchor="_Toc15652" w:history="1">
        <w:r>
          <w:rPr>
            <w:rFonts w:ascii="仿宋" w:eastAsia="仿宋" w:hAnsi="仿宋" w:cs="仿宋" w:hint="eastAsia"/>
            <w:lang w:eastAsia="zh-CN"/>
          </w:rPr>
          <w:t>(四)、体育专用地坪漆项目知识产权保护策略</w:t>
        </w:r>
        <w:r>
          <w:tab/>
        </w:r>
        <w:r>
          <w:fldChar w:fldCharType="begin"/>
        </w:r>
        <w:r>
          <w:instrText xml:space="preserve"> PAGEREF _Toc15652 \h </w:instrText>
        </w:r>
        <w:r>
          <w:fldChar w:fldCharType="separate"/>
        </w:r>
        <w:r>
          <w:t>69</w:t>
        </w:r>
        <w:r>
          <w:fldChar w:fldCharType="end"/>
        </w:r>
      </w:hyperlink>
    </w:p>
    <w:p>
      <w:pPr>
        <w:pStyle w:val="TOC1"/>
        <w:tabs>
          <w:tab w:val="right" w:leader="dot" w:pos="8306"/>
        </w:tabs>
      </w:pPr>
      <w:hyperlink w:anchor="_Toc23683" w:history="1">
        <w:r>
          <w:rPr>
            <w:rFonts w:ascii="仿宋" w:eastAsia="仿宋" w:hAnsi="仿宋" w:cs="仿宋" w:hint="eastAsia"/>
            <w:lang w:eastAsia="zh-CN"/>
          </w:rPr>
          <w:t>十八、风险识别与分类</w:t>
        </w:r>
        <w:r>
          <w:tab/>
        </w:r>
        <w:r>
          <w:fldChar w:fldCharType="begin"/>
        </w:r>
        <w:r>
          <w:instrText xml:space="preserve"> PAGEREF _Toc23683 \h </w:instrText>
        </w:r>
        <w:r>
          <w:fldChar w:fldCharType="separate"/>
        </w:r>
        <w:r>
          <w:t>72</w:t>
        </w:r>
        <w:r>
          <w:fldChar w:fldCharType="end"/>
        </w:r>
      </w:hyperlink>
    </w:p>
    <w:p>
      <w:pPr>
        <w:pStyle w:val="TOC2"/>
        <w:tabs>
          <w:tab w:val="right" w:leader="dot" w:pos="8306"/>
        </w:tabs>
      </w:pPr>
      <w:hyperlink w:anchor="_Toc24787" w:history="1">
        <w:r>
          <w:rPr>
            <w:rFonts w:ascii="仿宋" w:eastAsia="仿宋" w:hAnsi="仿宋" w:cs="仿宋" w:hint="eastAsia"/>
            <w:lang w:eastAsia="zh-CN"/>
          </w:rPr>
          <w:t>(一)、风险识别</w:t>
        </w:r>
        <w:r>
          <w:tab/>
        </w:r>
        <w:r>
          <w:fldChar w:fldCharType="begin"/>
        </w:r>
        <w:r>
          <w:instrText xml:space="preserve"> PAGEREF _Toc24787 \h </w:instrText>
        </w:r>
        <w:r>
          <w:fldChar w:fldCharType="separate"/>
        </w:r>
        <w:r>
          <w:t>72</w:t>
        </w:r>
        <w:r>
          <w:fldChar w:fldCharType="end"/>
        </w:r>
      </w:hyperlink>
    </w:p>
    <w:p>
      <w:pPr>
        <w:pStyle w:val="TOC2"/>
        <w:tabs>
          <w:tab w:val="right" w:leader="dot" w:pos="8306"/>
        </w:tabs>
      </w:pPr>
      <w:hyperlink w:anchor="_Toc19023" w:history="1">
        <w:r>
          <w:rPr>
            <w:rFonts w:ascii="仿宋" w:eastAsia="仿宋" w:hAnsi="仿宋" w:cs="仿宋" w:hint="eastAsia"/>
            <w:lang w:eastAsia="zh-CN"/>
          </w:rPr>
          <w:t>(二)、风险分类</w:t>
        </w:r>
        <w:r>
          <w:tab/>
        </w:r>
        <w:r>
          <w:fldChar w:fldCharType="begin"/>
        </w:r>
        <w:r>
          <w:instrText xml:space="preserve"> PAGEREF _Toc19023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1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的技术管理特点体现在其创新导向。通过引入最先进的技术趋势和解决方案，体育专用地坪漆项目致力于提升科技含量、提高质量和效率水平。这意味着我们将采用最新的工具和方法，确保体育专用地坪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育专用地坪漆项目技术管理的显著特征。通过整合不同领域的技术资源，我们实现了跨学科的协同工作。这有助于优化技术架构，提高整体效能。此外，整合性策略还促进了不同技术团队之间的紧密沟通和高效合作，确保体育专用地坪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育专用地坪漆项目所采用的技术。通过不断优化技术方案，体育专用地坪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育专用地坪漆项目团队将在体育专用地坪漆项目初期识别可能的技术风险，并采取相应的预防和应对措施。通过建立健全的风险评估机制，体育专用地坪漆项目能够在实施过程中及时发现并解决潜在的技术问题，保障体育专用地坪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育专用地坪漆项目中，技术将成为体育专用地坪漆项目成功的有力支持。这一深度剖析揭示了技术管理在体育专用地坪漆项目实施中的关键作用，为体育专用地坪漆项目的技术基础奠定了坚实的基础。</w:t>
      </w:r>
    </w:p>
    <w:p>
      <w:pPr>
        <w:pStyle w:val="Heading2"/>
        <w:ind w:firstLine="560" w:firstLineChars="200"/>
        <w:rPr>
          <w:rFonts w:ascii="仿宋" w:eastAsia="仿宋" w:hAnsi="仿宋" w:cs="仿宋" w:hint="eastAsia"/>
          <w:sz w:val="28"/>
          <w:lang w:eastAsia="zh-CN"/>
        </w:rPr>
      </w:pPr>
      <w:bookmarkStart w:id="4" w:name="_Toc30464"/>
      <w:r>
        <w:rPr>
          <w:rFonts w:ascii="仿宋" w:eastAsia="仿宋" w:hAnsi="仿宋" w:cs="仿宋" w:hint="eastAsia"/>
          <w:sz w:val="28"/>
          <w:lang w:eastAsia="zh-CN"/>
        </w:rPr>
        <w:t>(二)、体育专用地坪漆项目工艺技术设计方案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育专用地坪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育专用地坪漆项目将严格按照相关行业规范要求进行组织。通过有效控制产品质量，体育专用地坪漆项目将致力于为顾客提供优质的体育专用地坪漆项目产品和良好的服务。这体现了体育专用地坪漆项目对于生产活动合规性和质量标准的高度重视，为体育专用地坪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育专用地坪漆项目注重生态效益和清洁生产原则。体育专用地坪漆项目建设将紧密结合地方特色经济发展，与社会经济发展规划和区域环境保护规划方案相协调一致。通过与当地区域自然生态系统的结合，体育专用地坪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育专用地坪漆项目产品具有多样化的客户需求和个性化的特点。因此，体育专用地坪漆项目产品规格品种多样，且单批生产数量较小。为满足这一特点，体育专用地坪漆项目承办单位将建设先进的柔性制造生产线。通过广泛应用柔性制造技术，体育专用地坪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育专用地坪漆项目采用的技术具有较高的技术含量和自动化水平，处于国内先进水平。这一技术选用不仅体现了对生产效率、质量和环境友好性的高标准要求，同时为体育专用地坪漆项目的可持续发展奠定了坚实的基础。</w:t>
      </w:r>
    </w:p>
    <w:p>
      <w:pPr>
        <w:pStyle w:val="Heading2"/>
        <w:ind w:firstLine="560" w:firstLineChars="200"/>
        <w:rPr>
          <w:rFonts w:ascii="仿宋" w:eastAsia="仿宋" w:hAnsi="仿宋" w:cs="仿宋" w:hint="eastAsia"/>
          <w:sz w:val="28"/>
          <w:lang w:eastAsia="zh-CN"/>
        </w:rPr>
      </w:pPr>
      <w:bookmarkStart w:id="5" w:name="_Toc183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为确保体育专用地坪漆项目的高效生产和技术实施，我们制定了一套精心设计的设备选型方案，以满足体育专用地坪漆项目生产、质量和环保的要求。该方案的主要特点如下：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育专用地坪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针对体育专用地坪漆项目产品的多样性和小批量生产的特点，我们将建设柔性制造生产线。通过在设备选型中考虑柔性制造技术，可以灵活应对不同产品规格和生产需求，实现生产线的高度灵活性和适应性。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785"/>
      <w:r>
        <w:rPr>
          <w:rFonts w:ascii="仿宋" w:eastAsia="仿宋" w:hAnsi="仿宋" w:cs="仿宋" w:hint="eastAsia"/>
          <w:sz w:val="28"/>
          <w:lang w:eastAsia="zh-CN"/>
        </w:rPr>
        <w:t>二、体育专用地坪漆项目可持续发展</w:t>
      </w:r>
      <w:bookmarkEnd w:id="6"/>
    </w:p>
    <w:p>
      <w:pPr>
        <w:pStyle w:val="Heading2"/>
        <w:rPr>
          <w:rFonts w:ascii="仿宋" w:eastAsia="仿宋" w:hAnsi="仿宋" w:cs="仿宋" w:hint="eastAsia"/>
          <w:lang w:eastAsia="zh-CN"/>
        </w:rPr>
      </w:pPr>
      <w:bookmarkStart w:id="7" w:name="_Toc2305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专用地坪漆项目中，体育专用地坪漆项目团队着眼于未来，明确了可持续发展的战略方向。制定的具体可持续发展目标包括降低资源使用、采用环保技术、最大化社会效益等。这一步骤不仅有助于体育专用地坪漆项目在环保和社会责任方面达到最高标准，也为未来提供了明确的指引，确保体育专用地坪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可持续实践的融入体育专用地坪漆项目管理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体育专用地坪漆项目管理周期。从体育专用地坪漆项目规划开始，体育专用地坪漆项目团队就考虑了环境和社会的因素。在执行阶段，体育专用地坪漆项目团队积极推动绿色技术的应用，优化资源利用。此外，关注员工的社会责任，通过培训和沟通活动提高员工对可持续发展的认知，使他们能够在日常工作中践行可持续实践。这些举措不仅为体育专用地坪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88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扎根于体育专用地坪漆项目的可持续发展理念，我们深信环保与社会责任是体育专用地坪漆项目成功的关键支柱。在体育专用地坪漆项目的每一步，我们都致力于通过创新和实践，履行对环境和社会的坚定责任。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团队通过引入先进的环保技术、建立高效的废物处理系统以及推动能源节约措施，积极履行环保责任。定期的环保监测和评估确保体育专用地坪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不仅致力于自身可持续发展，还注重对社会的回馈。通过支持社区体育专用地坪漆项目、参与慈善事业、提供培训机会等方式，体育专用地坪漆项目积极履行社会责任。与当地社区建立积极互动，关注员工的工作与生活平衡，以及员工的身心健康，是体育专用地坪漆项目在社会责任层面的关键举措。这样的实践不仅增强了体育专用地坪漆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8954"/>
      <w:r>
        <w:rPr>
          <w:rFonts w:ascii="仿宋" w:eastAsia="仿宋" w:hAnsi="仿宋" w:cs="仿宋" w:hint="eastAsia"/>
          <w:sz w:val="28"/>
          <w:lang w:eastAsia="zh-CN"/>
        </w:rPr>
        <w:t>三、体育专用地坪漆项目土建工程</w:t>
      </w:r>
      <w:bookmarkEnd w:id="9"/>
    </w:p>
    <w:p>
      <w:pPr>
        <w:pStyle w:val="Heading2"/>
        <w:rPr>
          <w:rFonts w:ascii="仿宋" w:eastAsia="仿宋" w:hAnsi="仿宋" w:cs="仿宋" w:hint="eastAsia"/>
          <w:lang w:eastAsia="zh-CN"/>
        </w:rPr>
      </w:pPr>
      <w:bookmarkStart w:id="10" w:name="_Toc1465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在体育专用地坪漆项目的建筑工程设计中，我们将秉承一系列重要的设计原则，以确保体育专用地坪漆项目建筑在功能、美观、可持续性等方面达到最佳效果。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首要原则是确保建筑的功能性得到最大化的发挥。我们将充分理解体育专用地坪漆项目的实际需求，合理布局各个功能区域，保证建筑在满足业务需求的同时，提供高效的工作环境。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在建筑设计中，我们将综合考虑建设和运营成本。通过精细的经济效益分析，确保设计方案在高效利用资源的同时，对体育专用地坪漆项目的长期盈利能力有积极的贡献。</w:t>
      </w:r>
    </w:p>
    <w:p>
      <w:pPr>
        <w:pStyle w:val="Heading2"/>
        <w:ind w:firstLine="560" w:firstLineChars="200"/>
        <w:rPr>
          <w:rFonts w:ascii="仿宋" w:eastAsia="仿宋" w:hAnsi="仿宋" w:cs="仿宋" w:hint="eastAsia"/>
          <w:sz w:val="28"/>
          <w:lang w:eastAsia="zh-CN"/>
        </w:rPr>
      </w:pPr>
      <w:bookmarkStart w:id="11" w:name="_Toc1671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专用地坪漆项目的土建工程设计中，我们将精准设定设计年限，结合体育专用地坪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育专用地坪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01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体育专用地坪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育专用地坪漆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育专用地坪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70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本期工程体育专用地坪漆项目预计总建筑面积XXX平方米，其中：计容建筑面积XXX平方米，计划建筑工程投资XX万元，占体育专用地坪漆项目总投资的XX%。</w:t>
      </w:r>
    </w:p>
    <w:p>
      <w:pPr>
        <w:pStyle w:val="Heading1"/>
        <w:ind w:firstLine="560" w:firstLineChars="200"/>
        <w:rPr>
          <w:rFonts w:ascii="仿宋" w:eastAsia="仿宋" w:hAnsi="仿宋" w:cs="仿宋" w:hint="eastAsia"/>
          <w:sz w:val="28"/>
          <w:lang w:eastAsia="zh-CN"/>
        </w:rPr>
      </w:pPr>
      <w:bookmarkStart w:id="14" w:name="_Toc3114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797"/>
      <w:r>
        <w:rPr>
          <w:rFonts w:ascii="仿宋" w:eastAsia="仿宋" w:hAnsi="仿宋" w:cs="仿宋" w:hint="eastAsia"/>
          <w:lang w:eastAsia="zh-CN"/>
        </w:rPr>
        <w:t>(一)、体育专用地坪漆行业分析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行业一直以来都是市场的关注焦点。行业内的发展趋势、竞争态势以及潜在机会都对体育专用地坪漆项目的推进产生深远的影响。通过深入研究行业的整体概貌，我们将更好地理解行业的核心特征，为体育专用地坪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专用地坪漆行业，技术一直是推动创新和发展的关键因素。我们将对当前技术趋势进行详尽分析，包括但不限于人工智能、大数据应用、先进制造技术等。这有助于体育专用地坪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体育专用地坪漆项目成功的基础。我们将对主要竞争对手进行深入研究，包括其市场份额、产品特点、市场定位等。通过全面了解竞争对手的优势和劣势，体育专用地坪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20"/>
      <w:r>
        <w:rPr>
          <w:rFonts w:ascii="仿宋" w:eastAsia="仿宋" w:hAnsi="仿宋" w:cs="仿宋" w:hint="eastAsia"/>
          <w:sz w:val="28"/>
          <w:lang w:eastAsia="zh-CN"/>
        </w:rPr>
        <w:t>(二)、体育专用地坪漆市场分析预测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体育专用地坪漆市场未来的增长趋势。这包括市场的整体规模、各细分领域的发展趋势等。体育专用地坪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体育专用地坪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体育专用地坪漆项目实施过程中需要充分考虑的因素。我们将对市场风险进行全面评估，包括但不限于政策法规风险、市场竞争风险、技术变革风险等。通过对潜在风险的深入分析，体育专用地坪漆项目可以制定相应的风险缓解策略，降低不确定性对体育专用地坪漆项目的影响。</w:t>
      </w:r>
    </w:p>
    <w:p>
      <w:pPr>
        <w:pStyle w:val="Heading1"/>
        <w:ind w:firstLine="560" w:firstLineChars="200"/>
        <w:rPr>
          <w:rFonts w:ascii="仿宋" w:eastAsia="仿宋" w:hAnsi="仿宋" w:cs="仿宋" w:hint="eastAsia"/>
          <w:sz w:val="28"/>
          <w:lang w:eastAsia="zh-CN"/>
        </w:rPr>
      </w:pPr>
      <w:bookmarkStart w:id="17" w:name="_Toc12677"/>
      <w:r>
        <w:rPr>
          <w:rFonts w:ascii="仿宋" w:eastAsia="仿宋" w:hAnsi="仿宋" w:cs="仿宋" w:hint="eastAsia"/>
          <w:sz w:val="28"/>
          <w:lang w:eastAsia="zh-CN"/>
        </w:rPr>
        <w:t>五、体育专用地坪漆项目建设单位说明</w:t>
      </w:r>
      <w:bookmarkEnd w:id="17"/>
    </w:p>
    <w:p>
      <w:pPr>
        <w:pStyle w:val="Heading2"/>
        <w:rPr>
          <w:rFonts w:ascii="仿宋" w:eastAsia="仿宋" w:hAnsi="仿宋" w:cs="仿宋" w:hint="eastAsia"/>
          <w:lang w:eastAsia="zh-CN"/>
        </w:rPr>
      </w:pPr>
      <w:bookmarkStart w:id="18" w:name="_Toc29681"/>
      <w:r>
        <w:rPr>
          <w:rFonts w:ascii="仿宋" w:eastAsia="仿宋" w:hAnsi="仿宋" w:cs="仿宋" w:hint="eastAsia"/>
          <w:lang w:eastAsia="zh-CN"/>
        </w:rPr>
        <w:t>(一)、体育专用地坪漆项目承办单位基本情况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28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育专用地坪漆项目承办单位的XXXX，我们着眼于实现可持续的经济效益。通过技术创新和解决方案的提供，公司预计在体育专用地坪漆项目执行期间将获得可观的收入增长。这一收入来源主要包括体育专用地坪漆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同时，我们注重成本控制和效率提升，以确保体育专用地坪漆项目的可持续盈利。透过精细的管理和资源优化，公司期望实现体育专用地坪漆项目利润最大化。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育专用地坪漆项目实施进行全面的投资评估，包括体育专用地坪漆项目启动阶段的资金投入和后续运营成本。通过对体育专用地坪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体育专用地坪漆项目实施过程中具备足够的资金流动性，公司将进行详尽的现金流分析。这包括资金需求的合理预测、体育专用地坪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9967"/>
      <w:r>
        <w:rPr>
          <w:rFonts w:ascii="仿宋" w:eastAsia="仿宋" w:hAnsi="仿宋" w:cs="仿宋" w:hint="eastAsia"/>
          <w:sz w:val="28"/>
          <w:lang w:eastAsia="zh-CN"/>
        </w:rPr>
        <w:t>六、体育专用地坪漆项目绩效评估</w:t>
      </w:r>
      <w:bookmarkEnd w:id="20"/>
    </w:p>
    <w:p>
      <w:pPr>
        <w:pStyle w:val="Heading2"/>
        <w:rPr>
          <w:rFonts w:ascii="仿宋" w:eastAsia="仿宋" w:hAnsi="仿宋" w:cs="仿宋" w:hint="eastAsia"/>
          <w:lang w:eastAsia="zh-CN"/>
        </w:rPr>
      </w:pPr>
      <w:bookmarkStart w:id="21" w:name="_Toc1064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体育专用地坪漆项目中，我们设计了一套全面的绩效评估指标，以确保体育专用地坪漆项目的可控和成功交付。这些指标跨足体育专用地坪漆项目目标、成本、进度和质量等多个维度，为我们提供了全面洞察体育专用地坪漆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目标达成率是我们关注的首要指标。我们设定了明确的目标，并通过定期监测和评估，迅速发现并应对潜在的目标偏差。这为体育专用地坪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成本绩效是另一个核心关注点。通过实际成本与预算成本的对比分析，我们深入了解成本差异的原因，及时调整资源分配，保持体育专用地坪漆项目在经济效益方面的合理水平。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专用地坪漆项目进度作为关键的绩效指标之一，得到了精心的关注。我们制定了详细的体育专用地坪漆项目进度计划，并设立了进度符合度指标，确保实际进度与计划进度保持一致。这使我们能够快速发现和解决潜在的进度问题，保持体育专用地坪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专用地坪漆项目绩效的不可或缺的一环。我们引入了一系列的质量标准和客户满意度指标，以确保体育专用地坪漆项目交付的成果在质量上达到或超越预期水平。通过持续监测这些指标，我们努力提升体育专用地坪漆项目整体质量水平，为体育专用地坪漆项目的成功交付提供有力保障。通过这些科学且全面的绩效评估，我们能够更好地引导体育专用地坪漆项目的持续改进，确保体育专用地坪漆项目目标的顺利达成。</w:t>
      </w:r>
    </w:p>
    <w:p>
      <w:pPr>
        <w:pStyle w:val="Heading2"/>
        <w:ind w:firstLine="560" w:firstLineChars="200"/>
        <w:rPr>
          <w:rFonts w:ascii="仿宋" w:eastAsia="仿宋" w:hAnsi="仿宋" w:cs="仿宋" w:hint="eastAsia"/>
          <w:sz w:val="28"/>
          <w:lang w:eastAsia="zh-CN"/>
        </w:rPr>
      </w:pPr>
      <w:bookmarkStart w:id="22" w:name="_Toc28893"/>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绩效评估是体育专用地坪漆项目中的关键环节，为确保体育专用地坪漆项目达到预期目标，我们采用了多层次、多维度的绩效评估方法。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https://d.book118.com/938021071122006024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体育专用地坪漆项目计划设计方案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DB1AD6"/>
    <w:rsid w:val="79DB1A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2107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2024-01-07T02:14:00Z</dcterms:created>
  <dcterms:modified xsi:type="dcterms:W3CDTF">2024-01-07T02:15:06Z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15A72B3192804FC5848D48191E2EC2BB_11</vt:lpwstr>
  </property>
  <property fmtid="{D5CDD505-2E9C-101B-9397-08002B2CF9AE}" pid="3" name="KSOProductBuildVer">
    <vt:lpwstr>2052-12.1.0.16120</vt:lpwstr>
  </property>
</Properties>
</file>