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after="240" w:line="360" w:lineRule="auto"/>
        <w:jc w:val="center"/>
        <w:rPr>
          <w:rFonts w:ascii="Times New Roman" w:eastAsia="黑体" w:hAnsi="Times New Roman" w:cs="Times New Roman"/>
          <w:bCs/>
          <w:color w:val="000000" w:themeColor="text1"/>
          <w:sz w:val="36"/>
          <w:szCs w:val="36"/>
        </w:rPr>
      </w:pP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12687300</wp:posOffset>
            </wp:positionH>
            <wp:positionV relativeFrom="topMargin">
              <wp:posOffset>11798300</wp:posOffset>
            </wp:positionV>
            <wp:extent cx="444500" cy="368300"/>
            <wp:effectExtent l="0" t="0" r="0" b="0"/>
            <wp:wrapNone/>
            <wp:docPr id="100056" name="图片 100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6" name="图片 10005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t>【同步实验课】</w:t>
      </w:r>
      <w:r>
        <w:rPr>
          <w:rFonts w:ascii="Times New Roman" w:eastAsia="黑体" w:hAnsi="Times New Roman" w:cs="Times New Roman"/>
          <w:bCs/>
          <w:color w:val="000000" w:themeColor="text1"/>
          <w:sz w:val="36"/>
          <w:szCs w:val="36"/>
        </w:rPr>
        <w:t>空气中氧气含量的测定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78105</wp:posOffset>
            </wp:positionH>
            <wp:positionV relativeFrom="paragraph">
              <wp:posOffset>88265</wp:posOffset>
            </wp:positionV>
            <wp:extent cx="866775" cy="276225"/>
            <wp:effectExtent l="0" t="0" r="9525" b="9525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color w:val="366091" w:themeColor="accent1" w:themeShade="BF"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o:spid="_x0000_i1025" type="#_x0000_t202" style="width:492pt;height:71.25pt" coordsize="21600,21600">
            <v:stroke joinstyle="round"/>
            <v:textbox>
              <w:txbxContent>
                <w:p>
                  <w:pPr>
                    <w:spacing w:line="360" w:lineRule="auto"/>
                    <w:rPr>
                      <w:b/>
                      <w:sz w:val="24"/>
                    </w:rPr>
                  </w:pPr>
                </w:p>
                <w:p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color w:val="4F81BD" w:themeColor="accent1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4F81BD" w:themeColor="accent1"/>
                      <w:sz w:val="24"/>
                    </w:rPr>
                    <w:t>01实验梳理         02实验点拨           03典例分析</w:t>
                  </w:r>
                </w:p>
                <w:p>
                  <w:pPr>
                    <w:spacing w:line="360" w:lineRule="auto"/>
                    <w:rPr>
                      <w:rFonts w:ascii="Times New Roman" w:hAnsi="Times New Roman" w:cs="Times New Roman"/>
                      <w:b/>
                      <w:color w:val="4F81BD" w:themeColor="accent1"/>
                      <w:sz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4F81BD" w:themeColor="accent1"/>
                      <w:sz w:val="24"/>
                    </w:rPr>
                    <w:t>04对点训练        05真题感悟</w:t>
                  </w:r>
                </w:p>
              </w:txbxContent>
            </v:textbox>
            <w10:anchorlock/>
          </v:shape>
        </w:pict>
      </w: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b/>
        </w:rPr>
      </w:pPr>
    </w:p>
    <w:p>
      <w:pPr>
        <w:pStyle w:val="PlainText"/>
        <w:tabs>
          <w:tab w:val="left" w:pos="3402"/>
        </w:tabs>
        <w:snapToGrid w:val="0"/>
        <w:spacing w:line="360" w:lineRule="auto"/>
        <w:jc w:val="center"/>
        <w:rPr>
          <w:rFonts w:ascii="Times New Roman" w:hAnsi="Times New Roman" w:cs="Times New Roman"/>
          <w:color w:val="C00000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495550" cy="459105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29245" cy="465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Borders>
          <w:top w:val="single" w:sz="12" w:space="0" w:color="366091" w:themeColor="accent1" w:themeShade="BF"/>
          <w:left w:val="single" w:sz="12" w:space="0" w:color="366091" w:themeColor="accent1" w:themeShade="BF"/>
          <w:bottom w:val="single" w:sz="12" w:space="0" w:color="366091" w:themeColor="accent1" w:themeShade="BF"/>
          <w:right w:val="single" w:sz="12" w:space="0" w:color="366091" w:themeColor="accent1" w:themeShade="BF"/>
          <w:insideH w:val="single" w:sz="8" w:space="0" w:color="366091" w:themeColor="accent1" w:themeShade="BF"/>
          <w:insideV w:val="single" w:sz="8" w:space="0" w:color="366091" w:themeColor="accent1" w:themeShade="BF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8527"/>
      </w:tblGrid>
      <w:tr>
        <w:tblPrEx>
          <w:tblW w:w="0" w:type="auto"/>
          <w:tblInd w:w="0" w:type="dxa"/>
          <w:tblBorders>
            <w:top w:val="single" w:sz="12" w:space="0" w:color="366091" w:themeColor="accent1" w:themeShade="BF"/>
            <w:left w:val="single" w:sz="12" w:space="0" w:color="366091" w:themeColor="accent1" w:themeShade="BF"/>
            <w:bottom w:val="single" w:sz="12" w:space="0" w:color="366091" w:themeColor="accent1" w:themeShade="BF"/>
            <w:right w:val="single" w:sz="12" w:space="0" w:color="366091" w:themeColor="accent1" w:themeShade="BF"/>
            <w:insideH w:val="single" w:sz="8" w:space="0" w:color="366091" w:themeColor="accent1" w:themeShade="BF"/>
            <w:insideV w:val="single" w:sz="8" w:space="0" w:color="366091" w:themeColor="accent1" w:themeShade="BF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【实验目的】</w:t>
            </w:r>
          </w:p>
        </w:tc>
        <w:tc>
          <w:tcPr>
            <w:tcW w:w="8527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1．通过实验探究，学会测定空气中氧气含量的实验方法。</w:t>
            </w:r>
          </w:p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>
              <w:rPr>
                <w:rFonts w:ascii="Times New Roman" w:hAnsi="Times New Roman" w:cs="Times New Roman"/>
                <w:szCs w:val="24"/>
              </w:rPr>
              <w:t>．</w:t>
            </w:r>
            <w:r>
              <w:rPr>
                <w:rFonts w:ascii="Times New Roman" w:hAnsi="Times New Roman" w:cs="Times New Roman"/>
              </w:rPr>
              <w:t>通过观看和动手实验，培养学生发现问题能力和实验操作能力。</w:t>
            </w:r>
          </w:p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3．通过实验探究，发现实验的不足之处并能加以改进，培养学生的科学探究思维。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  <w:b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【实验仪器】</w:t>
            </w:r>
          </w:p>
        </w:tc>
        <w:tc>
          <w:tcPr>
            <w:tcW w:w="8527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大集气瓶、酒精灯、燃烧匙、烧杯、弹簧夹、橡皮塞和导管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1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【实验试剂】</w:t>
            </w:r>
          </w:p>
        </w:tc>
        <w:tc>
          <w:tcPr>
            <w:tcW w:w="8527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红磷、蒸馏水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0"/>
        </w:trPr>
        <w:tc>
          <w:tcPr>
            <w:tcW w:w="1441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  <w:color w:val="366091" w:themeColor="accent1" w:themeShade="BF"/>
              </w:rPr>
            </w:pPr>
            <w:r>
              <w:rPr>
                <w:rFonts w:ascii="Times New Roman" w:hAnsi="Times New Roman" w:cs="Times New Roman"/>
                <w:b/>
                <w:color w:val="366091" w:themeColor="accent1" w:themeShade="BF"/>
              </w:rPr>
              <w:t>【实验步骤】</w:t>
            </w:r>
          </w:p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27" w:type="dxa"/>
            <w:vAlign w:val="center"/>
          </w:tcPr>
          <w:tbl>
            <w:tblPr>
              <w:tblStyle w:val="TableNormal"/>
              <w:tblW w:w="8406" w:type="dxa"/>
              <w:tblInd w:w="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976"/>
              <w:gridCol w:w="2430"/>
            </w:tblGrid>
            <w:tr>
              <w:tblPrEx>
                <w:tblW w:w="8406" w:type="dxa"/>
                <w:tblInd w:w="0" w:type="dxa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left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Cs w:val="21"/>
                    </w:rPr>
                    <w:t>（1）按图所示连接装置，并检查装置的气密性；</w:t>
                  </w:r>
                </w:p>
              </w:tc>
              <w:tc>
                <w:tcPr>
                  <w:tcW w:w="243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</w:rPr>
                    <w:drawing>
                      <wp:inline distT="0" distB="0" distL="114300" distR="114300">
                        <wp:extent cx="1161415" cy="1259840"/>
                        <wp:effectExtent l="0" t="0" r="635" b="16510"/>
                        <wp:docPr id="4" name="图片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" name="图片 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61415" cy="12598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>
              <w:tblPrEx>
                <w:tblW w:w="8406" w:type="dxa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left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Cs w:val="21"/>
                    </w:rPr>
                    <w:t>（2）集气瓶中加入少量水，并将水面上方空间分为 5 等份；</w:t>
                  </w:r>
                </w:p>
              </w:tc>
              <w:tc>
                <w:tcPr>
                  <w:tcW w:w="243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</w:p>
              </w:tc>
            </w:tr>
            <w:tr>
              <w:tblPrEx>
                <w:tblW w:w="8406" w:type="dxa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left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Cs w:val="21"/>
                    </w:rPr>
                    <w:t>（3）夹紧弹簧夹，取过量（或足量）红磷于燃烧匙中；</w:t>
                  </w:r>
                </w:p>
              </w:tc>
              <w:tc>
                <w:tcPr>
                  <w:tcW w:w="243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</w:p>
              </w:tc>
            </w:tr>
            <w:tr>
              <w:tblPrEx>
                <w:tblW w:w="8406" w:type="dxa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5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left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Cs w:val="21"/>
                    </w:rPr>
                    <w:t>（4）点燃红磷，立即伸入集气瓶中，塞紧瓶塞；</w:t>
                  </w:r>
                </w:p>
              </w:tc>
              <w:tc>
                <w:tcPr>
                  <w:tcW w:w="243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</w:p>
              </w:tc>
            </w:tr>
            <w:tr>
              <w:tblPrEx>
                <w:tblW w:w="8406" w:type="dxa"/>
                <w:tblInd w:w="0" w:type="dxa"/>
                <w:tblLayout w:type="fixed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6"/>
              </w:trPr>
              <w:tc>
                <w:tcPr>
                  <w:tcW w:w="59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left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/>
                      <w:szCs w:val="21"/>
                    </w:rPr>
                    <w:t>（5）红磷熄灭并冷却后，再打开弹簧夹。</w:t>
                  </w:r>
                </w:p>
              </w:tc>
              <w:tc>
                <w:tcPr>
                  <w:tcW w:w="243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  <w:tl2br w:val="nil"/>
                    <w:tr2bl w:val="nil"/>
                  </w:tcBorders>
                  <w:noWrap/>
                  <w:vAlign w:val="center"/>
                </w:tcPr>
                <w:p>
                  <w:pPr>
                    <w:spacing w:line="360" w:lineRule="auto"/>
                    <w:jc w:val="center"/>
                    <w:rPr>
                      <w:rFonts w:ascii="Times New Roman" w:hAnsi="Times New Roman" w:cs="Times New Roman"/>
                      <w:szCs w:val="21"/>
                    </w:rPr>
                  </w:pPr>
                </w:p>
              </w:tc>
            </w:tr>
          </w:tbl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/>
        </w:trPr>
        <w:tc>
          <w:tcPr>
            <w:tcW w:w="1441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color w:val="366091"/>
              </w:rPr>
              <w:t>【实验现象】</w:t>
            </w:r>
          </w:p>
        </w:tc>
        <w:tc>
          <w:tcPr>
            <w:tcW w:w="8527" w:type="dxa"/>
            <w:vAlign w:val="center"/>
          </w:tcPr>
          <w:p>
            <w:pPr>
              <w:tabs>
                <w:tab w:val="left" w:pos="705"/>
              </w:tabs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（1）红磷燃烧产生</w:t>
            </w:r>
            <w:r>
              <w:rPr>
                <w:rFonts w:ascii="Times New Roman" w:hAnsi="Times New Roman" w:cs="Times New Roman"/>
                <w:color w:val="FF0000"/>
                <w:u w:val="single"/>
              </w:rPr>
              <w:t>大量白烟</w:t>
            </w:r>
            <w:r>
              <w:rPr>
                <w:rFonts w:ascii="Times New Roman" w:hAnsi="Times New Roman" w:cs="Times New Roman"/>
              </w:rPr>
              <w:t>；</w:t>
            </w:r>
          </w:p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Cs w:val="24"/>
              </w:rPr>
              <w:t>（2）冷却后打开止水夹，烧杯中的水</w:t>
            </w:r>
            <w:r>
              <w:rPr>
                <w:rFonts w:ascii="Times New Roman" w:hAnsi="Times New Roman" w:cs="Times New Roman"/>
                <w:color w:val="FF0000"/>
                <w:szCs w:val="24"/>
                <w:u w:val="single"/>
              </w:rPr>
              <w:t>一部分沿导管流入集气瓶中</w:t>
            </w:r>
            <w:r>
              <w:rPr>
                <w:rFonts w:ascii="Times New Roman" w:hAnsi="Times New Roman" w:cs="Times New Roman"/>
                <w:szCs w:val="24"/>
              </w:rPr>
              <w:t>，瓶内液面上升约</w:t>
            </w:r>
            <w:r>
              <w:rPr>
                <w:rFonts w:ascii="Times New Roman" w:hAnsi="Times New Roman" w:cs="Times New Roman"/>
                <w:color w:val="FF0000"/>
                <w:szCs w:val="24"/>
                <w:u w:val="single"/>
              </w:rPr>
              <w:t>1/5</w:t>
            </w:r>
            <w:r>
              <w:rPr>
                <w:rFonts w:ascii="Times New Roman" w:hAnsi="Times New Roman" w:cs="Times New Roman"/>
                <w:szCs w:val="24"/>
              </w:rPr>
              <w:t>。</w:t>
            </w:r>
          </w:p>
        </w:tc>
      </w:tr>
      <w:tr>
        <w:tblPrEx>
          <w:tblW w:w="0" w:type="auto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/>
        </w:trPr>
        <w:tc>
          <w:tcPr>
            <w:tcW w:w="1441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jc w:val="center"/>
              <w:rPr>
                <w:rFonts w:ascii="Times New Roman" w:hAnsi="Times New Roman" w:cs="Times New Roman"/>
                <w:b/>
                <w:color w:val="366091"/>
              </w:rPr>
            </w:pPr>
            <w:r>
              <w:rPr>
                <w:rFonts w:ascii="Times New Roman" w:hAnsi="Times New Roman" w:cs="Times New Roman"/>
                <w:b/>
                <w:color w:val="366091"/>
              </w:rPr>
              <w:t>【实验结论】</w:t>
            </w:r>
          </w:p>
        </w:tc>
        <w:tc>
          <w:tcPr>
            <w:tcW w:w="8527" w:type="dxa"/>
            <w:vAlign w:val="center"/>
          </w:tcPr>
          <w:p>
            <w:pPr>
              <w:pStyle w:val="PlainText"/>
              <w:tabs>
                <w:tab w:val="left" w:pos="3402"/>
              </w:tabs>
              <w:snapToGrid w:val="0"/>
              <w:spacing w:line="360" w:lineRule="auto"/>
              <w:jc w:val="left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/>
                <w:szCs w:val="24"/>
              </w:rPr>
              <w:t>空气中氧气约占空气总体积的</w:t>
            </w:r>
            <w:r>
              <w:rPr>
                <w:rFonts w:ascii="Times New Roman" w:eastAsia="宋体" w:hAnsi="Times New Roman" w:cs="Times New Roman"/>
                <w:color w:val="FF0000"/>
                <w:szCs w:val="24"/>
                <w:u w:val="single"/>
              </w:rPr>
              <w:t>1/5</w:t>
            </w:r>
            <w:r>
              <w:rPr>
                <w:rFonts w:ascii="Times New Roman" w:eastAsia="宋体" w:hAnsi="Times New Roman" w:cs="Times New Roman"/>
                <w:szCs w:val="24"/>
              </w:rPr>
              <w:t>。</w:t>
            </w:r>
          </w:p>
        </w:tc>
      </w:tr>
    </w:tbl>
    <w:p>
      <w:pPr>
        <w:spacing w:line="360" w:lineRule="auto"/>
        <w:contextualSpacing/>
        <w:jc w:val="center"/>
        <w:rPr>
          <w:rFonts w:ascii="Times New Roman" w:hAnsi="Times New Roman" w:cs="Times New Roman"/>
          <w:szCs w:val="21"/>
        </w:rPr>
      </w:pPr>
    </w:p>
    <w:p>
      <w:pPr>
        <w:spacing w:line="360" w:lineRule="auto"/>
        <w:contextualSpacing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2524125" cy="44069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55389" cy="44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contextualSpacing/>
        <w:jc w:val="left"/>
        <w:rPr>
          <w:rFonts w:ascii="Times New Roman" w:hAnsi="Times New Roman" w:cs="Times New Roman"/>
          <w:b/>
          <w:color w:val="366091" w:themeColor="accent1" w:themeShade="BF"/>
          <w:szCs w:val="21"/>
        </w:rPr>
      </w:pPr>
      <w:r>
        <w:rPr>
          <w:rFonts w:ascii="Times New Roman" w:hAnsi="Times New Roman" w:cs="Times New Roman"/>
          <w:b/>
          <w:color w:val="366091" w:themeColor="accent1" w:themeShade="BF"/>
          <w:szCs w:val="21"/>
          <w:highlight w:val="yellow"/>
        </w:rPr>
        <w:t xml:space="preserve">1. </w:t>
      </w:r>
      <w:r>
        <w:rPr>
          <w:rFonts w:ascii="Times New Roman" w:hAnsi="Times New Roman" w:cs="Times New Roman"/>
          <w:b/>
          <w:color w:val="366091" w:themeColor="accent1" w:themeShade="BF"/>
          <w:highlight w:val="yellow"/>
        </w:rPr>
        <w:t>实验原理</w:t>
      </w:r>
    </w:p>
    <w:p>
      <w:pPr>
        <w:tabs>
          <w:tab w:val="left" w:pos="705"/>
        </w:tabs>
        <w:spacing w:line="360" w:lineRule="auto"/>
        <w:ind w:firstLine="420" w:firstLineChars="200"/>
        <w:jc w:val="left"/>
        <w:rPr>
          <w:rFonts w:ascii="Times New Roman" w:eastAsia="宋体" w:hAnsi="Times New Roman" w:cs="Times New Roman"/>
          <w:bCs/>
          <w:color w:val="000000"/>
        </w:rPr>
        <w:sectPr>
          <w:pgSz w:w="11906" w:h="16838"/>
          <w:pgMar w:top="1134" w:right="1701" w:bottom="1134" w:left="1701" w:header="708" w:footer="708" w:gutter="0"/>
          <w:cols w:num="1" w:space="708"/>
          <w:docGrid w:linePitch="286" w:charSpace="0"/>
        </w:sectPr>
      </w:pPr>
      <w:r>
        <w:rPr>
          <w:rFonts w:ascii="Times New Roman" w:eastAsia="宋体" w:hAnsi="Times New Roman" w:cs="Times New Roman"/>
          <w:bCs/>
          <w:color w:val="000000"/>
        </w:rPr>
        <w:t>（1）红磷燃烧消耗集气瓶内的</w:t>
      </w:r>
      <w:r>
        <w:rPr>
          <w:rFonts w:ascii="Times New Roman" w:eastAsia="宋体" w:hAnsi="Times New Roman" w:cs="Times New Roman"/>
          <w:bCs/>
          <w:color w:val="FF0000"/>
          <w:u w:val="single"/>
        </w:rPr>
        <w:t>氧气</w:t>
      </w:r>
    </w:p>
    <w:p>
      <w:pPr>
        <w:tabs>
          <w:tab w:val="left" w:pos="705"/>
        </w:tabs>
        <w:spacing w:line="360" w:lineRule="auto"/>
        <w:ind w:firstLine="420" w:firstLineChars="200"/>
        <w:jc w:val="left"/>
        <w:rPr>
          <w:rFonts w:ascii="Times New Roman" w:eastAsia="宋体" w:hAnsi="Times New Roman" w:cs="Times New Roman"/>
          <w:bCs/>
          <w:color w:val="000000"/>
        </w:rPr>
      </w:pPr>
      <w:r>
        <w:rPr>
          <w:rFonts w:ascii="Times New Roman" w:eastAsia="宋体" w:hAnsi="Times New Roman" w:cs="Times New Roman"/>
          <w:bCs/>
          <w:color w:val="000000"/>
        </w:rPr>
        <w:t>，瓶内气体减少，压强减小，冷却后打开止水夹，在大气压的作用下，烧杯内的水进入集气瓶中，进入水的体积即为瓶内消耗</w:t>
      </w:r>
      <w:r>
        <w:rPr>
          <w:rFonts w:ascii="Times New Roman" w:eastAsia="宋体" w:hAnsi="Times New Roman" w:cs="Times New Roman"/>
          <w:bCs/>
          <w:color w:val="FF0000"/>
          <w:u w:val="single"/>
        </w:rPr>
        <w:t>氧气</w:t>
      </w:r>
      <w:r>
        <w:rPr>
          <w:rFonts w:ascii="Times New Roman" w:eastAsia="宋体" w:hAnsi="Times New Roman" w:cs="Times New Roman"/>
          <w:bCs/>
          <w:color w:val="000000"/>
        </w:rPr>
        <w:t>的体积。</w:t>
      </w:r>
    </w:p>
    <w:p>
      <w:pPr>
        <w:pStyle w:val="PlainText"/>
        <w:adjustRightInd w:val="0"/>
        <w:snapToGrid w:val="0"/>
        <w:spacing w:line="360" w:lineRule="auto"/>
        <w:ind w:firstLine="420" w:firstLineChars="200"/>
        <w:rPr>
          <w:rFonts w:ascii="Times New Roman" w:eastAsia="宋体" w:hAnsi="Times New Roman" w:cs="Times New Roman"/>
          <w:kern w:val="0"/>
        </w:rPr>
      </w:pPr>
      <w:r>
        <w:rPr>
          <w:rFonts w:ascii="Times New Roman" w:hAnsi="Times New Roman" w:cs="Times New Roman"/>
        </w:rPr>
        <w:t>（2）</w:t>
      </w:r>
      <w:r>
        <w:rPr>
          <w:rFonts w:ascii="Times New Roman" w:eastAsia="宋体" w:hAnsi="Times New Roman" w:cs="Times New Roman"/>
          <w:kern w:val="0"/>
        </w:rPr>
        <w:t>反应的文字表达式：</w:t>
      </w:r>
      <w:r>
        <w:rPr>
          <w:rFonts w:ascii="Times New Roman" w:eastAsia="宋体" w:hAnsi="Times New Roman" w:cs="Times New Roman"/>
          <w:color w:val="FF0000"/>
          <w:u w:val="single"/>
        </w:rPr>
        <w:t>磷+氧气</w:t>
      </w:r>
      <m:oMath>
        <m:box>
          <m:boxPr>
            <m:opEmu/>
            <m:ctrlPr>
              <w:rPr>
                <w:rFonts w:ascii="Cambria Math" w:eastAsia="宋体" w:hAnsi="Cambria Math" w:cs="Times New Roman"/>
                <w:color w:val="FF0000"/>
                <w:u w:val="single"/>
              </w:rPr>
            </m:ctrlPr>
          </m:boxPr>
          <m:e>
            <m:ctrlPr>
              <w:rPr>
                <w:rFonts w:ascii="Cambria Math" w:eastAsia="宋体" w:hAnsi="Cambria Math" w:cs="Times New Roman"/>
                <w:color w:val="FF0000"/>
                <w:u w:val="single"/>
              </w:rPr>
            </m:ctrlPr>
            <m:groupChr>
              <m:groupChrPr>
                <m:chr m:val="→"/>
                <m:vertJc/>
                <m:ctrlPr>
                  <w:rPr>
                    <w:rFonts w:ascii="Cambria Math" w:eastAsia="宋体" w:hAnsi="Cambria Math" w:cs="Times New Roman"/>
                    <w:color w:val="FF0000"/>
                    <w:u w:val="single"/>
                  </w:rPr>
                </m:ctrlPr>
              </m:groupChrPr>
              <m:e>
                <m:ctrlPr>
                  <w:rPr>
                    <w:rFonts w:ascii="Cambria Math" w:eastAsia="宋体" w:hAnsi="Cambria Math" w:cs="Times New Roman"/>
                    <w:color w:val="FF0000"/>
                    <w:u w:val="single"/>
                  </w:rPr>
                </m:ctrlPr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color w:val="FF0000"/>
                    <w:u w:val="single"/>
                  </w:rPr>
                  <m:t>点燃</m:t>
                </m:r>
              </m:e>
            </m:groupChr>
          </m:e>
        </m:box>
      </m:oMath>
      <w:r>
        <w:rPr>
          <w:rFonts w:ascii="Times New Roman" w:eastAsia="宋体" w:hAnsi="Times New Roman" w:cs="Times New Roman"/>
          <w:color w:val="FF0000"/>
          <w:u w:val="single"/>
        </w:rPr>
        <w:t>五氧化二磷</w:t>
      </w:r>
      <w:r>
        <w:rPr>
          <w:rFonts w:ascii="Times New Roman" w:eastAsia="宋体" w:hAnsi="Times New Roman" w:cs="Times New Roman"/>
          <w:kern w:val="0"/>
        </w:rPr>
        <w:t>。</w:t>
      </w:r>
    </w:p>
    <w:p>
      <w:pPr>
        <w:pStyle w:val="PlainText"/>
        <w:spacing w:line="360" w:lineRule="auto"/>
        <w:ind w:left="389" w:hanging="105" w:leftChars="135" w:hangingChars="50"/>
        <w:rPr>
          <w:rFonts w:ascii="Times New Roman" w:hAnsi="Times New Roman" w:cs="Times New Roman"/>
          <w:b/>
          <w:color w:val="0070C0"/>
        </w:rPr>
      </w:pPr>
      <w:r>
        <w:rPr>
          <w:rFonts w:ascii="Times New Roman" w:hAnsi="Times New Roman" w:cs="Times New Roman"/>
          <w:b/>
          <w:color w:val="0070C0"/>
        </w:rPr>
        <w:t>【注意】</w:t>
      </w:r>
    </w:p>
    <w:p>
      <w:pPr>
        <w:tabs>
          <w:tab w:val="left" w:pos="705"/>
        </w:tabs>
        <w:spacing w:line="360" w:lineRule="auto"/>
        <w:ind w:firstLine="420" w:firstLineChars="200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（1）此实验对实验药品的要求：</w:t>
      </w:r>
      <w:r>
        <w:rPr>
          <w:rFonts w:ascii="Times New Roman" w:eastAsia="宋体" w:hAnsi="Times New Roman" w:cs="Times New Roman"/>
          <w:color w:val="FF0000"/>
          <w:u w:val="single"/>
        </w:rPr>
        <w:t>只能消耗空气中的氧气，燃烧的产物不能是气体</w:t>
      </w:r>
      <w:r>
        <w:rPr>
          <w:rFonts w:ascii="Times New Roman" w:eastAsia="宋体" w:hAnsi="Times New Roman" w:cs="Times New Roman"/>
        </w:rPr>
        <w:t>。</w:t>
      </w:r>
    </w:p>
    <w:p>
      <w:pPr>
        <w:tabs>
          <w:tab w:val="left" w:pos="705"/>
        </w:tabs>
        <w:spacing w:line="360" w:lineRule="auto"/>
        <w:ind w:firstLine="420" w:firstLineChars="200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（2）实验开始时，预先在集气瓶里放入少量水的目的是；</w:t>
      </w:r>
    </w:p>
    <w:p>
      <w:pPr>
        <w:tabs>
          <w:tab w:val="left" w:pos="705"/>
        </w:tabs>
        <w:spacing w:line="360" w:lineRule="auto"/>
        <w:ind w:firstLine="420" w:firstLineChars="200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fldChar w:fldCharType="begin"/>
      </w:r>
      <w:r>
        <w:rPr>
          <w:rFonts w:ascii="Times New Roman" w:eastAsia="宋体" w:hAnsi="Times New Roman" w:cs="Times New Roman"/>
        </w:rPr>
        <w:instrText xml:space="preserve"> = 1 \* GB3 \* MERGEFORMAT </w:instrText>
      </w:r>
      <w:r>
        <w:rPr>
          <w:rFonts w:ascii="Times New Roman" w:eastAsia="宋体" w:hAnsi="Times New Roman" w:cs="Times New Roman"/>
        </w:rPr>
        <w:fldChar w:fldCharType="separate"/>
      </w:r>
      <w:r>
        <w:rPr>
          <w:rFonts w:ascii="Times New Roman" w:eastAsia="宋体" w:hAnsi="Times New Roman" w:cs="Times New Roman"/>
          <w:szCs w:val="22"/>
        </w:rPr>
        <w:t>①</w:t>
      </w:r>
      <w:r>
        <w:rPr>
          <w:rFonts w:ascii="Times New Roman" w:eastAsia="宋体" w:hAnsi="Times New Roman" w:cs="Times New Roman"/>
        </w:rPr>
        <w:fldChar w:fldCharType="end"/>
      </w:r>
      <w:r>
        <w:rPr>
          <w:rFonts w:ascii="Times New Roman" w:eastAsia="宋体" w:hAnsi="Times New Roman" w:cs="Times New Roman"/>
          <w:color w:val="000000" w:themeColor="text1"/>
        </w:rPr>
        <w:t>吸收</w:t>
      </w:r>
      <w:r>
        <w:rPr>
          <w:rFonts w:ascii="Times New Roman" w:eastAsia="宋体" w:hAnsi="Times New Roman" w:cs="Times New Roman"/>
          <w:color w:val="FF0000"/>
          <w:u w:val="single"/>
        </w:rPr>
        <w:t>热量</w:t>
      </w:r>
      <w:r>
        <w:rPr>
          <w:rFonts w:ascii="Times New Roman" w:eastAsia="宋体" w:hAnsi="Times New Roman" w:cs="Times New Roman"/>
          <w:color w:val="000000" w:themeColor="text1"/>
        </w:rPr>
        <w:t>，有利于</w:t>
      </w:r>
      <w:r>
        <w:rPr>
          <w:rFonts w:ascii="Times New Roman" w:eastAsia="宋体" w:hAnsi="Times New Roman" w:cs="Times New Roman"/>
          <w:color w:val="FF0000"/>
          <w:u w:val="single"/>
        </w:rPr>
        <w:t>降低温度</w:t>
      </w:r>
      <w:r>
        <w:rPr>
          <w:rFonts w:ascii="Times New Roman" w:eastAsia="宋体" w:hAnsi="Times New Roman" w:cs="Times New Roman"/>
        </w:rPr>
        <w:t>；</w:t>
      </w:r>
    </w:p>
    <w:p>
      <w:pPr>
        <w:tabs>
          <w:tab w:val="left" w:pos="705"/>
        </w:tabs>
        <w:spacing w:line="360" w:lineRule="auto"/>
        <w:ind w:firstLine="420" w:firstLineChars="200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fldChar w:fldCharType="begin"/>
      </w:r>
      <w:r>
        <w:rPr>
          <w:rFonts w:ascii="Times New Roman" w:eastAsia="宋体" w:hAnsi="Times New Roman" w:cs="Times New Roman"/>
        </w:rPr>
        <w:instrText xml:space="preserve"> = 2 \* GB3 \* MERGEFORMAT </w:instrText>
      </w:r>
      <w:r>
        <w:rPr>
          <w:rFonts w:ascii="Times New Roman" w:eastAsia="宋体" w:hAnsi="Times New Roman" w:cs="Times New Roman"/>
        </w:rPr>
        <w:fldChar w:fldCharType="separate"/>
      </w:r>
      <w:r>
        <w:rPr>
          <w:rFonts w:ascii="Times New Roman" w:eastAsia="宋体" w:hAnsi="Times New Roman" w:cs="Times New Roman"/>
          <w:szCs w:val="22"/>
        </w:rPr>
        <w:t>②</w:t>
      </w:r>
      <w:r>
        <w:rPr>
          <w:rFonts w:ascii="Times New Roman" w:eastAsia="宋体" w:hAnsi="Times New Roman" w:cs="Times New Roman"/>
        </w:rPr>
        <w:fldChar w:fldCharType="end"/>
      </w:r>
      <w:r>
        <w:rPr>
          <w:rFonts w:ascii="Times New Roman" w:eastAsia="宋体" w:hAnsi="Times New Roman" w:cs="Times New Roman"/>
          <w:color w:val="000000" w:themeColor="text1"/>
        </w:rPr>
        <w:t>吸收</w:t>
      </w:r>
      <w:r>
        <w:rPr>
          <w:rFonts w:ascii="Times New Roman" w:eastAsia="宋体" w:hAnsi="Times New Roman" w:cs="Times New Roman"/>
          <w:color w:val="FF0000"/>
          <w:u w:val="single"/>
        </w:rPr>
        <w:t>生成的白烟</w:t>
      </w:r>
      <w:r>
        <w:rPr>
          <w:rFonts w:ascii="Times New Roman" w:eastAsia="宋体" w:hAnsi="Times New Roman" w:cs="Times New Roman"/>
          <w:color w:val="000000" w:themeColor="text1"/>
        </w:rPr>
        <w:t>，防止</w:t>
      </w:r>
      <w:r>
        <w:rPr>
          <w:rFonts w:ascii="Times New Roman" w:eastAsia="宋体" w:hAnsi="Times New Roman" w:cs="Times New Roman"/>
          <w:color w:val="FF0000"/>
          <w:u w:val="single"/>
        </w:rPr>
        <w:t>污染空气</w:t>
      </w:r>
      <w:r>
        <w:rPr>
          <w:rFonts w:ascii="Times New Roman" w:eastAsia="宋体" w:hAnsi="Times New Roman" w:cs="Times New Roman"/>
        </w:rPr>
        <w:t>。</w:t>
      </w:r>
    </w:p>
    <w:p>
      <w:pPr>
        <w:snapToGrid w:val="0"/>
        <w:spacing w:line="360" w:lineRule="auto"/>
        <w:ind w:firstLine="420" w:firstLineChars="200"/>
        <w:rPr>
          <w:rFonts w:ascii="Times New Roman" w:eastAsia="宋体" w:hAnsi="Times New Roman" w:cs="Times New Roman"/>
          <w:bCs/>
          <w:color w:val="000000"/>
          <w:szCs w:val="21"/>
        </w:rPr>
      </w:pPr>
      <w:r>
        <w:rPr>
          <w:rFonts w:ascii="Times New Roman" w:eastAsia="宋体" w:hAnsi="Times New Roman" w:cs="Times New Roman"/>
          <w:bCs/>
          <w:color w:val="000000"/>
          <w:szCs w:val="21"/>
        </w:rPr>
        <w:t>（3）倒吸进集气瓶的水不能充满整个集气瓶的原因：</w:t>
      </w:r>
      <w:r>
        <w:rPr>
          <w:rFonts w:ascii="Times New Roman" w:eastAsia="宋体" w:hAnsi="Times New Roman" w:cs="Times New Roman"/>
          <w:bCs/>
          <w:color w:val="FF0000"/>
          <w:szCs w:val="21"/>
          <w:u w:val="single"/>
        </w:rPr>
        <w:t>空气中的其他气体不与红磷反应且不溶于水</w:t>
      </w:r>
      <w:r>
        <w:rPr>
          <w:rFonts w:ascii="Times New Roman" w:eastAsia="宋体" w:hAnsi="Times New Roman" w:cs="Times New Roman"/>
          <w:bCs/>
          <w:color w:val="000000"/>
          <w:szCs w:val="21"/>
        </w:rPr>
        <w:t>。</w:t>
      </w:r>
    </w:p>
    <w:p>
      <w:pPr>
        <w:snapToGrid w:val="0"/>
        <w:spacing w:line="360" w:lineRule="auto"/>
        <w:ind w:firstLine="420" w:firstLineChars="200"/>
        <w:rPr>
          <w:rFonts w:ascii="Times New Roman" w:eastAsia="宋体" w:hAnsi="Times New Roman" w:cs="Times New Roman"/>
          <w:bCs/>
          <w:color w:val="000000"/>
          <w:szCs w:val="21"/>
        </w:rPr>
      </w:pPr>
      <w:r>
        <w:rPr>
          <w:rFonts w:ascii="Times New Roman" w:eastAsia="宋体" w:hAnsi="Times New Roman" w:cs="Times New Roman"/>
          <w:bCs/>
          <w:color w:val="000000"/>
          <w:szCs w:val="21"/>
        </w:rPr>
        <w:t>（4）集气瓶内剩余气体的性质：</w:t>
      </w:r>
    </w:p>
    <w:p>
      <w:pPr>
        <w:snapToGrid w:val="0"/>
        <w:spacing w:line="360" w:lineRule="auto"/>
        <w:ind w:firstLine="420" w:firstLineChars="200"/>
        <w:rPr>
          <w:rFonts w:ascii="Times New Roman" w:eastAsia="宋体" w:hAnsi="Times New Roman" w:cs="Times New Roman"/>
          <w:bCs/>
          <w:color w:val="000000"/>
          <w:szCs w:val="21"/>
        </w:rPr>
      </w:pPr>
      <w:r>
        <w:rPr>
          <w:rFonts w:ascii="Times New Roman" w:eastAsia="宋体" w:hAnsi="Times New Roman" w:cs="Times New Roman"/>
        </w:rPr>
        <w:fldChar w:fldCharType="begin"/>
      </w:r>
      <w:r>
        <w:rPr>
          <w:rFonts w:ascii="Times New Roman" w:eastAsia="宋体" w:hAnsi="Times New Roman" w:cs="Times New Roman"/>
        </w:rPr>
        <w:instrText xml:space="preserve"> = 1 \* GB3 \* MERGEFORMAT </w:instrText>
      </w:r>
      <w:r>
        <w:rPr>
          <w:rFonts w:ascii="Times New Roman" w:eastAsia="宋体" w:hAnsi="Times New Roman" w:cs="Times New Roman"/>
        </w:rPr>
        <w:fldChar w:fldCharType="separate"/>
      </w:r>
      <w:r>
        <w:rPr>
          <w:rFonts w:ascii="Times New Roman" w:eastAsia="宋体" w:hAnsi="Times New Roman" w:cs="Times New Roman"/>
          <w:szCs w:val="22"/>
        </w:rPr>
        <w:t>①</w:t>
      </w:r>
      <w:r>
        <w:rPr>
          <w:rFonts w:ascii="Times New Roman" w:eastAsia="宋体" w:hAnsi="Times New Roman" w:cs="Times New Roman"/>
        </w:rPr>
        <w:fldChar w:fldCharType="end"/>
      </w:r>
      <w:r>
        <w:rPr>
          <w:rFonts w:ascii="Times New Roman" w:eastAsia="宋体" w:hAnsi="Times New Roman" w:cs="Times New Roman"/>
          <w:bCs/>
          <w:color w:val="000000"/>
          <w:szCs w:val="21"/>
        </w:rPr>
        <w:t>物理性质：</w:t>
      </w:r>
      <w:r>
        <w:rPr>
          <w:rFonts w:ascii="Times New Roman" w:eastAsia="宋体" w:hAnsi="Times New Roman" w:cs="Times New Roman"/>
          <w:bCs/>
          <w:color w:val="FF0000"/>
          <w:szCs w:val="21"/>
          <w:u w:val="single"/>
        </w:rPr>
        <w:t>无色无味的气体，难溶于水</w:t>
      </w:r>
      <w:r>
        <w:rPr>
          <w:rFonts w:ascii="Times New Roman" w:eastAsia="宋体" w:hAnsi="Times New Roman" w:cs="Times New Roman"/>
          <w:bCs/>
          <w:color w:val="000000"/>
          <w:szCs w:val="21"/>
        </w:rPr>
        <w:t>；</w:t>
      </w:r>
    </w:p>
    <w:p>
      <w:pPr>
        <w:snapToGrid w:val="0"/>
        <w:spacing w:line="360" w:lineRule="auto"/>
        <w:ind w:firstLine="420" w:firstLineChars="200"/>
        <w:rPr>
          <w:rFonts w:ascii="Times New Roman" w:eastAsia="宋体" w:hAnsi="Times New Roman" w:cs="Times New Roman"/>
          <w:bCs/>
          <w:color w:val="000000"/>
          <w:szCs w:val="21"/>
        </w:rPr>
      </w:pPr>
      <w:r>
        <w:rPr>
          <w:rFonts w:ascii="Times New Roman" w:eastAsia="宋体" w:hAnsi="Times New Roman" w:cs="Times New Roman"/>
        </w:rPr>
        <w:fldChar w:fldCharType="begin"/>
      </w:r>
      <w:r>
        <w:rPr>
          <w:rFonts w:ascii="Times New Roman" w:eastAsia="宋体" w:hAnsi="Times New Roman" w:cs="Times New Roman"/>
        </w:rPr>
        <w:instrText xml:space="preserve"> = 2 \* GB3 \* MERGEFORMAT </w:instrText>
      </w:r>
      <w:r>
        <w:rPr>
          <w:rFonts w:ascii="Times New Roman" w:eastAsia="宋体" w:hAnsi="Times New Roman" w:cs="Times New Roman"/>
        </w:rPr>
        <w:fldChar w:fldCharType="separate"/>
      </w:r>
      <w:r>
        <w:rPr>
          <w:rFonts w:ascii="Times New Roman" w:eastAsia="宋体" w:hAnsi="Times New Roman" w:cs="Times New Roman"/>
          <w:szCs w:val="22"/>
        </w:rPr>
        <w:t>②</w:t>
      </w:r>
      <w:r>
        <w:rPr>
          <w:rFonts w:ascii="Times New Roman" w:eastAsia="宋体" w:hAnsi="Times New Roman" w:cs="Times New Roman"/>
        </w:rPr>
        <w:fldChar w:fldCharType="end"/>
      </w:r>
      <w:r>
        <w:rPr>
          <w:rFonts w:ascii="Times New Roman" w:eastAsia="宋体" w:hAnsi="Times New Roman" w:cs="Times New Roman"/>
          <w:bCs/>
          <w:color w:val="000000"/>
          <w:szCs w:val="21"/>
        </w:rPr>
        <w:t>化学性质：</w:t>
      </w:r>
      <w:r>
        <w:rPr>
          <w:rFonts w:ascii="Times New Roman" w:eastAsia="宋体" w:hAnsi="Times New Roman" w:cs="Times New Roman"/>
          <w:bCs/>
          <w:color w:val="FF0000"/>
          <w:szCs w:val="21"/>
          <w:u w:val="single"/>
        </w:rPr>
        <w:t>不能燃烧也不支持燃烧</w:t>
      </w:r>
      <w:r>
        <w:rPr>
          <w:rFonts w:ascii="Times New Roman" w:eastAsia="宋体" w:hAnsi="Times New Roman" w:cs="Times New Roman"/>
          <w:bCs/>
          <w:color w:val="000000"/>
          <w:szCs w:val="21"/>
        </w:rPr>
        <w:t>。</w:t>
      </w:r>
    </w:p>
    <w:p>
      <w:pPr>
        <w:spacing w:line="360" w:lineRule="auto"/>
        <w:contextualSpacing/>
        <w:jc w:val="left"/>
        <w:rPr>
          <w:rFonts w:ascii="Times New Roman" w:hAnsi="Times New Roman" w:cs="Times New Roman"/>
          <w:b/>
          <w:color w:val="366091" w:themeColor="accent1" w:themeShade="BF"/>
          <w:highlight w:val="yellow"/>
        </w:rPr>
      </w:pPr>
      <w:r>
        <w:rPr>
          <w:rFonts w:ascii="Times New Roman" w:hAnsi="Times New Roman" w:cs="Times New Roman"/>
          <w:b/>
          <w:color w:val="366091" w:themeColor="accent1" w:themeShade="BF"/>
          <w:szCs w:val="21"/>
          <w:highlight w:val="yellow"/>
        </w:rPr>
        <w:t xml:space="preserve">2. </w:t>
      </w:r>
      <w:r>
        <w:rPr>
          <w:rFonts w:ascii="Times New Roman" w:hAnsi="Times New Roman" w:cs="Times New Roman" w:hint="eastAsia"/>
          <w:b/>
          <w:color w:val="366091" w:themeColor="accent1" w:themeShade="BF"/>
          <w:szCs w:val="21"/>
          <w:highlight w:val="yellow"/>
        </w:rPr>
        <w:t>实验</w:t>
      </w:r>
      <w:r>
        <w:rPr>
          <w:rFonts w:ascii="Times New Roman" w:hAnsi="Times New Roman" w:cs="Times New Roman"/>
          <w:b/>
          <w:color w:val="366091" w:themeColor="accent1" w:themeShade="BF"/>
          <w:highlight w:val="yellow"/>
        </w:rPr>
        <w:t>误差分析</w:t>
      </w:r>
    </w:p>
    <w:p>
      <w:pPr>
        <w:tabs>
          <w:tab w:val="left" w:pos="705"/>
        </w:tabs>
        <w:spacing w:line="360" w:lineRule="auto"/>
        <w:ind w:firstLine="420" w:firstLineChars="200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（1）若实验结果小于1/5，原因可能是：</w:t>
      </w:r>
    </w:p>
    <w:p>
      <w:pPr>
        <w:tabs>
          <w:tab w:val="left" w:pos="705"/>
        </w:tabs>
        <w:spacing w:line="360" w:lineRule="auto"/>
        <w:ind w:firstLine="420" w:firstLineChars="200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fldChar w:fldCharType="begin"/>
      </w:r>
      <w:r>
        <w:rPr>
          <w:rFonts w:ascii="Times New Roman" w:eastAsia="宋体" w:hAnsi="Times New Roman" w:cs="Times New Roman"/>
        </w:rPr>
        <w:instrText xml:space="preserve"> = 1 \* GB3 \* MERGEFORMAT </w:instrText>
      </w:r>
      <w:r>
        <w:rPr>
          <w:rFonts w:ascii="Times New Roman" w:eastAsia="宋体" w:hAnsi="Times New Roman" w:cs="Times New Roman"/>
        </w:rPr>
        <w:fldChar w:fldCharType="separate"/>
      </w:r>
      <w:r>
        <w:rPr>
          <w:rFonts w:ascii="Times New Roman" w:eastAsia="宋体" w:hAnsi="Times New Roman" w:cs="Times New Roman"/>
          <w:szCs w:val="22"/>
        </w:rPr>
        <w:t>①</w:t>
      </w:r>
      <w:r>
        <w:rPr>
          <w:rFonts w:ascii="Times New Roman" w:eastAsia="宋体" w:hAnsi="Times New Roman" w:cs="Times New Roman"/>
        </w:rPr>
        <w:fldChar w:fldCharType="end"/>
      </w:r>
      <w:r>
        <w:rPr>
          <w:rFonts w:ascii="Times New Roman" w:eastAsia="宋体" w:hAnsi="Times New Roman" w:cs="Times New Roman"/>
          <w:color w:val="FF0000"/>
          <w:u w:val="single"/>
        </w:rPr>
        <w:t>装置漏气，使装置外的空气进入集气瓶中</w:t>
      </w:r>
      <w:r>
        <w:rPr>
          <w:rFonts w:ascii="Times New Roman" w:eastAsia="宋体" w:hAnsi="Times New Roman" w:cs="Times New Roman"/>
        </w:rPr>
        <w:t>；</w:t>
      </w:r>
    </w:p>
    <w:p>
      <w:pPr>
        <w:tabs>
          <w:tab w:val="left" w:pos="705"/>
        </w:tabs>
        <w:spacing w:line="360" w:lineRule="auto"/>
        <w:ind w:firstLine="420" w:firstLineChars="200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fldChar w:fldCharType="begin"/>
      </w:r>
      <w:r>
        <w:rPr>
          <w:rFonts w:ascii="Times New Roman" w:eastAsia="宋体" w:hAnsi="Times New Roman" w:cs="Times New Roman"/>
        </w:rPr>
        <w:instrText xml:space="preserve"> = 2 \* GB3 \* MERGEFORMAT </w:instrText>
      </w:r>
      <w:r>
        <w:rPr>
          <w:rFonts w:ascii="Times New Roman" w:eastAsia="宋体" w:hAnsi="Times New Roman" w:cs="Times New Roman"/>
        </w:rPr>
        <w:fldChar w:fldCharType="separate"/>
      </w:r>
      <w:r>
        <w:rPr>
          <w:rFonts w:ascii="Times New Roman" w:eastAsia="宋体" w:hAnsi="Times New Roman" w:cs="Times New Roman"/>
          <w:szCs w:val="22"/>
        </w:rPr>
        <w:t>②</w:t>
      </w:r>
      <w:r>
        <w:rPr>
          <w:rFonts w:ascii="Times New Roman" w:eastAsia="宋体" w:hAnsi="Times New Roman" w:cs="Times New Roman"/>
        </w:rPr>
        <w:fldChar w:fldCharType="end"/>
      </w:r>
      <w:r>
        <w:rPr>
          <w:rFonts w:ascii="Times New Roman" w:eastAsia="宋体" w:hAnsi="Times New Roman" w:cs="Times New Roman"/>
          <w:color w:val="FF0000"/>
          <w:u w:val="single"/>
        </w:rPr>
        <w:t>红磷量不足，瓶内氧气没有消耗完</w:t>
      </w:r>
      <w:r>
        <w:rPr>
          <w:rFonts w:ascii="Times New Roman" w:eastAsia="宋体" w:hAnsi="Times New Roman" w:cs="Times New Roman"/>
        </w:rPr>
        <w:t>；</w:t>
      </w:r>
    </w:p>
    <w:p>
      <w:pPr>
        <w:tabs>
          <w:tab w:val="left" w:pos="705"/>
        </w:tabs>
        <w:spacing w:line="360" w:lineRule="auto"/>
        <w:ind w:firstLine="420" w:firstLineChars="200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fldChar w:fldCharType="begin"/>
      </w:r>
      <w:r>
        <w:rPr>
          <w:rFonts w:ascii="Times New Roman" w:eastAsia="宋体" w:hAnsi="Times New Roman" w:cs="Times New Roman"/>
        </w:rPr>
        <w:instrText xml:space="preserve"> = 3 \* GB3 \* MERGEFORMAT </w:instrText>
      </w:r>
      <w:r>
        <w:rPr>
          <w:rFonts w:ascii="Times New Roman" w:eastAsia="宋体" w:hAnsi="Times New Roman" w:cs="Times New Roman"/>
        </w:rPr>
        <w:fldChar w:fldCharType="separate"/>
      </w:r>
      <w:r>
        <w:rPr>
          <w:rFonts w:ascii="Times New Roman" w:eastAsia="宋体" w:hAnsi="Times New Roman" w:cs="Times New Roman"/>
          <w:szCs w:val="22"/>
        </w:rPr>
        <w:t>③</w:t>
      </w:r>
      <w:r>
        <w:rPr>
          <w:rFonts w:ascii="Times New Roman" w:eastAsia="宋体" w:hAnsi="Times New Roman" w:cs="Times New Roman"/>
        </w:rPr>
        <w:fldChar w:fldCharType="end"/>
      </w:r>
      <w:r>
        <w:rPr>
          <w:rFonts w:ascii="Times New Roman" w:eastAsia="宋体" w:hAnsi="Times New Roman" w:cs="Times New Roman"/>
          <w:color w:val="FF0000"/>
          <w:u w:val="single"/>
        </w:rPr>
        <w:t>未冷却到室温就打开止水夹，使进入集气瓶中的水的体积偏小</w:t>
      </w:r>
      <w:r>
        <w:rPr>
          <w:rFonts w:ascii="Times New Roman" w:eastAsia="宋体" w:hAnsi="Times New Roman" w:cs="Times New Roman"/>
        </w:rPr>
        <w:t>。</w:t>
      </w:r>
    </w:p>
    <w:p>
      <w:pPr>
        <w:tabs>
          <w:tab w:val="left" w:pos="705"/>
        </w:tabs>
        <w:spacing w:line="360" w:lineRule="auto"/>
        <w:ind w:firstLine="420" w:firstLineChars="200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（2）若实验结果大于1/5，原因可能是：</w:t>
      </w:r>
    </w:p>
    <w:p>
      <w:pPr>
        <w:tabs>
          <w:tab w:val="left" w:pos="705"/>
        </w:tabs>
        <w:spacing w:line="360" w:lineRule="auto"/>
        <w:ind w:firstLine="420" w:firstLineChars="200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①</w:t>
      </w:r>
      <w:r>
        <w:rPr>
          <w:rFonts w:ascii="Times New Roman" w:eastAsia="宋体" w:hAnsi="Times New Roman" w:cs="Times New Roman"/>
          <w:color w:val="FF0000"/>
          <w:u w:val="single"/>
        </w:rPr>
        <w:t>弹簧夹没有夹紧，红磷燃烧时集气瓶内部分气体受热膨胀沿导管逸出</w:t>
      </w:r>
      <w:r>
        <w:rPr>
          <w:rFonts w:ascii="Times New Roman" w:eastAsia="宋体" w:hAnsi="Times New Roman" w:cs="Times New Roman"/>
        </w:rPr>
        <w:t>；</w:t>
      </w:r>
    </w:p>
    <w:p>
      <w:pPr>
        <w:tabs>
          <w:tab w:val="left" w:pos="705"/>
        </w:tabs>
        <w:spacing w:line="360" w:lineRule="auto"/>
        <w:ind w:firstLine="420" w:firstLineChars="200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②</w:t>
      </w:r>
      <w:r>
        <w:rPr>
          <w:rFonts w:ascii="Times New Roman" w:eastAsia="宋体" w:hAnsi="Times New Roman" w:cs="Times New Roman"/>
          <w:color w:val="FF0000"/>
          <w:u w:val="single"/>
        </w:rPr>
        <w:t>燃烧匙伸入集气瓶过慢，使装置内气体受热逸出</w:t>
      </w:r>
      <w:r>
        <w:rPr>
          <w:rFonts w:ascii="Times New Roman" w:eastAsia="宋体" w:hAnsi="Times New Roman" w:cs="Times New Roman"/>
        </w:rPr>
        <w:t>。</w:t>
      </w:r>
    </w:p>
    <w:p>
      <w:pPr>
        <w:spacing w:line="360" w:lineRule="auto"/>
        <w:contextualSpacing/>
        <w:jc w:val="left"/>
        <w:rPr>
          <w:rFonts w:ascii="Times New Roman" w:hAnsi="Times New Roman" w:cs="Times New Roman"/>
          <w:b/>
          <w:color w:val="366091" w:themeColor="accent1" w:themeShade="BF"/>
          <w:szCs w:val="21"/>
        </w:rPr>
      </w:pPr>
      <w:r>
        <w:rPr>
          <w:rFonts w:ascii="Times New Roman" w:hAnsi="Times New Roman" w:cs="Times New Roman"/>
          <w:b/>
          <w:color w:val="366091" w:themeColor="accent1" w:themeShade="BF"/>
          <w:szCs w:val="21"/>
          <w:highlight w:val="yellow"/>
        </w:rPr>
        <w:t xml:space="preserve">3. </w:t>
      </w:r>
      <w:r>
        <w:rPr>
          <w:rFonts w:ascii="Times New Roman" w:hAnsi="Times New Roman" w:cs="Times New Roman"/>
          <w:b/>
          <w:color w:val="366091" w:themeColor="accent1" w:themeShade="BF"/>
          <w:highlight w:val="yellow"/>
        </w:rPr>
        <w:t>实验改进</w:t>
      </w:r>
    </w:p>
    <w:p>
      <w:pPr>
        <w:tabs>
          <w:tab w:val="left" w:pos="4140"/>
        </w:tabs>
        <w:adjustRightInd w:val="0"/>
        <w:spacing w:line="360" w:lineRule="auto"/>
        <w:ind w:firstLine="420" w:firstLineChars="200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/>
          <w:kern w:val="0"/>
          <w:szCs w:val="21"/>
        </w:rPr>
        <w:t>（1）改进原因：</w:t>
      </w:r>
    </w:p>
    <w:p>
      <w:pPr>
        <w:tabs>
          <w:tab w:val="left" w:pos="4140"/>
        </w:tabs>
        <w:adjustRightInd w:val="0"/>
        <w:spacing w:line="360" w:lineRule="auto"/>
        <w:ind w:firstLine="420" w:firstLineChars="200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/>
          <w:kern w:val="0"/>
          <w:szCs w:val="21"/>
        </w:rPr>
        <w:t>①实验时在容器外点燃红磷，燃烧产物会</w:t>
      </w:r>
      <w:r>
        <w:rPr>
          <w:rFonts w:ascii="Times New Roman" w:eastAsia="宋体" w:hAnsi="Times New Roman" w:cs="Times New Roman"/>
          <w:color w:val="FF0000"/>
          <w:kern w:val="0"/>
          <w:szCs w:val="21"/>
          <w:u w:val="single"/>
        </w:rPr>
        <w:t>污染环境</w:t>
      </w:r>
      <w:r>
        <w:rPr>
          <w:rFonts w:ascii="Times New Roman" w:eastAsia="宋体" w:hAnsi="Times New Roman" w:cs="Times New Roman"/>
          <w:kern w:val="0"/>
          <w:szCs w:val="21"/>
        </w:rPr>
        <w:t>，将燃着的红磷伸入集气瓶时，空气受热膨胀逸出，会使得测量结果</w:t>
      </w:r>
      <w:r>
        <w:rPr>
          <w:rFonts w:ascii="Times New Roman" w:eastAsia="宋体" w:hAnsi="Times New Roman" w:cs="Times New Roman"/>
          <w:color w:val="FF0000"/>
          <w:kern w:val="0"/>
          <w:szCs w:val="21"/>
          <w:u w:val="single"/>
        </w:rPr>
        <w:t>偏大</w:t>
      </w:r>
      <w:r>
        <w:rPr>
          <w:rFonts w:ascii="Times New Roman" w:eastAsia="宋体" w:hAnsi="Times New Roman" w:cs="Times New Roman"/>
          <w:kern w:val="0"/>
          <w:szCs w:val="21"/>
        </w:rPr>
        <w:t>，因此需在</w:t>
      </w:r>
      <w:r>
        <w:rPr>
          <w:rFonts w:ascii="Times New Roman" w:eastAsia="宋体" w:hAnsi="Times New Roman" w:cs="Times New Roman"/>
          <w:color w:val="FF0000"/>
          <w:kern w:val="0"/>
          <w:szCs w:val="21"/>
          <w:u w:val="single"/>
        </w:rPr>
        <w:t>密闭容器</w:t>
      </w:r>
      <w:r>
        <w:rPr>
          <w:rFonts w:ascii="Times New Roman" w:eastAsia="宋体" w:hAnsi="Times New Roman" w:cs="Times New Roman"/>
          <w:kern w:val="0"/>
          <w:szCs w:val="21"/>
        </w:rPr>
        <w:t>中进行。</w:t>
      </w:r>
    </w:p>
    <w:p>
      <w:pPr>
        <w:tabs>
          <w:tab w:val="left" w:pos="4140"/>
        </w:tabs>
        <w:adjustRightInd w:val="0"/>
        <w:spacing w:line="360" w:lineRule="auto"/>
        <w:ind w:firstLine="420" w:firstLineChars="200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/>
          <w:kern w:val="0"/>
          <w:szCs w:val="21"/>
        </w:rPr>
        <w:t>②集气瓶的刻度读数较粗略，且会有部分水残留在导管中，使测量结果</w:t>
      </w:r>
      <w:r>
        <w:rPr>
          <w:rFonts w:ascii="Times New Roman" w:eastAsia="宋体" w:hAnsi="Times New Roman" w:cs="Times New Roman"/>
          <w:color w:val="FF0000"/>
          <w:kern w:val="0"/>
          <w:szCs w:val="21"/>
          <w:u w:val="single"/>
        </w:rPr>
        <w:t>不准确</w:t>
      </w:r>
      <w:r>
        <w:rPr>
          <w:rFonts w:ascii="Times New Roman" w:eastAsia="宋体" w:hAnsi="Times New Roman" w:cs="Times New Roman"/>
          <w:kern w:val="0"/>
          <w:szCs w:val="21"/>
        </w:rPr>
        <w:t>。</w:t>
      </w:r>
    </w:p>
    <w:p>
      <w:pPr>
        <w:tabs>
          <w:tab w:val="left" w:pos="4140"/>
        </w:tabs>
        <w:adjustRightInd w:val="0"/>
        <w:spacing w:line="360" w:lineRule="auto"/>
        <w:ind w:firstLine="420" w:firstLineChars="20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/>
          <w:kern w:val="0"/>
          <w:szCs w:val="21"/>
        </w:rPr>
        <w:t>（2）改进思路：</w:t>
      </w:r>
    </w:p>
    <w:p>
      <w:pPr>
        <w:tabs>
          <w:tab w:val="left" w:pos="4140"/>
        </w:tabs>
        <w:adjustRightInd w:val="0"/>
        <w:spacing w:line="360" w:lineRule="auto"/>
        <w:ind w:firstLine="420" w:firstLineChars="200"/>
        <w:jc w:val="left"/>
        <w:rPr>
          <w:rFonts w:ascii="Times New Roman" w:eastAsia="宋体" w:hAnsi="Times New Roman" w:cs="Times New Roman"/>
          <w:kern w:val="0"/>
          <w:szCs w:val="21"/>
        </w:rPr>
      </w:pPr>
      <w:r>
        <w:rPr>
          <w:rFonts w:ascii="Times New Roman" w:eastAsia="宋体" w:hAnsi="Times New Roman" w:cs="Times New Roman"/>
          <w:kern w:val="0"/>
          <w:szCs w:val="21"/>
        </w:rPr>
        <w:t>①点燃方式的改进：实验过程中不打开装置，使装置始终保持</w:t>
      </w:r>
      <w:r>
        <w:rPr>
          <w:rFonts w:ascii="Times New Roman" w:eastAsia="宋体" w:hAnsi="Times New Roman" w:cs="Times New Roman"/>
          <w:color w:val="FF0000"/>
          <w:kern w:val="0"/>
          <w:szCs w:val="21"/>
          <w:u w:val="single"/>
        </w:rPr>
        <w:t>密闭</w:t>
      </w:r>
      <w:r>
        <w:rPr>
          <w:rFonts w:ascii="Times New Roman" w:eastAsia="宋体" w:hAnsi="Times New Roman" w:cs="Times New Roman"/>
          <w:kern w:val="0"/>
          <w:szCs w:val="21"/>
        </w:rPr>
        <w:t>，如图①、②所示。</w:t>
      </w:r>
      <w:r>
        <w:rPr>
          <w:rFonts w:ascii="Times New Roman" w:eastAsia="宋体" w:hAnsi="Times New Roman" w:cs="Times New Roman"/>
          <w:kern w:val="0"/>
          <w:szCs w:val="21"/>
        </w:rPr>
        <w:br/>
      </w:r>
      <w:r>
        <w:rPr>
          <w:rFonts w:ascii="Times New Roman" w:eastAsia="宋体" w:hAnsi="Times New Roman" w:cs="Times New Roman"/>
          <w:kern w:val="0"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https://d.book118.com/938056070017006040</w:t>
        </w:r>
      </w:hyperlink>
    </w:p>
    <w:p>
      <w:pPr>
        <w:tabs>
          <w:tab w:val="left" w:pos="4140"/>
        </w:tabs>
        <w:adjustRightInd w:val="0"/>
        <w:spacing w:line="360" w:lineRule="auto"/>
        <w:ind w:firstLine="420" w:firstLineChars="200"/>
        <w:jc w:val="left"/>
        <w:rPr>
          <w:rFonts w:ascii="Times New Roman" w:eastAsia="宋体" w:hAnsi="Times New Roman" w:cs="Times New Roman"/>
          <w:kern w:val="0"/>
          <w:szCs w:val="21"/>
        </w:rPr>
      </w:pPr>
    </w:p>
    <w:sectPr>
      <w:type w:val="nextPage"/>
      <w:pgSz w:w="11906" w:h="16838"/>
      <w:pgMar w:top="1134" w:right="1701" w:bottom="1134" w:left="1701" w:header="708" w:footer="708" w:gutter="0"/>
      <w:pgNumType w:start="2"/>
      <w:cols w:num="1" w:space="708"/>
      <w:titlePg w:val="0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2415"/>
  <w:drawingGridHorizontalSpacing w:val="105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4851"/>
    <w:rsid w:val="00072476"/>
    <w:rsid w:val="000A2AA0"/>
    <w:rsid w:val="00133502"/>
    <w:rsid w:val="00172A27"/>
    <w:rsid w:val="00247604"/>
    <w:rsid w:val="002A080C"/>
    <w:rsid w:val="002D5128"/>
    <w:rsid w:val="002E21F1"/>
    <w:rsid w:val="00307AFC"/>
    <w:rsid w:val="003C7BC3"/>
    <w:rsid w:val="004151FC"/>
    <w:rsid w:val="0042207C"/>
    <w:rsid w:val="004702B8"/>
    <w:rsid w:val="004919CE"/>
    <w:rsid w:val="004D62D4"/>
    <w:rsid w:val="004E7CF9"/>
    <w:rsid w:val="004F3D78"/>
    <w:rsid w:val="00517CC2"/>
    <w:rsid w:val="00606FF3"/>
    <w:rsid w:val="0065351F"/>
    <w:rsid w:val="007226B5"/>
    <w:rsid w:val="0072623F"/>
    <w:rsid w:val="007334A1"/>
    <w:rsid w:val="007809F8"/>
    <w:rsid w:val="007A6640"/>
    <w:rsid w:val="007F7B75"/>
    <w:rsid w:val="00845ACD"/>
    <w:rsid w:val="008A3A64"/>
    <w:rsid w:val="00902765"/>
    <w:rsid w:val="009E289E"/>
    <w:rsid w:val="00A208AE"/>
    <w:rsid w:val="00AE1179"/>
    <w:rsid w:val="00B27CBA"/>
    <w:rsid w:val="00B51E04"/>
    <w:rsid w:val="00C02FC6"/>
    <w:rsid w:val="00C42AD4"/>
    <w:rsid w:val="00C97C79"/>
    <w:rsid w:val="00CB4DAF"/>
    <w:rsid w:val="00CF36A7"/>
    <w:rsid w:val="00D032FB"/>
    <w:rsid w:val="00E0444A"/>
    <w:rsid w:val="00E12032"/>
    <w:rsid w:val="00E34700"/>
    <w:rsid w:val="00E66EC4"/>
    <w:rsid w:val="00E92994"/>
    <w:rsid w:val="00F01406"/>
    <w:rsid w:val="00F86E86"/>
    <w:rsid w:val="011E3D92"/>
    <w:rsid w:val="01A241A4"/>
    <w:rsid w:val="09DD3423"/>
    <w:rsid w:val="0AB172A8"/>
    <w:rsid w:val="0B275F39"/>
    <w:rsid w:val="0BEC6048"/>
    <w:rsid w:val="0DAD4E1B"/>
    <w:rsid w:val="0DB21F97"/>
    <w:rsid w:val="0E1327A4"/>
    <w:rsid w:val="0E8F62CF"/>
    <w:rsid w:val="0F7756E1"/>
    <w:rsid w:val="0FB04FDE"/>
    <w:rsid w:val="108856CC"/>
    <w:rsid w:val="11D34725"/>
    <w:rsid w:val="1251771B"/>
    <w:rsid w:val="1415616C"/>
    <w:rsid w:val="154F6CE2"/>
    <w:rsid w:val="15D32F45"/>
    <w:rsid w:val="16041350"/>
    <w:rsid w:val="17116093"/>
    <w:rsid w:val="190E0B7B"/>
    <w:rsid w:val="1A704DC9"/>
    <w:rsid w:val="1E8E1648"/>
    <w:rsid w:val="1F225BA0"/>
    <w:rsid w:val="26EF3957"/>
    <w:rsid w:val="27363334"/>
    <w:rsid w:val="27736336"/>
    <w:rsid w:val="2A2C6C70"/>
    <w:rsid w:val="2A8E5B5E"/>
    <w:rsid w:val="2A9160E4"/>
    <w:rsid w:val="2C3F0EDD"/>
    <w:rsid w:val="3186135C"/>
    <w:rsid w:val="33957634"/>
    <w:rsid w:val="353D3BE0"/>
    <w:rsid w:val="36545584"/>
    <w:rsid w:val="36AE1B85"/>
    <w:rsid w:val="37DC5F63"/>
    <w:rsid w:val="37E56DDC"/>
    <w:rsid w:val="38371DA9"/>
    <w:rsid w:val="387622BB"/>
    <w:rsid w:val="389E2FF7"/>
    <w:rsid w:val="39ED3A4A"/>
    <w:rsid w:val="3C486CB6"/>
    <w:rsid w:val="3E7072B3"/>
    <w:rsid w:val="40C41559"/>
    <w:rsid w:val="41CF5EFF"/>
    <w:rsid w:val="42A5009C"/>
    <w:rsid w:val="43217136"/>
    <w:rsid w:val="43AD4526"/>
    <w:rsid w:val="43E53521"/>
    <w:rsid w:val="448C5AFF"/>
    <w:rsid w:val="462705C0"/>
    <w:rsid w:val="465231D2"/>
    <w:rsid w:val="465A6BE7"/>
    <w:rsid w:val="48483767"/>
    <w:rsid w:val="48AC2FFE"/>
    <w:rsid w:val="49507E2D"/>
    <w:rsid w:val="49A72280"/>
    <w:rsid w:val="4B425E9C"/>
    <w:rsid w:val="4BEE392E"/>
    <w:rsid w:val="4C242BBD"/>
    <w:rsid w:val="4F883FE5"/>
    <w:rsid w:val="4FCD667C"/>
    <w:rsid w:val="5253273C"/>
    <w:rsid w:val="5265190D"/>
    <w:rsid w:val="52AB4326"/>
    <w:rsid w:val="53E22182"/>
    <w:rsid w:val="551E7032"/>
    <w:rsid w:val="554C6B20"/>
    <w:rsid w:val="55E02539"/>
    <w:rsid w:val="5632548A"/>
    <w:rsid w:val="56633896"/>
    <w:rsid w:val="5A82329A"/>
    <w:rsid w:val="5AF947C9"/>
    <w:rsid w:val="5CE96177"/>
    <w:rsid w:val="5CF865E1"/>
    <w:rsid w:val="5E55500A"/>
    <w:rsid w:val="5F187AD3"/>
    <w:rsid w:val="61520B37"/>
    <w:rsid w:val="62EF7317"/>
    <w:rsid w:val="64EF09EB"/>
    <w:rsid w:val="660D37F9"/>
    <w:rsid w:val="661765D8"/>
    <w:rsid w:val="69C53AC8"/>
    <w:rsid w:val="6CA200F0"/>
    <w:rsid w:val="6F3610D8"/>
    <w:rsid w:val="6F6D70DC"/>
    <w:rsid w:val="708244C1"/>
    <w:rsid w:val="70C04FE9"/>
    <w:rsid w:val="718F0BBA"/>
    <w:rsid w:val="72B76A57"/>
    <w:rsid w:val="736930C2"/>
    <w:rsid w:val="73905A49"/>
    <w:rsid w:val="73A806E2"/>
    <w:rsid w:val="73D474DF"/>
    <w:rsid w:val="73EB4EAE"/>
    <w:rsid w:val="73F13E37"/>
    <w:rsid w:val="777D5681"/>
    <w:rsid w:val="77E1777D"/>
    <w:rsid w:val="7801371C"/>
    <w:rsid w:val="79E306C6"/>
    <w:rsid w:val="7A090757"/>
    <w:rsid w:val="7C14221F"/>
    <w:rsid w:val="7DCA7D98"/>
  </w:rsids>
  <w:docVars>
    <w:docVar w:name="commondata" w:val="eyJoZGlkIjoiOGE5NzIyNzBmNjdmZmIzOTEzMWM5ZTA4NDI2OThhO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1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uiPriority w:val="1"/>
    <w:unhideWhenUsed/>
    <w:qFormat/>
    <w:pPr>
      <w:widowControl w:val="0"/>
      <w:spacing w:after="12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PlainText">
    <w:name w:val="Plain Text"/>
    <w:basedOn w:val="Normal"/>
    <w:link w:val="Char2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TableGrid">
    <w:name w:val="Table Grid"/>
    <w:basedOn w:val="Table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1">
    <w:name w:val="正文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character" w:customStyle="1" w:styleId="Char2">
    <w:name w:val="纯文本 Char"/>
    <w:link w:val="PlainText"/>
    <w:qFormat/>
    <w:locked/>
    <w:rPr>
      <w:rFonts w:ascii="宋体" w:hAnsi="Courier New" w:cs="Courier New"/>
      <w:kern w:val="2"/>
      <w:sz w:val="21"/>
      <w:szCs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38056070017006040" TargetMode="Externa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1354</Words>
  <Characters>7719</Characters>
  <Application>Microsoft Office Word</Application>
  <DocSecurity>0</DocSecurity>
  <Lines>64</Lines>
  <Paragraphs>18</Paragraphs>
  <ScaleCrop>false</ScaleCrop>
  <Company/>
  <LinksUpToDate>false</LinksUpToDate>
  <CharactersWithSpaces>9055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2019-12-27T09:30:00Z</dcterms:created>
  <dcterms:modified xsi:type="dcterms:W3CDTF">2024-02-21T11:39:35Z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KSOProductBuildVer">
    <vt:lpwstr>2052-11.8.2.8875</vt:lpwstr>
  </property>
</Properties>
</file>