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auto"/>
          <w:sz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10502900</wp:posOffset>
            </wp:positionH>
            <wp:positionV relativeFrom="topMargin">
              <wp:posOffset>10363200</wp:posOffset>
            </wp:positionV>
            <wp:extent cx="444500" cy="342900"/>
            <wp:effectExtent l="0" t="0" r="12700" b="0"/>
            <wp:wrapNone/>
            <wp:docPr id="100042" name="图片 100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2" name="图片 1000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6"/>
        </w:rPr>
        <w:t>2023</w:t>
      </w:r>
      <w:r>
        <w:rPr>
          <w:rFonts w:ascii="宋体" w:eastAsia="宋体" w:hAnsi="宋体" w:cs="宋体"/>
          <w:b/>
          <w:color w:val="000000"/>
          <w:sz w:val="36"/>
        </w:rPr>
        <w:t>学年第一学期期末学业质量调研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6"/>
        </w:rPr>
        <w:t>高三生物学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b/>
          <w:color w:val="000000"/>
          <w:sz w:val="24"/>
        </w:rPr>
        <w:t>试卷满分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100</w:t>
      </w:r>
      <w:r>
        <w:rPr>
          <w:rFonts w:ascii="宋体" w:eastAsia="宋体" w:hAnsi="宋体" w:cs="宋体"/>
          <w:b/>
          <w:color w:val="000000"/>
          <w:sz w:val="24"/>
        </w:rPr>
        <w:t>分，考试时间</w:t>
      </w:r>
      <w:r>
        <w:rPr>
          <w:rFonts w:ascii="Times New Roman" w:eastAsia="Times New Roman" w:hAnsi="Times New Roman" w:cs="Times New Roman"/>
          <w:b/>
          <w:color w:val="000000"/>
          <w:sz w:val="24"/>
        </w:rPr>
        <w:t>60</w:t>
      </w:r>
      <w:r>
        <w:rPr>
          <w:rFonts w:ascii="宋体" w:eastAsia="宋体" w:hAnsi="宋体" w:cs="宋体"/>
          <w:b/>
          <w:color w:val="000000"/>
          <w:sz w:val="24"/>
        </w:rPr>
        <w:t>分钟。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湿地生境与种群特征：海三棱藨草是长江口滨海湿地的先锋种，其球茎是珍禽小天鹤、白头鹤和野鸭等候鸟的越冬食物来源之一。研究人员在崇明东滩鸟类自然保护区内设置了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个实验样地采样点（见图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），检测并探究不同生境海三棱藨草自然种群特征的动态变化特点。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5238750" cy="1839595"/>
            <wp:effectExtent l="0" t="0" r="0" b="8255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839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滩涂群落中，各物种之间通过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相互作用联系在一起形成复杂的营养结构。在食物网中，海三棱藨草所属层次为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，小天鹅所属层次为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。（编号选填）①种内关系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②种间关系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③第一营养级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④第二营养级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⑤第三营养级</w:t>
      </w:r>
    </w:p>
    <w:p>
      <w:pPr>
        <w:spacing w:line="360" w:lineRule="auto"/>
        <w:jc w:val="left"/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崇明东滩湿地植被的演替遵循“光滩裸地→海三棱藨草群落→芦苇群落”规律，该演替过程属于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。（编号选填）①初生演替</w:t>
      </w:r>
      <w:r>
        <w:rPr>
          <w:rFonts w:ascii="Times New Roman" w:eastAsia="Times New Roman" w:hAnsi="Times New Roman" w:cs="Times New Roman"/>
          <w:color w:val="000000"/>
        </w:rPr>
        <w:t xml:space="preserve">        </w:t>
      </w:r>
      <w:r>
        <w:rPr>
          <w:rFonts w:ascii="宋体" w:eastAsia="宋体" w:hAnsi="宋体" w:cs="宋体"/>
          <w:color w:val="000000"/>
        </w:rPr>
        <w:t>②次生演替</w:t>
      </w:r>
    </w:p>
    <w:p>
      <w:pPr>
        <w:spacing w:line="360" w:lineRule="auto"/>
        <w:jc w:val="left"/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环境胁迫对海三棱藨草种群数量的变化具有显著的影响，结合图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和已有知识，以下属于环境胁迫因子的有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。（多选）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>A</w:t>
      </w:r>
      <w:r>
        <w:rPr>
          <w:position w:val="-22"/>
        </w:rPr>
        <w:drawing>
          <wp:inline distT="0" distB="0" distL="114300" distR="114300">
            <wp:extent cx="31750" cy="88900"/>
            <wp:effectExtent l="0" t="0" r="0" b="0"/>
            <wp:docPr id="100059" name="图片 10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淹水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盐度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叶绿素含量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土壤</w:t>
      </w:r>
      <w:r>
        <w:rPr>
          <w:rFonts w:ascii="Times New Roman" w:eastAsia="Times New Roman" w:hAnsi="Times New Roman" w:cs="Times New Roman"/>
          <w:color w:val="000000"/>
        </w:rPr>
        <w:t>pH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color w:val="000000"/>
        </w:rPr>
        <w:t>研究发现，北侧和东侧群落结构比较单一，南侧植物物种多样性较高。图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是研究者对不同生境的海三棱藨草种群高度的部分统计数据，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20cm</w:t>
      </w:r>
      <w:r>
        <w:rPr>
          <w:rFonts w:ascii="宋体" w:eastAsia="宋体" w:hAnsi="宋体" w:cs="宋体"/>
          <w:color w:val="000000"/>
        </w:rPr>
        <w:t>为新生幼苗，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≤</w:t>
      </w:r>
      <w:r>
        <w:rPr>
          <w:rFonts w:ascii="Times New Roman" w:eastAsia="Times New Roman" w:hAnsi="Times New Roman" w:cs="Times New Roman"/>
          <w:color w:val="000000"/>
        </w:rPr>
        <w:t>40cm</w:t>
      </w:r>
      <w:r>
        <w:rPr>
          <w:rFonts w:ascii="宋体" w:eastAsia="宋体" w:hAnsi="宋体" w:cs="宋体"/>
          <w:color w:val="000000"/>
        </w:rPr>
        <w:t>为幼年植株，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40cm</w:t>
      </w:r>
      <w:r>
        <w:rPr>
          <w:rFonts w:ascii="宋体" w:eastAsia="宋体" w:hAnsi="宋体" w:cs="宋体"/>
          <w:color w:val="000000"/>
        </w:rPr>
        <w:t>为成年植株。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5238750" cy="1643380"/>
            <wp:effectExtent l="0" t="0" r="0" b="1397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64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color w:val="000000"/>
        </w:rPr>
        <w:t>（4）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中，对不同生境中海三棱藨草种群年龄结构的推测合理的是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。（单选）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月中旬，</w:t>
      </w:r>
      <w:r>
        <w:rPr>
          <w:rFonts w:ascii="Times New Roman" w:eastAsia="Times New Roman" w:hAnsi="Times New Roman" w:cs="Times New Roman"/>
          <w:color w:val="000000"/>
        </w:rPr>
        <w:t>S3</w:t>
      </w:r>
      <w:r>
        <w:rPr>
          <w:rFonts w:ascii="宋体" w:eastAsia="宋体" w:hAnsi="宋体" w:cs="宋体"/>
          <w:color w:val="000000"/>
        </w:rPr>
        <w:t>为稳定型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月下旬，</w:t>
      </w:r>
      <w:r>
        <w:rPr>
          <w:rFonts w:ascii="Times New Roman" w:eastAsia="Times New Roman" w:hAnsi="Times New Roman" w:cs="Times New Roman"/>
          <w:color w:val="000000"/>
        </w:rPr>
        <w:t>S9</w:t>
      </w:r>
      <w:r>
        <w:rPr>
          <w:rFonts w:ascii="宋体" w:eastAsia="宋体" w:hAnsi="宋体" w:cs="宋体"/>
          <w:color w:val="000000"/>
        </w:rPr>
        <w:t>为稳定型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  <w:sectPr>
          <w:pgSz w:w="11906" w:h="16838"/>
          <w:pgMar w:top="720" w:right="720" w:bottom="720" w:left="72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月下旬，</w:t>
      </w:r>
      <w:r>
        <w:rPr>
          <w:rFonts w:ascii="Times New Roman" w:eastAsia="Times New Roman" w:hAnsi="Times New Roman" w:cs="Times New Roman"/>
          <w:color w:val="000000"/>
        </w:rPr>
        <w:t>S8</w:t>
      </w:r>
      <w:r>
        <w:rPr>
          <w:rFonts w:ascii="宋体" w:eastAsia="宋体" w:hAnsi="宋体" w:cs="宋体"/>
          <w:color w:val="000000"/>
        </w:rPr>
        <w:t>为衰退型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月下旬，</w:t>
      </w:r>
      <w:r>
        <w:rPr>
          <w:rFonts w:ascii="Times New Roman" w:eastAsia="Times New Roman" w:hAnsi="Times New Roman" w:cs="Times New Roman"/>
          <w:color w:val="000000"/>
        </w:rPr>
        <w:t>S6</w:t>
      </w:r>
      <w:r>
        <w:rPr>
          <w:rFonts w:ascii="宋体" w:eastAsia="宋体" w:hAnsi="宋体" w:cs="宋体"/>
          <w:color w:val="000000"/>
        </w:rPr>
        <w:t>为增长型</w:t>
      </w:r>
    </w:p>
    <w:p>
      <w:pPr>
        <w:spacing w:line="360" w:lineRule="auto"/>
        <w:jc w:val="left"/>
      </w:pPr>
      <w:r>
        <w:rPr>
          <w:color w:val="000000"/>
        </w:rPr>
        <w:t>（5）</w:t>
      </w: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月下旬南侧群落海三棱藨草种群长势分析不合理的是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。（单选）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南侧种群植株高度最低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复杂生境中海三棱藨草具有竞争优势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南侧种间竞争最激烈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环境胁迫对南侧种群增长阻力最大</w:t>
      </w:r>
    </w:p>
    <w:p>
      <w:pPr>
        <w:spacing w:line="360" w:lineRule="auto"/>
        <w:jc w:val="left"/>
      </w:pPr>
      <w:r>
        <w:rPr>
          <w:color w:val="000000"/>
        </w:rPr>
        <w:t>（6）</w:t>
      </w:r>
      <w:r>
        <w:rPr>
          <w:rFonts w:ascii="宋体" w:eastAsia="宋体" w:hAnsi="宋体" w:cs="宋体"/>
          <w:color w:val="000000"/>
        </w:rPr>
        <w:t>植物在胁迫环境下受到的伤害与活性氧有关，海三棱藨草球茎中防御活性氧的过氧化物酶（</w:t>
      </w:r>
      <w:r>
        <w:rPr>
          <w:rFonts w:ascii="Times New Roman" w:eastAsia="Times New Roman" w:hAnsi="Times New Roman" w:cs="Times New Roman"/>
          <w:color w:val="000000"/>
        </w:rPr>
        <w:t>POD</w:t>
      </w:r>
      <w:r>
        <w:rPr>
          <w:rFonts w:ascii="宋体" w:eastAsia="宋体" w:hAnsi="宋体" w:cs="宋体"/>
          <w:color w:val="000000"/>
        </w:rPr>
        <w:t>）等酶活性与盐度呈正相关。以下关于盐胁迫的分析正确的是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。（单选）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使海三棱藨草产生活性氧酶促清除系统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使海三棱藨草种群中</w:t>
      </w:r>
      <w:r>
        <w:rPr>
          <w:rFonts w:ascii="Times New Roman" w:eastAsia="Times New Roman" w:hAnsi="Times New Roman" w:cs="Times New Roman"/>
          <w:color w:val="000000"/>
        </w:rPr>
        <w:t>POD</w:t>
      </w:r>
      <w:r>
        <w:rPr>
          <w:rFonts w:ascii="宋体" w:eastAsia="宋体" w:hAnsi="宋体" w:cs="宋体"/>
          <w:color w:val="000000"/>
        </w:rPr>
        <w:t>基因频率下降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抑制海三棱藨草细胞中</w:t>
      </w:r>
      <w:r>
        <w:rPr>
          <w:rFonts w:ascii="Times New Roman" w:eastAsia="Times New Roman" w:hAnsi="Times New Roman" w:cs="Times New Roman"/>
          <w:color w:val="000000"/>
        </w:rPr>
        <w:t>POD</w:t>
      </w:r>
      <w:r>
        <w:rPr>
          <w:rFonts w:ascii="宋体" w:eastAsia="宋体" w:hAnsi="宋体" w:cs="宋体"/>
          <w:color w:val="000000"/>
        </w:rPr>
        <w:t>基因的表达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对海三棱藨草的适应性生长进行了选择</w:t>
      </w:r>
    </w:p>
    <w:p>
      <w:pPr>
        <w:spacing w:line="360" w:lineRule="auto"/>
        <w:jc w:val="left"/>
      </w:pPr>
      <w:r>
        <w:rPr>
          <w:color w:val="000000"/>
        </w:rPr>
        <w:t>（7）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所示为“围垦”对崇明东滩海三棱藨草和白头鹤种群数量变化的影响。过度“围垦”对湿地生态系统结构与功能的影响分析合理的有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。（多选）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3914775" cy="2876550"/>
            <wp:effectExtent l="0" t="0" r="9525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破坏了候鸟的越冬栖息地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可能导致物种减少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使能量流动方向逆转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可能减弱自我调节能力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eastAsia="宋体" w:hAnsi="宋体" w:cs="宋体"/>
          <w:color w:val="000000"/>
        </w:rPr>
        <w:t>干旱胁迫和植物生理：猕猴桃在生长发育过程中易遭受干旱胁迫的伤害，研究人员将长势一致的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组猕猴桃，分别在干旱处理第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天进行复水（恢复正常灌水），测定其叶肉细胞的净光合速率（指光合作用合成有机物速率减去呼吸作用消耗有机物的速率）和胞间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浓度，结果如图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和图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所示。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2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drawing>
          <wp:inline distT="0" distB="0" distL="114300" distR="114300">
            <wp:extent cx="5238750" cy="1812925"/>
            <wp:effectExtent l="0" t="0" r="0" b="15875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813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（备注：</w:t>
      </w:r>
      <w:r>
        <w:rPr>
          <w:rFonts w:ascii="Times New Roman" w:eastAsia="Times New Roman" w:hAnsi="Times New Roman" w:cs="Times New Roman"/>
          <w:color w:val="000000"/>
        </w:rPr>
        <w:t>Pn</w:t>
      </w:r>
      <w:r>
        <w:rPr>
          <w:rFonts w:ascii="宋体" w:eastAsia="宋体" w:hAnsi="宋体" w:cs="宋体"/>
          <w:color w:val="000000"/>
        </w:rPr>
        <w:t>——净光合速率；</w:t>
      </w:r>
      <w:r>
        <w:rPr>
          <w:rFonts w:ascii="Times New Roman" w:eastAsia="Times New Roman" w:hAnsi="Times New Roman" w:cs="Times New Roman"/>
          <w:color w:val="000000"/>
        </w:rPr>
        <w:t>Ci</w:t>
      </w:r>
      <w:r>
        <w:rPr>
          <w:rFonts w:ascii="宋体" w:eastAsia="宋体" w:hAnsi="宋体" w:cs="宋体"/>
          <w:color w:val="000000"/>
        </w:rPr>
        <w:t>——胞间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浓度）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干旱胁迫下，猕猴桃叶肉细胞中直接受抑制的是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。（单选）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氧气的形成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电子传递链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丙酮酸的形成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五碳糖的再生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根据图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和图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数据判断，干旱处理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组更有利于猕猴桃恢复生长。（编号选填）①第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天复水组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②第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天复水组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③全程不复水组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分析图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可得到的结论是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。（多选）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复水后光合速率增加导致胞间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浓度降低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复水后呼吸速率增加导致胞间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浓度增加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干旱胁迫后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天复水处理组光合速率显著低于对照组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干旱胁迫下胞间</w:t>
      </w:r>
      <w:r>
        <w:rPr>
          <w:rFonts w:ascii="Times New Roman" w:eastAsia="Times New Roman" w:hAnsi="Times New Roman" w:cs="Times New Roman"/>
          <w:color w:val="000000"/>
        </w:rPr>
        <w:t>CO</w:t>
      </w:r>
      <w:r>
        <w:rPr>
          <w:color w:val="000000"/>
          <w:vertAlign w:val="subscript"/>
        </w:rPr>
        <w:t>2</w:t>
      </w:r>
      <w:r>
        <w:rPr>
          <w:rFonts w:ascii="宋体" w:eastAsia="宋体" w:hAnsi="宋体" w:cs="宋体"/>
          <w:color w:val="000000"/>
        </w:rPr>
        <w:t>堆积与气孔开放程度下降有关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（4）</w:t>
      </w:r>
      <w:r>
        <w:rPr>
          <w:rFonts w:ascii="宋体" w:eastAsia="宋体" w:hAnsi="宋体" w:cs="宋体"/>
          <w:color w:val="000000"/>
        </w:rPr>
        <w:t>为研究猕猴桃干旱复水后的生理现象，从下列实验方案中，选择正确的实验步骤，并排序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。（编号选填）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①对照处理每天保持正常灌水，保证土壤正常含水量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②干旱处理组停止灌水，使其持续自然干旱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③土壤水分测定仪测定每盆土壤初始含水量，重复</w:t>
      </w:r>
      <w:r>
        <w:rPr>
          <w:rFonts w:ascii="Times New Roman" w:eastAsia="Times New Roman" w:hAnsi="Times New Roman" w:cs="Times New Roman"/>
          <w:color w:val="000000"/>
        </w:rPr>
        <w:t>5</w:t>
      </w:r>
      <w:r>
        <w:rPr>
          <w:rFonts w:ascii="宋体" w:eastAsia="宋体" w:hAnsi="宋体" w:cs="宋体"/>
          <w:color w:val="000000"/>
        </w:rPr>
        <w:t>次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④选择长势一致的植株，移入塑料大棚中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⑤选择长势一致的植株，种植在敞开环境的农田中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⑥分别在自然干旱</w:t>
      </w:r>
      <w:r>
        <w:rPr>
          <w:rFonts w:ascii="Times New Roman" w:eastAsia="Times New Roman" w:hAnsi="Times New Roman" w:cs="Times New Roman"/>
          <w:color w:val="000000"/>
        </w:rPr>
        <w:t>6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天后恢复灌水，使其土壤含水量达到对照处理的水平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⑦定期检测光合作用指标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正常情况下，猕猴桃主藤最高可达</w:t>
      </w:r>
      <w:r>
        <w:rPr>
          <w:rFonts w:ascii="Times New Roman" w:eastAsia="Times New Roman" w:hAnsi="Times New Roman" w:cs="Times New Roman"/>
          <w:color w:val="000000"/>
        </w:rPr>
        <w:t>18</w:t>
      </w:r>
      <w:r>
        <w:rPr>
          <w:rFonts w:ascii="宋体" w:eastAsia="宋体" w:hAnsi="宋体" w:cs="宋体"/>
          <w:color w:val="000000"/>
        </w:rPr>
        <w:t>～</w:t>
      </w:r>
      <w:r>
        <w:rPr>
          <w:rFonts w:ascii="Times New Roman" w:eastAsia="Times New Roman" w:hAnsi="Times New Roman" w:cs="Times New Roman"/>
          <w:color w:val="000000"/>
        </w:rPr>
        <w:t>20cm</w:t>
      </w:r>
      <w:r>
        <w:rPr>
          <w:rFonts w:ascii="宋体" w:eastAsia="宋体" w:hAnsi="宋体" w:cs="宋体"/>
          <w:color w:val="000000"/>
        </w:rPr>
        <w:t>，人们常需对其进行“摘心”，如图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所示，解除主藤产生的生长素对侧枝生长的抑制作用。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1352550" cy="1409700"/>
            <wp:effectExtent l="0" t="0" r="0" b="0"/>
            <wp:docPr id="100011" name="图片 10001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（5）</w:t>
      </w:r>
      <w:r>
        <w:rPr>
          <w:rFonts w:ascii="宋体" w:eastAsia="宋体" w:hAnsi="宋体" w:cs="宋体"/>
          <w:color w:val="000000"/>
        </w:rPr>
        <w:t>该现象说明了生长素的调节作用具有</w:t>
      </w:r>
      <w:r>
        <w:rPr>
          <w:color w:val="000000"/>
        </w:rPr>
        <w:t>___________</w:t>
      </w:r>
      <w:r>
        <w:rPr>
          <w:rFonts w:ascii="宋体" w:eastAsia="宋体" w:hAnsi="宋体" w:cs="宋体"/>
          <w:color w:val="000000"/>
        </w:rPr>
        <w:t>性特点，下列现象也能体现出该特点的是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（本空编号选填）。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①植物根的正向重力性生长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②植物茎的负向重力性生长</w:t>
      </w:r>
      <w:r>
        <w:rPr>
          <w:rFonts w:ascii="Times New Roman" w:eastAsia="Times New Roman" w:hAnsi="Times New Roman" w:cs="Times New Roman"/>
          <w:color w:val="000000"/>
        </w:rPr>
        <w:t xml:space="preserve">  </w:t>
      </w:r>
      <w:r>
        <w:rPr>
          <w:rFonts w:ascii="宋体" w:eastAsia="宋体" w:hAnsi="宋体" w:cs="宋体"/>
          <w:color w:val="000000"/>
        </w:rPr>
        <w:t>③胚芽鞘向光弯曲生长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3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研究人员发现，干旱胁迫下，植物体通过分泌脱落酸（</w:t>
      </w:r>
      <w:r>
        <w:rPr>
          <w:rFonts w:ascii="Times New Roman" w:eastAsia="Times New Roman" w:hAnsi="Times New Roman" w:cs="Times New Roman"/>
          <w:color w:val="000000"/>
        </w:rPr>
        <w:t>ABA</w:t>
      </w:r>
      <w:r>
        <w:rPr>
          <w:rFonts w:ascii="宋体" w:eastAsia="宋体" w:hAnsi="宋体" w:cs="宋体"/>
          <w:color w:val="000000"/>
        </w:rPr>
        <w:t>）调节保卫细胞的生理变化，帮助植物抵抗逆境伤害。调节机制如图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中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所示。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2736850"/>
            <wp:effectExtent l="0" t="0" r="0" b="6350"/>
            <wp:docPr id="100013" name="图片 10001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736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（6）</w:t>
      </w:r>
      <w:r>
        <w:rPr>
          <w:rFonts w:ascii="宋体" w:eastAsia="宋体" w:hAnsi="宋体" w:cs="宋体"/>
          <w:color w:val="000000"/>
        </w:rPr>
        <w:t>脱落酸还能促进植物衰老，植物体内与之具有协同作用的是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。（单选）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赤霉素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乙烯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生长素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细胞分裂素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（7）</w:t>
      </w:r>
      <w:r>
        <w:rPr>
          <w:rFonts w:ascii="宋体" w:eastAsia="宋体" w:hAnsi="宋体" w:cs="宋体"/>
          <w:color w:val="000000"/>
        </w:rPr>
        <w:t>根据图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并结合已有知识，分析说明脱落酸（</w:t>
      </w:r>
      <w:r>
        <w:rPr>
          <w:rFonts w:ascii="Times New Roman" w:eastAsia="Times New Roman" w:hAnsi="Times New Roman" w:cs="Times New Roman"/>
          <w:color w:val="000000"/>
        </w:rPr>
        <w:t>ABA</w:t>
      </w:r>
      <w:r>
        <w:rPr>
          <w:rFonts w:ascii="宋体" w:eastAsia="宋体" w:hAnsi="宋体" w:cs="宋体"/>
          <w:color w:val="000000"/>
        </w:rPr>
        <w:t>）通过调节气孔导度帮助植物抵抗干旱胁迫的机制。</w:t>
      </w:r>
      <w:r>
        <w:rPr>
          <w:color w:val="000000"/>
        </w:rPr>
        <w:t>__________________________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eastAsia="宋体" w:hAnsi="宋体" w:cs="宋体"/>
          <w:color w:val="000000"/>
        </w:rPr>
        <w:t>排尿调节与障碍：图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为健康人体排尿反射示意图，图中，</w:t>
      </w:r>
      <w:r>
        <w:rPr>
          <w:rFonts w:ascii="Times New Roman" w:eastAsia="Times New Roman" w:hAnsi="Times New Roman" w:cs="Times New Roman"/>
          <w:color w:val="000000"/>
        </w:rPr>
        <w:t>a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b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、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为反射弧的部分结构组成，脑桥具有协调排尿过程的作用。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590800" cy="2809875"/>
            <wp:effectExtent l="0" t="0" r="0" b="9525"/>
            <wp:docPr id="100015" name="图片 10001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中，健康人发生排尿反射时，产生兴奋的传出神经是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（填图中字母），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神经纤维的膜电位表现为</w:t>
      </w:r>
      <w:r>
        <w:rPr>
          <w:color w:val="000000"/>
        </w:rPr>
        <w:t>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婴儿只要膀胱内尿液容量达到一定阈值，排尿反射就不可抑制的发生；成人可以使排尿成为一个有意识的活动。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比较婴儿和成人的排尿中枢和反射类型。婴儿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，成人：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。（编号选填）①大脑皮层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②脑桥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③骶髓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④非条件反射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⑤条件反射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某患者因受伤出现了想尿尿不出的尿潴留症状。该受损处不可能是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。（单选）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4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大脑皮层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脑桥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神经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宋体" w:eastAsia="宋体" w:hAnsi="宋体" w:cs="宋体"/>
          <w:color w:val="000000"/>
        </w:rPr>
        <w:t>神经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健康人体的排尿量还受抗利尿激素、肾上腺皮质激素等多因素影响的体液调节。图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为抗利尿激素（</w:t>
      </w:r>
      <w:r>
        <w:rPr>
          <w:rFonts w:ascii="Times New Roman" w:eastAsia="Times New Roman" w:hAnsi="Times New Roman" w:cs="Times New Roman"/>
          <w:color w:val="000000"/>
        </w:rPr>
        <w:t>ADH</w:t>
      </w:r>
      <w:r>
        <w:rPr>
          <w:rFonts w:ascii="宋体" w:eastAsia="宋体" w:hAnsi="宋体" w:cs="宋体"/>
          <w:color w:val="000000"/>
        </w:rPr>
        <w:t>）的调节作用示意图。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2819400" cy="2466975"/>
            <wp:effectExtent l="0" t="0" r="0" b="9525"/>
            <wp:docPr id="100017" name="图片 10001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246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（4）</w:t>
      </w:r>
      <w:r>
        <w:rPr>
          <w:rFonts w:ascii="宋体" w:eastAsia="宋体" w:hAnsi="宋体" w:cs="宋体"/>
          <w:color w:val="000000"/>
        </w:rPr>
        <w:t>在健康人的肾脏中，存在抗利尿激素的有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。（编号选填）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①尿液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②血浆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③组织液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④细胞内液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（5）</w:t>
      </w:r>
      <w:r>
        <w:rPr>
          <w:rFonts w:ascii="Times New Roman" w:eastAsia="Times New Roman" w:hAnsi="Times New Roman" w:cs="Times New Roman"/>
          <w:color w:val="000000"/>
        </w:rPr>
        <w:t>ADH</w:t>
      </w:r>
      <w:r>
        <w:rPr>
          <w:rFonts w:ascii="宋体" w:eastAsia="宋体" w:hAnsi="宋体" w:cs="宋体"/>
          <w:color w:val="000000"/>
        </w:rPr>
        <w:t>从合成部位向垂体移动的过程中，可以刺激促肾上腺皮质激素释放，说明</w:t>
      </w:r>
      <w:r>
        <w:rPr>
          <w:rFonts w:ascii="Times New Roman" w:eastAsia="Times New Roman" w:hAnsi="Times New Roman" w:cs="Times New Roman"/>
          <w:color w:val="000000"/>
        </w:rPr>
        <w:t>ADH</w:t>
      </w:r>
      <w:r>
        <w:rPr>
          <w:rFonts w:ascii="宋体" w:eastAsia="宋体" w:hAnsi="宋体" w:cs="宋体"/>
          <w:color w:val="000000"/>
        </w:rPr>
        <w:t>具有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  </w:t>
      </w:r>
      <w:r>
        <w:rPr>
          <w:rFonts w:ascii="宋体" w:eastAsia="宋体" w:hAnsi="宋体" w:cs="宋体"/>
          <w:color w:val="000000"/>
        </w:rPr>
        <w:t>样功能。（单选）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促肾上腺素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促肾上腺皮质激素释放激素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肾上腺皮质激素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促甲状腺激素释放激素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（6）</w:t>
      </w:r>
      <w:r>
        <w:rPr>
          <w:rFonts w:ascii="宋体" w:eastAsia="宋体" w:hAnsi="宋体" w:cs="宋体"/>
          <w:color w:val="000000"/>
        </w:rPr>
        <w:t>关于图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中</w:t>
      </w:r>
      <w:r>
        <w:rPr>
          <w:rFonts w:ascii="Times New Roman" w:eastAsia="Times New Roman" w:hAnsi="Times New Roman" w:cs="Times New Roman"/>
          <w:color w:val="000000"/>
        </w:rPr>
        <w:t>ADH</w:t>
      </w:r>
      <w:r>
        <w:rPr>
          <w:rFonts w:ascii="宋体" w:eastAsia="宋体" w:hAnsi="宋体" w:cs="宋体"/>
          <w:color w:val="000000"/>
        </w:rPr>
        <w:t>的作用机理分析合理的有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。（多选）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ADH</w:t>
      </w:r>
      <w:r>
        <w:rPr>
          <w:rFonts w:ascii="宋体" w:eastAsia="宋体" w:hAnsi="宋体" w:cs="宋体"/>
          <w:color w:val="000000"/>
        </w:rPr>
        <w:t>可促进肾小管上皮细胞的能量代谢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ADH</w:t>
      </w:r>
      <w:r>
        <w:rPr>
          <w:rFonts w:ascii="宋体" w:eastAsia="宋体" w:hAnsi="宋体" w:cs="宋体"/>
          <w:color w:val="000000"/>
        </w:rPr>
        <w:t>可同时促进多种</w:t>
      </w:r>
      <w:r>
        <w:rPr>
          <w:rFonts w:ascii="Times New Roman" w:eastAsia="Times New Roman" w:hAnsi="Times New Roman" w:cs="Times New Roman"/>
          <w:color w:val="000000"/>
        </w:rPr>
        <w:t>AQP</w:t>
      </w:r>
      <w:r>
        <w:rPr>
          <w:rFonts w:ascii="宋体" w:eastAsia="宋体" w:hAnsi="宋体" w:cs="宋体"/>
          <w:color w:val="000000"/>
        </w:rPr>
        <w:t>蛋白的合成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ADH</w:t>
      </w:r>
      <w:r>
        <w:rPr>
          <w:rFonts w:ascii="宋体" w:eastAsia="宋体" w:hAnsi="宋体" w:cs="宋体"/>
          <w:color w:val="000000"/>
        </w:rPr>
        <w:t>作用下可加快水分子主动运输速率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ADH</w:t>
      </w:r>
      <w:r>
        <w:rPr>
          <w:rFonts w:ascii="宋体" w:eastAsia="宋体" w:hAnsi="宋体" w:cs="宋体"/>
          <w:color w:val="000000"/>
        </w:rPr>
        <w:t>促进肾小管的重吸收具有特异性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尿崩症是由于某种病变引起尿液浓缩障碍，患者出现持续性排出低渗性尿液的多尿状态。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（7）</w:t>
      </w:r>
      <w:r>
        <w:rPr>
          <w:rFonts w:ascii="宋体" w:eastAsia="宋体" w:hAnsi="宋体" w:cs="宋体"/>
          <w:color w:val="000000"/>
        </w:rPr>
        <w:t>获得性尿崩症常常因某些器官损伤或病变而引起，以下病变结构可能会引发尿崩症的有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。（编号选填）①渗透压感受器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②下丘脑</w:t>
      </w:r>
      <w:r>
        <w:rPr>
          <w:rFonts w:ascii="Times New Roman" w:eastAsia="Times New Roman" w:hAnsi="Times New Roman" w:cs="Times New Roman"/>
          <w:color w:val="000000"/>
        </w:rPr>
        <w:t>-</w:t>
      </w:r>
      <w:r>
        <w:rPr>
          <w:rFonts w:ascii="宋体" w:eastAsia="宋体" w:hAnsi="宋体" w:cs="宋体"/>
          <w:color w:val="000000"/>
        </w:rPr>
        <w:t>垂体神经束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③脊髓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（8）</w:t>
      </w:r>
      <w:r>
        <w:rPr>
          <w:rFonts w:ascii="宋体" w:eastAsia="宋体" w:hAnsi="宋体" w:cs="宋体"/>
          <w:color w:val="000000"/>
        </w:rPr>
        <w:t>较多受伤引起的尿崩症具有暂时性特征，与受伤部位发生炎症反应引起局部水肿发生和消退的过程有关。炎症反应特点是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  </w:t>
      </w:r>
      <w:r>
        <w:rPr>
          <w:rFonts w:ascii="宋体" w:eastAsia="宋体" w:hAnsi="宋体" w:cs="宋体"/>
          <w:color w:val="000000"/>
        </w:rPr>
        <w:t>。（多选）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属于免疫的第二道防线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主要由吞噬细胞识别、吞噬病原体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属于特异性免疫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“水肿”与毛细血管通透性增加有关</w:t>
      </w:r>
    </w:p>
    <w:p>
      <w:pPr>
        <w:spacing w:line="360" w:lineRule="auto"/>
        <w:jc w:val="both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5"/>
          <w:cols w:num="1" w:space="720"/>
          <w:titlePg w:val="0"/>
          <w:docGrid w:type="lines" w:linePitch="312" w:charSpace="0"/>
        </w:sectPr>
      </w:pPr>
      <w:r>
        <w:rPr>
          <w:rFonts w:ascii="宋体" w:eastAsia="宋体" w:hAnsi="宋体" w:cs="宋体"/>
          <w:color w:val="000000"/>
        </w:rPr>
        <w:t>某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岁男孩因疑似尿崩症收治住院，经临床分析诊断为一种遗传性肾性尿崩症（</w:t>
      </w:r>
      <w:r>
        <w:rPr>
          <w:rFonts w:ascii="Times New Roman" w:eastAsia="Times New Roman" w:hAnsi="Times New Roman" w:cs="Times New Roman"/>
          <w:color w:val="000000"/>
        </w:rPr>
        <w:t>HNDI</w:t>
      </w:r>
      <w:r>
        <w:rPr>
          <w:rFonts w:ascii="宋体" w:eastAsia="宋体" w:hAnsi="宋体" w:cs="宋体"/>
          <w:color w:val="000000"/>
        </w:rPr>
        <w:t>），与图</w:t>
      </w:r>
      <w:r>
        <w:rPr>
          <w:rFonts w:ascii="Times New Roman" w:eastAsia="Times New Roman" w:hAnsi="Times New Roman" w:cs="Times New Roman"/>
          <w:color w:val="000000"/>
        </w:rPr>
        <w:t>2 AVPR2</w:t>
      </w:r>
      <w:r>
        <w:rPr>
          <w:rFonts w:ascii="宋体" w:eastAsia="宋体" w:hAnsi="宋体" w:cs="宋体"/>
          <w:color w:val="000000"/>
        </w:rPr>
        <w:t>（基因定位于</w:t>
      </w:r>
      <w:r>
        <w:rPr>
          <w:rFonts w:ascii="Times New Roman" w:eastAsia="Times New Roman" w:hAnsi="Times New Roman" w:cs="Times New Roman"/>
          <w:color w:val="000000"/>
        </w:rPr>
        <w:t>X</w:t>
      </w:r>
      <w:r>
        <w:rPr>
          <w:rFonts w:ascii="宋体" w:eastAsia="宋体" w:hAnsi="宋体" w:cs="宋体"/>
          <w:color w:val="000000"/>
        </w:rPr>
        <w:t>染色体）或</w:t>
      </w:r>
      <w:r>
        <w:rPr>
          <w:rFonts w:ascii="Times New Roman" w:eastAsia="Times New Roman" w:hAnsi="Times New Roman" w:cs="Times New Roman"/>
          <w:color w:val="000000"/>
        </w:rPr>
        <w:t>AQP2</w:t>
      </w:r>
      <w:r>
        <w:rPr>
          <w:rFonts w:ascii="宋体" w:eastAsia="宋体" w:hAnsi="宋体" w:cs="宋体"/>
          <w:color w:val="000000"/>
        </w:rPr>
        <w:t>（基因定位于</w:t>
      </w:r>
      <w:r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宋体" w:eastAsia="宋体" w:hAnsi="宋体" w:cs="宋体"/>
          <w:color w:val="000000"/>
        </w:rPr>
        <w:t>染色体）异常有关。图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为该男孩（即图中先证者）家族遗传系谱图，先证者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55" name="图片 10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父母基因组成有差异。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486275" cy="1543050"/>
            <wp:effectExtent l="0" t="0" r="9525" b="0"/>
            <wp:docPr id="100019" name="图片 10001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154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（9）</w:t>
      </w:r>
      <w:r>
        <w:rPr>
          <w:rFonts w:ascii="宋体" w:eastAsia="宋体" w:hAnsi="宋体" w:cs="宋体"/>
          <w:color w:val="000000"/>
        </w:rPr>
        <w:t>临床分析并获得图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家族遗传系谱图，需要对患者家庭成员进行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。（多选）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病情诊断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收集家族遗传病史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基因检测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产前诊断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（10）</w:t>
      </w:r>
      <w:r>
        <w:rPr>
          <w:rFonts w:ascii="宋体" w:eastAsia="宋体" w:hAnsi="宋体" w:cs="宋体"/>
          <w:color w:val="000000"/>
        </w:rPr>
        <w:t>该先证者的致病原因、致病基因来源及遗传方式依次是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。（编号选填）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①</w:t>
      </w:r>
      <w:r>
        <w:rPr>
          <w:rFonts w:ascii="Times New Roman" w:eastAsia="Times New Roman" w:hAnsi="Times New Roman" w:cs="Times New Roman"/>
          <w:color w:val="000000"/>
        </w:rPr>
        <w:t>AVPR2</w:t>
      </w:r>
      <w:r>
        <w:rPr>
          <w:rFonts w:ascii="宋体" w:eastAsia="宋体" w:hAnsi="宋体" w:cs="宋体"/>
          <w:color w:val="000000"/>
        </w:rPr>
        <w:t>基因突变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②</w:t>
      </w:r>
      <w:r>
        <w:rPr>
          <w:rFonts w:ascii="Times New Roman" w:eastAsia="Times New Roman" w:hAnsi="Times New Roman" w:cs="Times New Roman"/>
          <w:color w:val="000000"/>
        </w:rPr>
        <w:t>AQP2</w:t>
      </w:r>
      <w:r>
        <w:rPr>
          <w:rFonts w:ascii="宋体" w:eastAsia="宋体" w:hAnsi="宋体" w:cs="宋体"/>
          <w:color w:val="000000"/>
        </w:rPr>
        <w:t>基因突变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③父亲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④母亲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⑤显性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⑥隐性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eastAsia="宋体" w:hAnsi="宋体" w:cs="宋体"/>
          <w:color w:val="000000"/>
        </w:rPr>
        <w:t>细胞培养肉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随着世界总人口增长和肉类消费量的持续提高，细胞培养肉有望成为未来人类肉制品的来源之一。细胞培养肉的制造过程如下图</w:t>
      </w:r>
      <w:r>
        <w:rPr>
          <w:rFonts w:ascii="Calibri" w:eastAsia="Calibri" w:hAnsi="Calibri" w:cs="Calibri"/>
          <w:color w:val="000000"/>
        </w:rPr>
        <w:t>1</w:t>
      </w:r>
      <w:r>
        <w:rPr>
          <w:rFonts w:ascii="宋体" w:eastAsia="宋体" w:hAnsi="宋体" w:cs="宋体"/>
          <w:color w:val="000000"/>
        </w:rPr>
        <w:t>所示：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514850" cy="2771775"/>
            <wp:effectExtent l="0" t="0" r="0" b="9525"/>
            <wp:docPr id="100021" name="图片 10002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细胞培养肉制造过程中主要涉及的生物技术有</w:t>
      </w:r>
      <w:r>
        <w:rPr>
          <w:color w:val="000000"/>
        </w:rPr>
        <w:t>______</w:t>
      </w:r>
      <w:r>
        <w:rPr>
          <w:rFonts w:ascii="宋体" w:eastAsia="宋体" w:hAnsi="宋体" w:cs="宋体"/>
          <w:color w:val="000000"/>
        </w:rPr>
        <w:t>。（编号选填）①核移植技术</w:t>
      </w:r>
      <w:r>
        <w:rPr>
          <w:rFonts w:ascii="Calibri" w:eastAsia="Calibri" w:hAnsi="Calibri" w:cs="Calibri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②细胞培养技术</w:t>
      </w:r>
      <w:r>
        <w:rPr>
          <w:rFonts w:ascii="Calibri" w:eastAsia="Calibri" w:hAnsi="Calibri" w:cs="Calibri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③干细胞技术</w:t>
      </w:r>
      <w:r>
        <w:rPr>
          <w:rFonts w:ascii="Calibri" w:eastAsia="Calibri" w:hAnsi="Calibri" w:cs="Calibri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④试管动物技术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Calibri" w:eastAsia="Calibri" w:hAnsi="Calibri" w:cs="Calibri"/>
          <w:color w:val="000000"/>
        </w:rPr>
        <w:t>1</w:t>
      </w:r>
      <w:r>
        <w:rPr>
          <w:rFonts w:ascii="宋体" w:eastAsia="宋体" w:hAnsi="宋体" w:cs="宋体"/>
          <w:color w:val="000000"/>
        </w:rPr>
        <w:t>步骤②的生物反应器中，在满足细胞培养所需要的温度、</w:t>
      </w:r>
      <w:r>
        <w:rPr>
          <w:rFonts w:ascii="Calibri" w:eastAsia="Calibri" w:hAnsi="Calibri" w:cs="Calibri"/>
          <w:color w:val="000000"/>
        </w:rPr>
        <w:t>PH</w:t>
      </w:r>
      <w:r>
        <w:rPr>
          <w:rFonts w:ascii="宋体" w:eastAsia="宋体" w:hAnsi="宋体" w:cs="宋体"/>
          <w:color w:val="000000"/>
        </w:rPr>
        <w:t>和溶解氧等条件下，以下操作正确的是</w:t>
      </w:r>
      <w:r>
        <w:rPr>
          <w:rFonts w:ascii="Calibri" w:eastAsia="Calibri" w:hAnsi="Calibri" w:cs="Calibri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。（多选）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严格控制无菌环境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定期更换培养液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及时清除代谢产物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定期添加琼脂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6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步骤②的生物反应器中，所有细胞均能发生的生理过程为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，只能发生在干细胞增殖过程中的生理过程为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。（图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中的编号选填）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657725" cy="857250"/>
            <wp:effectExtent l="0" t="0" r="9525" b="0"/>
            <wp:docPr id="100023" name="图片 10002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（4）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Calibri" w:eastAsia="Calibri" w:hAnsi="Calibri" w:cs="Calibri"/>
          <w:color w:val="000000"/>
        </w:rPr>
        <w:t>1</w:t>
      </w:r>
      <w:r>
        <w:rPr>
          <w:rFonts w:ascii="宋体" w:eastAsia="宋体" w:hAnsi="宋体" w:cs="宋体"/>
          <w:color w:val="000000"/>
        </w:rPr>
        <w:t>的步骤①</w:t>
      </w:r>
      <w:r>
        <w:rPr>
          <w:rFonts w:ascii="Calibri" w:eastAsia="Calibri" w:hAnsi="Calibri" w:cs="Calibri"/>
          <w:color w:val="000000"/>
        </w:rPr>
        <w:t>→</w:t>
      </w:r>
      <w:r>
        <w:rPr>
          <w:rFonts w:ascii="宋体" w:eastAsia="宋体" w:hAnsi="宋体" w:cs="宋体"/>
          <w:color w:val="000000"/>
        </w:rPr>
        <w:t>②过程中，能够说明干细胞已被成功地培养为肌细胞的证据是细胞</w:t>
      </w:r>
      <w:r>
        <w:rPr>
          <w:rFonts w:ascii="Calibri" w:eastAsia="Calibri" w:hAnsi="Calibri" w:cs="Calibri"/>
          <w:color w:val="000000"/>
          <w:u w:val="single"/>
        </w:rPr>
        <w:t xml:space="preserve">         </w:t>
      </w:r>
      <w:r>
        <w:rPr>
          <w:rFonts w:ascii="宋体" w:eastAsia="宋体" w:hAnsi="宋体" w:cs="宋体"/>
          <w:color w:val="000000"/>
        </w:rPr>
        <w:t>。（多选）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形态呈梭形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具备收缩功能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C</w:t>
      </w:r>
      <w:r>
        <w:rPr>
          <w:color w:val="000000"/>
          <w:position w:val="-22"/>
        </w:rPr>
        <w:drawing>
          <wp:inline distT="0" distB="0" distL="114300" distR="114300">
            <wp:extent cx="31750" cy="88900"/>
            <wp:effectExtent l="0" t="0" r="0" b="0"/>
            <wp:docPr id="100061" name="图片 10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1" name="图片 1000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</w:t>
      </w:r>
      <w:r>
        <w:rPr>
          <w:rFonts w:ascii="宋体" w:eastAsia="宋体" w:hAnsi="宋体" w:cs="宋体"/>
          <w:color w:val="000000"/>
        </w:rPr>
        <w:t>具有肌原纤维蛋白基因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能合成肌浆蛋白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某科研团队探究了维生素</w:t>
      </w:r>
      <w:r>
        <w:rPr>
          <w:rFonts w:ascii="Calibri" w:eastAsia="Calibri" w:hAnsi="Calibri" w:cs="Calibri"/>
          <w:color w:val="000000"/>
        </w:rPr>
        <w:t>C</w:t>
      </w:r>
      <w:r>
        <w:rPr>
          <w:rFonts w:ascii="宋体" w:eastAsia="宋体" w:hAnsi="宋体" w:cs="宋体"/>
          <w:color w:val="000000"/>
        </w:rPr>
        <w:t>对猪肌肉干细胞体外增殖的影响，部分实验结果如图</w:t>
      </w:r>
      <w:r>
        <w:rPr>
          <w:rFonts w:ascii="Calibri" w:eastAsia="Calibri" w:hAnsi="Calibri" w:cs="Calibri"/>
          <w:color w:val="000000"/>
        </w:rPr>
        <w:t>3</w:t>
      </w:r>
      <w:r>
        <w:rPr>
          <w:rFonts w:ascii="宋体" w:eastAsia="宋体" w:hAnsi="宋体" w:cs="宋体"/>
          <w:color w:val="000000"/>
        </w:rPr>
        <w:t>所示，图</w:t>
      </w:r>
      <w:r>
        <w:rPr>
          <w:rFonts w:ascii="Calibri" w:eastAsia="Calibri" w:hAnsi="Calibri" w:cs="Calibri"/>
          <w:color w:val="000000"/>
        </w:rPr>
        <w:t>4</w:t>
      </w:r>
      <w:r>
        <w:rPr>
          <w:rFonts w:ascii="宋体" w:eastAsia="宋体" w:hAnsi="宋体" w:cs="宋体"/>
          <w:color w:val="000000"/>
        </w:rPr>
        <w:t>是验证维生素</w:t>
      </w:r>
      <w:r>
        <w:rPr>
          <w:rFonts w:ascii="Calibri" w:eastAsia="Calibri" w:hAnsi="Calibri" w:cs="Calibri"/>
          <w:color w:val="000000"/>
        </w:rPr>
        <w:t>C</w:t>
      </w:r>
      <w:r>
        <w:rPr>
          <w:rFonts w:ascii="宋体" w:eastAsia="宋体" w:hAnsi="宋体" w:cs="宋体"/>
          <w:color w:val="000000"/>
        </w:rPr>
        <w:t>通过影响</w:t>
      </w:r>
      <w:r>
        <w:rPr>
          <w:rFonts w:ascii="Calibri" w:eastAsia="Calibri" w:hAnsi="Calibri" w:cs="Calibri"/>
          <w:color w:val="000000"/>
        </w:rPr>
        <w:t>P13K</w:t>
      </w:r>
      <w:r>
        <w:rPr>
          <w:rFonts w:ascii="宋体" w:eastAsia="宋体" w:hAnsi="宋体" w:cs="宋体"/>
          <w:color w:val="000000"/>
        </w:rPr>
        <w:t>（一种与细胞增殖相关的信号分子）水平来影响细胞增殖的实验及获得的数据。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4572000" cy="2181225"/>
            <wp:effectExtent l="0" t="0" r="0" b="9525"/>
            <wp:docPr id="100025" name="图片 10002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18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（5）</w:t>
      </w:r>
      <w:r>
        <w:rPr>
          <w:rFonts w:ascii="宋体" w:eastAsia="宋体" w:hAnsi="宋体" w:cs="宋体"/>
          <w:color w:val="000000"/>
        </w:rPr>
        <w:t>在猪肌肉干细胞培养基中添加的维生素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属于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。（单选）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碳源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氮源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能源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生长因子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（6）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实验所研究的各浓度中，</w:t>
      </w:r>
      <w:r>
        <w:rPr>
          <w:color w:val="000000"/>
        </w:rPr>
        <w:t>___________</w:t>
      </w:r>
      <w:r>
        <w:rPr>
          <w:rFonts w:ascii="Times New Roman" w:eastAsia="Times New Roman" w:hAnsi="Times New Roman" w:cs="Times New Roman"/>
          <w:color w:val="000000"/>
        </w:rPr>
        <w:t>μM</w:t>
      </w:r>
      <w:r>
        <w:rPr>
          <w:rFonts w:ascii="宋体" w:eastAsia="宋体" w:hAnsi="宋体" w:cs="宋体"/>
          <w:color w:val="000000"/>
        </w:rPr>
        <w:t>维生素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对猪肌肉干细胞体外增殖有促进作用。图</w:t>
      </w:r>
      <w:r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宋体" w:eastAsia="宋体" w:hAnsi="宋体" w:cs="宋体"/>
          <w:color w:val="000000"/>
        </w:rPr>
        <w:t>中实验组合</w:t>
      </w:r>
      <w:r>
        <w:rPr>
          <w:color w:val="000000"/>
        </w:rPr>
        <w:t>____________</w:t>
      </w:r>
      <w:r>
        <w:rPr>
          <w:rFonts w:ascii="宋体" w:eastAsia="宋体" w:hAnsi="宋体" w:cs="宋体"/>
          <w:color w:val="000000"/>
        </w:rPr>
        <w:t>可对照说明维生素</w:t>
      </w:r>
      <w:r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宋体" w:eastAsia="宋体" w:hAnsi="宋体" w:cs="宋体"/>
          <w:color w:val="000000"/>
        </w:rPr>
        <w:t>的促增殖作用被</w:t>
      </w:r>
      <w:r>
        <w:rPr>
          <w:rFonts w:ascii="Times New Roman" w:eastAsia="Times New Roman" w:hAnsi="Times New Roman" w:cs="Times New Roman"/>
          <w:color w:val="000000"/>
        </w:rPr>
        <w:t>PI3K</w:t>
      </w:r>
      <w:r>
        <w:rPr>
          <w:rFonts w:ascii="宋体" w:eastAsia="宋体" w:hAnsi="宋体" w:cs="宋体"/>
          <w:color w:val="000000"/>
        </w:rPr>
        <w:t>信号抑制剂抑制。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eastAsia="宋体" w:hAnsi="宋体" w:cs="宋体"/>
          <w:color w:val="000000"/>
        </w:rPr>
        <w:t>监测环境中的四环素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科研团队通过转基因获得了一种大肠杆菌工程菌，成为监测残留在生物组织或环境中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63" name="图片 1000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3" name="图片 1000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四环素水平的“报警器”，其监测原理如图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所示，天然大肠杆菌不具备图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中所示基因。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1562100"/>
            <wp:effectExtent l="0" t="0" r="0" b="0"/>
            <wp:docPr id="100027" name="图片 10002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5625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备注：启动子有利于</w:t>
      </w:r>
      <w:r>
        <w:rPr>
          <w:rFonts w:ascii="Times New Roman" w:eastAsia="Times New Roman" w:hAnsi="Times New Roman" w:cs="Times New Roman"/>
          <w:color w:val="000000"/>
        </w:rPr>
        <w:t>RNA</w:t>
      </w:r>
      <w:r>
        <w:rPr>
          <w:rFonts w:ascii="宋体" w:eastAsia="宋体" w:hAnsi="宋体" w:cs="宋体"/>
          <w:color w:val="000000"/>
        </w:rPr>
        <w:t>聚合酶识别并启动特定基因的转录，</w:t>
      </w:r>
      <w:r>
        <w:rPr>
          <w:rFonts w:ascii="Times New Roman" w:eastAsia="Times New Roman" w:hAnsi="Times New Roman" w:cs="Times New Roman"/>
          <w:color w:val="000000"/>
        </w:rPr>
        <w:t>GFP</w:t>
      </w:r>
      <w:r>
        <w:rPr>
          <w:rFonts w:ascii="宋体" w:eastAsia="宋体" w:hAnsi="宋体" w:cs="宋体"/>
          <w:color w:val="000000"/>
        </w:rPr>
        <w:t>蛋白可在一定条件下发出荧光。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在上述研究中，需导入天然大肠杆菌的目的基因有</w:t>
      </w:r>
      <w:r>
        <w:rPr>
          <w:color w:val="000000"/>
        </w:rPr>
        <w:t>_______</w:t>
      </w:r>
      <w:r>
        <w:rPr>
          <w:rFonts w:ascii="宋体" w:eastAsia="宋体" w:hAnsi="宋体" w:cs="宋体"/>
          <w:color w:val="000000"/>
        </w:rPr>
        <w:t>。（编号选填）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四环素合成相关基因</w:t>
      </w:r>
      <w:r>
        <w:rPr>
          <w:rFonts w:ascii="Times New Roman" w:eastAsia="Times New Roman" w:hAnsi="Times New Roman" w:cs="Times New Roman"/>
          <w:color w:val="000000"/>
        </w:rPr>
        <w:t xml:space="preserve">    ②GFP</w:t>
      </w:r>
      <w:r>
        <w:rPr>
          <w:rFonts w:ascii="宋体" w:eastAsia="宋体" w:hAnsi="宋体" w:cs="宋体"/>
          <w:color w:val="000000"/>
        </w:rPr>
        <w:t>基因</w:t>
      </w:r>
      <w:r>
        <w:rPr>
          <w:rFonts w:ascii="Times New Roman" w:eastAsia="Times New Roman" w:hAnsi="Times New Roman" w:cs="Times New Roman"/>
          <w:color w:val="000000"/>
        </w:rPr>
        <w:t xml:space="preserve">    ③TetR</w:t>
      </w:r>
      <w:r>
        <w:rPr>
          <w:rFonts w:ascii="宋体" w:eastAsia="宋体" w:hAnsi="宋体" w:cs="宋体"/>
          <w:color w:val="000000"/>
        </w:rPr>
        <w:t>基因</w:t>
      </w:r>
      <w:r>
        <w:rPr>
          <w:rFonts w:ascii="Times New Roman" w:eastAsia="Times New Roman" w:hAnsi="Times New Roman" w:cs="Times New Roman"/>
          <w:color w:val="000000"/>
        </w:rPr>
        <w:t xml:space="preserve">    ④RNA</w:t>
      </w:r>
      <w:r>
        <w:rPr>
          <w:rFonts w:ascii="宋体" w:eastAsia="宋体" w:hAnsi="宋体" w:cs="宋体"/>
          <w:color w:val="000000"/>
        </w:rPr>
        <w:t>聚合酶基因</w:t>
      </w:r>
    </w:p>
    <w:p>
      <w:pPr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7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据图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，当环境中不含四环素时，该大肠杆菌工程菌</w:t>
      </w:r>
      <w:r>
        <w:rPr>
          <w:color w:val="000000"/>
        </w:rPr>
        <w:t>________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（选填“能发出”“不发出”）荧光；环境中四环素水平越高，该种大肠杆菌工程菌的荧光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（选填“增强”“减弱”“不变”）。试概述该种四环素检测方法的原理：</w:t>
      </w:r>
      <w:r>
        <w:rPr>
          <w:color w:val="000000"/>
        </w:rPr>
        <w:t>_____________________________</w:t>
      </w:r>
      <w:r>
        <w:rPr>
          <w:rFonts w:ascii="宋体" w:eastAsia="宋体" w:hAnsi="宋体" w:cs="宋体"/>
          <w:color w:val="000000"/>
        </w:rPr>
        <w:t>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示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个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片段、质粒及其上的限制性内切核酸酶的识别序列的分布情况；其中质粒上的</w:t>
      </w:r>
      <w:r>
        <w:rPr>
          <w:rFonts w:ascii="Times New Roman" w:eastAsia="Times New Roman" w:hAnsi="Times New Roman" w:cs="Times New Roman"/>
          <w:color w:val="000000"/>
        </w:rPr>
        <w:t>Amp</w:t>
      </w:r>
      <w:r>
        <w:rPr>
          <w:color w:val="000000"/>
          <w:vertAlign w:val="superscript"/>
        </w:rPr>
        <w:t>r</w:t>
      </w:r>
      <w:r>
        <w:rPr>
          <w:rFonts w:ascii="宋体" w:eastAsia="宋体" w:hAnsi="宋体" w:cs="宋体"/>
          <w:color w:val="000000"/>
        </w:rPr>
        <w:t>代表青霉素抗性基因。表为相关限制性内切核酸酶的识别序列与切割位点。</w:t>
      </w:r>
    </w:p>
    <w:p>
      <w:pPr>
        <w:spacing w:line="360" w:lineRule="auto"/>
        <w:jc w:val="both"/>
        <w:textAlignment w:val="center"/>
        <w:rPr>
          <w:color w:val="000000"/>
        </w:rPr>
      </w:pPr>
      <w:r>
        <w:rPr>
          <w:color w:val="000000"/>
        </w:rPr>
        <w:drawing>
          <wp:inline distT="0" distB="0" distL="114300" distR="114300">
            <wp:extent cx="5238750" cy="2127250"/>
            <wp:effectExtent l="0" t="0" r="0" b="6350"/>
            <wp:docPr id="100029" name="图片 10002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127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7530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710"/>
        <w:gridCol w:w="2280"/>
        <w:gridCol w:w="1170"/>
        <w:gridCol w:w="1140"/>
        <w:gridCol w:w="1230"/>
      </w:tblGrid>
      <w:tr>
        <w:tblPrEx>
          <w:tblW w:w="7530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限制酶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EcoRⅠ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XbaⅠ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SpeⅠ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BamHⅠ</w:t>
            </w:r>
          </w:p>
        </w:tc>
      </w:tr>
      <w:tr>
        <w:tblPrEx>
          <w:tblW w:w="7530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识别序列及切割位点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1295400" cy="371475"/>
                  <wp:effectExtent l="0" t="0" r="0" b="9525"/>
                  <wp:docPr id="100031" name="图片 100031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1" name="图片 100031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581025" cy="171450"/>
                  <wp:effectExtent l="0" t="0" r="9525" b="0"/>
                  <wp:docPr id="100033" name="图片 100033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3" name="图片 100033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571500" cy="152400"/>
                  <wp:effectExtent l="0" t="0" r="0" b="0"/>
                  <wp:docPr id="100035" name="图片 100035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5" name="图片 100035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15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619125" cy="171450"/>
                  <wp:effectExtent l="0" t="0" r="9525" b="0"/>
                  <wp:docPr id="100037" name="图片 100037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7" name="图片 100037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12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360" w:lineRule="auto"/>
        <w:jc w:val="left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若要拼接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片段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，结合图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和表中信息，在特定工具酶作用下能成功拼接的位点处碱基序列为</w:t>
      </w:r>
      <w:r>
        <w:rPr>
          <w:color w:val="000000"/>
        </w:rPr>
        <w:t>_____________</w:t>
      </w:r>
      <w:r>
        <w:rPr>
          <w:rFonts w:ascii="宋体" w:eastAsia="宋体" w:hAnsi="宋体" w:cs="宋体"/>
          <w:color w:val="000000"/>
        </w:rPr>
        <w:t>。（编号选填）</w:t>
      </w:r>
    </w:p>
    <w:tbl>
      <w:tblPr>
        <w:tblStyle w:val="TableNormal"/>
        <w:tblW w:w="82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665"/>
        <w:gridCol w:w="1710"/>
        <w:gridCol w:w="1590"/>
        <w:gridCol w:w="1650"/>
        <w:gridCol w:w="1680"/>
      </w:tblGrid>
      <w:tr>
        <w:tblPrEx>
          <w:tblW w:w="8295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编号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①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②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③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④</w:t>
            </w:r>
          </w:p>
        </w:tc>
      </w:tr>
      <w:tr>
        <w:tblPrEx>
          <w:tblW w:w="8295" w:type="dxa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rFonts w:ascii="宋体" w:eastAsia="宋体" w:hAnsi="宋体" w:cs="宋体"/>
                <w:color w:val="000000"/>
              </w:rPr>
              <w:t>拼接位点处的碱基序列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923925" cy="257175"/>
                  <wp:effectExtent l="0" t="0" r="9525" b="9525"/>
                  <wp:docPr id="100039" name="图片 100039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39" name="图片 100039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847725" cy="219075"/>
                  <wp:effectExtent l="0" t="0" r="9525" b="9525"/>
                  <wp:docPr id="100041" name="图片 100041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1" name="图片 100041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219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895350" cy="247650"/>
                  <wp:effectExtent l="0" t="0" r="0" b="0"/>
                  <wp:docPr id="100043" name="图片 100043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3" name="图片 100043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535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drawing>
                <wp:inline distT="0" distB="0" distL="114300" distR="114300">
                  <wp:extent cx="904875" cy="257175"/>
                  <wp:effectExtent l="0" t="0" r="9525" b="9525"/>
                  <wp:docPr id="100045" name="图片 100045" descr="学科网(www.zxxk.com)--教育资源门户，提供试卷、教案、课件、论文、素材以及各类教学资源下载，还有大量而丰富的教学相关资讯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45" name="图片 100045" descr="学科网(www.zxxk.com)--教育资源门户，提供试卷、教案、课件、论文、素材以及各类教学资源下载，还有大量而丰富的教学相关资讯！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875" cy="257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360" w:lineRule="auto"/>
        <w:jc w:val="both"/>
        <w:textAlignment w:val="center"/>
        <w:rPr>
          <w:color w:val="000000"/>
        </w:rPr>
      </w:pP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（4）</w:t>
      </w:r>
      <w:r>
        <w:rPr>
          <w:rFonts w:ascii="宋体" w:eastAsia="宋体" w:hAnsi="宋体" w:cs="宋体"/>
          <w:color w:val="000000"/>
        </w:rPr>
        <w:t>研究人员设计了一个同时含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片段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和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的重组质粒的拼接方案，结合图和表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信息，你认为最终建构成功的重组质粒示意图最合理的是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。（单选）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8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 xml:space="preserve">A. </w:t>
      </w:r>
      <w:r>
        <w:rPr>
          <w:color w:val="000000"/>
        </w:rPr>
        <w:drawing>
          <wp:inline distT="0" distB="0" distL="114300" distR="114300">
            <wp:extent cx="2247900" cy="1762125"/>
            <wp:effectExtent l="0" t="0" r="0" b="9525"/>
            <wp:docPr id="100047" name="图片 10004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247900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color w:val="000000"/>
        </w:rPr>
        <w:drawing>
          <wp:inline distT="0" distB="0" distL="114300" distR="114300">
            <wp:extent cx="2143125" cy="1714500"/>
            <wp:effectExtent l="0" t="0" r="9525" b="0"/>
            <wp:docPr id="100049" name="图片 10004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color w:val="000000"/>
        </w:rPr>
        <w:drawing>
          <wp:inline distT="0" distB="0" distL="114300" distR="114300">
            <wp:extent cx="2171700" cy="1752600"/>
            <wp:effectExtent l="0" t="0" r="0" b="0"/>
            <wp:docPr id="100051" name="图片 10005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color w:val="000000"/>
        </w:rPr>
        <w:drawing>
          <wp:inline distT="0" distB="0" distL="114300" distR="114300">
            <wp:extent cx="2219325" cy="1771650"/>
            <wp:effectExtent l="0" t="0" r="9525" b="0"/>
            <wp:docPr id="100053" name="图片 10005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3" name="图片 10005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219325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（5）</w:t>
      </w:r>
      <w:r>
        <w:rPr>
          <w:rFonts w:ascii="宋体" w:eastAsia="宋体" w:hAnsi="宋体" w:cs="宋体"/>
          <w:color w:val="000000"/>
        </w:rPr>
        <w:t>下列操作能够证明重组质粒和大肠杆菌工程菌建构成功</w:t>
      </w:r>
      <w:r>
        <w:rPr>
          <w:rFonts w:ascii="宋体" w:eastAsia="宋体" w:hAnsi="宋体" w:cs="宋体"/>
          <w:color w:val="000000"/>
          <w:position w:val="0"/>
        </w:rPr>
        <w:drawing>
          <wp:inline distT="0" distB="0" distL="114300" distR="114300">
            <wp:extent cx="133350" cy="177800"/>
            <wp:effectExtent l="0" t="0" r="0" b="13335"/>
            <wp:docPr id="100057" name="图片 100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7" name="图片 1000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  <w:color w:val="000000"/>
        </w:rPr>
        <w:t>方法及现象有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。（多选）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通过琼脂糖凝胶电泳实验证明重组质粒的大小符合预期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大肠杆菌工程菌不能在含有青霉素的培养基上生长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用显微镜观察重组质粒上的外源</w:t>
      </w:r>
      <w:r>
        <w:rPr>
          <w:rFonts w:ascii="Times New Roman" w:eastAsia="Times New Roman" w:hAnsi="Times New Roman" w:cs="Times New Roman"/>
          <w:color w:val="000000"/>
        </w:rPr>
        <w:t>DNA</w:t>
      </w:r>
      <w:r>
        <w:rPr>
          <w:rFonts w:ascii="宋体" w:eastAsia="宋体" w:hAnsi="宋体" w:cs="宋体"/>
          <w:color w:val="000000"/>
        </w:rPr>
        <w:t>片段的碱基序列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四环素浓度变化能引起大肠杆菌工程菌荧光强度的相应改变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（6）</w:t>
      </w:r>
      <w:r>
        <w:rPr>
          <w:rFonts w:ascii="宋体" w:eastAsia="宋体" w:hAnsi="宋体" w:cs="宋体"/>
          <w:color w:val="000000"/>
        </w:rPr>
        <w:t>为提高对环境中四环素水平监测的有效性，研究人员将</w:t>
      </w:r>
      <w:r>
        <w:rPr>
          <w:rFonts w:ascii="Times New Roman" w:eastAsia="Times New Roman" w:hAnsi="Times New Roman" w:cs="Times New Roman"/>
          <w:color w:val="000000"/>
        </w:rPr>
        <w:t>GFP</w:t>
      </w:r>
      <w:r>
        <w:rPr>
          <w:rFonts w:ascii="宋体" w:eastAsia="宋体" w:hAnsi="宋体" w:cs="宋体"/>
          <w:color w:val="000000"/>
        </w:rPr>
        <w:t>的第</w:t>
      </w:r>
      <w:r>
        <w:rPr>
          <w:rFonts w:ascii="Times New Roman" w:eastAsia="Times New Roman" w:hAnsi="Times New Roman" w:cs="Times New Roman"/>
          <w:color w:val="000000"/>
        </w:rPr>
        <w:t>65</w:t>
      </w:r>
      <w:r>
        <w:rPr>
          <w:rFonts w:ascii="宋体" w:eastAsia="宋体" w:hAnsi="宋体" w:cs="宋体"/>
          <w:color w:val="000000"/>
        </w:rPr>
        <w:t>位丝氨酸突变成苏氨酸后，增强了绿色荧光稳定性和强度。该项技术属于</w:t>
      </w:r>
      <w:r>
        <w:rPr>
          <w:color w:val="000000"/>
        </w:rPr>
        <w:t>__________</w:t>
      </w:r>
      <w:r>
        <w:rPr>
          <w:rFonts w:ascii="宋体" w:eastAsia="宋体" w:hAnsi="宋体" w:cs="宋体"/>
          <w:color w:val="000000"/>
        </w:rPr>
        <w:t>。（编号选填）</w:t>
      </w:r>
    </w:p>
    <w:p>
      <w:pPr>
        <w:spacing w:line="360" w:lineRule="auto"/>
        <w:jc w:val="both"/>
        <w:textAlignment w:val="center"/>
        <w:rPr>
          <w:rFonts w:ascii="宋体" w:hAnsi="宋体"/>
          <w:color w:val="000000"/>
        </w:rPr>
        <w:sectPr>
          <w:type w:val="nextPage"/>
          <w:pgSz w:w="11906" w:h="16838"/>
          <w:pgMar w:top="720" w:right="720" w:bottom="720" w:left="720" w:header="152" w:footer="0" w:gutter="0"/>
          <w:pgNumType w:start="9"/>
          <w:cols w:num="1" w:space="720"/>
          <w:titlePg w:val="0"/>
          <w:docGrid w:type="lines" w:linePitch="312" w:charSpace="0"/>
        </w:sectPr>
      </w:pPr>
      <w:r>
        <w:rPr>
          <w:rFonts w:ascii="Times New Roman" w:eastAsia="Times New Roman" w:hAnsi="Times New Roman" w:cs="Times New Roman"/>
          <w:color w:val="000000"/>
        </w:rPr>
        <w:t>①</w:t>
      </w:r>
      <w:r>
        <w:rPr>
          <w:rFonts w:ascii="宋体" w:eastAsia="宋体" w:hAnsi="宋体" w:cs="宋体"/>
          <w:color w:val="000000"/>
        </w:rPr>
        <w:t>细胞工程</w:t>
      </w:r>
      <w:r>
        <w:rPr>
          <w:rFonts w:ascii="Times New Roman" w:eastAsia="Times New Roman" w:hAnsi="Times New Roman" w:cs="Times New Roman"/>
          <w:color w:val="000000"/>
        </w:rPr>
        <w:t xml:space="preserve">    ②</w:t>
      </w:r>
      <w:r>
        <w:rPr>
          <w:rFonts w:ascii="宋体" w:eastAsia="宋体" w:hAnsi="宋体" w:cs="宋体"/>
          <w:color w:val="000000"/>
        </w:rPr>
        <w:t>蛋白质工程</w:t>
      </w:r>
      <w:r>
        <w:rPr>
          <w:rFonts w:ascii="Times New Roman" w:eastAsia="Times New Roman" w:hAnsi="Times New Roman" w:cs="Times New Roman"/>
          <w:color w:val="000000"/>
        </w:rPr>
        <w:t xml:space="preserve">    ③</w:t>
      </w:r>
      <w:r>
        <w:rPr>
          <w:rFonts w:ascii="宋体" w:eastAsia="宋体" w:hAnsi="宋体" w:cs="宋体"/>
          <w:color w:val="000000"/>
        </w:rPr>
        <w:t>基因的定点突变</w:t>
      </w:r>
      <w:r>
        <w:rPr>
          <w:rFonts w:ascii="Times New Roman" w:eastAsia="Times New Roman" w:hAnsi="Times New Roman" w:cs="Times New Roman"/>
          <w:color w:val="000000"/>
        </w:rPr>
        <w:t xml:space="preserve">    ④</w:t>
      </w:r>
      <w:r>
        <w:rPr>
          <w:rFonts w:ascii="宋体" w:eastAsia="宋体" w:hAnsi="宋体" w:cs="宋体"/>
          <w:color w:val="000000"/>
        </w:rPr>
        <w:t>基因的定向进化</w:t>
      </w:r>
    </w:p>
    <w:p>
      <w:pPr>
        <w:spacing w:line="360" w:lineRule="auto"/>
        <w:jc w:val="center"/>
      </w:pPr>
      <w:r>
        <w:rPr>
          <w:rFonts w:ascii="Times New Roman" w:eastAsia="Times New Roman" w:hAnsi="Times New Roman" w:cs="Times New Roman"/>
          <w:b/>
          <w:color w:val="auto"/>
          <w:sz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12255500</wp:posOffset>
            </wp:positionH>
            <wp:positionV relativeFrom="topMargin">
              <wp:posOffset>12522200</wp:posOffset>
            </wp:positionV>
            <wp:extent cx="482600" cy="495300"/>
            <wp:effectExtent l="0" t="0" r="1270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color w:val="000000"/>
          <w:sz w:val="36"/>
        </w:rPr>
        <w:t>2023</w:t>
      </w:r>
      <w:r>
        <w:rPr>
          <w:rFonts w:ascii="宋体" w:eastAsia="宋体" w:hAnsi="宋体" w:cs="宋体"/>
          <w:b/>
          <w:color w:val="000000"/>
          <w:sz w:val="36"/>
        </w:rPr>
        <w:t>学年第一学期期末学业质量调研</w:t>
      </w:r>
    </w:p>
    <w:p>
      <w:pPr>
        <w:spacing w:line="360" w:lineRule="auto"/>
        <w:jc w:val="center"/>
      </w:pPr>
      <w:r>
        <w:rPr>
          <w:rFonts w:ascii="宋体" w:eastAsia="宋体" w:hAnsi="宋体" w:cs="宋体"/>
          <w:b/>
          <w:color w:val="000000"/>
          <w:sz w:val="36"/>
        </w:rPr>
        <w:t>高三生物学</w:t>
      </w:r>
    </w:p>
    <w:p>
      <w:pPr>
        <w:spacing w:line="360" w:lineRule="auto"/>
        <w:jc w:val="both"/>
      </w:pPr>
      <w:r>
        <w:rPr>
          <w:color w:val="000000"/>
        </w:rPr>
        <w:t xml:space="preserve">1. </w:t>
      </w:r>
      <w:r>
        <w:rPr>
          <w:rFonts w:ascii="宋体" w:eastAsia="宋体" w:hAnsi="宋体" w:cs="宋体"/>
          <w:color w:val="000000"/>
        </w:rPr>
        <w:t>湿地生境与种群特征：海三棱藨草是长江口滨海湿地的先锋种，其球茎是珍禽小天鹤、白头鹤和野鸭等候鸟的越冬食物来源之一。研究人员在崇明东滩鸟类自然保护区内设置了</w:t>
      </w:r>
      <w:r>
        <w:rPr>
          <w:rFonts w:ascii="Times New Roman" w:eastAsia="Times New Roman" w:hAnsi="Times New Roman" w:cs="Times New Roman"/>
          <w:color w:val="000000"/>
        </w:rPr>
        <w:t>9</w:t>
      </w:r>
      <w:r>
        <w:rPr>
          <w:rFonts w:ascii="宋体" w:eastAsia="宋体" w:hAnsi="宋体" w:cs="宋体"/>
          <w:color w:val="000000"/>
        </w:rPr>
        <w:t>个实验样地采样点（见图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），检测并探究不同生境海三棱藨草自然种群特征的动态变化特点。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5238750" cy="1839595"/>
            <wp:effectExtent l="0" t="0" r="0" b="8255"/>
            <wp:docPr id="2" name="图片 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8397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color w:val="000000"/>
        </w:rPr>
        <w:t>（1）</w:t>
      </w:r>
      <w:r>
        <w:rPr>
          <w:rFonts w:ascii="宋体" w:eastAsia="宋体" w:hAnsi="宋体" w:cs="宋体"/>
          <w:color w:val="000000"/>
        </w:rPr>
        <w:t>滩涂群落中，各物种之间通过</w:t>
      </w:r>
      <w:r>
        <w:rPr>
          <w:color w:val="000000"/>
        </w:rPr>
        <w:t>________</w:t>
      </w:r>
      <w:r>
        <w:rPr>
          <w:rFonts w:ascii="宋体" w:eastAsia="宋体" w:hAnsi="宋体" w:cs="宋体"/>
          <w:color w:val="000000"/>
        </w:rPr>
        <w:t>相互作用联系在一起形成复杂的营养结构。在食物网中，海三棱藨草所属层次为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，小天鹅所属层次为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。（编号选填）①种内关系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②种间关系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③第一营养级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④第二营养级</w:t>
      </w:r>
      <w:r>
        <w:rPr>
          <w:rFonts w:ascii="Times New Roman" w:eastAsia="Times New Roman" w:hAnsi="Times New Roman" w:cs="Times New Roman"/>
          <w:color w:val="000000"/>
        </w:rPr>
        <w:t xml:space="preserve">    </w:t>
      </w:r>
      <w:r>
        <w:rPr>
          <w:rFonts w:ascii="宋体" w:eastAsia="宋体" w:hAnsi="宋体" w:cs="宋体"/>
          <w:color w:val="000000"/>
        </w:rPr>
        <w:t>⑤第三营养级</w:t>
      </w:r>
    </w:p>
    <w:p>
      <w:pPr>
        <w:spacing w:line="360" w:lineRule="auto"/>
        <w:jc w:val="left"/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崇明东滩湿地植被的演替遵循“光滩裸地→海三棱藨草群落→芦苇群落”规律，该演替过程属于</w:t>
      </w:r>
      <w:r>
        <w:rPr>
          <w:color w:val="000000"/>
        </w:rPr>
        <w:t>_________</w:t>
      </w:r>
      <w:r>
        <w:rPr>
          <w:rFonts w:ascii="宋体" w:eastAsia="宋体" w:hAnsi="宋体" w:cs="宋体"/>
          <w:color w:val="000000"/>
        </w:rPr>
        <w:t>。（编号选填）①初生演替</w:t>
      </w:r>
      <w:r>
        <w:rPr>
          <w:rFonts w:ascii="Times New Roman" w:eastAsia="Times New Roman" w:hAnsi="Times New Roman" w:cs="Times New Roman"/>
          <w:color w:val="000000"/>
        </w:rPr>
        <w:t xml:space="preserve">        </w:t>
      </w:r>
      <w:r>
        <w:rPr>
          <w:rFonts w:ascii="宋体" w:eastAsia="宋体" w:hAnsi="宋体" w:cs="宋体"/>
          <w:color w:val="000000"/>
        </w:rPr>
        <w:t>②次生演替</w:t>
      </w:r>
    </w:p>
    <w:p>
      <w:pPr>
        <w:spacing w:line="360" w:lineRule="auto"/>
        <w:jc w:val="left"/>
      </w:pPr>
      <w:r>
        <w:rPr>
          <w:color w:val="000000"/>
        </w:rPr>
        <w:t>（3）</w:t>
      </w:r>
      <w:r>
        <w:rPr>
          <w:rFonts w:ascii="宋体" w:eastAsia="宋体" w:hAnsi="宋体" w:cs="宋体"/>
          <w:color w:val="000000"/>
        </w:rPr>
        <w:t>环境胁迫对海三棱藨草种群数量的变化具有显著的影响，结合图</w:t>
      </w:r>
      <w:r>
        <w:rPr>
          <w:rFonts w:ascii="Times New Roman" w:eastAsia="Times New Roman" w:hAnsi="Times New Roman" w:cs="Times New Roman"/>
          <w:color w:val="000000"/>
        </w:rPr>
        <w:t>1</w:t>
      </w:r>
      <w:r>
        <w:rPr>
          <w:rFonts w:ascii="宋体" w:eastAsia="宋体" w:hAnsi="宋体" w:cs="宋体"/>
          <w:color w:val="000000"/>
        </w:rPr>
        <w:t>和已有知识，以下属于环境胁迫因子的有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。（多选）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淹水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盐度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叶绿素含量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土壤</w:t>
      </w:r>
      <w:r>
        <w:rPr>
          <w:rFonts w:ascii="Times New Roman" w:eastAsia="Times New Roman" w:hAnsi="Times New Roman" w:cs="Times New Roman"/>
          <w:color w:val="000000"/>
        </w:rPr>
        <w:t>pH</w:t>
      </w:r>
    </w:p>
    <w:p>
      <w:pPr>
        <w:spacing w:line="360" w:lineRule="auto"/>
        <w:jc w:val="both"/>
      </w:pPr>
      <w:r>
        <w:rPr>
          <w:rFonts w:ascii="宋体" w:eastAsia="宋体" w:hAnsi="宋体" w:cs="宋体"/>
          <w:color w:val="000000"/>
        </w:rPr>
        <w:t>研究发现，北侧和东侧群落结构比较单一，南侧植物物种多样性较高。图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是研究者对不同生境的海三棱藨草种群高度的部分统计数据，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20cm</w:t>
      </w:r>
      <w:r>
        <w:rPr>
          <w:rFonts w:ascii="宋体" w:eastAsia="宋体" w:hAnsi="宋体" w:cs="宋体"/>
          <w:color w:val="000000"/>
        </w:rPr>
        <w:t>为新生幼苗，</w:t>
      </w:r>
      <w:r>
        <w:rPr>
          <w:rFonts w:ascii="Times New Roman" w:eastAsia="Times New Roman" w:hAnsi="Times New Roman" w:cs="Times New Roman"/>
          <w:color w:val="000000"/>
        </w:rPr>
        <w:t>20</w:t>
      </w:r>
      <w:r>
        <w:rPr>
          <w:rFonts w:ascii="宋体" w:eastAsia="宋体" w:hAnsi="宋体" w:cs="宋体"/>
          <w:color w:val="000000"/>
        </w:rPr>
        <w:t>＜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≤</w:t>
      </w:r>
      <w:r>
        <w:rPr>
          <w:rFonts w:ascii="Times New Roman" w:eastAsia="Times New Roman" w:hAnsi="Times New Roman" w:cs="Times New Roman"/>
          <w:color w:val="000000"/>
        </w:rPr>
        <w:t>40cm</w:t>
      </w:r>
      <w:r>
        <w:rPr>
          <w:rFonts w:ascii="宋体" w:eastAsia="宋体" w:hAnsi="宋体" w:cs="宋体"/>
          <w:color w:val="000000"/>
        </w:rPr>
        <w:t>为幼年植株，</w:t>
      </w:r>
      <w:r>
        <w:rPr>
          <w:rFonts w:ascii="Times New Roman" w:eastAsia="Times New Roman" w:hAnsi="Times New Roman" w:cs="Times New Roman"/>
          <w:color w:val="000000"/>
        </w:rPr>
        <w:t>h</w:t>
      </w:r>
      <w:r>
        <w:rPr>
          <w:rFonts w:ascii="宋体" w:eastAsia="宋体" w:hAnsi="宋体" w:cs="宋体"/>
          <w:color w:val="000000"/>
        </w:rPr>
        <w:t>＞</w:t>
      </w:r>
      <w:r>
        <w:rPr>
          <w:rFonts w:ascii="Times New Roman" w:eastAsia="Times New Roman" w:hAnsi="Times New Roman" w:cs="Times New Roman"/>
          <w:color w:val="000000"/>
        </w:rPr>
        <w:t>40cm</w:t>
      </w:r>
      <w:r>
        <w:rPr>
          <w:rFonts w:ascii="宋体" w:eastAsia="宋体" w:hAnsi="宋体" w:cs="宋体"/>
          <w:color w:val="000000"/>
        </w:rPr>
        <w:t>为成年植株。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5238750" cy="1643380"/>
            <wp:effectExtent l="0" t="0" r="0" b="13970"/>
            <wp:docPr id="3" name="图片 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164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</w:pPr>
      <w:r>
        <w:rPr>
          <w:color w:val="000000"/>
        </w:rPr>
        <w:t>（4）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2</w:t>
      </w:r>
      <w:r>
        <w:rPr>
          <w:rFonts w:ascii="宋体" w:eastAsia="宋体" w:hAnsi="宋体" w:cs="宋体"/>
          <w:color w:val="000000"/>
        </w:rPr>
        <w:t>中，对不同生境中海三棱藨草种群年龄结构的推测合理的是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。（单选）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月中旬，</w:t>
      </w:r>
      <w:r>
        <w:rPr>
          <w:rFonts w:ascii="Times New Roman" w:eastAsia="Times New Roman" w:hAnsi="Times New Roman" w:cs="Times New Roman"/>
          <w:color w:val="000000"/>
        </w:rPr>
        <w:t>S3</w:t>
      </w:r>
      <w:r>
        <w:rPr>
          <w:rFonts w:ascii="宋体" w:eastAsia="宋体" w:hAnsi="宋体" w:cs="宋体"/>
          <w:color w:val="000000"/>
        </w:rPr>
        <w:t>为稳定型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Times New Roman" w:eastAsia="Times New Roman" w:hAnsi="Times New Roman" w:cs="Times New Roman"/>
          <w:color w:val="000000"/>
        </w:rPr>
        <w:t>7</w:t>
      </w:r>
      <w:r>
        <w:rPr>
          <w:rFonts w:ascii="宋体" w:eastAsia="宋体" w:hAnsi="宋体" w:cs="宋体"/>
          <w:color w:val="000000"/>
        </w:rPr>
        <w:t>月下旬，</w:t>
      </w:r>
      <w:r>
        <w:rPr>
          <w:rFonts w:ascii="Times New Roman" w:eastAsia="Times New Roman" w:hAnsi="Times New Roman" w:cs="Times New Roman"/>
          <w:color w:val="000000"/>
        </w:rPr>
        <w:t>S9</w:t>
      </w:r>
      <w:r>
        <w:rPr>
          <w:rFonts w:ascii="宋体" w:eastAsia="宋体" w:hAnsi="宋体" w:cs="宋体"/>
          <w:color w:val="000000"/>
        </w:rPr>
        <w:t>为稳定型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月下旬，</w:t>
      </w:r>
      <w:r>
        <w:rPr>
          <w:rFonts w:ascii="Times New Roman" w:eastAsia="Times New Roman" w:hAnsi="Times New Roman" w:cs="Times New Roman"/>
          <w:color w:val="000000"/>
        </w:rPr>
        <w:t>S8</w:t>
      </w:r>
      <w:r>
        <w:rPr>
          <w:rFonts w:ascii="宋体" w:eastAsia="宋体" w:hAnsi="宋体" w:cs="宋体"/>
          <w:color w:val="000000"/>
        </w:rPr>
        <w:t>为衰退型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月下旬，</w:t>
      </w:r>
      <w:r>
        <w:rPr>
          <w:rFonts w:ascii="Times New Roman" w:eastAsia="Times New Roman" w:hAnsi="Times New Roman" w:cs="Times New Roman"/>
          <w:color w:val="000000"/>
        </w:rPr>
        <w:t>S6</w:t>
      </w:r>
      <w:r>
        <w:rPr>
          <w:rFonts w:ascii="宋体" w:eastAsia="宋体" w:hAnsi="宋体" w:cs="宋体"/>
          <w:color w:val="000000"/>
        </w:rPr>
        <w:t>为增长型</w:t>
      </w:r>
    </w:p>
    <w:p>
      <w:pPr>
        <w:spacing w:line="360" w:lineRule="auto"/>
        <w:jc w:val="left"/>
        <w:sectPr>
          <w:type w:val="nextPage"/>
          <w:pgSz w:w="11906" w:h="16838"/>
          <w:pgMar w:top="720" w:right="720" w:bottom="720" w:left="720" w:header="152" w:footer="0" w:gutter="0"/>
          <w:pgNumType w:start="10"/>
          <w:cols w:num="1" w:space="720"/>
          <w:titlePg w:val="0"/>
          <w:docGrid w:type="lines" w:linePitch="312" w:charSpace="0"/>
        </w:sectPr>
      </w:pPr>
      <w:r>
        <w:rPr>
          <w:color w:val="000000"/>
        </w:rPr>
        <w:t>（5）</w:t>
      </w:r>
      <w:r>
        <w:rPr>
          <w:rFonts w:ascii="宋体" w:eastAsia="宋体" w:hAnsi="宋体" w:cs="宋体"/>
          <w:color w:val="000000"/>
        </w:rPr>
        <w:t>对</w:t>
      </w:r>
      <w:r>
        <w:rPr>
          <w:rFonts w:ascii="Times New Roman" w:eastAsia="Times New Roman" w:hAnsi="Times New Roman" w:cs="Times New Roman"/>
          <w:color w:val="000000"/>
        </w:rPr>
        <w:t>8</w:t>
      </w:r>
      <w:r>
        <w:rPr>
          <w:rFonts w:ascii="宋体" w:eastAsia="宋体" w:hAnsi="宋体" w:cs="宋体"/>
          <w:color w:val="000000"/>
        </w:rPr>
        <w:t>月下旬南侧群落海三棱藨草种群长势分析不合理的是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。（单选）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南侧种群植株高度最低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复杂生境中海三棱藨草具有竞争优势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南侧种间竞争最激烈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环境胁迫对南侧种群增长阻力最大</w:t>
      </w:r>
    </w:p>
    <w:p>
      <w:pPr>
        <w:spacing w:line="360" w:lineRule="auto"/>
        <w:jc w:val="left"/>
      </w:pPr>
      <w:r>
        <w:rPr>
          <w:color w:val="000000"/>
        </w:rPr>
        <w:t>（6）</w:t>
      </w:r>
      <w:r>
        <w:rPr>
          <w:rFonts w:ascii="宋体" w:eastAsia="宋体" w:hAnsi="宋体" w:cs="宋体"/>
          <w:color w:val="000000"/>
        </w:rPr>
        <w:t>植物在胁迫环境下受到的伤害与活性氧有关，海三棱藨草球茎中防御活性氧的过氧化物酶（</w:t>
      </w:r>
      <w:r>
        <w:rPr>
          <w:rFonts w:ascii="Times New Roman" w:eastAsia="Times New Roman" w:hAnsi="Times New Roman" w:cs="Times New Roman"/>
          <w:color w:val="000000"/>
        </w:rPr>
        <w:t>POD</w:t>
      </w:r>
      <w:r>
        <w:rPr>
          <w:rFonts w:ascii="宋体" w:eastAsia="宋体" w:hAnsi="宋体" w:cs="宋体"/>
          <w:color w:val="000000"/>
        </w:rPr>
        <w:t>）等酶活性与盐度呈正相关。以下关于盐胁迫的分析正确的是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。（单选）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使海三棱藨草产生活性氧酶促清除系统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使海三棱藨草种群中</w:t>
      </w:r>
      <w:r>
        <w:rPr>
          <w:rFonts w:ascii="Times New Roman" w:eastAsia="Times New Roman" w:hAnsi="Times New Roman" w:cs="Times New Roman"/>
          <w:color w:val="000000"/>
        </w:rPr>
        <w:t>POD</w:t>
      </w:r>
      <w:r>
        <w:rPr>
          <w:rFonts w:ascii="宋体" w:eastAsia="宋体" w:hAnsi="宋体" w:cs="宋体"/>
          <w:color w:val="000000"/>
        </w:rPr>
        <w:t>基因频率下降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抑制海三棱藨草细胞中</w:t>
      </w:r>
      <w:r>
        <w:rPr>
          <w:rFonts w:ascii="Times New Roman" w:eastAsia="Times New Roman" w:hAnsi="Times New Roman" w:cs="Times New Roman"/>
          <w:color w:val="000000"/>
        </w:rPr>
        <w:t>POD</w:t>
      </w:r>
      <w:r>
        <w:rPr>
          <w:rFonts w:ascii="宋体" w:eastAsia="宋体" w:hAnsi="宋体" w:cs="宋体"/>
          <w:color w:val="000000"/>
        </w:rPr>
        <w:t>基因的表达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对海三棱藨草的适应性生长进行了选择</w:t>
      </w:r>
    </w:p>
    <w:p>
      <w:pPr>
        <w:spacing w:line="360" w:lineRule="auto"/>
        <w:jc w:val="left"/>
      </w:pPr>
      <w:r>
        <w:rPr>
          <w:color w:val="000000"/>
        </w:rPr>
        <w:t>（7）</w:t>
      </w:r>
      <w:r>
        <w:rPr>
          <w:rFonts w:ascii="宋体" w:eastAsia="宋体" w:hAnsi="宋体" w:cs="宋体"/>
          <w:color w:val="000000"/>
        </w:rPr>
        <w:t>图</w:t>
      </w:r>
      <w:r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宋体" w:eastAsia="宋体" w:hAnsi="宋体" w:cs="宋体"/>
          <w:color w:val="000000"/>
        </w:rPr>
        <w:t>所示为“围垦”对崇明东滩海三棱藨草和白头鹤种群数量变化的影响。过度“围垦”对湿地生态系统结构与功能的影响分析合理的有</w:t>
      </w:r>
      <w:r>
        <w:rPr>
          <w:rFonts w:ascii="Times New Roman" w:eastAsia="Times New Roman" w:hAnsi="Times New Roman" w:cs="Times New Roman"/>
          <w:color w:val="000000"/>
          <w:u w:val="single"/>
        </w:rPr>
        <w:t xml:space="preserve">      </w:t>
      </w:r>
      <w:r>
        <w:rPr>
          <w:rFonts w:ascii="宋体" w:eastAsia="宋体" w:hAnsi="宋体" w:cs="宋体"/>
          <w:color w:val="000000"/>
        </w:rPr>
        <w:t>。（多选）</w:t>
      </w:r>
    </w:p>
    <w:p>
      <w:pPr>
        <w:spacing w:line="360" w:lineRule="auto"/>
        <w:jc w:val="both"/>
      </w:pPr>
      <w:r>
        <w:drawing>
          <wp:inline distT="0" distB="0" distL="114300" distR="114300">
            <wp:extent cx="3914775" cy="2876550"/>
            <wp:effectExtent l="0" t="0" r="9525" b="0"/>
            <wp:docPr id="4" name="图片 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000000"/>
        </w:rPr>
        <w:t xml:space="preserve">A. </w:t>
      </w:r>
      <w:r>
        <w:rPr>
          <w:rFonts w:ascii="宋体" w:eastAsia="宋体" w:hAnsi="宋体" w:cs="宋体"/>
          <w:color w:val="000000"/>
        </w:rPr>
        <w:t>破坏了候鸟的越冬栖息地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eastAsia="宋体" w:hAnsi="宋体" w:cs="宋体"/>
          <w:color w:val="000000"/>
        </w:rPr>
        <w:t>可能导致物种减少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eastAsia="宋体" w:hAnsi="宋体" w:cs="宋体"/>
          <w:color w:val="000000"/>
        </w:rPr>
        <w:t>使能量流动方向逆转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eastAsia="宋体" w:hAnsi="宋体" w:cs="宋体"/>
          <w:color w:val="000000"/>
        </w:rPr>
        <w:t>可能减弱自我调节能力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【答案】（1）    ①. ②    ②. ③    ③. </w:t>
      </w:r>
      <w:r>
        <w:rPr>
          <w:rFonts w:ascii="宋体" w:eastAsia="宋体" w:hAnsi="宋体" w:cs="宋体"/>
          <w:color w:val="000000"/>
        </w:rPr>
        <w:t>④（或④⑤）</w:t>
      </w:r>
      <w:r>
        <w:rPr>
          <w:color w:val="000000"/>
        </w:rPr>
        <w:t xml:space="preserve">    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（2）</w:t>
      </w:r>
      <w:r>
        <w:rPr>
          <w:rFonts w:ascii="宋体" w:eastAsia="宋体" w:hAnsi="宋体" w:cs="宋体"/>
          <w:color w:val="000000"/>
        </w:rPr>
        <w:t>①</w:t>
      </w:r>
      <w:r>
        <w:rPr>
          <w:color w:val="000000"/>
        </w:rPr>
        <w:t xml:space="preserve">    （3）ABD    （4）D    （5）B    （6）D    （7）ABD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生态系统包括自然生态系统和人工生态系统，自然生态系统包括陆地生态系统、水域生态系统和湿地生态系统；陆地生态系统包括森林生态系统、草原生态系统、荒漠生态系统等；水域生态系统包括淡水生态系统和海洋生态系统；人工生态系统包括农田生态系统和城市生态系统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【小问1详解】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群落中各物种之间通过②种间关系相互作用联系在一起形成复杂的营养结构。在食物网中，海三棱藨草属于 ③第一营养级，小天鹅捕食海三棱藨草的球茎，小天鹅所属层次为④第二营养级。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【小问2详解】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崇明东滩湿地植被的演替遵循“光滩裸地→海三棱藨草群落→芦苇群落”规律，没有原始的土壤条件，应属于①初生演替。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https://d.book118.com/938070033054006026</w:t>
        </w:r>
      </w:hyperlink>
    </w:p>
    <w:p>
      <w:pPr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720" w:right="720" w:bottom="720" w:left="720" w:header="152" w:footer="0" w:gutter="0"/>
      <w:pgNumType w:start="11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12425FA1"/>
    <w:rsid w:val="358C60F6"/>
    <w:rsid w:val="38274566"/>
  </w:rsids>
  <w:docVars>
    <w:docVar w:name="commondata" w:val="eyJoZGlkIjoiMTJiYzM1YTBhMmZmNmIwN2U2MjM2ODJkN2M4MmVlYz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autoRedefine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24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image" Target="media/image7.png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image" Target="media/image11.wmf" /><Relationship Id="rId16" Type="http://schemas.openxmlformats.org/officeDocument/2006/relationships/image" Target="media/image12.png" /><Relationship Id="rId17" Type="http://schemas.openxmlformats.org/officeDocument/2006/relationships/image" Target="media/image13.png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hyperlink" Target="https://d.book118.com/938070033054006026" TargetMode="Externa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wmf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