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32" w:rsidP="009A3C32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﻿2024四川建筑安全员B证考试题库及答案（推荐）</w:t>
      </w:r>
    </w:p>
    <w:p w:rsidR="009A3C32" w:rsidP="009A3C32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9A3C32" w:rsidP="009A3C32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9A3C32" w:rsidP="009A3C32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9A3C32" w:rsidP="009A3C32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《建设工程安全生产管理条例》规定，施工单位应当设立安全生产管理机构，配备（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）人员。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专职安全生产管理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兼职安全生产管理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安全生产监理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专兼职安全生产检查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起升钢丝绳在放出最大工作长度后，卷筒上的钢丝绳至少保留几圈？（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</w:t>
      </w:r>
      <w:r>
        <w:rPr>
          <w:rFonts w:ascii="Times New Roman" w:hAnsi="Times New Roman" w:cs="Times New Roman"/>
          <w:color w:val="000000"/>
          <w:sz w:val="27"/>
          <w:szCs w:val="27"/>
        </w:rPr>
        <w:t>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B.2</w:t>
      </w:r>
      <w:r>
        <w:rPr>
          <w:rFonts w:ascii="Times New Roman" w:hAnsi="Times New Roman" w:cs="Times New Roman"/>
          <w:color w:val="000000"/>
          <w:sz w:val="27"/>
          <w:szCs w:val="27"/>
        </w:rPr>
        <w:t>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C.3</w:t>
      </w:r>
      <w:r>
        <w:rPr>
          <w:rFonts w:ascii="Times New Roman" w:hAnsi="Times New Roman" w:cs="Times New Roman"/>
          <w:color w:val="000000"/>
          <w:sz w:val="27"/>
          <w:szCs w:val="27"/>
        </w:rPr>
        <w:t>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D.5</w:t>
      </w:r>
      <w:r>
        <w:rPr>
          <w:rFonts w:ascii="Times New Roman" w:hAnsi="Times New Roman" w:cs="Times New Roman"/>
          <w:color w:val="000000"/>
          <w:sz w:val="27"/>
          <w:szCs w:val="27"/>
        </w:rPr>
        <w:t>圈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两个以上单位在同一作业区域内进行生产经营活动，应当签订（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）管理协议。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工程合同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总分包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专业承包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塔式起重机拆装方案由（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）审批。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检验机构负责人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企业技术负责人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验收单位负责人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上下交叉施工作业时应采取（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）措施。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隔离防护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防护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隔离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砂石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9A3C32" w:rsidP="009A3C32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《建筑施工企业安全生产许可证管理规定》中规定，建筑施工企业变更名称、地址、法定代表人等，应当在变更后（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）内，到原安全生产许可证颁发管理机关办理安全生产许可证变更手续。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A.5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B.10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C.20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D.30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搭设脚手架立杆时，应遵守下列哪个规定？（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每隔</w:t>
      </w:r>
      <w:r>
        <w:rPr>
          <w:rFonts w:ascii="Times New Roman" w:hAnsi="Times New Roman" w:cs="Times New Roman"/>
          <w:color w:val="000000"/>
          <w:sz w:val="27"/>
          <w:szCs w:val="27"/>
        </w:rPr>
        <w:t>6</w:t>
      </w:r>
      <w:r>
        <w:rPr>
          <w:rFonts w:ascii="Times New Roman" w:hAnsi="Times New Roman" w:cs="Times New Roman"/>
          <w:color w:val="000000"/>
          <w:sz w:val="27"/>
          <w:szCs w:val="27"/>
        </w:rPr>
        <w:t>跨设置一根抛撑，直至连墙件安装稳定后，方可拆除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搭设立杆时，不必设置抛撑，可以一直搭到顶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立杆搭接长度不应小于</w:t>
      </w:r>
      <w:r>
        <w:rPr>
          <w:rFonts w:ascii="Times New Roman" w:hAnsi="Times New Roman" w:cs="Times New Roman"/>
          <w:color w:val="000000"/>
          <w:sz w:val="27"/>
          <w:szCs w:val="27"/>
        </w:rPr>
        <w:t>0.5m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相邻立杆的对接扣件都可在同一个水平面内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某建筑工程建筑面积</w:t>
      </w: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>
        <w:rPr>
          <w:rFonts w:ascii="Times New Roman" w:hAnsi="Times New Roman" w:cs="Times New Roman"/>
          <w:color w:val="000000"/>
          <w:sz w:val="27"/>
          <w:szCs w:val="27"/>
        </w:rPr>
        <w:t>万平方米，按照建设部关于专职安全生产管理人员配备的规定，该建筑工程项目应当至少配备（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）名专职安全生产管理人员。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B.2 C.3 D.4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施工单位应当在施工现场建立消防安全责任制度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确定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安全责任人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保卫责任人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义务消防队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消防责任人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生产经营单位的应急预案体系主要由综合应急预案、（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）和现场处置方案构成。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综合处置措施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专项应急预案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专项处置方案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分类应急预案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建筑行业职工负伤后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内死亡的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应作为死亡事故填报或补报。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https://d.book118.com/938106140127006043</w:t>
        </w:r>
      </w:hyperlink>
    </w:p>
    <w:p w:rsidR="009A3C32" w:rsidP="009A3C32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22C0C"/>
    <w:rsid w:val="00222C0C"/>
    <w:rsid w:val="009A3C32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3C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38106140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5487</Words>
  <Characters>31277</Characters>
  <Application>Microsoft Office Word</Application>
  <DocSecurity>0</DocSecurity>
  <Lines>260</Lines>
  <Paragraphs>73</Paragraphs>
  <ScaleCrop>false</ScaleCrop>
  <Company/>
  <LinksUpToDate>false</LinksUpToDate>
  <CharactersWithSpaces>36691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2024-03-07T18:31:00Z</dcterms:created>
  <dcterms:modified xsi:type="dcterms:W3CDTF">2024-03-07T18:31:00Z</dcterms:modified>
</cp:coreProperties>
</file>