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超细Γ-AL2O3微粉项目情况报告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95" w:history="1">
        <w:r>
          <w:rPr>
            <w:rFonts w:ascii="仿宋" w:eastAsia="仿宋" w:hAnsi="仿宋" w:cs="仿宋" w:hint="eastAsia"/>
            <w:lang w:eastAsia="zh-CN"/>
          </w:rPr>
          <w:t>前言</w:t>
        </w:r>
        <w:r>
          <w:tab/>
        </w:r>
        <w:r>
          <w:fldChar w:fldCharType="begin"/>
        </w:r>
        <w:r>
          <w:instrText xml:space="preserve"> PAGEREF _Toc17595 \h </w:instrText>
        </w:r>
        <w:r>
          <w:fldChar w:fldCharType="separate"/>
        </w:r>
        <w:r>
          <w:t>3</w:t>
        </w:r>
        <w:r>
          <w:fldChar w:fldCharType="end"/>
        </w:r>
      </w:hyperlink>
    </w:p>
    <w:p>
      <w:pPr>
        <w:pStyle w:val="TOC1"/>
        <w:tabs>
          <w:tab w:val="right" w:leader="dot" w:pos="8306"/>
        </w:tabs>
      </w:pPr>
      <w:hyperlink w:anchor="_Toc15149" w:history="1">
        <w:r>
          <w:rPr>
            <w:rFonts w:ascii="仿宋" w:eastAsia="仿宋" w:hAnsi="仿宋" w:cs="仿宋" w:hint="eastAsia"/>
            <w:lang w:eastAsia="zh-CN"/>
          </w:rPr>
          <w:t>一、超细Γ-AL2O3微粉项目市场前景分析</w:t>
        </w:r>
        <w:r>
          <w:tab/>
        </w:r>
        <w:r>
          <w:fldChar w:fldCharType="begin"/>
        </w:r>
        <w:r>
          <w:instrText xml:space="preserve"> PAGEREF _Toc15149 \h </w:instrText>
        </w:r>
        <w:r>
          <w:fldChar w:fldCharType="separate"/>
        </w:r>
        <w:r>
          <w:t>3</w:t>
        </w:r>
        <w:r>
          <w:fldChar w:fldCharType="end"/>
        </w:r>
      </w:hyperlink>
    </w:p>
    <w:p>
      <w:pPr>
        <w:pStyle w:val="TOC2"/>
        <w:tabs>
          <w:tab w:val="right" w:leader="dot" w:pos="8306"/>
        </w:tabs>
      </w:pPr>
      <w:hyperlink w:anchor="_Toc22711" w:history="1">
        <w:r>
          <w:rPr>
            <w:rFonts w:ascii="仿宋" w:eastAsia="仿宋" w:hAnsi="仿宋" w:cs="仿宋" w:hint="eastAsia"/>
            <w:lang w:eastAsia="zh-CN"/>
          </w:rPr>
          <w:t>(一)、建设地经济发展概况</w:t>
        </w:r>
        <w:r>
          <w:tab/>
        </w:r>
        <w:r>
          <w:fldChar w:fldCharType="begin"/>
        </w:r>
        <w:r>
          <w:instrText xml:space="preserve"> PAGEREF _Toc22711 \h </w:instrText>
        </w:r>
        <w:r>
          <w:fldChar w:fldCharType="separate"/>
        </w:r>
        <w:r>
          <w:t>3</w:t>
        </w:r>
        <w:r>
          <w:fldChar w:fldCharType="end"/>
        </w:r>
      </w:hyperlink>
    </w:p>
    <w:p>
      <w:pPr>
        <w:pStyle w:val="TOC2"/>
        <w:tabs>
          <w:tab w:val="right" w:leader="dot" w:pos="8306"/>
        </w:tabs>
      </w:pPr>
      <w:hyperlink w:anchor="_Toc2668" w:history="1">
        <w:r>
          <w:rPr>
            <w:rFonts w:ascii="仿宋" w:eastAsia="仿宋" w:hAnsi="仿宋" w:cs="仿宋" w:hint="eastAsia"/>
            <w:lang w:eastAsia="zh-CN"/>
          </w:rPr>
          <w:t>(二)、行业市场分析</w:t>
        </w:r>
        <w:r>
          <w:tab/>
        </w:r>
        <w:r>
          <w:fldChar w:fldCharType="begin"/>
        </w:r>
        <w:r>
          <w:instrText xml:space="preserve"> PAGEREF _Toc2668 \h </w:instrText>
        </w:r>
        <w:r>
          <w:fldChar w:fldCharType="separate"/>
        </w:r>
        <w:r>
          <w:t>5</w:t>
        </w:r>
        <w:r>
          <w:fldChar w:fldCharType="end"/>
        </w:r>
      </w:hyperlink>
    </w:p>
    <w:p>
      <w:pPr>
        <w:pStyle w:val="TOC1"/>
        <w:tabs>
          <w:tab w:val="right" w:leader="dot" w:pos="8306"/>
        </w:tabs>
      </w:pPr>
      <w:hyperlink w:anchor="_Toc28544" w:history="1">
        <w:r>
          <w:rPr>
            <w:rFonts w:ascii="仿宋" w:eastAsia="仿宋" w:hAnsi="仿宋" w:cs="仿宋" w:hint="eastAsia"/>
            <w:lang w:eastAsia="zh-CN"/>
          </w:rPr>
          <w:t>二、超细Γ-AL2O3微粉项目基本情况</w:t>
        </w:r>
        <w:r>
          <w:tab/>
        </w:r>
        <w:r>
          <w:fldChar w:fldCharType="begin"/>
        </w:r>
        <w:r>
          <w:instrText xml:space="preserve"> PAGEREF _Toc28544 \h </w:instrText>
        </w:r>
        <w:r>
          <w:fldChar w:fldCharType="separate"/>
        </w:r>
        <w:r>
          <w:t>6</w:t>
        </w:r>
        <w:r>
          <w:fldChar w:fldCharType="end"/>
        </w:r>
      </w:hyperlink>
    </w:p>
    <w:p>
      <w:pPr>
        <w:pStyle w:val="TOC2"/>
        <w:tabs>
          <w:tab w:val="right" w:leader="dot" w:pos="8306"/>
        </w:tabs>
      </w:pPr>
      <w:hyperlink w:anchor="_Toc17949" w:history="1">
        <w:r>
          <w:rPr>
            <w:rFonts w:ascii="仿宋" w:eastAsia="仿宋" w:hAnsi="仿宋" w:cs="仿宋" w:hint="eastAsia"/>
            <w:lang w:eastAsia="zh-CN"/>
          </w:rPr>
          <w:t>(一)、超细Γ-AL2O3微粉项目名称及建设性质</w:t>
        </w:r>
        <w:r>
          <w:tab/>
        </w:r>
        <w:r>
          <w:fldChar w:fldCharType="begin"/>
        </w:r>
        <w:r>
          <w:instrText xml:space="preserve"> PAGEREF _Toc17949 \h </w:instrText>
        </w:r>
        <w:r>
          <w:fldChar w:fldCharType="separate"/>
        </w:r>
        <w:r>
          <w:t>6</w:t>
        </w:r>
        <w:r>
          <w:fldChar w:fldCharType="end"/>
        </w:r>
      </w:hyperlink>
    </w:p>
    <w:p>
      <w:pPr>
        <w:pStyle w:val="TOC2"/>
        <w:tabs>
          <w:tab w:val="right" w:leader="dot" w:pos="8306"/>
        </w:tabs>
      </w:pPr>
      <w:hyperlink w:anchor="_Toc4971" w:history="1">
        <w:r>
          <w:rPr>
            <w:rFonts w:ascii="仿宋" w:eastAsia="仿宋" w:hAnsi="仿宋" w:cs="仿宋" w:hint="eastAsia"/>
            <w:lang w:eastAsia="zh-CN"/>
          </w:rPr>
          <w:t>(二)、超细Γ-AL2O3微粉项目承办单位</w:t>
        </w:r>
        <w:r>
          <w:tab/>
        </w:r>
        <w:r>
          <w:fldChar w:fldCharType="begin"/>
        </w:r>
        <w:r>
          <w:instrText xml:space="preserve"> PAGEREF _Toc4971 \h </w:instrText>
        </w:r>
        <w:r>
          <w:fldChar w:fldCharType="separate"/>
        </w:r>
        <w:r>
          <w:t>7</w:t>
        </w:r>
        <w:r>
          <w:fldChar w:fldCharType="end"/>
        </w:r>
      </w:hyperlink>
    </w:p>
    <w:p>
      <w:pPr>
        <w:pStyle w:val="TOC2"/>
        <w:tabs>
          <w:tab w:val="right" w:leader="dot" w:pos="8306"/>
        </w:tabs>
      </w:pPr>
      <w:hyperlink w:anchor="_Toc20482" w:history="1">
        <w:r>
          <w:rPr>
            <w:rFonts w:ascii="仿宋" w:eastAsia="仿宋" w:hAnsi="仿宋" w:cs="仿宋" w:hint="eastAsia"/>
            <w:lang w:eastAsia="zh-CN"/>
          </w:rPr>
          <w:t>(三)、战略合作单位</w:t>
        </w:r>
        <w:r>
          <w:tab/>
        </w:r>
        <w:r>
          <w:fldChar w:fldCharType="begin"/>
        </w:r>
        <w:r>
          <w:instrText xml:space="preserve"> PAGEREF _Toc20482 \h </w:instrText>
        </w:r>
        <w:r>
          <w:fldChar w:fldCharType="separate"/>
        </w:r>
        <w:r>
          <w:t>7</w:t>
        </w:r>
        <w:r>
          <w:fldChar w:fldCharType="end"/>
        </w:r>
      </w:hyperlink>
    </w:p>
    <w:p>
      <w:pPr>
        <w:pStyle w:val="TOC2"/>
        <w:tabs>
          <w:tab w:val="right" w:leader="dot" w:pos="8306"/>
        </w:tabs>
      </w:pPr>
      <w:hyperlink w:anchor="_Toc9451" w:history="1">
        <w:r>
          <w:rPr>
            <w:rFonts w:ascii="仿宋" w:eastAsia="仿宋" w:hAnsi="仿宋" w:cs="仿宋" w:hint="eastAsia"/>
            <w:lang w:eastAsia="zh-CN"/>
          </w:rPr>
          <w:t>(四)、超细Γ-AL2O3微粉项目提出的理由</w:t>
        </w:r>
        <w:r>
          <w:tab/>
        </w:r>
        <w:r>
          <w:fldChar w:fldCharType="begin"/>
        </w:r>
        <w:r>
          <w:instrText xml:space="preserve"> PAGEREF _Toc9451 \h </w:instrText>
        </w:r>
        <w:r>
          <w:fldChar w:fldCharType="separate"/>
        </w:r>
        <w:r>
          <w:t>7</w:t>
        </w:r>
        <w:r>
          <w:fldChar w:fldCharType="end"/>
        </w:r>
      </w:hyperlink>
    </w:p>
    <w:p>
      <w:pPr>
        <w:pStyle w:val="TOC2"/>
        <w:tabs>
          <w:tab w:val="right" w:leader="dot" w:pos="8306"/>
        </w:tabs>
      </w:pPr>
      <w:hyperlink w:anchor="_Toc23954" w:history="1">
        <w:r>
          <w:rPr>
            <w:rFonts w:ascii="仿宋" w:eastAsia="仿宋" w:hAnsi="仿宋" w:cs="仿宋" w:hint="eastAsia"/>
            <w:lang w:eastAsia="zh-CN"/>
          </w:rPr>
          <w:t>(五)、原材料供应</w:t>
        </w:r>
        <w:r>
          <w:tab/>
        </w:r>
        <w:r>
          <w:fldChar w:fldCharType="begin"/>
        </w:r>
        <w:r>
          <w:instrText xml:space="preserve"> PAGEREF _Toc23954 \h </w:instrText>
        </w:r>
        <w:r>
          <w:fldChar w:fldCharType="separate"/>
        </w:r>
        <w:r>
          <w:t>8</w:t>
        </w:r>
        <w:r>
          <w:fldChar w:fldCharType="end"/>
        </w:r>
      </w:hyperlink>
    </w:p>
    <w:p>
      <w:pPr>
        <w:pStyle w:val="TOC2"/>
        <w:tabs>
          <w:tab w:val="right" w:leader="dot" w:pos="8306"/>
        </w:tabs>
      </w:pPr>
      <w:hyperlink w:anchor="_Toc18213" w:history="1">
        <w:r>
          <w:rPr>
            <w:rFonts w:ascii="仿宋" w:eastAsia="仿宋" w:hAnsi="仿宋" w:cs="仿宋" w:hint="eastAsia"/>
            <w:lang w:eastAsia="zh-CN"/>
          </w:rPr>
          <w:t>(六)、超细Γ-AL2O3微粉项目能耗分析</w:t>
        </w:r>
        <w:r>
          <w:tab/>
        </w:r>
        <w:r>
          <w:fldChar w:fldCharType="begin"/>
        </w:r>
        <w:r>
          <w:instrText xml:space="preserve"> PAGEREF _Toc18213 \h </w:instrText>
        </w:r>
        <w:r>
          <w:fldChar w:fldCharType="separate"/>
        </w:r>
        <w:r>
          <w:t>9</w:t>
        </w:r>
        <w:r>
          <w:fldChar w:fldCharType="end"/>
        </w:r>
      </w:hyperlink>
    </w:p>
    <w:p>
      <w:pPr>
        <w:pStyle w:val="TOC2"/>
        <w:tabs>
          <w:tab w:val="right" w:leader="dot" w:pos="8306"/>
        </w:tabs>
      </w:pPr>
      <w:hyperlink w:anchor="_Toc25284" w:history="1">
        <w:r>
          <w:rPr>
            <w:rFonts w:ascii="仿宋" w:eastAsia="仿宋" w:hAnsi="仿宋" w:cs="仿宋" w:hint="eastAsia"/>
            <w:lang w:eastAsia="zh-CN"/>
          </w:rPr>
          <w:t>(七)、环境保护</w:t>
        </w:r>
        <w:r>
          <w:tab/>
        </w:r>
        <w:r>
          <w:fldChar w:fldCharType="begin"/>
        </w:r>
        <w:r>
          <w:instrText xml:space="preserve"> PAGEREF _Toc25284 \h </w:instrText>
        </w:r>
        <w:r>
          <w:fldChar w:fldCharType="separate"/>
        </w:r>
        <w:r>
          <w:t>10</w:t>
        </w:r>
        <w:r>
          <w:fldChar w:fldCharType="end"/>
        </w:r>
      </w:hyperlink>
    </w:p>
    <w:p>
      <w:pPr>
        <w:pStyle w:val="TOC2"/>
        <w:tabs>
          <w:tab w:val="right" w:leader="dot" w:pos="8306"/>
        </w:tabs>
      </w:pPr>
      <w:hyperlink w:anchor="_Toc3601" w:history="1">
        <w:r>
          <w:rPr>
            <w:rFonts w:ascii="仿宋" w:eastAsia="仿宋" w:hAnsi="仿宋" w:cs="仿宋" w:hint="eastAsia"/>
            <w:lang w:eastAsia="zh-CN"/>
          </w:rPr>
          <w:t>(八)、超细Γ-AL2O3微粉项目建设符合性</w:t>
        </w:r>
        <w:r>
          <w:tab/>
        </w:r>
        <w:r>
          <w:fldChar w:fldCharType="begin"/>
        </w:r>
        <w:r>
          <w:instrText xml:space="preserve"> PAGEREF _Toc3601 \h </w:instrText>
        </w:r>
        <w:r>
          <w:fldChar w:fldCharType="separate"/>
        </w:r>
        <w:r>
          <w:t>11</w:t>
        </w:r>
        <w:r>
          <w:fldChar w:fldCharType="end"/>
        </w:r>
      </w:hyperlink>
    </w:p>
    <w:p>
      <w:pPr>
        <w:pStyle w:val="TOC2"/>
        <w:tabs>
          <w:tab w:val="right" w:leader="dot" w:pos="8306"/>
        </w:tabs>
      </w:pPr>
      <w:hyperlink w:anchor="_Toc15394" w:history="1">
        <w:r>
          <w:rPr>
            <w:rFonts w:ascii="仿宋" w:eastAsia="仿宋" w:hAnsi="仿宋" w:cs="仿宋" w:hint="eastAsia"/>
            <w:lang w:eastAsia="zh-CN"/>
          </w:rPr>
          <w:t>(九)、超细Γ-AL2O3微粉项目进度规划</w:t>
        </w:r>
        <w:r>
          <w:tab/>
        </w:r>
        <w:r>
          <w:fldChar w:fldCharType="begin"/>
        </w:r>
        <w:r>
          <w:instrText xml:space="preserve"> PAGEREF _Toc15394 \h </w:instrText>
        </w:r>
        <w:r>
          <w:fldChar w:fldCharType="separate"/>
        </w:r>
        <w:r>
          <w:t>12</w:t>
        </w:r>
        <w:r>
          <w:fldChar w:fldCharType="end"/>
        </w:r>
      </w:hyperlink>
    </w:p>
    <w:p>
      <w:pPr>
        <w:pStyle w:val="TOC2"/>
        <w:tabs>
          <w:tab w:val="right" w:leader="dot" w:pos="8306"/>
        </w:tabs>
      </w:pPr>
      <w:hyperlink w:anchor="_Toc25268" w:history="1">
        <w:r>
          <w:rPr>
            <w:rFonts w:ascii="仿宋" w:eastAsia="仿宋" w:hAnsi="仿宋" w:cs="仿宋" w:hint="eastAsia"/>
            <w:lang w:eastAsia="zh-CN"/>
          </w:rPr>
          <w:t>(十)、投资估算及经济效益分析</w:t>
        </w:r>
        <w:r>
          <w:tab/>
        </w:r>
        <w:r>
          <w:fldChar w:fldCharType="begin"/>
        </w:r>
        <w:r>
          <w:instrText xml:space="preserve"> PAGEREF _Toc25268 \h </w:instrText>
        </w:r>
        <w:r>
          <w:fldChar w:fldCharType="separate"/>
        </w:r>
        <w:r>
          <w:t>13</w:t>
        </w:r>
        <w:r>
          <w:fldChar w:fldCharType="end"/>
        </w:r>
      </w:hyperlink>
    </w:p>
    <w:p>
      <w:pPr>
        <w:pStyle w:val="TOC2"/>
        <w:tabs>
          <w:tab w:val="right" w:leader="dot" w:pos="8306"/>
        </w:tabs>
      </w:pPr>
      <w:hyperlink w:anchor="_Toc23195" w:history="1">
        <w:r>
          <w:rPr>
            <w:rFonts w:ascii="仿宋" w:eastAsia="仿宋" w:hAnsi="仿宋" w:cs="仿宋" w:hint="eastAsia"/>
            <w:lang w:eastAsia="zh-CN"/>
          </w:rPr>
          <w:t>(十一)、报告说明</w:t>
        </w:r>
        <w:r>
          <w:tab/>
        </w:r>
        <w:r>
          <w:fldChar w:fldCharType="begin"/>
        </w:r>
        <w:r>
          <w:instrText xml:space="preserve"> PAGEREF _Toc23195 \h </w:instrText>
        </w:r>
        <w:r>
          <w:fldChar w:fldCharType="separate"/>
        </w:r>
        <w:r>
          <w:t>14</w:t>
        </w:r>
        <w:r>
          <w:fldChar w:fldCharType="end"/>
        </w:r>
      </w:hyperlink>
    </w:p>
    <w:p>
      <w:pPr>
        <w:pStyle w:val="TOC2"/>
        <w:tabs>
          <w:tab w:val="right" w:leader="dot" w:pos="8306"/>
        </w:tabs>
      </w:pPr>
      <w:hyperlink w:anchor="_Toc30275" w:history="1">
        <w:r>
          <w:rPr>
            <w:rFonts w:ascii="仿宋" w:eastAsia="仿宋" w:hAnsi="仿宋" w:cs="仿宋" w:hint="eastAsia"/>
            <w:lang w:eastAsia="zh-CN"/>
          </w:rPr>
          <w:t>(十二)、超细Γ-AL2O3微粉项目评价</w:t>
        </w:r>
        <w:r>
          <w:tab/>
        </w:r>
        <w:r>
          <w:fldChar w:fldCharType="begin"/>
        </w:r>
        <w:r>
          <w:instrText xml:space="preserve"> PAGEREF _Toc30275 \h </w:instrText>
        </w:r>
        <w:r>
          <w:fldChar w:fldCharType="separate"/>
        </w:r>
        <w:r>
          <w:t>16</w:t>
        </w:r>
        <w:r>
          <w:fldChar w:fldCharType="end"/>
        </w:r>
      </w:hyperlink>
    </w:p>
    <w:p>
      <w:pPr>
        <w:pStyle w:val="TOC1"/>
        <w:tabs>
          <w:tab w:val="right" w:leader="dot" w:pos="8306"/>
        </w:tabs>
      </w:pPr>
      <w:hyperlink w:anchor="_Toc1699" w:history="1">
        <w:r>
          <w:rPr>
            <w:rFonts w:ascii="仿宋" w:eastAsia="仿宋" w:hAnsi="仿宋" w:cs="仿宋" w:hint="eastAsia"/>
            <w:lang w:eastAsia="zh-CN"/>
          </w:rPr>
          <w:t>三、建设单位基本信息</w:t>
        </w:r>
        <w:r>
          <w:tab/>
        </w:r>
        <w:r>
          <w:fldChar w:fldCharType="begin"/>
        </w:r>
        <w:r>
          <w:instrText xml:space="preserve"> PAGEREF _Toc1699 \h </w:instrText>
        </w:r>
        <w:r>
          <w:fldChar w:fldCharType="separate"/>
        </w:r>
        <w:r>
          <w:t>17</w:t>
        </w:r>
        <w:r>
          <w:fldChar w:fldCharType="end"/>
        </w:r>
      </w:hyperlink>
    </w:p>
    <w:p>
      <w:pPr>
        <w:pStyle w:val="TOC2"/>
        <w:tabs>
          <w:tab w:val="right" w:leader="dot" w:pos="8306"/>
        </w:tabs>
      </w:pPr>
      <w:hyperlink w:anchor="_Toc8998" w:history="1">
        <w:r>
          <w:rPr>
            <w:rFonts w:ascii="仿宋" w:eastAsia="仿宋" w:hAnsi="仿宋" w:cs="仿宋" w:hint="eastAsia"/>
            <w:lang w:eastAsia="zh-CN"/>
          </w:rPr>
          <w:t>(一)、超细Γ-AL2O3微粉项目承办单位基本情况</w:t>
        </w:r>
        <w:r>
          <w:tab/>
        </w:r>
        <w:r>
          <w:fldChar w:fldCharType="begin"/>
        </w:r>
        <w:r>
          <w:instrText xml:space="preserve"> PAGEREF _Toc8998 \h </w:instrText>
        </w:r>
        <w:r>
          <w:fldChar w:fldCharType="separate"/>
        </w:r>
        <w:r>
          <w:t>17</w:t>
        </w:r>
        <w:r>
          <w:fldChar w:fldCharType="end"/>
        </w:r>
      </w:hyperlink>
    </w:p>
    <w:p>
      <w:pPr>
        <w:pStyle w:val="TOC2"/>
        <w:tabs>
          <w:tab w:val="right" w:leader="dot" w:pos="8306"/>
        </w:tabs>
      </w:pPr>
      <w:hyperlink w:anchor="_Toc15785" w:history="1">
        <w:r>
          <w:rPr>
            <w:rFonts w:ascii="仿宋" w:eastAsia="仿宋" w:hAnsi="仿宋" w:cs="仿宋" w:hint="eastAsia"/>
            <w:lang w:eastAsia="zh-CN"/>
          </w:rPr>
          <w:t>(二)、公司经济效益分析</w:t>
        </w:r>
        <w:r>
          <w:tab/>
        </w:r>
        <w:r>
          <w:fldChar w:fldCharType="begin"/>
        </w:r>
        <w:r>
          <w:instrText xml:space="preserve"> PAGEREF _Toc15785 \h </w:instrText>
        </w:r>
        <w:r>
          <w:fldChar w:fldCharType="separate"/>
        </w:r>
        <w:r>
          <w:t>19</w:t>
        </w:r>
        <w:r>
          <w:fldChar w:fldCharType="end"/>
        </w:r>
      </w:hyperlink>
    </w:p>
    <w:p>
      <w:pPr>
        <w:pStyle w:val="TOC1"/>
        <w:tabs>
          <w:tab w:val="right" w:leader="dot" w:pos="8306"/>
        </w:tabs>
      </w:pPr>
      <w:hyperlink w:anchor="_Toc21291" w:history="1">
        <w:r>
          <w:rPr>
            <w:rFonts w:ascii="仿宋" w:eastAsia="仿宋" w:hAnsi="仿宋" w:cs="仿宋" w:hint="eastAsia"/>
            <w:lang w:eastAsia="zh-CN"/>
          </w:rPr>
          <w:t>四、工艺分析</w:t>
        </w:r>
        <w:r>
          <w:tab/>
        </w:r>
        <w:r>
          <w:fldChar w:fldCharType="begin"/>
        </w:r>
        <w:r>
          <w:instrText xml:space="preserve"> PAGEREF _Toc21291 \h </w:instrText>
        </w:r>
        <w:r>
          <w:fldChar w:fldCharType="separate"/>
        </w:r>
        <w:r>
          <w:t>20</w:t>
        </w:r>
        <w:r>
          <w:fldChar w:fldCharType="end"/>
        </w:r>
      </w:hyperlink>
    </w:p>
    <w:p>
      <w:pPr>
        <w:pStyle w:val="TOC2"/>
        <w:tabs>
          <w:tab w:val="right" w:leader="dot" w:pos="8306"/>
        </w:tabs>
      </w:pPr>
      <w:hyperlink w:anchor="_Toc1005" w:history="1">
        <w:r>
          <w:rPr>
            <w:rFonts w:ascii="仿宋" w:eastAsia="仿宋" w:hAnsi="仿宋" w:cs="仿宋" w:hint="eastAsia"/>
            <w:lang w:eastAsia="zh-CN"/>
          </w:rPr>
          <w:t>(一)、技术管理特点</w:t>
        </w:r>
        <w:r>
          <w:tab/>
        </w:r>
        <w:r>
          <w:fldChar w:fldCharType="begin"/>
        </w:r>
        <w:r>
          <w:instrText xml:space="preserve"> PAGEREF _Toc1005 \h </w:instrText>
        </w:r>
        <w:r>
          <w:fldChar w:fldCharType="separate"/>
        </w:r>
        <w:r>
          <w:t>20</w:t>
        </w:r>
        <w:r>
          <w:fldChar w:fldCharType="end"/>
        </w:r>
      </w:hyperlink>
    </w:p>
    <w:p>
      <w:pPr>
        <w:pStyle w:val="TOC2"/>
        <w:tabs>
          <w:tab w:val="right" w:leader="dot" w:pos="8306"/>
        </w:tabs>
      </w:pPr>
      <w:hyperlink w:anchor="_Toc31872" w:history="1">
        <w:r>
          <w:rPr>
            <w:rFonts w:ascii="仿宋" w:eastAsia="仿宋" w:hAnsi="仿宋" w:cs="仿宋" w:hint="eastAsia"/>
            <w:lang w:eastAsia="zh-CN"/>
          </w:rPr>
          <w:t>(二)、超细Γ-AL2O3微粉项目工艺技术设计方案</w:t>
        </w:r>
        <w:r>
          <w:tab/>
        </w:r>
        <w:r>
          <w:fldChar w:fldCharType="begin"/>
        </w:r>
        <w:r>
          <w:instrText xml:space="preserve"> PAGEREF _Toc31872 \h </w:instrText>
        </w:r>
        <w:r>
          <w:fldChar w:fldCharType="separate"/>
        </w:r>
        <w:r>
          <w:t>21</w:t>
        </w:r>
        <w:r>
          <w:fldChar w:fldCharType="end"/>
        </w:r>
      </w:hyperlink>
    </w:p>
    <w:p>
      <w:pPr>
        <w:pStyle w:val="TOC2"/>
        <w:tabs>
          <w:tab w:val="right" w:leader="dot" w:pos="8306"/>
        </w:tabs>
      </w:pPr>
      <w:hyperlink w:anchor="_Toc5680" w:history="1">
        <w:r>
          <w:rPr>
            <w:rFonts w:ascii="仿宋" w:eastAsia="仿宋" w:hAnsi="仿宋" w:cs="仿宋" w:hint="eastAsia"/>
            <w:lang w:eastAsia="zh-CN"/>
          </w:rPr>
          <w:t>(三)、设备选型方案</w:t>
        </w:r>
        <w:r>
          <w:tab/>
        </w:r>
        <w:r>
          <w:fldChar w:fldCharType="begin"/>
        </w:r>
        <w:r>
          <w:instrText xml:space="preserve"> PAGEREF _Toc5680 \h </w:instrText>
        </w:r>
        <w:r>
          <w:fldChar w:fldCharType="separate"/>
        </w:r>
        <w:r>
          <w:t>22</w:t>
        </w:r>
        <w:r>
          <w:fldChar w:fldCharType="end"/>
        </w:r>
      </w:hyperlink>
    </w:p>
    <w:p>
      <w:pPr>
        <w:pStyle w:val="TOC1"/>
        <w:tabs>
          <w:tab w:val="right" w:leader="dot" w:pos="8306"/>
        </w:tabs>
      </w:pPr>
      <w:hyperlink w:anchor="_Toc4889" w:history="1">
        <w:r>
          <w:rPr>
            <w:rFonts w:ascii="仿宋" w:eastAsia="仿宋" w:hAnsi="仿宋" w:cs="仿宋" w:hint="eastAsia"/>
            <w:lang w:eastAsia="zh-CN"/>
          </w:rPr>
          <w:t>五、危机管理与应急预案</w:t>
        </w:r>
        <w:r>
          <w:tab/>
        </w:r>
        <w:r>
          <w:fldChar w:fldCharType="begin"/>
        </w:r>
        <w:r>
          <w:instrText xml:space="preserve"> PAGEREF _Toc4889 \h </w:instrText>
        </w:r>
        <w:r>
          <w:fldChar w:fldCharType="separate"/>
        </w:r>
        <w:r>
          <w:t>23</w:t>
        </w:r>
        <w:r>
          <w:fldChar w:fldCharType="end"/>
        </w:r>
      </w:hyperlink>
    </w:p>
    <w:p>
      <w:pPr>
        <w:pStyle w:val="TOC2"/>
        <w:tabs>
          <w:tab w:val="right" w:leader="dot" w:pos="8306"/>
        </w:tabs>
      </w:pPr>
      <w:hyperlink w:anchor="_Toc481" w:history="1">
        <w:r>
          <w:rPr>
            <w:rFonts w:ascii="仿宋" w:eastAsia="仿宋" w:hAnsi="仿宋" w:cs="仿宋" w:hint="eastAsia"/>
            <w:lang w:eastAsia="zh-CN"/>
          </w:rPr>
          <w:t>(一)、危机预警与监测</w:t>
        </w:r>
        <w:r>
          <w:tab/>
        </w:r>
        <w:r>
          <w:fldChar w:fldCharType="begin"/>
        </w:r>
        <w:r>
          <w:instrText xml:space="preserve"> PAGEREF _Toc481 \h </w:instrText>
        </w:r>
        <w:r>
          <w:fldChar w:fldCharType="separate"/>
        </w:r>
        <w:r>
          <w:t>23</w:t>
        </w:r>
        <w:r>
          <w:fldChar w:fldCharType="end"/>
        </w:r>
      </w:hyperlink>
    </w:p>
    <w:p>
      <w:pPr>
        <w:pStyle w:val="TOC2"/>
        <w:tabs>
          <w:tab w:val="right" w:leader="dot" w:pos="8306"/>
        </w:tabs>
      </w:pPr>
      <w:hyperlink w:anchor="_Toc31410" w:history="1">
        <w:r>
          <w:rPr>
            <w:rFonts w:ascii="仿宋" w:eastAsia="仿宋" w:hAnsi="仿宋" w:cs="仿宋" w:hint="eastAsia"/>
            <w:lang w:eastAsia="zh-CN"/>
          </w:rPr>
          <w:t>(二)、应急预案与危机响应</w:t>
        </w:r>
        <w:r>
          <w:tab/>
        </w:r>
        <w:r>
          <w:fldChar w:fldCharType="begin"/>
        </w:r>
        <w:r>
          <w:instrText xml:space="preserve"> PAGEREF _Toc31410 \h </w:instrText>
        </w:r>
        <w:r>
          <w:fldChar w:fldCharType="separate"/>
        </w:r>
        <w:r>
          <w:t>24</w:t>
        </w:r>
        <w:r>
          <w:fldChar w:fldCharType="end"/>
        </w:r>
      </w:hyperlink>
    </w:p>
    <w:p>
      <w:pPr>
        <w:pStyle w:val="TOC2"/>
        <w:tabs>
          <w:tab w:val="right" w:leader="dot" w:pos="8306"/>
        </w:tabs>
      </w:pPr>
      <w:hyperlink w:anchor="_Toc8112" w:history="1">
        <w:r>
          <w:rPr>
            <w:rFonts w:ascii="仿宋" w:eastAsia="仿宋" w:hAnsi="仿宋" w:cs="仿宋" w:hint="eastAsia"/>
            <w:lang w:eastAsia="zh-CN"/>
          </w:rPr>
          <w:t>(三)、危机沟通与舆情控制</w:t>
        </w:r>
        <w:r>
          <w:tab/>
        </w:r>
        <w:r>
          <w:fldChar w:fldCharType="begin"/>
        </w:r>
        <w:r>
          <w:instrText xml:space="preserve"> PAGEREF _Toc8112 \h </w:instrText>
        </w:r>
        <w:r>
          <w:fldChar w:fldCharType="separate"/>
        </w:r>
        <w:r>
          <w:t>26</w:t>
        </w:r>
        <w:r>
          <w:fldChar w:fldCharType="end"/>
        </w:r>
      </w:hyperlink>
    </w:p>
    <w:p>
      <w:pPr>
        <w:pStyle w:val="TOC2"/>
        <w:tabs>
          <w:tab w:val="right" w:leader="dot" w:pos="8306"/>
        </w:tabs>
      </w:pPr>
      <w:hyperlink w:anchor="_Toc9623" w:history="1">
        <w:r>
          <w:rPr>
            <w:rFonts w:ascii="仿宋" w:eastAsia="仿宋" w:hAnsi="仿宋" w:cs="仿宋" w:hint="eastAsia"/>
            <w:lang w:eastAsia="zh-CN"/>
          </w:rPr>
          <w:t>(四)、危机后教训与改进</w:t>
        </w:r>
        <w:r>
          <w:tab/>
        </w:r>
        <w:r>
          <w:fldChar w:fldCharType="begin"/>
        </w:r>
        <w:r>
          <w:instrText xml:space="preserve"> PAGEREF _Toc9623 \h </w:instrText>
        </w:r>
        <w:r>
          <w:fldChar w:fldCharType="separate"/>
        </w:r>
        <w:r>
          <w:t>28</w:t>
        </w:r>
        <w:r>
          <w:fldChar w:fldCharType="end"/>
        </w:r>
      </w:hyperlink>
    </w:p>
    <w:p>
      <w:pPr>
        <w:pStyle w:val="TOC1"/>
        <w:tabs>
          <w:tab w:val="right" w:leader="dot" w:pos="8306"/>
        </w:tabs>
      </w:pPr>
      <w:hyperlink w:anchor="_Toc2987" w:history="1">
        <w:r>
          <w:rPr>
            <w:rFonts w:ascii="仿宋" w:eastAsia="仿宋" w:hAnsi="仿宋" w:cs="仿宋" w:hint="eastAsia"/>
            <w:lang w:eastAsia="zh-CN"/>
          </w:rPr>
          <w:t>六、超细Γ-AL2O3微粉项目运营管理</w:t>
        </w:r>
        <w:r>
          <w:tab/>
        </w:r>
        <w:r>
          <w:fldChar w:fldCharType="begin"/>
        </w:r>
        <w:r>
          <w:instrText xml:space="preserve"> PAGEREF _Toc2987 \h </w:instrText>
        </w:r>
        <w:r>
          <w:fldChar w:fldCharType="separate"/>
        </w:r>
        <w:r>
          <w:t>30</w:t>
        </w:r>
        <w:r>
          <w:fldChar w:fldCharType="end"/>
        </w:r>
      </w:hyperlink>
    </w:p>
    <w:p>
      <w:pPr>
        <w:pStyle w:val="TOC2"/>
        <w:tabs>
          <w:tab w:val="right" w:leader="dot" w:pos="8306"/>
        </w:tabs>
      </w:pPr>
      <w:hyperlink w:anchor="_Toc11977" w:history="1">
        <w:r>
          <w:rPr>
            <w:rFonts w:ascii="仿宋" w:eastAsia="仿宋" w:hAnsi="仿宋" w:cs="仿宋" w:hint="eastAsia"/>
            <w:lang w:eastAsia="zh-CN"/>
          </w:rPr>
          <w:t>(一)、运营管理机构设置</w:t>
        </w:r>
        <w:r>
          <w:tab/>
        </w:r>
        <w:r>
          <w:fldChar w:fldCharType="begin"/>
        </w:r>
        <w:r>
          <w:instrText xml:space="preserve"> PAGEREF _Toc11977 \h </w:instrText>
        </w:r>
        <w:r>
          <w:fldChar w:fldCharType="separate"/>
        </w:r>
        <w:r>
          <w:t>30</w:t>
        </w:r>
        <w:r>
          <w:fldChar w:fldCharType="end"/>
        </w:r>
      </w:hyperlink>
    </w:p>
    <w:p>
      <w:pPr>
        <w:pStyle w:val="TOC2"/>
        <w:tabs>
          <w:tab w:val="right" w:leader="dot" w:pos="8306"/>
        </w:tabs>
      </w:pPr>
      <w:hyperlink w:anchor="_Toc20304" w:history="1">
        <w:r>
          <w:rPr>
            <w:rFonts w:ascii="仿宋" w:eastAsia="仿宋" w:hAnsi="仿宋" w:cs="仿宋" w:hint="eastAsia"/>
            <w:lang w:eastAsia="zh-CN"/>
          </w:rPr>
          <w:t>(二)、运营管理流程</w:t>
        </w:r>
        <w:r>
          <w:tab/>
        </w:r>
        <w:r>
          <w:fldChar w:fldCharType="begin"/>
        </w:r>
        <w:r>
          <w:instrText xml:space="preserve"> PAGEREF _Toc20304 \h </w:instrText>
        </w:r>
        <w:r>
          <w:fldChar w:fldCharType="separate"/>
        </w:r>
        <w:r>
          <w:t>33</w:t>
        </w:r>
        <w:r>
          <w:fldChar w:fldCharType="end"/>
        </w:r>
      </w:hyperlink>
    </w:p>
    <w:p>
      <w:pPr>
        <w:pStyle w:val="TOC2"/>
        <w:tabs>
          <w:tab w:val="right" w:leader="dot" w:pos="8306"/>
        </w:tabs>
      </w:pPr>
      <w:hyperlink w:anchor="_Toc29251" w:history="1">
        <w:r>
          <w:rPr>
            <w:rFonts w:ascii="仿宋" w:eastAsia="仿宋" w:hAnsi="仿宋" w:cs="仿宋" w:hint="eastAsia"/>
            <w:lang w:eastAsia="zh-CN"/>
          </w:rPr>
          <w:t>(三)、人员配备及培训</w:t>
        </w:r>
        <w:r>
          <w:tab/>
        </w:r>
        <w:r>
          <w:fldChar w:fldCharType="begin"/>
        </w:r>
        <w:r>
          <w:instrText xml:space="preserve"> PAGEREF _Toc29251 \h </w:instrText>
        </w:r>
        <w:r>
          <w:fldChar w:fldCharType="separate"/>
        </w:r>
        <w:r>
          <w:t>37</w:t>
        </w:r>
        <w:r>
          <w:fldChar w:fldCharType="end"/>
        </w:r>
      </w:hyperlink>
    </w:p>
    <w:p>
      <w:pPr>
        <w:pStyle w:val="TOC2"/>
        <w:tabs>
          <w:tab w:val="right" w:leader="dot" w:pos="8306"/>
        </w:tabs>
      </w:pPr>
      <w:hyperlink w:anchor="_Toc21827" w:history="1">
        <w:r>
          <w:rPr>
            <w:rFonts w:ascii="仿宋" w:eastAsia="仿宋" w:hAnsi="仿宋" w:cs="仿宋" w:hint="eastAsia"/>
            <w:lang w:eastAsia="zh-CN"/>
          </w:rPr>
          <w:t>(四)、质量管理体系</w:t>
        </w:r>
        <w:r>
          <w:tab/>
        </w:r>
        <w:r>
          <w:fldChar w:fldCharType="begin"/>
        </w:r>
        <w:r>
          <w:instrText xml:space="preserve"> PAGEREF _Toc21827 \h </w:instrText>
        </w:r>
        <w:r>
          <w:fldChar w:fldCharType="separate"/>
        </w:r>
        <w:r>
          <w:t>39</w:t>
        </w:r>
        <w:r>
          <w:fldChar w:fldCharType="end"/>
        </w:r>
      </w:hyperlink>
    </w:p>
    <w:p>
      <w:pPr>
        <w:pStyle w:val="TOC2"/>
        <w:tabs>
          <w:tab w:val="right" w:leader="dot" w:pos="8306"/>
        </w:tabs>
      </w:pPr>
      <w:hyperlink w:anchor="_Toc31847" w:history="1">
        <w:r>
          <w:rPr>
            <w:rFonts w:ascii="仿宋" w:eastAsia="仿宋" w:hAnsi="仿宋" w:cs="仿宋" w:hint="eastAsia"/>
            <w:lang w:eastAsia="zh-CN"/>
          </w:rPr>
          <w:t>(五)、安全生产管理</w:t>
        </w:r>
        <w:r>
          <w:tab/>
        </w:r>
        <w:r>
          <w:fldChar w:fldCharType="begin"/>
        </w:r>
        <w:r>
          <w:instrText xml:space="preserve"> PAGEREF _Toc31847 \h </w:instrText>
        </w:r>
        <w:r>
          <w:fldChar w:fldCharType="separate"/>
        </w:r>
        <w:r>
          <w:t>41</w:t>
        </w:r>
        <w:r>
          <w:fldChar w:fldCharType="end"/>
        </w:r>
      </w:hyperlink>
    </w:p>
    <w:p>
      <w:pPr>
        <w:pStyle w:val="TOC2"/>
        <w:tabs>
          <w:tab w:val="right" w:leader="dot" w:pos="8306"/>
        </w:tabs>
      </w:pPr>
      <w:hyperlink w:anchor="_Toc15231" w:history="1">
        <w:r>
          <w:rPr>
            <w:rFonts w:ascii="仿宋" w:eastAsia="仿宋" w:hAnsi="仿宋" w:cs="仿宋" w:hint="eastAsia"/>
            <w:lang w:eastAsia="zh-CN"/>
          </w:rPr>
          <w:t>(六)、环境管理</w:t>
        </w:r>
        <w:r>
          <w:tab/>
        </w:r>
        <w:r>
          <w:fldChar w:fldCharType="begin"/>
        </w:r>
        <w:r>
          <w:instrText xml:space="preserve"> PAGEREF _Toc15231 \h </w:instrText>
        </w:r>
        <w:r>
          <w:fldChar w:fldCharType="separate"/>
        </w:r>
        <w:r>
          <w:t>43</w:t>
        </w:r>
        <w:r>
          <w:fldChar w:fldCharType="end"/>
        </w:r>
      </w:hyperlink>
    </w:p>
    <w:p>
      <w:pPr>
        <w:pStyle w:val="TOC2"/>
        <w:tabs>
          <w:tab w:val="right" w:leader="dot" w:pos="8306"/>
        </w:tabs>
      </w:pPr>
      <w:hyperlink w:anchor="_Toc12766" w:history="1">
        <w:r>
          <w:rPr>
            <w:rFonts w:ascii="仿宋" w:eastAsia="仿宋" w:hAnsi="仿宋" w:cs="仿宋" w:hint="eastAsia"/>
            <w:lang w:eastAsia="zh-CN"/>
          </w:rPr>
          <w:t>(七)、设备维护与保养</w:t>
        </w:r>
        <w:r>
          <w:tab/>
        </w:r>
        <w:r>
          <w:fldChar w:fldCharType="begin"/>
        </w:r>
        <w:r>
          <w:instrText xml:space="preserve"> PAGEREF _Toc12766 \h </w:instrText>
        </w:r>
        <w:r>
          <w:fldChar w:fldCharType="separate"/>
        </w:r>
        <w:r>
          <w:t>46</w:t>
        </w:r>
        <w:r>
          <w:fldChar w:fldCharType="end"/>
        </w:r>
      </w:hyperlink>
    </w:p>
    <w:p>
      <w:pPr>
        <w:pStyle w:val="TOC2"/>
        <w:tabs>
          <w:tab w:val="right" w:leader="dot" w:pos="8306"/>
        </w:tabs>
      </w:pPr>
      <w:hyperlink w:anchor="_Toc58" w:history="1">
        <w:r>
          <w:rPr>
            <w:rFonts w:ascii="仿宋" w:eastAsia="仿宋" w:hAnsi="仿宋" w:cs="仿宋" w:hint="eastAsia"/>
            <w:lang w:eastAsia="zh-CN"/>
          </w:rPr>
          <w:t>(八)、应急预案与处置</w:t>
        </w:r>
        <w:r>
          <w:tab/>
        </w:r>
        <w:r>
          <w:fldChar w:fldCharType="begin"/>
        </w:r>
        <w:r>
          <w:instrText xml:space="preserve"> PAGEREF _Toc58 \h </w:instrText>
        </w:r>
        <w:r>
          <w:fldChar w:fldCharType="separate"/>
        </w:r>
        <w:r>
          <w:t>48</w:t>
        </w:r>
        <w:r>
          <w:fldChar w:fldCharType="end"/>
        </w:r>
      </w:hyperlink>
    </w:p>
    <w:p>
      <w:pPr>
        <w:pStyle w:val="TOC2"/>
        <w:tabs>
          <w:tab w:val="right" w:leader="dot" w:pos="8306"/>
        </w:tabs>
      </w:pPr>
      <w:hyperlink w:anchor="_Toc23408" w:history="1">
        <w:r>
          <w:rPr>
            <w:rFonts w:ascii="仿宋" w:eastAsia="仿宋" w:hAnsi="仿宋" w:cs="仿宋" w:hint="eastAsia"/>
            <w:lang w:eastAsia="zh-CN"/>
          </w:rPr>
          <w:t>(九)、绩效评估</w:t>
        </w:r>
        <w:r>
          <w:tab/>
        </w:r>
        <w:r>
          <w:fldChar w:fldCharType="begin"/>
        </w:r>
        <w:r>
          <w:instrText xml:space="preserve"> PAGEREF _Toc23408 \h </w:instrText>
        </w:r>
        <w:r>
          <w:fldChar w:fldCharType="separate"/>
        </w:r>
        <w:r>
          <w:t>49</w:t>
        </w:r>
        <w:r>
          <w:fldChar w:fldCharType="end"/>
        </w:r>
      </w:hyperlink>
    </w:p>
    <w:p>
      <w:pPr>
        <w:pStyle w:val="TOC1"/>
        <w:tabs>
          <w:tab w:val="right" w:leader="dot" w:pos="8306"/>
        </w:tabs>
      </w:pPr>
      <w:hyperlink w:anchor="_Toc9947" w:history="1">
        <w:r>
          <w:rPr>
            <w:rFonts w:ascii="仿宋" w:eastAsia="仿宋" w:hAnsi="仿宋" w:cs="仿宋" w:hint="eastAsia"/>
            <w:lang w:eastAsia="zh-CN"/>
          </w:rPr>
          <w:t>七、员工福利与企业文化</w:t>
        </w:r>
        <w:r>
          <w:tab/>
        </w:r>
        <w:r>
          <w:fldChar w:fldCharType="begin"/>
        </w:r>
        <w:r>
          <w:instrText xml:space="preserve"> PAGEREF _Toc9947 \h </w:instrText>
        </w:r>
        <w:r>
          <w:fldChar w:fldCharType="separate"/>
        </w:r>
        <w:r>
          <w:t>51</w:t>
        </w:r>
        <w:r>
          <w:fldChar w:fldCharType="end"/>
        </w:r>
      </w:hyperlink>
    </w:p>
    <w:p>
      <w:pPr>
        <w:pStyle w:val="TOC2"/>
        <w:tabs>
          <w:tab w:val="right" w:leader="dot" w:pos="8306"/>
        </w:tabs>
      </w:pPr>
      <w:hyperlink w:anchor="_Toc23968" w:history="1">
        <w:r>
          <w:rPr>
            <w:rFonts w:ascii="仿宋" w:eastAsia="仿宋" w:hAnsi="仿宋" w:cs="仿宋" w:hint="eastAsia"/>
            <w:lang w:eastAsia="zh-CN"/>
          </w:rPr>
          <w:t>(一)、员工福利政策</w:t>
        </w:r>
        <w:r>
          <w:tab/>
        </w:r>
        <w:r>
          <w:fldChar w:fldCharType="begin"/>
        </w:r>
        <w:r>
          <w:instrText xml:space="preserve"> PAGEREF _Toc23968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03" w:history="1">
        <w:r>
          <w:rPr>
            <w:rFonts w:ascii="仿宋" w:eastAsia="仿宋" w:hAnsi="仿宋" w:cs="仿宋" w:hint="eastAsia"/>
            <w:lang w:eastAsia="zh-CN"/>
          </w:rPr>
          <w:t>(二)、团队建设与员工培训</w:t>
        </w:r>
        <w:r>
          <w:tab/>
        </w:r>
        <w:r>
          <w:fldChar w:fldCharType="begin"/>
        </w:r>
        <w:r>
          <w:instrText xml:space="preserve"> PAGEREF _Toc7603 \h </w:instrText>
        </w:r>
        <w:r>
          <w:fldChar w:fldCharType="separate"/>
        </w:r>
        <w:r>
          <w:t>53</w:t>
        </w:r>
        <w:r>
          <w:fldChar w:fldCharType="end"/>
        </w:r>
      </w:hyperlink>
    </w:p>
    <w:p>
      <w:pPr>
        <w:pStyle w:val="TOC2"/>
        <w:tabs>
          <w:tab w:val="right" w:leader="dot" w:pos="8306"/>
        </w:tabs>
      </w:pPr>
      <w:hyperlink w:anchor="_Toc25095" w:history="1">
        <w:r>
          <w:rPr>
            <w:rFonts w:ascii="仿宋" w:eastAsia="仿宋" w:hAnsi="仿宋" w:cs="仿宋" w:hint="eastAsia"/>
            <w:lang w:eastAsia="zh-CN"/>
          </w:rPr>
          <w:t>(三)、企业文化建设</w:t>
        </w:r>
        <w:r>
          <w:tab/>
        </w:r>
        <w:r>
          <w:fldChar w:fldCharType="begin"/>
        </w:r>
        <w:r>
          <w:instrText xml:space="preserve"> PAGEREF _Toc25095 \h </w:instrText>
        </w:r>
        <w:r>
          <w:fldChar w:fldCharType="separate"/>
        </w:r>
        <w:r>
          <w:t>54</w:t>
        </w:r>
        <w:r>
          <w:fldChar w:fldCharType="end"/>
        </w:r>
      </w:hyperlink>
    </w:p>
    <w:p>
      <w:pPr>
        <w:pStyle w:val="TOC2"/>
        <w:tabs>
          <w:tab w:val="right" w:leader="dot" w:pos="8306"/>
        </w:tabs>
      </w:pPr>
      <w:hyperlink w:anchor="_Toc12882" w:history="1">
        <w:r>
          <w:rPr>
            <w:rFonts w:ascii="仿宋" w:eastAsia="仿宋" w:hAnsi="仿宋" w:cs="仿宋" w:hint="eastAsia"/>
            <w:lang w:eastAsia="zh-CN"/>
          </w:rPr>
          <w:t>(四)、员工健康与工作平衡</w:t>
        </w:r>
        <w:r>
          <w:tab/>
        </w:r>
        <w:r>
          <w:fldChar w:fldCharType="begin"/>
        </w:r>
        <w:r>
          <w:instrText xml:space="preserve"> PAGEREF _Toc12882 \h </w:instrText>
        </w:r>
        <w:r>
          <w:fldChar w:fldCharType="separate"/>
        </w:r>
        <w:r>
          <w:t>56</w:t>
        </w:r>
        <w:r>
          <w:fldChar w:fldCharType="end"/>
        </w:r>
      </w:hyperlink>
    </w:p>
    <w:p>
      <w:pPr>
        <w:pStyle w:val="TOC1"/>
        <w:tabs>
          <w:tab w:val="right" w:leader="dot" w:pos="8306"/>
        </w:tabs>
      </w:pPr>
      <w:hyperlink w:anchor="_Toc10446" w:history="1">
        <w:r>
          <w:rPr>
            <w:rFonts w:ascii="仿宋" w:eastAsia="仿宋" w:hAnsi="仿宋" w:cs="仿宋" w:hint="eastAsia"/>
            <w:lang w:eastAsia="zh-CN"/>
          </w:rPr>
          <w:t>八、知识管理与技术创新</w:t>
        </w:r>
        <w:r>
          <w:tab/>
        </w:r>
        <w:r>
          <w:fldChar w:fldCharType="begin"/>
        </w:r>
        <w:r>
          <w:instrText xml:space="preserve"> PAGEREF _Toc10446 \h </w:instrText>
        </w:r>
        <w:r>
          <w:fldChar w:fldCharType="separate"/>
        </w:r>
        <w:r>
          <w:t>58</w:t>
        </w:r>
        <w:r>
          <w:fldChar w:fldCharType="end"/>
        </w:r>
      </w:hyperlink>
    </w:p>
    <w:p>
      <w:pPr>
        <w:pStyle w:val="TOC2"/>
        <w:tabs>
          <w:tab w:val="right" w:leader="dot" w:pos="8306"/>
        </w:tabs>
      </w:pPr>
      <w:hyperlink w:anchor="_Toc4528" w:history="1">
        <w:r>
          <w:rPr>
            <w:rFonts w:ascii="仿宋" w:eastAsia="仿宋" w:hAnsi="仿宋" w:cs="仿宋" w:hint="eastAsia"/>
            <w:lang w:eastAsia="zh-CN"/>
          </w:rPr>
          <w:t>(一)、知识管理体系建设</w:t>
        </w:r>
        <w:r>
          <w:tab/>
        </w:r>
        <w:r>
          <w:fldChar w:fldCharType="begin"/>
        </w:r>
        <w:r>
          <w:instrText xml:space="preserve"> PAGEREF _Toc4528 \h </w:instrText>
        </w:r>
        <w:r>
          <w:fldChar w:fldCharType="separate"/>
        </w:r>
        <w:r>
          <w:t>58</w:t>
        </w:r>
        <w:r>
          <w:fldChar w:fldCharType="end"/>
        </w:r>
      </w:hyperlink>
    </w:p>
    <w:p>
      <w:pPr>
        <w:pStyle w:val="TOC2"/>
        <w:tabs>
          <w:tab w:val="right" w:leader="dot" w:pos="8306"/>
        </w:tabs>
      </w:pPr>
      <w:hyperlink w:anchor="_Toc10937" w:history="1">
        <w:r>
          <w:rPr>
            <w:rFonts w:ascii="仿宋" w:eastAsia="仿宋" w:hAnsi="仿宋" w:cs="仿宋" w:hint="eastAsia"/>
            <w:lang w:eastAsia="zh-CN"/>
          </w:rPr>
          <w:t>(二)、技术创新与研发投入</w:t>
        </w:r>
        <w:r>
          <w:tab/>
        </w:r>
        <w:r>
          <w:fldChar w:fldCharType="begin"/>
        </w:r>
        <w:r>
          <w:instrText xml:space="preserve"> PAGEREF _Toc10937 \h </w:instrText>
        </w:r>
        <w:r>
          <w:fldChar w:fldCharType="separate"/>
        </w:r>
        <w:r>
          <w:t>60</w:t>
        </w:r>
        <w:r>
          <w:fldChar w:fldCharType="end"/>
        </w:r>
      </w:hyperlink>
    </w:p>
    <w:p>
      <w:pPr>
        <w:pStyle w:val="TOC2"/>
        <w:tabs>
          <w:tab w:val="right" w:leader="dot" w:pos="8306"/>
        </w:tabs>
      </w:pPr>
      <w:hyperlink w:anchor="_Toc31367" w:history="1">
        <w:r>
          <w:rPr>
            <w:rFonts w:ascii="仿宋" w:eastAsia="仿宋" w:hAnsi="仿宋" w:cs="仿宋" w:hint="eastAsia"/>
            <w:lang w:eastAsia="zh-CN"/>
          </w:rPr>
          <w:t>(三)、专利申请与技术保护</w:t>
        </w:r>
        <w:r>
          <w:tab/>
        </w:r>
        <w:r>
          <w:fldChar w:fldCharType="begin"/>
        </w:r>
        <w:r>
          <w:instrText xml:space="preserve"> PAGEREF _Toc31367 \h </w:instrText>
        </w:r>
        <w:r>
          <w:fldChar w:fldCharType="separate"/>
        </w:r>
        <w:r>
          <w:t>61</w:t>
        </w:r>
        <w:r>
          <w:fldChar w:fldCharType="end"/>
        </w:r>
      </w:hyperlink>
    </w:p>
    <w:p>
      <w:pPr>
        <w:pStyle w:val="TOC2"/>
        <w:tabs>
          <w:tab w:val="right" w:leader="dot" w:pos="8306"/>
        </w:tabs>
      </w:pPr>
      <w:hyperlink w:anchor="_Toc14479" w:history="1">
        <w:r>
          <w:rPr>
            <w:rFonts w:ascii="仿宋" w:eastAsia="仿宋" w:hAnsi="仿宋" w:cs="仿宋" w:hint="eastAsia"/>
            <w:lang w:eastAsia="zh-CN"/>
          </w:rPr>
          <w:t>(四)、人才培养与团队建设</w:t>
        </w:r>
        <w:r>
          <w:tab/>
        </w:r>
        <w:r>
          <w:fldChar w:fldCharType="begin"/>
        </w:r>
        <w:r>
          <w:instrText xml:space="preserve"> PAGEREF _Toc14479 \h </w:instrText>
        </w:r>
        <w:r>
          <w:fldChar w:fldCharType="separate"/>
        </w:r>
        <w:r>
          <w:t>64</w:t>
        </w:r>
        <w:r>
          <w:fldChar w:fldCharType="end"/>
        </w:r>
      </w:hyperlink>
    </w:p>
    <w:p>
      <w:pPr>
        <w:pStyle w:val="TOC1"/>
        <w:tabs>
          <w:tab w:val="right" w:leader="dot" w:pos="8306"/>
        </w:tabs>
      </w:pPr>
      <w:hyperlink w:anchor="_Toc15247" w:history="1">
        <w:r>
          <w:rPr>
            <w:rFonts w:ascii="仿宋" w:eastAsia="仿宋" w:hAnsi="仿宋" w:cs="仿宋" w:hint="eastAsia"/>
            <w:lang w:eastAsia="zh-CN"/>
          </w:rPr>
          <w:t>九、未来发展战略</w:t>
        </w:r>
        <w:r>
          <w:tab/>
        </w:r>
        <w:r>
          <w:fldChar w:fldCharType="begin"/>
        </w:r>
        <w:r>
          <w:instrText xml:space="preserve"> PAGEREF _Toc15247 \h </w:instrText>
        </w:r>
        <w:r>
          <w:fldChar w:fldCharType="separate"/>
        </w:r>
        <w:r>
          <w:t>66</w:t>
        </w:r>
        <w:r>
          <w:fldChar w:fldCharType="end"/>
        </w:r>
      </w:hyperlink>
    </w:p>
    <w:p>
      <w:pPr>
        <w:pStyle w:val="TOC2"/>
        <w:tabs>
          <w:tab w:val="right" w:leader="dot" w:pos="8306"/>
        </w:tabs>
      </w:pPr>
      <w:hyperlink w:anchor="_Toc27383" w:history="1">
        <w:r>
          <w:rPr>
            <w:rFonts w:ascii="仿宋" w:eastAsia="仿宋" w:hAnsi="仿宋" w:cs="仿宋" w:hint="eastAsia"/>
            <w:lang w:eastAsia="zh-CN"/>
          </w:rPr>
          <w:t>(一)、未来市场定位与业务拓展</w:t>
        </w:r>
        <w:r>
          <w:tab/>
        </w:r>
        <w:r>
          <w:fldChar w:fldCharType="begin"/>
        </w:r>
        <w:r>
          <w:instrText xml:space="preserve"> PAGEREF _Toc27383 \h </w:instrText>
        </w:r>
        <w:r>
          <w:fldChar w:fldCharType="separate"/>
        </w:r>
        <w:r>
          <w:t>66</w:t>
        </w:r>
        <w:r>
          <w:fldChar w:fldCharType="end"/>
        </w:r>
      </w:hyperlink>
    </w:p>
    <w:p>
      <w:pPr>
        <w:pStyle w:val="TOC2"/>
        <w:tabs>
          <w:tab w:val="right" w:leader="dot" w:pos="8306"/>
        </w:tabs>
      </w:pPr>
      <w:hyperlink w:anchor="_Toc9335" w:history="1">
        <w:r>
          <w:rPr>
            <w:rFonts w:ascii="仿宋" w:eastAsia="仿宋" w:hAnsi="仿宋" w:cs="仿宋" w:hint="eastAsia"/>
            <w:lang w:eastAsia="zh-CN"/>
          </w:rPr>
          <w:t>(二)、技术创新与研发方向</w:t>
        </w:r>
        <w:r>
          <w:tab/>
        </w:r>
        <w:r>
          <w:fldChar w:fldCharType="begin"/>
        </w:r>
        <w:r>
          <w:instrText xml:space="preserve"> PAGEREF _Toc9335 \h </w:instrText>
        </w:r>
        <w:r>
          <w:fldChar w:fldCharType="separate"/>
        </w:r>
        <w:r>
          <w:t>68</w:t>
        </w:r>
        <w:r>
          <w:fldChar w:fldCharType="end"/>
        </w:r>
      </w:hyperlink>
    </w:p>
    <w:p>
      <w:pPr>
        <w:pStyle w:val="TOC2"/>
        <w:tabs>
          <w:tab w:val="right" w:leader="dot" w:pos="8306"/>
        </w:tabs>
      </w:pPr>
      <w:hyperlink w:anchor="_Toc3580" w:history="1">
        <w:r>
          <w:rPr>
            <w:rFonts w:ascii="仿宋" w:eastAsia="仿宋" w:hAnsi="仿宋" w:cs="仿宋" w:hint="eastAsia"/>
            <w:lang w:eastAsia="zh-CN"/>
          </w:rPr>
          <w:t>(三)、国际化战略与全球市场</w:t>
        </w:r>
        <w:r>
          <w:tab/>
        </w:r>
        <w:r>
          <w:fldChar w:fldCharType="begin"/>
        </w:r>
        <w:r>
          <w:instrText xml:space="preserve"> PAGEREF _Toc3580 \h </w:instrText>
        </w:r>
        <w:r>
          <w:fldChar w:fldCharType="separate"/>
        </w:r>
        <w:r>
          <w:t>70</w:t>
        </w:r>
        <w:r>
          <w:fldChar w:fldCharType="end"/>
        </w:r>
      </w:hyperlink>
    </w:p>
    <w:p>
      <w:pPr>
        <w:pStyle w:val="TOC2"/>
        <w:tabs>
          <w:tab w:val="right" w:leader="dot" w:pos="8306"/>
        </w:tabs>
      </w:pPr>
      <w:hyperlink w:anchor="_Toc2004" w:history="1">
        <w:r>
          <w:rPr>
            <w:rFonts w:ascii="仿宋" w:eastAsia="仿宋" w:hAnsi="仿宋" w:cs="仿宋" w:hint="eastAsia"/>
            <w:lang w:eastAsia="zh-CN"/>
          </w:rPr>
          <w:t>(四)、可持续发展战略</w:t>
        </w:r>
        <w:r>
          <w:tab/>
        </w:r>
        <w:r>
          <w:fldChar w:fldCharType="begin"/>
        </w:r>
        <w:r>
          <w:instrText xml:space="preserve"> PAGEREF _Toc2004 \h </w:instrText>
        </w:r>
        <w:r>
          <w:fldChar w:fldCharType="separate"/>
        </w:r>
        <w:r>
          <w:t>71</w:t>
        </w:r>
        <w:r>
          <w:fldChar w:fldCharType="end"/>
        </w:r>
      </w:hyperlink>
    </w:p>
    <w:p>
      <w:pPr>
        <w:pStyle w:val="TOC1"/>
        <w:tabs>
          <w:tab w:val="right" w:leader="dot" w:pos="8306"/>
        </w:tabs>
      </w:pPr>
      <w:hyperlink w:anchor="_Toc19914" w:history="1">
        <w:r>
          <w:rPr>
            <w:rFonts w:ascii="仿宋" w:eastAsia="仿宋" w:hAnsi="仿宋" w:cs="仿宋" w:hint="eastAsia"/>
            <w:lang w:eastAsia="zh-CN"/>
          </w:rPr>
          <w:t>十、法律与合规性</w:t>
        </w:r>
        <w:r>
          <w:tab/>
        </w:r>
        <w:r>
          <w:fldChar w:fldCharType="begin"/>
        </w:r>
        <w:r>
          <w:instrText xml:space="preserve"> PAGEREF _Toc19914 \h </w:instrText>
        </w:r>
        <w:r>
          <w:fldChar w:fldCharType="separate"/>
        </w:r>
        <w:r>
          <w:t>73</w:t>
        </w:r>
        <w:r>
          <w:fldChar w:fldCharType="end"/>
        </w:r>
      </w:hyperlink>
    </w:p>
    <w:p>
      <w:pPr>
        <w:pStyle w:val="TOC2"/>
        <w:tabs>
          <w:tab w:val="right" w:leader="dot" w:pos="8306"/>
        </w:tabs>
      </w:pPr>
      <w:hyperlink w:anchor="_Toc7516" w:history="1">
        <w:r>
          <w:rPr>
            <w:rFonts w:ascii="仿宋" w:eastAsia="仿宋" w:hAnsi="仿宋" w:cs="仿宋" w:hint="eastAsia"/>
            <w:lang w:eastAsia="zh-CN"/>
          </w:rPr>
          <w:t>(一)、相关法律法规概述</w:t>
        </w:r>
        <w:r>
          <w:tab/>
        </w:r>
        <w:r>
          <w:fldChar w:fldCharType="begin"/>
        </w:r>
        <w:r>
          <w:instrText xml:space="preserve"> PAGEREF _Toc7516 \h </w:instrText>
        </w:r>
        <w:r>
          <w:fldChar w:fldCharType="separate"/>
        </w:r>
        <w:r>
          <w:t>73</w:t>
        </w:r>
        <w:r>
          <w:fldChar w:fldCharType="end"/>
        </w:r>
      </w:hyperlink>
    </w:p>
    <w:p>
      <w:pPr>
        <w:pStyle w:val="TOC2"/>
        <w:tabs>
          <w:tab w:val="right" w:leader="dot" w:pos="8306"/>
        </w:tabs>
      </w:pPr>
      <w:hyperlink w:anchor="_Toc22134" w:history="1">
        <w:r>
          <w:rPr>
            <w:rFonts w:ascii="仿宋" w:eastAsia="仿宋" w:hAnsi="仿宋" w:cs="仿宋" w:hint="eastAsia"/>
            <w:lang w:eastAsia="zh-CN"/>
          </w:rPr>
          <w:t>(二)、超细Γ-AL2O3微粉项目合同管理</w:t>
        </w:r>
        <w:r>
          <w:tab/>
        </w:r>
        <w:r>
          <w:fldChar w:fldCharType="begin"/>
        </w:r>
        <w:r>
          <w:instrText xml:space="preserve"> PAGEREF _Toc22134 \h </w:instrText>
        </w:r>
        <w:r>
          <w:fldChar w:fldCharType="separate"/>
        </w:r>
        <w:r>
          <w:t>75</w:t>
        </w:r>
        <w:r>
          <w:fldChar w:fldCharType="end"/>
        </w:r>
      </w:hyperlink>
    </w:p>
    <w:p>
      <w:pPr>
        <w:pStyle w:val="TOC2"/>
        <w:tabs>
          <w:tab w:val="right" w:leader="dot" w:pos="8306"/>
        </w:tabs>
      </w:pPr>
      <w:hyperlink w:anchor="_Toc20264" w:history="1">
        <w:r>
          <w:rPr>
            <w:rFonts w:ascii="仿宋" w:eastAsia="仿宋" w:hAnsi="仿宋" w:cs="仿宋" w:hint="eastAsia"/>
            <w:lang w:eastAsia="zh-CN"/>
          </w:rPr>
          <w:t>(三)、知识产权保护</w:t>
        </w:r>
        <w:r>
          <w:tab/>
        </w:r>
        <w:r>
          <w:fldChar w:fldCharType="begin"/>
        </w:r>
        <w:r>
          <w:instrText xml:space="preserve"> PAGEREF _Toc20264 \h </w:instrText>
        </w:r>
        <w:r>
          <w:fldChar w:fldCharType="separate"/>
        </w:r>
        <w:r>
          <w:t>77</w:t>
        </w:r>
        <w:r>
          <w:fldChar w:fldCharType="end"/>
        </w:r>
      </w:hyperlink>
    </w:p>
    <w:p>
      <w:pPr>
        <w:pStyle w:val="TOC2"/>
        <w:tabs>
          <w:tab w:val="right" w:leader="dot" w:pos="8306"/>
        </w:tabs>
      </w:pPr>
      <w:hyperlink w:anchor="_Toc26306" w:history="1">
        <w:r>
          <w:rPr>
            <w:rFonts w:ascii="仿宋" w:eastAsia="仿宋" w:hAnsi="仿宋" w:cs="仿宋" w:hint="eastAsia"/>
            <w:lang w:eastAsia="zh-CN"/>
          </w:rPr>
          <w:t>(四)、劳动法规与员工权益</w:t>
        </w:r>
        <w:r>
          <w:tab/>
        </w:r>
        <w:r>
          <w:fldChar w:fldCharType="begin"/>
        </w:r>
        <w:r>
          <w:instrText xml:space="preserve"> PAGEREF _Toc26306 \h </w:instrText>
        </w:r>
        <w:r>
          <w:fldChar w:fldCharType="separate"/>
        </w:r>
        <w:r>
          <w:t>79</w:t>
        </w:r>
        <w:r>
          <w:fldChar w:fldCharType="end"/>
        </w:r>
      </w:hyperlink>
    </w:p>
    <w:p>
      <w:pPr>
        <w:pStyle w:val="TOC2"/>
        <w:tabs>
          <w:tab w:val="right" w:leader="dot" w:pos="8306"/>
        </w:tabs>
      </w:pPr>
      <w:hyperlink w:anchor="_Toc4562" w:history="1">
        <w:r>
          <w:rPr>
            <w:rFonts w:ascii="仿宋" w:eastAsia="仿宋" w:hAnsi="仿宋" w:cs="仿宋" w:hint="eastAsia"/>
            <w:lang w:eastAsia="zh-CN"/>
          </w:rPr>
          <w:t>(五)、环境保护法规遵循</w:t>
        </w:r>
        <w:r>
          <w:tab/>
        </w:r>
        <w:r>
          <w:fldChar w:fldCharType="begin"/>
        </w:r>
        <w:r>
          <w:instrText xml:space="preserve"> PAGEREF _Toc4562 \h </w:instrText>
        </w:r>
        <w:r>
          <w:fldChar w:fldCharType="separate"/>
        </w:r>
        <w:r>
          <w:t>80</w:t>
        </w:r>
        <w:r>
          <w:fldChar w:fldCharType="end"/>
        </w:r>
      </w:hyperlink>
    </w:p>
    <w:p>
      <w:pPr>
        <w:pStyle w:val="TOC1"/>
        <w:tabs>
          <w:tab w:val="right" w:leader="dot" w:pos="8306"/>
        </w:tabs>
      </w:pPr>
      <w:hyperlink w:anchor="_Toc5692" w:history="1">
        <w:r>
          <w:rPr>
            <w:rFonts w:ascii="仿宋" w:eastAsia="仿宋" w:hAnsi="仿宋" w:cs="仿宋" w:hint="eastAsia"/>
            <w:lang w:eastAsia="zh-CN"/>
          </w:rPr>
          <w:t>十一、超细Γ-AL2O3微粉项目监督与评估</w:t>
        </w:r>
        <w:r>
          <w:tab/>
        </w:r>
        <w:r>
          <w:fldChar w:fldCharType="begin"/>
        </w:r>
        <w:r>
          <w:instrText xml:space="preserve"> PAGEREF _Toc5692 \h </w:instrText>
        </w:r>
        <w:r>
          <w:fldChar w:fldCharType="separate"/>
        </w:r>
        <w:r>
          <w:t>82</w:t>
        </w:r>
        <w:r>
          <w:fldChar w:fldCharType="end"/>
        </w:r>
      </w:hyperlink>
    </w:p>
    <w:p>
      <w:pPr>
        <w:pStyle w:val="TOC2"/>
        <w:tabs>
          <w:tab w:val="right" w:leader="dot" w:pos="8306"/>
        </w:tabs>
      </w:pPr>
      <w:hyperlink w:anchor="_Toc9890" w:history="1">
        <w:r>
          <w:rPr>
            <w:rFonts w:ascii="仿宋" w:eastAsia="仿宋" w:hAnsi="仿宋" w:cs="仿宋" w:hint="eastAsia"/>
            <w:lang w:eastAsia="zh-CN"/>
          </w:rPr>
          <w:t>(一)、监督机构及职责</w:t>
        </w:r>
        <w:r>
          <w:tab/>
        </w:r>
        <w:r>
          <w:fldChar w:fldCharType="begin"/>
        </w:r>
        <w:r>
          <w:instrText xml:space="preserve"> PAGEREF _Toc9890 \h </w:instrText>
        </w:r>
        <w:r>
          <w:fldChar w:fldCharType="separate"/>
        </w:r>
        <w:r>
          <w:t>82</w:t>
        </w:r>
        <w:r>
          <w:fldChar w:fldCharType="end"/>
        </w:r>
      </w:hyperlink>
    </w:p>
    <w:p>
      <w:pPr>
        <w:pStyle w:val="TOC2"/>
        <w:tabs>
          <w:tab w:val="right" w:leader="dot" w:pos="8306"/>
        </w:tabs>
      </w:pPr>
      <w:hyperlink w:anchor="_Toc20784" w:history="1">
        <w:r>
          <w:rPr>
            <w:rFonts w:ascii="仿宋" w:eastAsia="仿宋" w:hAnsi="仿宋" w:cs="仿宋" w:hint="eastAsia"/>
            <w:lang w:eastAsia="zh-CN"/>
          </w:rPr>
          <w:t>(二)、监测与评估指标体系</w:t>
        </w:r>
        <w:r>
          <w:tab/>
        </w:r>
        <w:r>
          <w:fldChar w:fldCharType="begin"/>
        </w:r>
        <w:r>
          <w:instrText xml:space="preserve"> PAGEREF _Toc20784 \h </w:instrText>
        </w:r>
        <w:r>
          <w:fldChar w:fldCharType="separate"/>
        </w:r>
        <w:r>
          <w:t>83</w:t>
        </w:r>
        <w:r>
          <w:fldChar w:fldCharType="end"/>
        </w:r>
      </w:hyperlink>
    </w:p>
    <w:p>
      <w:pPr>
        <w:pStyle w:val="TOC2"/>
        <w:tabs>
          <w:tab w:val="right" w:leader="dot" w:pos="8306"/>
        </w:tabs>
      </w:pPr>
      <w:hyperlink w:anchor="_Toc24632" w:history="1">
        <w:r>
          <w:rPr>
            <w:rFonts w:ascii="仿宋" w:eastAsia="仿宋" w:hAnsi="仿宋" w:cs="仿宋" w:hint="eastAsia"/>
            <w:lang w:eastAsia="zh-CN"/>
          </w:rPr>
          <w:t>(三)、监督与评估周期</w:t>
        </w:r>
        <w:r>
          <w:tab/>
        </w:r>
        <w:r>
          <w:fldChar w:fldCharType="begin"/>
        </w:r>
        <w:r>
          <w:instrText xml:space="preserve"> PAGEREF _Toc24632 \h </w:instrText>
        </w:r>
        <w:r>
          <w:fldChar w:fldCharType="separate"/>
        </w:r>
        <w:r>
          <w:t>86</w:t>
        </w:r>
        <w:r>
          <w:fldChar w:fldCharType="end"/>
        </w:r>
      </w:hyperlink>
    </w:p>
    <w:p>
      <w:pPr>
        <w:pStyle w:val="TOC2"/>
        <w:tabs>
          <w:tab w:val="right" w:leader="dot" w:pos="8306"/>
        </w:tabs>
      </w:pPr>
      <w:hyperlink w:anchor="_Toc24892" w:history="1">
        <w:r>
          <w:rPr>
            <w:rFonts w:ascii="仿宋" w:eastAsia="仿宋" w:hAnsi="仿宋" w:cs="仿宋" w:hint="eastAsia"/>
            <w:lang w:eastAsia="zh-CN"/>
          </w:rPr>
          <w:t>(四)、监督与评估报告</w:t>
        </w:r>
        <w:r>
          <w:tab/>
        </w:r>
        <w:r>
          <w:fldChar w:fldCharType="begin"/>
        </w:r>
        <w:r>
          <w:instrText xml:space="preserve"> PAGEREF _Toc24892 \h </w:instrText>
        </w:r>
        <w:r>
          <w:fldChar w:fldCharType="separate"/>
        </w:r>
        <w:r>
          <w:t>88</w:t>
        </w:r>
        <w:r>
          <w:fldChar w:fldCharType="end"/>
        </w:r>
      </w:hyperlink>
    </w:p>
    <w:p>
      <w:pPr>
        <w:pStyle w:val="TOC1"/>
        <w:tabs>
          <w:tab w:val="right" w:leader="dot" w:pos="8306"/>
        </w:tabs>
      </w:pPr>
      <w:hyperlink w:anchor="_Toc1350" w:history="1">
        <w:r>
          <w:rPr>
            <w:rFonts w:ascii="仿宋" w:eastAsia="仿宋" w:hAnsi="仿宋" w:cs="仿宋" w:hint="eastAsia"/>
            <w:lang w:eastAsia="zh-CN"/>
          </w:rPr>
          <w:t>十二、市场营销策略</w:t>
        </w:r>
        <w:r>
          <w:tab/>
        </w:r>
        <w:r>
          <w:fldChar w:fldCharType="begin"/>
        </w:r>
        <w:r>
          <w:instrText xml:space="preserve"> PAGEREF _Toc1350 \h </w:instrText>
        </w:r>
        <w:r>
          <w:fldChar w:fldCharType="separate"/>
        </w:r>
        <w:r>
          <w:t>90</w:t>
        </w:r>
        <w:r>
          <w:fldChar w:fldCharType="end"/>
        </w:r>
      </w:hyperlink>
    </w:p>
    <w:p>
      <w:pPr>
        <w:pStyle w:val="TOC2"/>
        <w:tabs>
          <w:tab w:val="right" w:leader="dot" w:pos="8306"/>
        </w:tabs>
      </w:pPr>
      <w:hyperlink w:anchor="_Toc20372" w:history="1">
        <w:r>
          <w:rPr>
            <w:rFonts w:ascii="仿宋" w:eastAsia="仿宋" w:hAnsi="仿宋" w:cs="仿宋" w:hint="eastAsia"/>
            <w:lang w:eastAsia="zh-CN"/>
          </w:rPr>
          <w:t>(一)、市场定位与目标客户群</w:t>
        </w:r>
        <w:r>
          <w:tab/>
        </w:r>
        <w:r>
          <w:fldChar w:fldCharType="begin"/>
        </w:r>
        <w:r>
          <w:instrText xml:space="preserve"> PAGEREF _Toc20372 \h </w:instrText>
        </w:r>
        <w:r>
          <w:fldChar w:fldCharType="separate"/>
        </w:r>
        <w:r>
          <w:t>90</w:t>
        </w:r>
        <w:r>
          <w:fldChar w:fldCharType="end"/>
        </w:r>
      </w:hyperlink>
    </w:p>
    <w:p>
      <w:pPr>
        <w:pStyle w:val="TOC2"/>
        <w:tabs>
          <w:tab w:val="right" w:leader="dot" w:pos="8306"/>
        </w:tabs>
      </w:pPr>
      <w:hyperlink w:anchor="_Toc2649" w:history="1">
        <w:r>
          <w:rPr>
            <w:rFonts w:ascii="仿宋" w:eastAsia="仿宋" w:hAnsi="仿宋" w:cs="仿宋" w:hint="eastAsia"/>
            <w:lang w:eastAsia="zh-CN"/>
          </w:rPr>
          <w:t>(二)、竞争对手分析</w:t>
        </w:r>
        <w:r>
          <w:tab/>
        </w:r>
        <w:r>
          <w:fldChar w:fldCharType="begin"/>
        </w:r>
        <w:r>
          <w:instrText xml:space="preserve"> PAGEREF _Toc2649 \h </w:instrText>
        </w:r>
        <w:r>
          <w:fldChar w:fldCharType="separate"/>
        </w:r>
        <w:r>
          <w:t>92</w:t>
        </w:r>
        <w:r>
          <w:fldChar w:fldCharType="end"/>
        </w:r>
      </w:hyperlink>
    </w:p>
    <w:p>
      <w:pPr>
        <w:pStyle w:val="TOC2"/>
        <w:tabs>
          <w:tab w:val="right" w:leader="dot" w:pos="8306"/>
        </w:tabs>
      </w:pPr>
      <w:hyperlink w:anchor="_Toc5674" w:history="1">
        <w:r>
          <w:rPr>
            <w:rFonts w:ascii="仿宋" w:eastAsia="仿宋" w:hAnsi="仿宋" w:cs="仿宋" w:hint="eastAsia"/>
            <w:lang w:eastAsia="zh-CN"/>
          </w:rPr>
          <w:t>(三)、营销策略与推广计划</w:t>
        </w:r>
        <w:r>
          <w:tab/>
        </w:r>
        <w:r>
          <w:fldChar w:fldCharType="begin"/>
        </w:r>
        <w:r>
          <w:instrText xml:space="preserve"> PAGEREF _Toc5674 \h </w:instrText>
        </w:r>
        <w:r>
          <w:fldChar w:fldCharType="separate"/>
        </w:r>
        <w:r>
          <w:t>94</w:t>
        </w:r>
        <w:r>
          <w:fldChar w:fldCharType="end"/>
        </w:r>
      </w:hyperlink>
    </w:p>
    <w:p>
      <w:pPr>
        <w:pStyle w:val="TOC2"/>
        <w:tabs>
          <w:tab w:val="right" w:leader="dot" w:pos="8306"/>
        </w:tabs>
      </w:pPr>
      <w:hyperlink w:anchor="_Toc25291" w:history="1">
        <w:r>
          <w:rPr>
            <w:rFonts w:ascii="仿宋" w:eastAsia="仿宋" w:hAnsi="仿宋" w:cs="仿宋" w:hint="eastAsia"/>
            <w:lang w:eastAsia="zh-CN"/>
          </w:rPr>
          <w:t>(四)、产品定价与销售渠道</w:t>
        </w:r>
        <w:r>
          <w:tab/>
        </w:r>
        <w:r>
          <w:fldChar w:fldCharType="begin"/>
        </w:r>
        <w:r>
          <w:instrText xml:space="preserve"> PAGEREF _Toc25291 \h </w:instrText>
        </w:r>
        <w:r>
          <w:fldChar w:fldCharType="separate"/>
        </w:r>
        <w:r>
          <w:t>95</w:t>
        </w:r>
        <w:r>
          <w:fldChar w:fldCharType="end"/>
        </w:r>
      </w:hyperlink>
    </w:p>
    <w:p>
      <w:pPr>
        <w:pStyle w:val="TOC2"/>
        <w:tabs>
          <w:tab w:val="right" w:leader="dot" w:pos="8306"/>
        </w:tabs>
      </w:pPr>
      <w:hyperlink w:anchor="_Toc32601" w:history="1">
        <w:r>
          <w:rPr>
            <w:rFonts w:ascii="仿宋" w:eastAsia="仿宋" w:hAnsi="仿宋" w:cs="仿宋" w:hint="eastAsia"/>
            <w:lang w:eastAsia="zh-CN"/>
          </w:rPr>
          <w:t>(五)、售后服务体系</w:t>
        </w:r>
        <w:r>
          <w:tab/>
        </w:r>
        <w:r>
          <w:fldChar w:fldCharType="begin"/>
        </w:r>
        <w:r>
          <w:instrText xml:space="preserve"> PAGEREF _Toc32601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超细Γ-AL2O3微粉项目复杂性日益增加，全面而科学的超细Γ-AL2O3微粉项目管理方法论对于确保超细Γ-AL2O3微粉项目成功至关重要。本超细Γ-AL2O3微粉项目报告系统阐述了超细Γ-AL2O3微粉项目启动、规划、执行、监控与收尾的全过程，强调在动态环境中对策略的灵活调整与优化。报告旨在提供一套适应性强、实用性高的超细Γ-AL2O3微粉项目管理框架，便于读者掌握和应用于实际工作中。在此，我们明确指出报告内容仅限于学习交流之目的，严禁用于任何商业用途，力求促进超细Γ-AL2O3微粉项目管理知识的普及与提升。</w:t>
      </w:r>
    </w:p>
    <w:p>
      <w:pPr>
        <w:pStyle w:val="Heading1"/>
        <w:ind w:firstLine="560" w:firstLineChars="200"/>
        <w:rPr>
          <w:rFonts w:ascii="仿宋" w:eastAsia="仿宋" w:hAnsi="仿宋" w:cs="仿宋" w:hint="eastAsia"/>
          <w:sz w:val="28"/>
          <w:lang w:eastAsia="zh-CN"/>
        </w:rPr>
      </w:pPr>
      <w:bookmarkStart w:id="2" w:name="_Toc15149"/>
      <w:r>
        <w:rPr>
          <w:rFonts w:ascii="仿宋" w:eastAsia="仿宋" w:hAnsi="仿宋" w:cs="仿宋" w:hint="eastAsia"/>
          <w:sz w:val="28"/>
          <w:lang w:eastAsia="zh-CN"/>
        </w:rPr>
        <w:t>一、超细Γ-AL2O3微粉项目市场前景分析</w:t>
      </w:r>
      <w:bookmarkEnd w:id="2"/>
    </w:p>
    <w:p>
      <w:pPr>
        <w:pStyle w:val="Heading2"/>
        <w:rPr>
          <w:rFonts w:ascii="仿宋" w:eastAsia="仿宋" w:hAnsi="仿宋" w:cs="仿宋" w:hint="eastAsia"/>
          <w:lang w:eastAsia="zh-CN"/>
        </w:rPr>
      </w:pPr>
      <w:bookmarkStart w:id="3" w:name="_Toc22711"/>
      <w:r>
        <w:rPr>
          <w:rFonts w:ascii="仿宋" w:eastAsia="仿宋" w:hAnsi="仿宋" w:cs="仿宋" w:hint="eastAsia"/>
          <w:lang w:eastAsia="zh-CN"/>
        </w:rPr>
        <w:t>(一)、建设地经济发展概况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超细Γ-AL2O3微粉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为适应经济快速发展的需要，建设地加大了对基础设施建设的投入。新建、改建的高速公路、城市轨道交通、现代化港口等超细Γ-AL2O3微粉项目得到了快速推进，提高了城市的综合竞争力。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建设地注重生态环境保护和可持续发展。实施了大规模的环境治理超细Γ-AL2O3微粉项目，提升了空气质量和水质。同时，该地推动绿色产业和清洁能源的发展，致力于打造宜居宜业的城市环境。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建设地积极参与区域合作和国际交往，拓展了多领域的国际合作超细Γ-AL2O3微粉项目。通过加强国际交流，该地区引进了大量国外优质技术和资金，同时推动了本地产业的对外拓展。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4" w:name="_Toc2668"/>
      <w:r>
        <w:rPr>
          <w:rFonts w:ascii="仿宋" w:eastAsia="仿宋" w:hAnsi="仿宋" w:cs="仿宋" w:hint="eastAsia"/>
          <w:sz w:val="28"/>
          <w:lang w:eastAsia="zh-CN"/>
        </w:rPr>
        <w:t>(二)、行业市场分析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超细Γ-AL2O3微粉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5" w:name="_Toc28544"/>
      <w:r>
        <w:rPr>
          <w:rFonts w:ascii="仿宋" w:eastAsia="仿宋" w:hAnsi="仿宋" w:cs="仿宋" w:hint="eastAsia"/>
          <w:sz w:val="28"/>
          <w:lang w:eastAsia="zh-CN"/>
        </w:rPr>
        <w:t>二、超细Γ-AL2O3微粉项目基本情况</w:t>
      </w:r>
      <w:bookmarkEnd w:id="5"/>
    </w:p>
    <w:p>
      <w:pPr>
        <w:pStyle w:val="Heading2"/>
        <w:rPr>
          <w:rFonts w:ascii="仿宋" w:eastAsia="仿宋" w:hAnsi="仿宋" w:cs="仿宋" w:hint="eastAsia"/>
          <w:lang w:eastAsia="zh-CN"/>
        </w:rPr>
      </w:pPr>
      <w:bookmarkStart w:id="6" w:name="_Toc17949"/>
      <w:r>
        <w:rPr>
          <w:rFonts w:ascii="仿宋" w:eastAsia="仿宋" w:hAnsi="仿宋" w:cs="仿宋" w:hint="eastAsia"/>
          <w:lang w:eastAsia="zh-CN"/>
        </w:rPr>
        <w:t>(一)、超细Γ-AL2O3微粉项目名称及建设性质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超细Γ-AL2O3微粉项目名称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超细Γ-AL2O3微粉项目名称：XXX超细Γ-AL2O3微粉项目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超细Γ-AL2O3微粉项目建设性质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超细Γ-AL2O3微粉项目属于新建超细Γ-AL2O3微粉项目，依托xx区良好的产业基础和创新氛围，充分发挥区位优势，全力打造以xxx为核心的综合性产业基地。预计年产值可达XXX万元。这一新兴超细Γ-AL2O3微粉项目将在新区的发展中发挥重要作用，推动产业升级和区域经济的可持续增长。</w:t>
      </w:r>
    </w:p>
    <w:p>
      <w:pPr>
        <w:pStyle w:val="Heading2"/>
        <w:ind w:firstLine="560" w:firstLineChars="200"/>
        <w:rPr>
          <w:rFonts w:ascii="仿宋" w:eastAsia="仿宋" w:hAnsi="仿宋" w:cs="仿宋" w:hint="eastAsia"/>
          <w:sz w:val="28"/>
          <w:lang w:eastAsia="zh-CN"/>
        </w:rPr>
      </w:pPr>
      <w:bookmarkStart w:id="7" w:name="_Toc4971"/>
      <w:r>
        <w:rPr>
          <w:rFonts w:ascii="仿宋" w:eastAsia="仿宋" w:hAnsi="仿宋" w:cs="仿宋" w:hint="eastAsia"/>
          <w:sz w:val="28"/>
          <w:lang w:eastAsia="zh-CN"/>
        </w:rPr>
        <w:t>(二)、超细Γ-AL2O3微粉项目承办单位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pStyle w:val="Heading2"/>
        <w:ind w:firstLine="560" w:firstLineChars="200"/>
        <w:rPr>
          <w:rFonts w:ascii="仿宋" w:eastAsia="仿宋" w:hAnsi="仿宋" w:cs="仿宋" w:hint="eastAsia"/>
          <w:sz w:val="28"/>
          <w:lang w:eastAsia="zh-CN"/>
        </w:rPr>
      </w:pPr>
      <w:bookmarkStart w:id="8" w:name="_Toc20482"/>
      <w:r>
        <w:rPr>
          <w:rFonts w:ascii="仿宋" w:eastAsia="仿宋" w:hAnsi="仿宋" w:cs="仿宋" w:hint="eastAsia"/>
          <w:sz w:val="28"/>
          <w:lang w:eastAsia="zh-CN"/>
        </w:rPr>
        <w:t>(三)、战略合作单位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9" w:name="_Toc9451"/>
      <w:r>
        <w:rPr>
          <w:rFonts w:ascii="仿宋" w:eastAsia="仿宋" w:hAnsi="仿宋" w:cs="仿宋" w:hint="eastAsia"/>
          <w:sz w:val="28"/>
          <w:lang w:eastAsia="zh-CN"/>
        </w:rPr>
        <w:t>(四)、超细Γ-AL2O3微粉项目提出的理由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位置优势： XX区具有良好的产业基础和创新氛围，为新兴产业的发展提供了有力支持。超细Γ-AL2O3微粉项目能够充分借助XX区的产业集聚效应和科技创新环境，更好地融入当地经济体系。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2. 区位优势： 超细Γ-AL2O3微粉项目充分发挥地理位置的优势，依托XX区的区位条件，更便利地接触市场、原材料和人才资源。这将有助于超细Γ-AL2O3微粉项目的顺利推进和市场开拓。</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综合性产业基地： 该超细Γ-AL2O3微粉项目定位为以油墨为核心的综合性产业基地，这不仅能够满足市场对油墨产品的需求，还能够在油墨产业链上实现产业多元化，提高产值和经济效益。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年产值潜力： 超细Γ-AL2O3微粉项目规模较大，预计年产值可达XXX万元，这对于XX区的经济发展具有显著的促进作用。高产值意味着超细Γ-AL2O3微粉项目将为当地提供更多的就业机会，同时也能够为地方财政做出贡献。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5. 产业升级： 通过全力打造以油墨为核心的产业基地，超细Γ-AL2O3微粉项目将推动相关产业的升级和发展。这有助于提升当地产业结构，增加高附加值产业的比重，促进区域产业的可持续发展。</w:t>
      </w:r>
    </w:p>
    <w:p>
      <w:pPr>
        <w:pStyle w:val="Heading2"/>
        <w:ind w:firstLine="560" w:firstLineChars="200"/>
        <w:rPr>
          <w:rFonts w:ascii="仿宋" w:eastAsia="仿宋" w:hAnsi="仿宋" w:cs="仿宋" w:hint="eastAsia"/>
          <w:sz w:val="28"/>
          <w:lang w:eastAsia="zh-CN"/>
        </w:rPr>
      </w:pPr>
      <w:bookmarkStart w:id="10" w:name="_Toc23954"/>
      <w:r>
        <w:rPr>
          <w:rFonts w:ascii="仿宋" w:eastAsia="仿宋" w:hAnsi="仿宋" w:cs="仿宋" w:hint="eastAsia"/>
          <w:sz w:val="28"/>
          <w:lang w:eastAsia="zh-CN"/>
        </w:rPr>
        <w:t>(五)、原材料供应</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超细Γ-AL2O3微粉项目所需的主要原材料及辅助材料包括 Xxx、xxx、xx、xxx、xx 等，经过严格筛选，xxx 投资公司已经确保选择的供货单位完全能够稳定供应上述所需原料。这些供货商不仅具备高质量的产品和稳定的供货能力，而且与公司已建立了密切的合作关系，为超细Γ-AL2O3微粉项目提供了可靠的原辅材料供应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商的选择是基于其在行业内的声誉、生产能力、质量管理体系以及服务水平等多方面的考量。通过与供货商的深入合作，双方建立了互信互利的伙伴关系，确保了超细Γ-AL2O3微粉项目正常经营所需原辅材料的高质量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这些供货商不仅能够保障超细Γ-AL2O3微粉项目的当前需求，而且能够满足 xxx 投资公司今后进一步扩大生产规模的预期要求。公司与供货商之间的战略合作关系意味着在未来扩大规模的同时，供货商将积极响应，提供足够的支持，确保原材料供应链的可持续性和灵活性。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通过这一合理而有力的供应链管理，xxx 投资公司将能够确保超细Γ-AL2O3微粉项目在原材料采购和供应方面的高效运作，为超细Γ-AL2O3微粉项目的稳健发展打下坚实基础。</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8213"/>
      <w:r>
        <w:rPr>
          <w:rFonts w:ascii="仿宋" w:eastAsia="仿宋" w:hAnsi="仿宋" w:cs="仿宋" w:hint="eastAsia"/>
          <w:sz w:val="28"/>
          <w:lang w:eastAsia="zh-CN"/>
        </w:rPr>
        <w:t>(六)、超细Γ-AL2O3微粉项目能耗分析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能源类型： 确定超细Γ-AL2O3微粉项目所使用的主要能源类型，例如电力、天然气、燃油等。了解能源类型将有助于集中分析各种能源的使用情况。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能源消耗量： 收集并记录超细Γ-AL2O3微粉项目在生产过程中各种能源的消耗量。这可以通过监测设备、能源计量仪器以及相关数据记录来实现。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生产阶段分析： 将能耗分解到不同的生产阶段，以便更具体地了解哪些环节对总能耗贡献最大。这有助于有针对性地采取节能措施。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设备效能： 评估和比较各种生产设备的能源效能。确定是否存在能效较低的设备，以便进行升级或替换，以降低能源消耗。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工艺优化： 通过工艺优化来减少能源浪费。可能的优化措施包括提高设备利用率、优化生产流程、改善产品设计等。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能效改进超细Γ-AL2O3微粉项目： 考虑实施能效改进超细Γ-AL2O3微粉项目，例如更换节能设备、采用新的生产技术、改进维护和操作方法等。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再生能源应用： 探索并评估再生能源在超细Γ-AL2O3微粉项目中的应用可能性。例如，考虑采用太阳能、风能等可再生能源来部分或完全满足能源需求。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员工培训： 培训员工，使其认识到能源节约的重要性，并提供相关的操作和维护指导，以确保设备的有效运行。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9. 定期审查： 建立定期审查机制，对能源使用情况进行评估，及时调整和改进能源管理策略。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法规合规性： 确保超细Γ-AL2O3微粉项目的能耗活动符合相关法规和环境保护标准。</w:t>
      </w:r>
    </w:p>
    <w:p>
      <w:pPr>
        <w:pStyle w:val="Heading2"/>
        <w:ind w:firstLine="560" w:firstLineChars="200"/>
        <w:rPr>
          <w:rFonts w:ascii="仿宋" w:eastAsia="仿宋" w:hAnsi="仿宋" w:cs="仿宋" w:hint="eastAsia"/>
          <w:sz w:val="28"/>
          <w:lang w:eastAsia="zh-CN"/>
        </w:rPr>
      </w:pPr>
      <w:bookmarkStart w:id="12" w:name="_Toc25284"/>
      <w:r>
        <w:rPr>
          <w:rFonts w:ascii="仿宋" w:eastAsia="仿宋" w:hAnsi="仿宋" w:cs="仿宋" w:hint="eastAsia"/>
          <w:sz w:val="28"/>
          <w:lang w:eastAsia="zh-CN"/>
        </w:rPr>
        <w:t>(七)、环境保护</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紧密契合xx区的发展规划，符合该区产业结构调整规划以及国家的产业发展政策。在超细Γ-AL2O3微粉项目规划中，我们充分考虑了区域的可持续发展需求，确保超细Γ-AL2O3微粉项目建设不仅符合国家政策，也与当地的产业发展方向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护环境，我们采取了切实可行的治理措施，严格控制各类污染物的排放，确保超细Γ-AL2O3微粉项目的生产活动在国家规定的排放标准内。超细Γ-AL2O3微粉项目建设阶段及运营后，我们将持续监测和管理排放，以确保超细Γ-AL2O3微粉项目对区域生态环境不会产生明显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方面，我们坚持清洁生产的理念，采用先进的清洁生产工艺，应用清洁原材料，以生产清洁产品为目标。通过这一策略，我们旨在消除和减少污染，实现生产与环境的协调共生。超细Γ-AL2O3微粉项目建成并投产后，各项环境指标将严格符合国家和地方清洁生产的标准要求，确保超细Γ-AL2O3微粉项目的运营不仅不损害环境，还有助于地区的生态健康。</w:t>
      </w:r>
    </w:p>
    <w:p>
      <w:pPr>
        <w:pStyle w:val="Heading2"/>
        <w:ind w:firstLine="560" w:firstLineChars="200"/>
        <w:rPr>
          <w:rFonts w:ascii="仿宋" w:eastAsia="仿宋" w:hAnsi="仿宋" w:cs="仿宋" w:hint="eastAsia"/>
          <w:sz w:val="28"/>
          <w:lang w:eastAsia="zh-CN"/>
        </w:rPr>
      </w:pPr>
      <w:bookmarkStart w:id="13" w:name="_Toc3601"/>
      <w:r>
        <w:rPr>
          <w:rFonts w:ascii="仿宋" w:eastAsia="仿宋" w:hAnsi="仿宋" w:cs="仿宋" w:hint="eastAsia"/>
          <w:sz w:val="28"/>
          <w:lang w:eastAsia="zh-CN"/>
        </w:rPr>
        <w:t>(八)、超细Γ-AL2O3微粉项目建设符合性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法规合规性： 确保超细Γ-AL2O3微粉项目的规划和建设符合当地和国家的法规和政策要求。这可能涉及土地使用、环保、建筑规范、安全等方面的法规。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环境影响评价： 进行全面的环境影响评价，确保超细Γ-AL2O3微粉项目建设和运营不会对周围环境产生负面影响。在评估中，考虑空气、水、土壤质量以及生态系统的保护。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社会责任： 超细Γ-AL2O3微粉项目建设应考虑社会责任，确保超细Γ-AL2O3微粉项目对当地社区的影响是积极的。这可能包括就业机会、社区发展超细Γ-AL2O3微粉项目、文化保护等方面。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安全标准： 遵守相关的安全标准和规范，保障超细Γ-AL2O3微粉项目建设和运营的人员安全。这包括建筑结构的安全性、设备操作的安全规程等。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技术规范： 确保超细Γ-AL2O3微粉项目采用符合行业标准和技术规范的设计和建设。这有助于超细Γ-AL2O3微粉项目的高效运作和可持续性发展。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可持续性： 超细Γ-AL2O3微粉项目建设应考虑可持续性原则，包括资源利用效率、能源消耗、废弃物处理等。采用清洁生产和绿色技术，以降低对环境的影响。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公共参与： 超细Γ-AL2O3微粉项目建设阶段应开展公共参与，听取相关利益相关者的意见和建议。这有助于解决可能的争议，提高超细Γ-AL2O3微粉项目在社会中的接受度。</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监测和报告： 建立定期监测和报告机制，监控超细Γ-AL2O3微粉项目的建设和运营过程中的符合性。及时发现和解决潜在的问题。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9. 风险管理： 开展全面的风险评估，确保超细Γ-AL2O3微粉项目建设和运营过程中的各种风险能够被有效管理和应对。</w:t>
      </w:r>
    </w:p>
    <w:p>
      <w:pPr>
        <w:pStyle w:val="Heading2"/>
        <w:ind w:firstLine="560" w:firstLineChars="200"/>
        <w:rPr>
          <w:rFonts w:ascii="仿宋" w:eastAsia="仿宋" w:hAnsi="仿宋" w:cs="仿宋" w:hint="eastAsia"/>
          <w:sz w:val="28"/>
          <w:lang w:eastAsia="zh-CN"/>
        </w:rPr>
      </w:pPr>
      <w:bookmarkStart w:id="14" w:name="_Toc15394"/>
      <w:r>
        <w:rPr>
          <w:rFonts w:ascii="仿宋" w:eastAsia="仿宋" w:hAnsi="仿宋" w:cs="仿宋" w:hint="eastAsia"/>
          <w:sz w:val="28"/>
          <w:lang w:eastAsia="zh-CN"/>
        </w:rPr>
        <w:t>(九)、超细Γ-AL2O3微粉项目进度规划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超细Γ-AL2O3微粉项目的建设期限规划为XX个月，为了确保超细Γ-AL2O3微粉项目按时高效完成，我们采取了以下措施：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分期分段建设： 将整个超细Γ-AL2O3微粉项目划分为不同的阶段和段落，实施分期建设。这有助于灵活应对各个阶段的工程挑战，确保超细Γ-AL2O3微粉项目有序推进。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工期目标分解： 对超细Γ-AL2O3微粉项目进行工期目标的详细分解，明确各个主体工程的施工期限。通过科学的工期分解，可以更精准地掌握工程进展。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交叉施工安排： 采用适应性的施工安排，使各主体工程的施工期叉开实施。通过合理的交叉施工，最大限度地缩短整体建设周期。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合理安排设计和采购时间： 承办单位要合理安排设计和采购的时间，确保与施工进度相衔接。设计、采购和设备安装的工作要交叉进行，提高工程进度。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后期工程押后施工： 将投资密度较大的部分工程尽量押后施工，例如其他配套工程等。这有助于合理分配资源，保证超细Γ-AL2O3微粉项目各方面的平衡发展。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提前进行设计工作： 在技术交流谈判的同时，提前进行设计工作。这样可以在超细Γ-AL2O3微粉项目正式启动前解决一些技术问题，为后续施工提供有力支持。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提前设计和定货： 针对制造周期较长的设备，提前进行设计工作，并提前定货。确保这些关键设备在需要时能够及时到位，避免因设备制造周期导致的延误。</w:t>
      </w:r>
    </w:p>
    <w:p>
      <w:pPr>
        <w:ind w:firstLine="560" w:firstLineChars="200"/>
        <w:rPr>
          <w:rFonts w:ascii="仿宋" w:eastAsia="仿宋" w:hAnsi="仿宋" w:cs="仿宋" w:hint="eastAsia"/>
          <w:sz w:val="28"/>
        </w:rPr>
      </w:pPr>
      <w:r>
        <w:rPr>
          <w:rFonts w:ascii="仿宋" w:eastAsia="仿宋" w:hAnsi="仿宋" w:cs="仿宋" w:hint="eastAsia"/>
          <w:sz w:val="28"/>
          <w:lang w:eastAsia="zh-CN"/>
        </w:rPr>
        <w:t>8. 超前融资计划： 融资计划应比资金投入计划超前，确保资金的及时投入。在资金计划中留有一定的余地，以防万一情况的发生。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通过以上规划和措施，我们旨在保障超细Γ-AL2O3微粉项目建设期限的合理安排，最大程度地降低建设周期，确保超细Γ-AL2O3微粉项目按计划推进。</w:t>
      </w:r>
    </w:p>
    <w:p>
      <w:pPr>
        <w:pStyle w:val="Heading2"/>
        <w:ind w:firstLine="560" w:firstLineChars="200"/>
        <w:rPr>
          <w:rFonts w:ascii="仿宋" w:eastAsia="仿宋" w:hAnsi="仿宋" w:cs="仿宋" w:hint="eastAsia"/>
          <w:sz w:val="28"/>
          <w:lang w:eastAsia="zh-CN"/>
        </w:rPr>
      </w:pPr>
      <w:bookmarkStart w:id="15" w:name="_Toc25268"/>
      <w:r>
        <w:rPr>
          <w:rFonts w:ascii="仿宋" w:eastAsia="仿宋" w:hAnsi="仿宋" w:cs="仿宋" w:hint="eastAsia"/>
          <w:sz w:val="28"/>
          <w:lang w:eastAsia="zh-CN"/>
        </w:rPr>
        <w:t>(十)、投资估算及经济效益分析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超细Γ-AL2O3微粉项目总投资及资金构成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超细Γ-AL2O3微粉项目预计总投资为XXXX万元。其中，固定资产投资为XXXX万元，占超细Γ-AL2O3微粉项目总投资的XX%；流动资金为XXXX万元，占超细Γ-AL2O3微粉项目总投资的XX%。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截至目前，超细Γ-AL2O3微粉项目的资金主要由企业自筹。通过内部资金的调动和有效管理，确保超细Γ-AL2O3微粉项目的正常推进和运作。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超细Γ-AL2O3微粉项目预期经济效益规划目标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超细Γ-AL2O3微粉项目达产年的经济效益规划目标如下：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营业收入：XXXX万元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总成本费用：XXXX万元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税金及附加：XXXX万元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利税总额：XXXX万元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税后净利润：XXXX万元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此外，达产年投资利润率为XX%，投资利税率为XX%，投资回报率为XX%，全部投资回收期为XX年。超细Γ-AL2O3微粉项目还将提供XX个就业职位，为当地就业创造积极影响。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这一经济效益规划目标综合考虑了超细Γ-AL2O3微粉项目的投资、收入、成本、税收等多个方面，为超细Γ-AL2O3微粉项目的经济可持续发展提供了明确的指导和目标。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3195"/>
      <w:r>
        <w:rPr>
          <w:rFonts w:ascii="仿宋" w:eastAsia="仿宋" w:hAnsi="仿宋" w:cs="仿宋" w:hint="eastAsia"/>
          <w:sz w:val="28"/>
          <w:lang w:eastAsia="zh-CN"/>
        </w:rPr>
        <w:t>(十一)、报告说明</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报告的详尽分析主要包括以下几个方面：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市场和销售：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对市场需求、竞争格局、潜在客户等进行深入研究，明确超细Γ-AL2O3微粉项目产品或服务的市场定位和销售策略。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规模和产品： 对超细Γ-AL2O3微粉项目规模进行科学规划，明确生产的产品或服务种类、特点及市场竞争力。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厂址： 选择适宜的厂址，考虑交通便利性、用地成本、环境因素等，确保超细Γ-AL2O3微粉项目的顺利运作。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原辅料供应： 确保原辅料的稳定供应，分析供应商的可靠性和成本，以降低生产风险。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工艺技术： 对超细Γ-AL2O3微粉项目的生产工艺进行细致研究，确保采用先进、高效、可靠的技术，提高生产效率。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设备选择： 经过仔细比较和选择，确定最适合超细Γ-AL2O3微粉项目需求的生产设备，确保设备的性能和质量符合要求。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人员组织： 确保超细Γ-AL2O3微粉项目团队结构合理，拥有足够的专业人才，并规划培训计划，以提高员工的工作技能。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8. 实施计划： 制定详细的超细Γ-AL2O3微粉项目实施计划，明确各阶段的任务和时间节点，确保超细Γ-AL2O3微粉项目按计划推进。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投资与成本： 确定超细Γ-AL2O3微粉项目的总投资和各项成本，并进行全面的成本效益分析，确保超细Γ-AL2O3微粉项目的经济可行性。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效益及风险： 对超细Γ-AL2O3微粉项目的预期经济效益进行计算和评价，并对潜在风险进行全面分析，为决策者提供风险应对策略。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通过以上分析，报告将为投资决策提供全面的、有据可依的科学依据。其细致入微的论证和评价将使投资方能够清晰地了解超细Γ-AL2O3微粉项目的各个方面，为未来的投资决策提供有力支持。</w:t>
      </w:r>
    </w:p>
    <w:p>
      <w:pPr>
        <w:pStyle w:val="Heading2"/>
        <w:ind w:firstLine="560" w:firstLineChars="200"/>
        <w:rPr>
          <w:rFonts w:ascii="仿宋" w:eastAsia="仿宋" w:hAnsi="仿宋" w:cs="仿宋" w:hint="eastAsia"/>
          <w:sz w:val="28"/>
          <w:lang w:eastAsia="zh-CN"/>
        </w:rPr>
      </w:pPr>
      <w:bookmarkStart w:id="17" w:name="_Toc30275"/>
      <w:r>
        <w:rPr>
          <w:rFonts w:ascii="仿宋" w:eastAsia="仿宋" w:hAnsi="仿宋" w:cs="仿宋" w:hint="eastAsia"/>
          <w:sz w:val="28"/>
          <w:lang w:eastAsia="zh-CN"/>
        </w:rPr>
        <w:t>(十二)、超细Γ-AL2O3微粉项目评价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评价是对超细Γ-AL2O3微粉项目进行全面审查和判定的过程，主要包括市场评价、技术评价、财务评价、工程评价、经济评价和环境评价等多个方面。评价的目的是为决策者提供科学的、客观的信息，以确定超细Γ-AL2O3微粉项目是否值得投资以及如何进行投资。对超细Γ-AL2O3微粉项目评价各个方面的简要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市场评价： 对超细Γ-AL2O3微粉项目所在市场的需求、竞争格局、潜在客户等进行评估。通过市场评价，可以确定超细Γ-AL2O3微粉项目产品或服务的市场定位、销售策略和市场份额。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技术评价： 对超细Γ-AL2O3微粉项目所采用的生产工艺、设备选择等技术方面进行评估。确保超细Γ-AL2O3微粉项目采用先进、高效、可靠的技术，以提高生产效率和竞争力。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财务评价： 对超细Γ-AL2O3微粉项目的资金筹措、成本结构、财务指标等进行评估。通过财务评价，可以明确超细Γ-AL2O3微粉项目的融资需求、资金运作情况，以及超细Γ-AL2O3微粉项目的盈利能力和财务健康状况。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工程评价：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对超细Γ-AL2O3微粉项目的规模、建设周期、工程进度等进行评估。确保超细Γ-AL2O3微粉项目在工程实施阶段能够按计划进行，减少施工风险。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经济评价： 对超细Γ-AL2O3微粉项目的经济效益进行计算和评估。包括投资回收期、净现值、内部收益率等指标，以确定超细Γ-AL2O3微粉项目的经济可行性和投资回报。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环境评价： 对超细Γ-AL2O3微粉项目可能对环境产生的影响进行评估。确保超细Γ-AL2O3微粉项目在环保方面符合相关法规和标准，减少对周边环境的负面影响。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评价通过对各个方面的全面考量，为决策者提供了关于超细Γ-AL2O3微粉项目全貌的清晰图景。决策者可以根据评价结果，权衡各个方面的利弊，做出明智的投资决策。评价的结果将直接影响到超细Γ-AL2O3微粉项目的可持续发展和投资的成功实施。</w:t>
      </w:r>
    </w:p>
    <w:p>
      <w:pPr>
        <w:pStyle w:val="Heading1"/>
        <w:ind w:firstLine="560" w:firstLineChars="200"/>
        <w:rPr>
          <w:rFonts w:ascii="仿宋" w:eastAsia="仿宋" w:hAnsi="仿宋" w:cs="仿宋" w:hint="eastAsia"/>
          <w:sz w:val="28"/>
          <w:lang w:eastAsia="zh-CN"/>
        </w:rPr>
      </w:pPr>
      <w:bookmarkStart w:id="18" w:name="_Toc1699"/>
      <w:r>
        <w:rPr>
          <w:rFonts w:ascii="仿宋" w:eastAsia="仿宋" w:hAnsi="仿宋" w:cs="仿宋" w:hint="eastAsia"/>
          <w:sz w:val="28"/>
          <w:lang w:eastAsia="zh-CN"/>
        </w:rPr>
        <w:t>三、建设单位基本信息</w:t>
      </w:r>
      <w:bookmarkEnd w:id="18"/>
    </w:p>
    <w:p>
      <w:pPr>
        <w:pStyle w:val="Heading2"/>
        <w:rPr>
          <w:rFonts w:ascii="仿宋" w:eastAsia="仿宋" w:hAnsi="仿宋" w:cs="仿宋" w:hint="eastAsia"/>
          <w:lang w:eastAsia="zh-CN"/>
        </w:rPr>
      </w:pPr>
      <w:bookmarkStart w:id="19" w:name="_Toc8998"/>
      <w:r>
        <w:rPr>
          <w:rFonts w:ascii="仿宋" w:eastAsia="仿宋" w:hAnsi="仿宋" w:cs="仿宋" w:hint="eastAsia"/>
          <w:lang w:eastAsia="zh-CN"/>
        </w:rPr>
        <w:t>(一)、超细Γ-AL2O3微粉项目承办单位基本情况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一、超细Γ-AL2O3微粉项目承办单位基本情况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XXXX有限公司是一家多元化的企业服务提供商，专注于为各类企业提供全方位的支持和解决方案。我们的团队由经验丰富的专业人士组成，致力于帮助企业实现业务目标，提升竞争力。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企业管理咨询与规划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组织架构优化与流程改善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营销策略与市场拓展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XXXX有限公司以灵活的服务模式和客户至上的理念为特色。我们注重深入了解客户需求，为其提供定制化的解决方案，助力企业在不断变化的市场中蓬勃发展。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2010年：XXXX有限公司成立，专注于企业管理咨询服务。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2014年：逐步拓展服务领域，加强组织优化和团队建设方面的实践。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2017年：成功协助多家企业实现业务增长，树立了良好的业界口碑。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2021年：与各行各业建立战略伙伴关系，共同推动服务领域的发展。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使命与愿景：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XXXX有限公司的使命是通过提供高效专业的服务，助力客户在竞争激烈的市场中脱颖而出。我们的愿景是成为企业服务领域的领军者，不断创新，为更多企业创造长期价值。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我们诚挚欢迎各界合作伙伴与我们携手，共同推动企业发展，共创美好的未来。</w:t>
      </w:r>
    </w:p>
    <w:p>
      <w:pPr>
        <w:pStyle w:val="Heading2"/>
        <w:ind w:firstLine="560" w:firstLineChars="200"/>
        <w:rPr>
          <w:rFonts w:ascii="仿宋" w:eastAsia="仿宋" w:hAnsi="仿宋" w:cs="仿宋" w:hint="eastAsia"/>
          <w:sz w:val="28"/>
          <w:lang w:eastAsia="zh-CN"/>
        </w:rPr>
      </w:pPr>
      <w:bookmarkStart w:id="20" w:name="_Toc15785"/>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公司的财务状况是评估其经济效益的核心指标之一。关注以下几个方面：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利润状况： 公司近几年的利润状况显示稳健，净利润达到XX万元，毛利润率和净利润率均保持在行业水平之上。</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资产负债表： 公司资产负债表显示资产总额为XX万元，其中流动资产占比较高，负债结构较为健康，具备较强的偿债能力。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市场份额和竞争力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市场份额： 公司在行业内的市场份额为XX%，并且近年来市场份额有所增长，显示出较强的市场竞争力。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客户满意度： 最新的客户满意度调查显示，客户满意度达到XX%，证明公司的产品或服务在市场上受到高度认可。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投资回报率（ROI）： 公司的综合投资回报率为XX%，在超细Γ-AL2O3微粉项目、市场推广和研发等方面的投资取得了良好的回报。</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 成本结构和效率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成本结构： 公司的成本结构经过优化，生产成本、运营成本和管理成本均得到有效控制，为公司的经济效益提供了有力支持。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 公司的生产效率较高，资源利用率得到有效提升，进一步推动了产能的提高。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环境影响和社会责任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环境和社会责任： 公司积极参与环境友好型和社会责任活动，体现出对可持续发展的关注，为公司形象增色不少。</w:t>
      </w:r>
    </w:p>
    <w:p>
      <w:pPr>
        <w:ind w:firstLine="560" w:firstLineChars="200"/>
        <w:rPr>
          <w:rFonts w:ascii="仿宋" w:eastAsia="仿宋" w:hAnsi="仿宋" w:cs="仿宋" w:hint="eastAsia"/>
          <w:sz w:val="28"/>
        </w:rPr>
      </w:pPr>
      <w:r>
        <w:rPr>
          <w:rFonts w:ascii="仿宋" w:eastAsia="仿宋" w:hAnsi="仿宋" w:cs="仿宋" w:hint="eastAsia"/>
          <w:sz w:val="28"/>
          <w:lang w:eastAsia="zh-CN"/>
        </w:rPr>
        <w:t>6. 行业趋势和风险管理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行业趋势： 公司积极适应行业趋势，关注市场需求和技术变革，有助于提高公司的经济效益。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 公司建立了有效的风险管理体系，对市场、经济和运营风险有明确的防范和控制措施。</w:t>
      </w:r>
    </w:p>
    <w:p>
      <w:pPr>
        <w:pStyle w:val="Heading1"/>
        <w:ind w:firstLine="560" w:firstLineChars="200"/>
        <w:rPr>
          <w:rFonts w:ascii="仿宋" w:eastAsia="仿宋" w:hAnsi="仿宋" w:cs="仿宋" w:hint="eastAsia"/>
          <w:sz w:val="28"/>
          <w:lang w:eastAsia="zh-CN"/>
        </w:rPr>
      </w:pPr>
      <w:bookmarkStart w:id="21" w:name="_Toc21291"/>
      <w:r>
        <w:rPr>
          <w:rFonts w:ascii="仿宋" w:eastAsia="仿宋" w:hAnsi="仿宋" w:cs="仿宋" w:hint="eastAsia"/>
          <w:sz w:val="28"/>
          <w:lang w:eastAsia="zh-CN"/>
        </w:rPr>
        <w:t>四、工艺分析</w:t>
      </w:r>
      <w:bookmarkEnd w:id="21"/>
    </w:p>
    <w:p>
      <w:pPr>
        <w:pStyle w:val="Heading2"/>
        <w:rPr>
          <w:rFonts w:ascii="仿宋" w:eastAsia="仿宋" w:hAnsi="仿宋" w:cs="仿宋" w:hint="eastAsia"/>
          <w:lang w:eastAsia="zh-CN"/>
        </w:rPr>
      </w:pPr>
      <w:bookmarkStart w:id="22" w:name="_Toc1005"/>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超细Γ-AL2O3微粉项目中显现出多层面的复杂性和有机性。其系统性突显在对广泛技术领域的全面规划和整合，要求各技术要素相互协调，以确保超细Γ-AL2O3微粉项目整体协同。这种系统性要求技术管理者在超细Γ-AL2O3微粉项目中全局思考，以适应多元领域的需求。</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不断变化的环境中具备创新能力，团队需要持续提出独具创意的技术解决方案，作为推动超细Γ-AL2O3微粉项目进步的引擎。这种创新力使技术管理不仅仅是问题应对，更是超细Γ-AL2O3微粉项目发展的推动力，促使团队在技术层面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技术管理体现出综合性。它要求在不同领域中进行全面考虑，将各种技术要素有机融合，以实现更高水平和更大范围的效果。技术管理者需要跨领域协调，确保超细Γ-AL2O3微粉项目技术方案的综合有效性。</w:t>
      </w:r>
    </w:p>
    <w:p>
      <w:pPr>
        <w:pStyle w:val="Heading2"/>
        <w:ind w:firstLine="560" w:firstLineChars="200"/>
        <w:rPr>
          <w:rFonts w:ascii="仿宋" w:eastAsia="仿宋" w:hAnsi="仿宋" w:cs="仿宋" w:hint="eastAsia"/>
          <w:sz w:val="28"/>
          <w:lang w:eastAsia="zh-CN"/>
        </w:rPr>
      </w:pPr>
      <w:bookmarkStart w:id="23" w:name="_Toc31872"/>
      <w:r>
        <w:rPr>
          <w:rFonts w:ascii="仿宋" w:eastAsia="仿宋" w:hAnsi="仿宋" w:cs="仿宋" w:hint="eastAsia"/>
          <w:sz w:val="28"/>
          <w:lang w:eastAsia="zh-CN"/>
        </w:rPr>
        <w:t>(二)、超细Γ-AL2O3微粉项目工艺技术设计方案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工艺流程设计：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流程设计是超细Γ-AL2O3微粉项目工艺技术设计的核心。在设计中，需要明确每一步骤的操作顺序、所需时间和资源，以确保生产过程的高效性和流畅性。此外，要考虑可能出现的变数，采取灵活的设计以适应实际生产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工艺参数设定：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对关键的工艺参数进行合理设定至关重要。这包括但不限于温度、压力、流速等因素。合理的参数设置有助于提高生产效率，确保产品质量的稳定性，并降低可能的生产风险。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工艺设备选择：</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在选择工艺设备时，需要考虑其性能、稳定性和可维护性。设备应符合超细Γ-AL2O3微粉项目的实际需求，并与整个生产流程协同工作，确保设备的使用不成为超细Γ-AL2O3微粉项目的瓶颈。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工艺技术设计应考虑能源消耗的优化。采取先进的节能技术，降低能源浪费，有助于提高生产效益的同时，减少对环境的不良影响。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在工艺技术设计中，环保因素是不可忽视的。采用环保友好型的工艺，减少对环境的污染，符合可持续发展的要求，同时也有助于提升企业的社会形象。</w:t>
      </w:r>
    </w:p>
    <w:p>
      <w:pPr>
        <w:pStyle w:val="Heading2"/>
        <w:ind w:firstLine="560" w:firstLineChars="200"/>
        <w:rPr>
          <w:rFonts w:ascii="仿宋" w:eastAsia="仿宋" w:hAnsi="仿宋" w:cs="仿宋" w:hint="eastAsia"/>
          <w:sz w:val="28"/>
          <w:lang w:eastAsia="zh-CN"/>
        </w:rPr>
      </w:pPr>
      <w:bookmarkStart w:id="24" w:name="_Toc5680"/>
      <w:r>
        <w:rPr>
          <w:rFonts w:ascii="仿宋" w:eastAsia="仿宋" w:hAnsi="仿宋" w:cs="仿宋" w:hint="eastAsia"/>
          <w:sz w:val="28"/>
          <w:lang w:eastAsia="zh-CN"/>
        </w:rPr>
        <w:t>(三)、设备选型方案</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以挑选卓越供应商为导向，确保所选设备能够按时交付，满足工程进度需求。我们注重售后服务的卓越性，以及设备生产厂家能够及时提供备品备件的能力，以降低超细Γ-AL2O3微粉项目投资风险，最大限度地减少总体超细Γ-AL2O3微粉项目成本。在投资超细Γ-AL2O3微粉项目中，主要工艺设备及仪器将优先选择国产设备，并确保所选生产设备厂家具备国内领先的技术水平和符合国际认证标准的科学企业管理。</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以“先进、高效、实用、节能、可靠”为准则，特别关注超细Γ-AL2O3微粉项目产品生产设备在效率、质量、物料损耗、自动化程度、劳动强度和噪音水平等方面的特性。计划采购国内领先的关键工艺设备和国内外尖端的检测设备，预计购置并安装主要设备合共XXXX台(套)，设备购置费用为XXX万元。通过这一选取原则，我们旨在确保超细Γ-AL2O3微粉项目的生产设备具备最佳性能和效益，以满足超细Γ-AL2O3微粉项目长期的发展需求。</w:t>
      </w:r>
    </w:p>
    <w:p>
      <w:pPr>
        <w:pStyle w:val="Heading1"/>
        <w:ind w:firstLine="560" w:firstLineChars="200"/>
        <w:rPr>
          <w:rFonts w:ascii="仿宋" w:eastAsia="仿宋" w:hAnsi="仿宋" w:cs="仿宋" w:hint="eastAsia"/>
          <w:sz w:val="28"/>
          <w:lang w:eastAsia="zh-CN"/>
        </w:rPr>
      </w:pPr>
      <w:bookmarkStart w:id="25" w:name="_Toc4889"/>
      <w:r>
        <w:rPr>
          <w:rFonts w:ascii="仿宋" w:eastAsia="仿宋" w:hAnsi="仿宋" w:cs="仿宋" w:hint="eastAsia"/>
          <w:sz w:val="28"/>
          <w:lang w:eastAsia="zh-CN"/>
        </w:rPr>
        <w:t>五、危机管理与应急预案</w:t>
      </w:r>
      <w:bookmarkEnd w:id="25"/>
    </w:p>
    <w:p>
      <w:pPr>
        <w:pStyle w:val="Heading2"/>
        <w:rPr>
          <w:rFonts w:ascii="仿宋" w:eastAsia="仿宋" w:hAnsi="仿宋" w:cs="仿宋" w:hint="eastAsia"/>
          <w:lang w:eastAsia="zh-CN"/>
        </w:rPr>
      </w:pPr>
      <w:bookmarkStart w:id="26" w:name="_Toc481"/>
      <w:r>
        <w:rPr>
          <w:rFonts w:ascii="仿宋" w:eastAsia="仿宋" w:hAnsi="仿宋" w:cs="仿宋" w:hint="eastAsia"/>
          <w:lang w:eastAsia="zh-CN"/>
        </w:rPr>
        <w:t>(一)、危机预警与监测</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建立监测体系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危机监测体系是有效进行危机预警与监测的首要步骤。这一体系需要全面覆盖外部和内部环境的多个方面，以确保企业能够全面了解潜在的危机因素。外部环境的监测包括政治、经济、社会、技术等方面，而内部环境的监测则需要关注组织内部的运营状况、员工情绪等。</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在建立监测体系时，企业需要采用先进的信息技术和数据分析手段，确保能够实时、准确地收集和分析大量信息。同时，要考虑不同领域的专业监测机构和专业人才的参与，以提高监测体系的专业性和敏感性。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数据收集与分析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数据收集与分析是危机监测的核心环节。企业需要建立高效的数据收集机制，以确保能够获取与企业相关的各类信息。这可能涉及到社交媒体的监测、新闻报道的跟踪、市场调研数据的收集等多方面工作。</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旦数据收集完成，接下来的关键步骤是对数据进行系统分析。这需要企业拥有一支专业的数据分析团队，能够从海量数据中提炼出有价值的信息。数据分析的目标是发现潜在的危机迹象和异常现象，为危机的及时处理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预警机制建立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建立灵敏的预警机制是确保企业能够在危机来临之前获得预警信息的关键。预警机制的建立需要考虑到监测体系的反馈、数据分析的结果以及与外部专业机构的合作。关键的步骤包括：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设定预警指标： 根据数据分析的结果和历史危机事件的经验，确定一系列可作为危机预警指标的关键因素。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建立预警信号： 将确定的预警指标与实际监测结果相结合，建立一套能够发出明确信号的预警系统。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制定应急响应计划： 针对不同级别的预警信号，制定相应的应急响应计划，明确责任人和行动方案。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定期演练： 对预警机制进行定期演练，检验其实际效果，及时调整和改进机制。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预警与监测体系的建立是企业危机管理的基础，它使企业能够在危机爆发前就能够有针对性地采取措施，最大程度地降低潜在风险带来的损失。通过精细化的监测和灵活的应对机制，企业能够更好地应对多变的外部环境，保障组织的稳定和可持续发展。</w:t>
      </w:r>
    </w:p>
    <w:p>
      <w:pPr>
        <w:pStyle w:val="Heading2"/>
        <w:ind w:firstLine="560" w:firstLineChars="200"/>
        <w:rPr>
          <w:rFonts w:ascii="仿宋" w:eastAsia="仿宋" w:hAnsi="仿宋" w:cs="仿宋" w:hint="eastAsia"/>
          <w:sz w:val="28"/>
          <w:lang w:eastAsia="zh-CN"/>
        </w:rPr>
      </w:pPr>
      <w:bookmarkStart w:id="27" w:name="_Toc31410"/>
      <w:r>
        <w:rPr>
          <w:rFonts w:ascii="仿宋" w:eastAsia="仿宋" w:hAnsi="仿宋" w:cs="仿宋" w:hint="eastAsia"/>
          <w:sz w:val="28"/>
          <w:lang w:eastAsia="zh-CN"/>
        </w:rPr>
        <w:t>(二)、应急预案与危机响应</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1. 预案制定</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应急预案的制定是为了在危机发生时提供清晰的指导和规范行动。预案需要覆盖各个可能出现危机的领域，确保在面对不同类型的紧急情况时能够迅速做出正确反应。制定应急预案的关键步骤包括：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综合性规划： 制定一份全面而综合的应急预案，覆盖从人员疏散到资源调配、从危机指挥到协同合作等多个方面。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 在制定预案前进行全面的风险评估，明确可能面临的各类威胁，以便有针对性地制定应对方案。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 预案的制定需要多方面的参与，包括安全专家、卫生专业人员、法务顾问等，确保综合性和专业性。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 预案需要根据组织的变化和外部环境的变动进行定期更新，保持其时效性和适应性。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危机演练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定期组织危机演练是验证应急预案的有效性和可行性的关键手段。通过模拟真实危机情境，组织成员能够更好地理解应对程序，提高危机时的应对能力。危机演练的关键步骤包括：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制定演练计划： 设定演练目标、场景、参与人员和时间表，确保演练的全面性和实效性。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模拟真实情境： 在演练中模拟真实危机情境，包括人员伤亡、资源不足、信息不准确等各种可能的困难。</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评估演练结果： 对演练过程进行全面评估，发现问题和不足，为后续的改进提供依据。</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定期调整： 根据演练的结果，及时对应急预案进行调整和完善，确保其实用性和灵活性。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指挥体系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建立明确的指挥体系是危机发生时能够迅速做出决策、协调资源的关键。指挥体系的构建需要确保信息流通畅，责任分工明确，决策迅速而准确。建立指挥体系的关键步骤包括：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明确层级： 制定清晰的指挥层级，确保在危机发生时能够迅速形成统一的指挥架构。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角色分工： 确定每个指挥层级的角色和职责，以便在紧急情况下各司其职，协同工作。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信息流动： 建立快速、准确的信息传递机制，确保决策者能够及时获取所需信息。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紧急决策培训： 对指挥层级的成员进行紧急决策的培训，提高其在危机时的决策效率。</w:t>
      </w:r>
    </w:p>
    <w:p>
      <w:pPr>
        <w:pStyle w:val="Heading2"/>
        <w:ind w:firstLine="560" w:firstLineChars="200"/>
        <w:rPr>
          <w:rFonts w:ascii="仿宋" w:eastAsia="仿宋" w:hAnsi="仿宋" w:cs="仿宋" w:hint="eastAsia"/>
          <w:sz w:val="28"/>
          <w:lang w:eastAsia="zh-CN"/>
        </w:rPr>
      </w:pPr>
      <w:bookmarkStart w:id="28" w:name="_Toc8112"/>
      <w:r>
        <w:rPr>
          <w:rFonts w:ascii="仿宋" w:eastAsia="仿宋" w:hAnsi="仿宋" w:cs="仿宋" w:hint="eastAsia"/>
          <w:sz w:val="28"/>
          <w:lang w:eastAsia="zh-CN"/>
        </w:rPr>
        <w:t>(三)、危机沟通与舆情控制</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沟通计划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制定完善的危机沟通计划是确保在紧急情况下能够迅速、有序地传递信息的前提。沟通计划需要包括明确的沟通渠道、信息发布时机、沟通对象等关键元素。关键步骤包括：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建立沟通团队： 成立专门的危机沟通团队，包括公关专业人士、法务顾问等，确保具备危机时的敏感性和专业性。</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危机信息归类： 对危机信息进行分类，确定哪些信息可以及时公开，哪些需要谨慎处理。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选择沟通渠道： 根据危机的性质和影响，选择最合适的沟通渠道，包括媒体发布、社交媒体、公司网站等。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信息发布时机： 在危机发生后及时发布信息，但确保信息的准确性和完整性，避免过早或过晚发布导致误解。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信息透明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危机发生时，保持信息的透明度是建立信任和减轻公众焦虑的关键。透明沟通需要展示组织的负责任态度，积极回应公众关切。关键步骤包括：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真实情况公开： 在信息发布中坚持真实、客观的原则，对危机的真实情况进行公开。</w:t>
      </w:r>
    </w:p>
    <w:p>
      <w:pPr>
        <w:ind w:firstLine="560" w:firstLineChars="200"/>
        <w:rPr>
          <w:rFonts w:ascii="仿宋" w:eastAsia="仿宋" w:hAnsi="仿宋" w:cs="仿宋" w:hint="eastAsia"/>
          <w:sz w:val="28"/>
        </w:rPr>
      </w:pPr>
      <w:r>
        <w:rPr>
          <w:rFonts w:ascii="仿宋" w:eastAsia="仿宋" w:hAnsi="仿宋" w:cs="仿宋" w:hint="eastAsia"/>
          <w:sz w:val="28"/>
          <w:lang w:eastAsia="zh-CN"/>
        </w:rPr>
        <w:t>不隐瞒问题： 如有错误或疏忽，勇于承认，并及时采取纠正措施，避免信息隐瞒引发更大危机。</w:t>
      </w:r>
    </w:p>
    <w:p>
      <w:pPr>
        <w:ind w:firstLine="560" w:firstLineChars="200"/>
        <w:rPr>
          <w:rFonts w:ascii="仿宋" w:eastAsia="仿宋" w:hAnsi="仿宋" w:cs="仿宋" w:hint="eastAsia"/>
          <w:sz w:val="28"/>
        </w:rPr>
      </w:pPr>
      <w:r>
        <w:rPr>
          <w:rFonts w:ascii="仿宋" w:eastAsia="仿宋" w:hAnsi="仿宋" w:cs="仿宋" w:hint="eastAsia"/>
          <w:sz w:val="28"/>
          <w:lang w:eastAsia="zh-CN"/>
        </w:rPr>
        <w:t>接受采访和回应： 主动接受媒体采访，回应公众关切，积极参与危机舆论引导。</w:t>
      </w:r>
    </w:p>
    <w:p>
      <w:pPr>
        <w:ind w:firstLine="560" w:firstLineChars="200"/>
        <w:rPr>
          <w:rFonts w:ascii="仿宋" w:eastAsia="仿宋" w:hAnsi="仿宋" w:cs="仿宋" w:hint="eastAsia"/>
          <w:sz w:val="28"/>
        </w:rPr>
      </w:pPr>
      <w:r>
        <w:rPr>
          <w:rFonts w:ascii="仿宋" w:eastAsia="仿宋" w:hAnsi="仿宋" w:cs="仿宋" w:hint="eastAsia"/>
          <w:sz w:val="28"/>
          <w:lang w:eastAsia="zh-CN"/>
        </w:rPr>
        <w:t>3. 舆情监测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舆情监测是对社会舆论动态的及时了解和调整的关键环节。通过舆情监测，企业可以更好地把握公众的态度和情感，有针对性地调整沟通策略。关键步骤包括：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设立监测机制： 建立舆情监测系统，覆盖主流媒体、社交媒体、网络论坛等多个渠道，全面了解舆情动向。</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情感分析： 对舆情进行情感分析，了解公众的情感倾向，有针对性地调整信息发布策略。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即时回应： 对于涉及企业的谣言或误解，及时进行回应和澄清，防止虚假信息传播。</w:t>
      </w:r>
    </w:p>
    <w:p>
      <w:pPr>
        <w:ind w:firstLine="560" w:firstLineChars="200"/>
        <w:rPr>
          <w:rFonts w:ascii="仿宋" w:eastAsia="仿宋" w:hAnsi="仿宋" w:cs="仿宋" w:hint="eastAsia"/>
          <w:sz w:val="28"/>
        </w:rPr>
      </w:pPr>
      <w:r>
        <w:rPr>
          <w:rFonts w:ascii="仿宋" w:eastAsia="仿宋" w:hAnsi="仿宋" w:cs="仿宋" w:hint="eastAsia"/>
          <w:sz w:val="28"/>
          <w:lang w:eastAsia="zh-CN"/>
        </w:rPr>
        <w:t>4. 危机后教训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危机后教训的总结和改进是危机沟通的闭环。通过反思危机沟通过程，企业可以更好地准备未来可能发生的危机，提升危机沟通的水平。关键步骤包括：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总结经验教训： 对危机沟通过程进行深入总结，明确优点和不足之处。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改进沟通策略： 根据总结的教训，调整和改进危机沟通策略，提高应对危机的能力。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培训沟通团队： 将总结的经验教训纳入危机沟通团队的培训体系，提高团队的专业水平。</w:t>
      </w:r>
    </w:p>
    <w:p>
      <w:pPr>
        <w:pStyle w:val="Heading2"/>
        <w:ind w:firstLine="560" w:firstLineChars="200"/>
        <w:rPr>
          <w:rFonts w:ascii="仿宋" w:eastAsia="仿宋" w:hAnsi="仿宋" w:cs="仿宋" w:hint="eastAsia"/>
          <w:sz w:val="28"/>
          <w:lang w:eastAsia="zh-CN"/>
        </w:rPr>
      </w:pPr>
      <w:bookmarkStart w:id="29" w:name="_Toc9623"/>
      <w:r>
        <w:rPr>
          <w:rFonts w:ascii="仿宋" w:eastAsia="仿宋" w:hAnsi="仿宋" w:cs="仿宋" w:hint="eastAsia"/>
          <w:sz w:val="28"/>
          <w:lang w:eastAsia="zh-CN"/>
        </w:rPr>
        <w:t>(四)、危机后教训与改进</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总结经验教训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在危机发生后，对整个危机处理过程进行全面、深入的总结是确保企业能够吸取经验教训的首要步骤。关键方面包括：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问题识别： 确定危机处理过程中出现的问题，包括内部失误、外部压力、公众反应等方面。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决策评估： 对危机管理团队的决策进行客观评估，确定哪些决策起到了积极作用，哪些需要调整和改进。</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资源利用：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评估危机期间各类资源的利用效率，包括人力、物力、信息等。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改进管理策略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基于总结的经验教训，制定并实施改进危机管理策略是确保企业下次危机能够更好应对的关键一环。关键方面包括：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修订危机预案： 根据危机中暴露的问题和不足，对危机预案进行修订和升级，确保其更具实效性和适应性。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加强团队培训： 针对危机管理团队，开展专业培训，提高成员的应变能力、决策水平和团队协同能力。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升级技术支持： 结合危机处理中出现的技术问题，考虑引入更先进的技术手段，提升信息收集和处理的效率。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提高沟通效果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危机时的沟通效果直接关系到公众对企业的认知和态度。通过改进沟通策略，企业可以更好地引导舆论、维护声誉。关键方面包括：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提升透明度： 加强信息透明度，及时、准确地向公众传递危机信息，减少信息不对称。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加强社交媒体管理： 提升在社交媒体上的管理水平，积极参与互动，防范谣言传播，维护正面形象。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改进危机沟通团队： 对危机沟通团队进行定期培训，提高团队的危机沟通策略和危机公关技巧。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定期演练与检验</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为确保改进措施的有效性，企业需要定期组织危机演练，并对演练结果进行检验和评估。关键方面包括：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演练目标明确： 制定明确的演练目标，包括测试预案可行性、团队协同效果等。</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多方参与演练： 邀请外部专业机构参与演练，提供客观的评价和建议。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演练结果反馈： 对演练结果进行深入分析，识别问题和不足，为下一轮改进提供依据。</w:t>
      </w:r>
    </w:p>
    <w:p>
      <w:pPr>
        <w:pStyle w:val="Heading1"/>
        <w:ind w:firstLine="560" w:firstLineChars="200"/>
        <w:rPr>
          <w:rFonts w:ascii="仿宋" w:eastAsia="仿宋" w:hAnsi="仿宋" w:cs="仿宋" w:hint="eastAsia"/>
          <w:sz w:val="28"/>
          <w:lang w:eastAsia="zh-CN"/>
        </w:rPr>
      </w:pPr>
      <w:bookmarkStart w:id="30" w:name="_Toc2987"/>
      <w:r>
        <w:rPr>
          <w:rFonts w:ascii="仿宋" w:eastAsia="仿宋" w:hAnsi="仿宋" w:cs="仿宋" w:hint="eastAsia"/>
          <w:sz w:val="28"/>
          <w:lang w:eastAsia="zh-CN"/>
        </w:rPr>
        <w:t>六、超细Γ-AL2O3微粉项目运营管理</w:t>
      </w:r>
      <w:bookmarkEnd w:id="30"/>
    </w:p>
    <w:p>
      <w:pPr>
        <w:pStyle w:val="Heading2"/>
        <w:rPr>
          <w:rFonts w:ascii="仿宋" w:eastAsia="仿宋" w:hAnsi="仿宋" w:cs="仿宋" w:hint="eastAsia"/>
          <w:lang w:eastAsia="zh-CN"/>
        </w:rPr>
      </w:pPr>
      <w:bookmarkStart w:id="31" w:name="_Toc11977"/>
      <w:r>
        <w:rPr>
          <w:rFonts w:ascii="仿宋" w:eastAsia="仿宋" w:hAnsi="仿宋" w:cs="仿宋" w:hint="eastAsia"/>
          <w:lang w:eastAsia="zh-CN"/>
        </w:rPr>
        <w:t>(一)、运营管理机构设置</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企业的运营管理机构设置是保障业务高效运转和战略目标实现的基础。合理的机构设置有助于各个职能部门之间的协同合作，提升决策执行效果。在运营管理机构的设计中，需要考虑业务流程、组织结构、信息传递和决策层级等多个方面。从总体运营管理部门、业务部门、支持性职能部门、信息传递和决策层级四个方面展开具体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总体运营管理部门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运营管理部门是企业运营体系的核心，其角色是协调整个企业的运营活动，确保各个职能部门之间的合作无间。这个部门通常由首席运营官（COO）领导，其下设有多个高级管理人员，涵盖业务规划、资源分配、绩效评估等多个方面。</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席运营官作为总体运营管理部门的领导者，负责制定并执行整体运营策略。其职责包括但不限于，确保企业目标的达成、协调各业务部门的工作、监控绩效指标、对市场变化进行敏锐的感知等。同时，总体运营管理部门与其他职能部门保持紧密合作，共同推动企业的整体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业务部门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部门是运营管理机构中至关重要的组成部分。根据企业的业务模式，可以设置销售部门、生产部门、供应链管理部门等。每个业务部门都有自己的职能和目标，负责企业特定领域的运营工作。通常情况下，业务部门中会设立部门经理或主管，负责部门的日常管理和执行运营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部门负责市场推广、客户关系管理和销售业绩的提升。生产部门负责生产流程的优化、生产计划的制定和产品质量的控制。供应链管理部门则负责供应链的整体规划和执行，包括原材料采购、物流管理等。这些业务部门在协同工作中实现各自目标的同时，共同推动整个企业朝着战略目标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支持性职能部门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支持性职能部门是确保运营流程高效运作的关键。这包括人力资源部门、财务部门、信息技术部门等。人力资源部门负责招聘、培训和员工绩效管理。财务部门负责预算、会计和财务分析。信息技术部门则负责信息系统的维护和创新。</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部门通过招募合适的人才、提供专业培训，确保企业拥有高素质的员工队伍。财务部门通过精细的预算管理、财务分析，确保企业的财务稳健。信息技术部门通过维护和创新信息系统，提升企业的信息化水平。这些支持性职能部门为企业提供了全方位的支持，确保各项业务得以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信息传递和决策层级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管理机构中，建立清晰的信息传递和决策层级是至关重要的。信息传递的畅通确保各个部门之间的沟通，决策层级的明确性保证了管理决策的高效执行。通常情况下，高级管理层负责制定战略和重大决策，而中层管理层则负责具体的业务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高级管理层负责制定企业整体的战略方向。他们通过全局视角，对市场环境和企业内部情况进行综合分析，制定发展规划和决策重大战略举措。高级管理层包括首席执行官（CEO）、首席运营官（COO）等高层领导。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中层管理层负责执行高层制定的战略和决策。他们负责具体的业务运作、协调各个职能部门的工作，确保战略目标的顺利实现。中层管理层通常包括各个业务部门的主管或经理，以及支持性职能部门的主管。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通过信息传递和决策层级的设立，企业能够保持信息的畅通流动，确保决策的高效执行。高级管理层的战略决策能够指导整个企业的运营方向，而中层管理层的执行力量则保证了战略的实施和目标的达成。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客观分析运营管理机构设置</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运营管理机构设置需要考虑其适应性、高效性和灵活性。首先，机构设置需要适应企业的业务模式和战略目标，确保各个部门的职能和责任与企业发展保持一致。适应性意味着机构设置需要灵活变通，能够根据市场变化和企业发展阶段进行调整。例如，当企业扩大规模或进入新市场时，可能需要重新调整各个部门的设置和职责，以更好地适应新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机构设置需要高效运作，避免冗余和资源浪费，确保每个部门都能够发挥最大效益。高效性意味着信息传递的迅速、决策的迅捷，各个部门之间的协同合作流畅有序。这需要建立有效的沟通渠道，确保信息在各个层级和部门之间迅速传递，决策能够及时推进，避免因为信息滞后而导致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机构设置需要灵活应对市场变化，能够迅速调整组织结构和流程，适应外部环境的变化。灵活性意味着机构设置能够适应市场的快速变化，迅速调整战略和业务重心。例如，在面对市场竞争激烈或者行业变革的时候，机构设置需要具备灵活性，能够调整部门职责、引入新的业务流程，以适应新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客观地分析适应性、高效性和灵活性这三个方面，企业能够不断优化运营管理机构设置，提高运作效率，实现长期发展目标。在不断的实践中，企业可以根据具体情况进行调整和改进，确保机构设置始终符合企业的战略方向和市场需求。这种客观的分析和不断的优化是企业保持竞争力和适应市场变化的关键之一。</w:t>
      </w:r>
    </w:p>
    <w:p>
      <w:pPr>
        <w:pStyle w:val="Heading2"/>
        <w:ind w:firstLine="560" w:firstLineChars="200"/>
        <w:rPr>
          <w:rFonts w:ascii="仿宋" w:eastAsia="仿宋" w:hAnsi="仿宋" w:cs="仿宋" w:hint="eastAsia"/>
          <w:sz w:val="28"/>
          <w:lang w:eastAsia="zh-CN"/>
        </w:rPr>
      </w:pPr>
      <w:bookmarkStart w:id="32" w:name="_Toc20304"/>
      <w:r>
        <w:rPr>
          <w:rFonts w:ascii="仿宋" w:eastAsia="仿宋" w:hAnsi="仿宋" w:cs="仿宋" w:hint="eastAsia"/>
          <w:sz w:val="28"/>
          <w:lang w:eastAsia="zh-CN"/>
        </w:rPr>
        <w:t>(二)、运营管理流程</w:t>
      </w:r>
      <w:bookmarkEnd w:id="32"/>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营管理流程是企业实现高效运转和战略目标的关键。一个清晰、有序的运营管理流程可以确保各个部门之间的协同合作，提高生产效率，降低成本，最终实现企业的长期发展目标。从战略制定、业务执行、绩效监控和持续改进四个方面详细阐述运营管理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制定是运营管理流程的起点。在这一阶段，企业需要明确定义其长期目标和发展方向，同时制定相应的战略计划。这通常由高层领导层共同参与，包括首席执行官（CEO）、首席运营官（COO）等。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环境分析： 对外部环境进行全面分析，包括市场趋势、竞争状况、法规变化等，以确保制定的战略符合外部环境的变化。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内部评估： 对企业内部资源、能力、业务流程等进行评估，明确企业的核心竞争力和瓶颈。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设定具体、可衡量的长期目标，确保这些目标与企业的使命和愿景相一致。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战略制定： 制定符合目标的战略计划，包括市场拓展、产品创新、成本控制等方面的策略。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业务执行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业务执行是将战略计划转化为实际行动的过程。在这一阶段，各个业务部门负责具体的执行工作，确保战略计划的顺利实施。关键的步骤包括：</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计划制定： 各业务部门根据战略计划，制定具体的年度、季度、月度计划，明确各项任务和责任。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资源配置： 确保每个业务部门都获得足够的资源支持，包括人力、资金、技术等。</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 促进各部门之间的沟通和协作，确保信息的畅通流动，协同解决问题。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执行监督： 设立有效的监督机制，追踪业务执行的进展，及时发现和解决问题，确保计划的落地执行。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绩效监控是确保业务执行效果的重要环节。通过有效的绩效监控，企业能够及时发现偏差，采取纠正措施，确保战略目标的实现。关键的步骤包括：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制定绩效指标： 根据战略目标和业务计划，制定具体的绩效指标，包括财务、市场、客户满意度等方面。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数据收集和分析： 收集业务执行过程中的关键数据，进行深入分析，发现问题的根本原因。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定期对各项绩效指标进行评估，与计划进行对比，分析偏差，找出问题点。</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 根据评估结果，采取相应的改进措施，优化业务执行过程，提高效率和效果。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持续改进</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持续改进是运营管理流程的最后一环，也是一个循环的过程。通过不断的改进，企业能够适应不断变化的市场和内外部环境，提高运营管理的效能和灵活性。持续改进的步骤包括：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问题识别： 通过绩效监控和员工反馈等途径，识别业务执行中的问题和瓶颈。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原因分析： 对识别出的问题进行深入分析，找出问题的根本原因，而非仅仅应对表面症状。</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制定改进计划： 根据分析结果，制定具体的改进计划，明确改进的目标和措施。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实施改进： 将改进计划付诸实践，对业务流程、组织结构等方面进行调整和优化。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效果监测： 对改进措施的实施效果进行监测和评估，看是否取得了期望的效果。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通过以上这个完整的运营管理流程，企业能够实现从战略制定到业务执行、再到绩效监控和持续改进的有机衔接。这种有序、系统的流程不仅有助于企业更好地应对市场变化，也提高了整体运营的效率和质量。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客观分析运营管理流程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运营管理流程需要从效率、适应性、质量和创新性等多个方面进行评估。首先，流程的效率体现在战略制定到执行、再到监控和改进的环环相扣，确保信息流通畅、决策高效。适应性则表现在流程能否灵活调整，迅速适应市场变化和企业发展的需要。</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其次，流程的质量体现在业务执行和绩效监控阶段，包括产品或服务的质量、生产效率、绩效指标的达成等。高质量的流程能够确保企业的产出符合标准，提高客户满意度。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最后，创新性是运营管理流程持续改进的动力。通过不断挑战现状，寻找新的解决方案，企业能够保持竞争优势，更好地适应不断变化的市场。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通过客观地分析这些方面，企业能够深入了解运营管理流程的优势和不足之处，有针对性地进行改进。这种不断优化的态势有助于企业在竞争激烈的市场中保持敏捷性和创造力，实现可持续发展。</w:t>
      </w:r>
    </w:p>
    <w:p>
      <w:pPr>
        <w:pStyle w:val="Heading2"/>
        <w:ind w:firstLine="560" w:firstLineChars="200"/>
        <w:rPr>
          <w:rFonts w:ascii="仿宋" w:eastAsia="仿宋" w:hAnsi="仿宋" w:cs="仿宋" w:hint="eastAsia"/>
          <w:sz w:val="28"/>
          <w:lang w:eastAsia="zh-CN"/>
        </w:rPr>
      </w:pPr>
      <w:bookmarkStart w:id="33" w:name="_Toc29251"/>
      <w:r>
        <w:rPr>
          <w:rFonts w:ascii="仿宋" w:eastAsia="仿宋" w:hAnsi="仿宋" w:cs="仿宋" w:hint="eastAsia"/>
          <w:sz w:val="28"/>
          <w:lang w:eastAsia="zh-CN"/>
        </w:rPr>
        <w:t>(三)、人员配备及培训</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人员是企业最重要的资产之一，其在业务执行和战略实施中发挥着关键作用。为了确保人员能够胜任各自的工作，并随着企业的发展不断提升能力，人员的配备和培训显得尤为重要。从招聘与配备、培训与发展两个方面展开详细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招聘与配备</w:t>
      </w:r>
    </w:p>
    <w:p>
      <w:pPr>
        <w:ind w:firstLine="560" w:firstLineChars="200"/>
        <w:rPr>
          <w:rFonts w:ascii="仿宋" w:eastAsia="仿宋" w:hAnsi="仿宋" w:cs="仿宋" w:hint="eastAsia"/>
          <w:sz w:val="28"/>
        </w:rPr>
      </w:pPr>
      <w:r>
        <w:rPr>
          <w:rFonts w:ascii="仿宋" w:eastAsia="仿宋" w:hAnsi="仿宋" w:cs="仿宋" w:hint="eastAsia"/>
          <w:sz w:val="28"/>
          <w:lang w:eastAsia="zh-CN"/>
        </w:rPr>
        <w:t>招聘与配备是建立强大团队的基础，合适的人才配置能够保证各个部门的正常运转和战略目标的实现。关键的步骤包括：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职位规划： 针对企业的业务需求和发展战略，规划各个职位的数量和类型。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人才招聘： 通过内外部渠道广泛招聘人才，包括通过招聘网站、社交媒体、校园招聘等途径。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面试和评估： 对候选人进行面试和评估，确保其符合职位要求，并具备良好的团队协作能力。</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r>
        <w:rPr>
          <w:rFonts w:ascii="仿宋" w:eastAsia="仿宋" w:hAnsi="仿宋" w:cs="仿宋" w:hint="eastAsia"/>
          <w:sz w:val="28"/>
          <w:lang w:eastAsia="zh-CN"/>
        </w:rPr>
        <w:t>职位分配：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根据招聘和评估结果，将人才分配到适合的职位，确保人员配置合理。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培训与发展是确保员工能够适应工作要求和持续提升能力的关键环节。关键的步骤包括：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 通过调研和绩效评估等手段，分析员工的培训需求，确定培训的重点和方向。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制定培训计划： 根据培训需求，制定详细的培训计划，包括培训内容、方式、时间等。</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 执行培训计划，可以包括内部培训、外部培训、在线培训等多种形式，确保员工获得所需的知识和技能。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在培训后进行绩效评估，检查培训效果，发现并解决培训中的问题。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职业发展规划： 与员工共同制定职业发展计划，为其提供晋升机会和发展通道，激发员工的积极性和创造力。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通过合理的人员配备和系统的培训与发展，企业可以建立起一支高效、积极、具备竞争力的团队。这有助于提高员工的专业素养，适应不断变化的市场环境，为企业的可持续发展提供强大的人才支持。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客观分析人员配备及培训</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人员配备及培训需要从员工的能力、团队协作、学习机会和发展通道等多个方面进行评估。首先，员工的能力需要与职位要求相匹配，确保其具备完成工作任务所需的技能和知识。其次，团队协作能力是团队成功运作的基础，需要评估员工在团队中的协作和沟通能力。此外，员工的学习机会和发展通道也是重要的考量因素，一个良好的培训和发展体系有助于激发员工的潜力，提高他们的职业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通过客观地分析这些方面，企业可以更好地理解员工的现状和需求，有针对性地进行培训和发展规划。这种定期的评估和调整有助于提高员工的满意度，降低员工流失率，进而增强企业的竞争力。</w:t>
      </w:r>
    </w:p>
    <w:p>
      <w:pPr>
        <w:pStyle w:val="Heading2"/>
        <w:ind w:firstLine="560" w:firstLineChars="200"/>
        <w:rPr>
          <w:rFonts w:ascii="仿宋" w:eastAsia="仿宋" w:hAnsi="仿宋" w:cs="仿宋" w:hint="eastAsia"/>
          <w:sz w:val="28"/>
          <w:lang w:eastAsia="zh-CN"/>
        </w:rPr>
      </w:pPr>
      <w:bookmarkStart w:id="34" w:name="_Toc21827"/>
      <w:r>
        <w:rPr>
          <w:rFonts w:ascii="仿宋" w:eastAsia="仿宋" w:hAnsi="仿宋" w:cs="仿宋" w:hint="eastAsia"/>
          <w:sz w:val="28"/>
          <w:lang w:eastAsia="zh-CN"/>
        </w:rPr>
        <w:t>(四)、质量管理体系</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体系是企业为确保产品或服务达到一定标准而建立的一系列组织结构、流程、程序和资源的集合。通过建立质量管理体系，企业能够不断提高产品或服务的质量水平，提升客户满意度，同时也有助于提高内部效率和降低成本。从质量政策、流程管理、资源管理和持续改进四个方面详细阐述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质量政策是企业对质量目标和承诺的表述，为整个质量管理体系的建立和运作提供指导。关键的步骤包括：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制定质量政策： 由高层领导层参与，确立企业对质量的核心价值和战略方向。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传达与宣导： 将质量政策传达给所有员工，并强调每个人在实现质量目标中的重要性。</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r>
        <w:rPr>
          <w:rFonts w:ascii="仿宋" w:eastAsia="仿宋" w:hAnsi="仿宋" w:cs="仿宋" w:hint="eastAsia"/>
          <w:sz w:val="28"/>
          <w:lang w:eastAsia="zh-CN"/>
        </w:rPr>
        <w:t>监督与更新： 定期对质量政策进行监督，确保其符合企业发展和市场需求，随时进行调整和更新。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流程管理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流程管理是确保产品或服务在整个生命周期中都能够保持一致性和高质量的关键。关键的步骤包括：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流程规划： 确定关键业务流程，包括生产流程、服务过程、供应链管理等。</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制定流程程序： 建立详细的流程程序和工作指导书，确保每个步骤都被规范执行。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监测和控制： 进行实时监测和控制，发现和纠正任何可能影响产品或服务质量的问题。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资源管理是指对人力、物力、技术和信息等方面的管理，确保这些资源能够支持质量目标的实现。关键的步骤包括：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人员培训： 提供员工必要的培训，确保其具备完成工作所需的技能和知识。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设备和技术支持： 确保生产设备、技术工具等都能够满足产品或服务的质量标准。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信息系统： 建立有效的信息系统，确保质量数据的收集、分析和报告能够支持质量决策。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持续改进是质量管理体系的核心原则之一。通过不断寻找和纠正问题，企业能够不断提高质量水平。关键的步骤包括：</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r>
        <w:rPr>
          <w:rFonts w:ascii="仿宋" w:eastAsia="仿宋" w:hAnsi="仿宋" w:cs="仿宋" w:hint="eastAsia"/>
          <w:sz w:val="28"/>
          <w:lang w:eastAsia="zh-CN"/>
        </w:rPr>
        <w:t>问题识别：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通过内部审查、客户反馈、绩效评估等手段，识别潜在的问题和改进点。</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制定改进计划： 针对识别出的问题，制定具体的改进计划，包括调整流程、更新设备、改进培训等。</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实施改进： 将改进计划付诸实践，确保改进措施能够在实际操作中生效。</w:t>
      </w:r>
    </w:p>
    <w:p>
      <w:pPr>
        <w:ind w:firstLine="560" w:firstLineChars="200"/>
        <w:rPr>
          <w:rFonts w:ascii="仿宋" w:eastAsia="仿宋" w:hAnsi="仿宋" w:cs="仿宋" w:hint="eastAsia"/>
          <w:sz w:val="28"/>
        </w:rPr>
      </w:pPr>
      <w:r>
        <w:rPr>
          <w:rFonts w:ascii="仿宋" w:eastAsia="仿宋" w:hAnsi="仿宋" w:cs="仿宋" w:hint="eastAsia"/>
          <w:sz w:val="28"/>
          <w:lang w:eastAsia="zh-CN"/>
        </w:rPr>
        <w:t>效果监测： 对改进措施的实施效果进行监测和评估，看是否取得了期望的效果。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这个完整的质量管理体系，企业能够建立一种注重质量的文化，从而确保产品或服务在不断变化的市场中保持竞争力。这种系统性的管理有助于企业提高客户满意度，降低质量成本，为可持续发展奠定基础。</w:t>
      </w:r>
    </w:p>
    <w:p>
      <w:pPr>
        <w:pStyle w:val="Heading2"/>
        <w:ind w:firstLine="560" w:firstLineChars="200"/>
        <w:rPr>
          <w:rFonts w:ascii="仿宋" w:eastAsia="仿宋" w:hAnsi="仿宋" w:cs="仿宋" w:hint="eastAsia"/>
          <w:sz w:val="28"/>
          <w:lang w:eastAsia="zh-CN"/>
        </w:rPr>
      </w:pPr>
      <w:bookmarkStart w:id="35" w:name="_Toc31847"/>
      <w:r>
        <w:rPr>
          <w:rFonts w:ascii="仿宋" w:eastAsia="仿宋" w:hAnsi="仿宋" w:cs="仿宋" w:hint="eastAsia"/>
          <w:sz w:val="28"/>
          <w:lang w:eastAsia="zh-CN"/>
        </w:rPr>
        <w:t>(五)、安全生产管理</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安全生产管理是企业为确保员工和生产设施的安全，防范事故风险而采取的一系列组织、控制和监督措施的系统体系。建立有效的安全生产管理有助于减少事故发生的可能性，保障员工的生命安全和公司的可持续经营。从领导层责任、风险评估与控制、培训与意识提升、应急响应四个方面详细阐述安全生产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领导层责任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领导层在安全生产管理中扮演着决策和示范的重要角色。领导层责任的关键步骤包括：</w:t>
      </w:r>
    </w:p>
    <w:p>
      <w:pPr>
        <w:ind w:firstLine="560" w:firstLineChars="200"/>
        <w:rPr>
          <w:rFonts w:ascii="仿宋" w:eastAsia="仿宋" w:hAnsi="仿宋" w:cs="仿宋" w:hint="eastAsia"/>
          <w:sz w:val="28"/>
        </w:rPr>
        <w:sectPr>
          <w:headerReference w:type="default" r:id="rId86"/>
          <w:footerReference w:type="default" r:id="rId87"/>
          <w:type w:val="nextPage"/>
          <w:pgSz w:w="11906" w:h="16838"/>
          <w:pgMar w:top="1440" w:right="1800" w:bottom="1440" w:left="1800" w:header="851" w:footer="992" w:gutter="0"/>
          <w:pgNumType w:start="42"/>
          <w:cols w:num="1" w:space="425"/>
          <w:titlePg w:val="0"/>
          <w:docGrid w:type="lines" w:linePitch="312" w:charSpace="0"/>
        </w:sectPr>
      </w:pPr>
      <w:r>
        <w:rPr>
          <w:rFonts w:ascii="仿宋" w:eastAsia="仿宋" w:hAnsi="仿宋" w:cs="仿宋" w:hint="eastAsia"/>
          <w:sz w:val="28"/>
          <w:lang w:eastAsia="zh-CN"/>
        </w:rPr>
        <w:t>设定安全文化：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领导层要树立和推动企业的安全文化，确保安全意识融入到企业的价值观中。</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建立安全政策： 制定和发布明确的安全政策，明确每个员工对于安全的责任和义务。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资源投入： 提供足够的资源支持，包括经费、技术设备等，确保安全管理体系的正常运转。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领导示范： 领导层要积极参与安全活动，示范正确的安全行为，激发员工的安全意识。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风险评估与控制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风险评估与控制是安全生产管理中的关键环节，它确保企业对潜在危险的认知，并采取措施降低风险。关键的步骤包括：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危险识别： 对工作场所进行定期检查，识别潜在的危险源，包括设备、材料、工艺等。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 评估每个危险源的风险程度，确定可能的影响和概率。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制定控制措施： 根据评估结果，制定明确的控制措施，包括工程控制、行政控制、个体防护等。</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监测与改进： 监测控制措施的实施效果，根据实际情况及时调整和改进。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培训与意识提升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员工的安全意识和技能是安全生产的基石。培训与意识提升的关键步骤包括：</w:t>
      </w:r>
    </w:p>
    <w:p>
      <w:pPr>
        <w:ind w:firstLine="560" w:firstLineChars="200"/>
        <w:rPr>
          <w:rFonts w:ascii="仿宋" w:eastAsia="仿宋" w:hAnsi="仿宋" w:cs="仿宋" w:hint="eastAsia"/>
          <w:sz w:val="28"/>
        </w:rPr>
        <w:sectPr>
          <w:headerReference w:type="default" r:id="rId88"/>
          <w:footerReference w:type="default" r:id="rId89"/>
          <w:type w:val="nextPage"/>
          <w:pgSz w:w="11906" w:h="16838"/>
          <w:pgMar w:top="1440" w:right="1800" w:bottom="1440" w:left="1800" w:header="851" w:footer="992" w:gutter="0"/>
          <w:pgNumType w:start="43"/>
          <w:cols w:num="1" w:space="425"/>
          <w:titlePg w:val="0"/>
          <w:docGrid w:type="lines" w:linePitch="312" w:charSpace="0"/>
        </w:sectPr>
      </w:pPr>
      <w:r>
        <w:rPr>
          <w:rFonts w:ascii="仿宋" w:eastAsia="仿宋" w:hAnsi="仿宋" w:cs="仿宋" w:hint="eastAsia"/>
          <w:sz w:val="28"/>
          <w:lang w:eastAsia="zh-CN"/>
        </w:rPr>
        <w:t>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制定全面的安全培训计划，包括新员工培训、定期培训和特定任务培训。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意识提升： 通过内部通知、安全标识、定期演练等方式，提高员工对安全的关注度。</w:t>
      </w:r>
    </w:p>
    <w:p>
      <w:pPr>
        <w:ind w:firstLine="560" w:firstLineChars="200"/>
        <w:rPr>
          <w:rFonts w:ascii="仿宋" w:eastAsia="仿宋" w:hAnsi="仿宋" w:cs="仿宋" w:hint="eastAsia"/>
          <w:sz w:val="28"/>
        </w:rPr>
      </w:pPr>
      <w:r>
        <w:rPr>
          <w:rFonts w:ascii="仿宋" w:eastAsia="仿宋" w:hAnsi="仿宋" w:cs="仿宋" w:hint="eastAsia"/>
          <w:sz w:val="28"/>
          <w:lang w:eastAsia="zh-CN"/>
        </w:rPr>
        <w:t>技能培养： 不仅要提高员工对安全的认知，还要培养实际应对危险的技能，确保他们能够在危急时刻正确应对。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4. 应急响应</w:t>
      </w:r>
    </w:p>
    <w:p>
      <w:pPr>
        <w:ind w:firstLine="560" w:firstLineChars="200"/>
        <w:rPr>
          <w:rFonts w:ascii="仿宋" w:eastAsia="仿宋" w:hAnsi="仿宋" w:cs="仿宋" w:hint="eastAsia"/>
          <w:sz w:val="28"/>
        </w:rPr>
      </w:pPr>
      <w:r>
        <w:rPr>
          <w:rFonts w:ascii="仿宋" w:eastAsia="仿宋" w:hAnsi="仿宋" w:cs="仿宋" w:hint="eastAsia"/>
          <w:sz w:val="28"/>
          <w:lang w:eastAsia="zh-CN"/>
        </w:rPr>
        <w:t>事故难以完全避免，建立有效的应急响应机制是保障员工生命安全和减轻事故损失的关键。关键的步骤包括：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应急预案： 制定全面、详细的应急预案，包括各种可能的事故情景和应对措施。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演练与培训： 定期进行应急演练，培训员工对于突发事件的正确反应。</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设备准备： 确保应急设备齐全，并得到定期检查和维护，确保其在紧急情况下能够正常使用。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通过建立完善的安全生产管理体系，企业能够更好地防范事故风险，保障员工的安全，同时提高生产效率和可持续经营的能力。这种系统性的管理有助于企业建立良好的安全形象，提高在员工和社会中的信任度。</w:t>
      </w:r>
    </w:p>
    <w:p>
      <w:pPr>
        <w:pStyle w:val="Heading2"/>
        <w:ind w:firstLine="560" w:firstLineChars="200"/>
        <w:rPr>
          <w:rFonts w:ascii="仿宋" w:eastAsia="仿宋" w:hAnsi="仿宋" w:cs="仿宋" w:hint="eastAsia"/>
          <w:sz w:val="28"/>
          <w:lang w:eastAsia="zh-CN"/>
        </w:rPr>
      </w:pPr>
      <w:bookmarkStart w:id="36" w:name="_Toc15231"/>
      <w:r>
        <w:rPr>
          <w:rFonts w:ascii="仿宋" w:eastAsia="仿宋" w:hAnsi="仿宋" w:cs="仿宋" w:hint="eastAsia"/>
          <w:sz w:val="28"/>
          <w:lang w:eastAsia="zh-CN"/>
        </w:rPr>
        <w:t>(六)、环境管理</w:t>
      </w:r>
      <w:bookmarkEnd w:id="36"/>
    </w:p>
    <w:p>
      <w:pPr>
        <w:ind w:firstLine="560" w:firstLineChars="200"/>
        <w:rPr>
          <w:rFonts w:ascii="仿宋" w:eastAsia="仿宋" w:hAnsi="仿宋" w:cs="仿宋" w:hint="eastAsia"/>
          <w:sz w:val="28"/>
        </w:rPr>
        <w:sectPr>
          <w:headerReference w:type="default" r:id="rId90"/>
          <w:footerReference w:type="default" r:id="rId91"/>
          <w:type w:val="nextPage"/>
          <w:pgSz w:w="11906" w:h="16838"/>
          <w:pgMar w:top="1440" w:right="1800" w:bottom="1440" w:left="1800" w:header="851" w:footer="992" w:gutter="0"/>
          <w:pgNumType w:start="4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管理是指企业为了降低对环境的负面影响，推动可持续发展而采取的一系列组织、控制和监督措施的系统体系。建立有效的环境管理有助于企业实现经济、社会和环境的协调发展，符合可持续发展的理念。从法规遵从、环境影响评估、资源管理和改进与创新四个方面详细阐述环境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法规遵从</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合规是企业环境管理的首要任务，确保企业的运营活动符合国家和地区的环境法规。关键的步骤包括：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法规监测： 持续关注国家和地区的环境法规，了解并熟悉与企业相关的法规要求。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合规评估： 定期对企业的运营活动进行合规评估，确保其符合法规的要求。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法规培训： 对员工进行环境法规的培训，提高其对法规遵从的认知和理解。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环境影响评估是对企业活动对周围环境可能产生的影响进行全面评估的过程。关键的步骤包括：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评估范围确定： 确定评估的范围，包括涉及的业务、超细Γ-AL2O3微粉项目或产品。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 收集与评估范围相关的环境数据，包括能耗、废物排放、水资源利用等。</w:t>
      </w:r>
    </w:p>
    <w:p>
      <w:pPr>
        <w:ind w:firstLine="560" w:firstLineChars="200"/>
        <w:rPr>
          <w:rFonts w:ascii="仿宋" w:eastAsia="仿宋" w:hAnsi="仿宋" w:cs="仿宋" w:hint="eastAsia"/>
          <w:sz w:val="28"/>
        </w:rPr>
      </w:pPr>
      <w:r>
        <w:rPr>
          <w:rFonts w:ascii="仿宋" w:eastAsia="仿宋" w:hAnsi="仿宋" w:cs="仿宋" w:hint="eastAsia"/>
          <w:sz w:val="28"/>
          <w:lang w:eastAsia="zh-CN"/>
        </w:rPr>
        <w:t>影响评估： 评估企业活动对空气、水、土壤等环境要素可能产生的影响。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风险识别：</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2" w:history="1">
        <w:r>
          <w:rPr>
            <w:rFonts w:ascii="SimSun" w:eastAsia="SimSun" w:hAnsi="SimSun" w:cs="SimSun"/>
            <w:b/>
            <w:bCs/>
            <w:color w:val="0000EE"/>
            <w:kern w:val="0"/>
            <w:sz w:val="30"/>
            <w:szCs w:val="30"/>
            <w:u w:val="single" w:color="0000EE"/>
          </w:rPr>
          <w:t>https://d.book118.com/938107117016006047</w:t>
        </w:r>
      </w:hyperlink>
    </w:p>
    <w:p>
      <w:pPr>
        <w:ind w:firstLine="560" w:firstLineChars="200"/>
        <w:rPr>
          <w:rFonts w:ascii="仿宋" w:eastAsia="仿宋" w:hAnsi="仿宋" w:cs="仿宋" w:hint="eastAsia"/>
          <w:sz w:val="28"/>
        </w:rPr>
      </w:pPr>
    </w:p>
    <w:sectPr>
      <w:headerReference w:type="default" r:id="rId93"/>
      <w:footerReference w:type="default" r:id="rId94"/>
      <w:type w:val="nextPage"/>
      <w:pgSz w:w="11906" w:h="16838"/>
      <w:pgMar w:top="1440" w:right="1800" w:bottom="1440" w:left="1800" w:header="851" w:footer="992" w:gutter="0"/>
      <w:pgNumType w:start="4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超细Γ-AL2O3微粉项目情况报告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8F7D41"/>
    <w:rsid w:val="678F7D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footer" Target="foot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4.xml" /><Relationship Id="rId92" Type="http://schemas.openxmlformats.org/officeDocument/2006/relationships/hyperlink" Target="https://d.book118.com/938107117016006047" TargetMode="Externa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2024-01-22T01:27:00Z</dcterms:created>
  <dcterms:modified xsi:type="dcterms:W3CDTF">2024-01-22T01:27:35Z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BFD0E398E7714BC3825D09518A8A7950_11</vt:lpwstr>
  </property>
  <property fmtid="{D5CDD505-2E9C-101B-9397-08002B2CF9AE}" pid="3" name="KSOProductBuildVer">
    <vt:lpwstr>2052-12.1.0.16120</vt:lpwstr>
  </property>
</Properties>
</file>