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5"/>
        <w:ind w:left="0"/>
        <w:rPr>
          <w:rFonts w:ascii="Times New Roman"/>
          <w:sz w:val="27"/>
        </w:rPr>
      </w:pPr>
    </w:p>
    <w:p>
      <w:pPr>
        <w:spacing w:before="59"/>
        <w:ind w:left="3322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常州材料研发及制造工程</w:t>
      </w: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spacing w:before="11"/>
        <w:ind w:left="0"/>
        <w:rPr>
          <w:rFonts w:ascii="黑体"/>
          <w:b/>
          <w:sz w:val="36"/>
        </w:rPr>
      </w:pPr>
    </w:p>
    <w:p>
      <w:pPr>
        <w:spacing w:before="0"/>
        <w:ind w:left="491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spacing w:before="8"/>
        <w:ind w:left="0"/>
        <w:rPr>
          <w:rFonts w:ascii="黑体"/>
          <w:b/>
          <w:sz w:val="32"/>
        </w:rPr>
      </w:pPr>
    </w:p>
    <w:p>
      <w:pPr>
        <w:spacing w:before="0"/>
        <w:ind w:left="4045" w:right="4347" w:firstLine="0"/>
        <w:jc w:val="center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b/>
          <w:w w:val="95"/>
          <w:sz w:val="45"/>
        </w:rPr>
        <w:t>xxx</w:t>
      </w:r>
      <w:r>
        <w:rPr>
          <w:rFonts w:ascii="黑体" w:eastAsia="黑体" w:hint="eastAsia"/>
          <w:b/>
          <w:spacing w:val="-16"/>
          <w:w w:val="95"/>
          <w:sz w:val="45"/>
        </w:rPr>
        <w:t xml:space="preserve"> </w:t>
      </w:r>
    </w:p>
    <w:p>
      <w:pPr>
        <w:spacing w:after="0"/>
        <w:jc w:val="center"/>
        <w:rPr>
          <w:rFonts w:ascii="黑体" w:eastAsia="黑体" w:hint="eastAsia"/>
          <w:sz w:val="45"/>
        </w:rPr>
        <w:sectPr>
          <w:type w:val="continuous"/>
          <w:pgSz w:w="18360" w:h="23760"/>
          <w:pgMar w:top="2300" w:right="1220" w:bottom="280" w:left="1520" w:header="708" w:footer="708"/>
          <w:cols w:space="708"/>
        </w:sectPr>
      </w:pPr>
    </w:p>
    <w:p>
      <w:pPr>
        <w:pStyle w:val="BodyText"/>
        <w:spacing w:line="607" w:lineRule="exact"/>
        <w:ind w:left="4045" w:right="4348"/>
        <w:jc w:val="center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报告摘要说明</w:t>
      </w:r>
    </w:p>
    <w:p>
      <w:pPr>
        <w:pStyle w:val="BodyText"/>
        <w:spacing w:before="12"/>
        <w:ind w:left="0"/>
        <w:rPr>
          <w:rFonts w:ascii="幼圆"/>
          <w:sz w:val="34"/>
        </w:rPr>
      </w:pPr>
    </w:p>
    <w:p>
      <w:pPr>
        <w:spacing w:before="0" w:line="405" w:lineRule="auto"/>
        <w:ind w:left="280" w:right="708" w:firstLine="900"/>
        <w:jc w:val="left"/>
        <w:rPr>
          <w:sz w:val="45"/>
        </w:rPr>
      </w:pPr>
      <w:r>
        <w:rPr>
          <w:spacing w:val="-1"/>
          <w:sz w:val="45"/>
        </w:rPr>
        <w:t>2023</w:t>
      </w:r>
      <w:r>
        <w:rPr>
          <w:spacing w:val="-39"/>
          <w:sz w:val="45"/>
        </w:rPr>
        <w:t xml:space="preserve"> 年—</w:t>
      </w:r>
      <w:r>
        <w:rPr>
          <w:spacing w:val="-1"/>
          <w:sz w:val="45"/>
        </w:rPr>
        <w:t>2023</w:t>
      </w:r>
      <w:r>
        <w:rPr>
          <w:spacing w:val="-18"/>
          <w:sz w:val="45"/>
        </w:rPr>
        <w:t xml:space="preserve"> 年，在我国申请石墨领域的专利共 </w:t>
      </w:r>
      <w:r>
        <w:rPr>
          <w:sz w:val="45"/>
        </w:rPr>
        <w:t>15774</w:t>
      </w:r>
      <w:r>
        <w:rPr>
          <w:spacing w:val="-18"/>
          <w:sz w:val="45"/>
        </w:rPr>
        <w:t xml:space="preserve"> 件。作为石墨</w:t>
      </w:r>
      <w:r>
        <w:rPr>
          <w:sz w:val="45"/>
        </w:rPr>
        <w:t>资源大国和生产大国，在我国申请的石墨专利呈现逐年上升的趋势，特别</w:t>
      </w:r>
      <w:r>
        <w:rPr>
          <w:spacing w:val="-37"/>
          <w:sz w:val="45"/>
        </w:rPr>
        <w:t xml:space="preserve">是在 </w:t>
      </w:r>
      <w:r>
        <w:rPr>
          <w:spacing w:val="-1"/>
          <w:sz w:val="45"/>
        </w:rPr>
        <w:t>2023</w:t>
      </w:r>
      <w:r>
        <w:rPr>
          <w:spacing w:val="-12"/>
          <w:sz w:val="45"/>
        </w:rPr>
        <w:t xml:space="preserve"> 年之后，专利申请量实现了井喷式增长。在这些专利中，我国机</w:t>
      </w:r>
    </w:p>
    <w:p>
      <w:pPr>
        <w:spacing w:before="0" w:line="405" w:lineRule="auto"/>
        <w:ind w:left="280" w:right="126" w:firstLine="0"/>
        <w:jc w:val="left"/>
        <w:rPr>
          <w:sz w:val="45"/>
        </w:rPr>
      </w:pPr>
      <w:r>
        <w:rPr>
          <w:spacing w:val="-3"/>
          <w:sz w:val="45"/>
        </w:rPr>
        <w:t xml:space="preserve">构申请的专利共有 </w:t>
      </w:r>
      <w:r>
        <w:rPr>
          <w:sz w:val="45"/>
        </w:rPr>
        <w:t>14825</w:t>
      </w:r>
      <w:r>
        <w:rPr>
          <w:spacing w:val="-7"/>
          <w:sz w:val="45"/>
        </w:rPr>
        <w:t xml:space="preserve"> 件，世界其他国家在我国申请的专利共有 </w:t>
      </w:r>
      <w:r>
        <w:rPr>
          <w:sz w:val="45"/>
        </w:rPr>
        <w:t>949</w:t>
      </w:r>
      <w:r>
        <w:rPr>
          <w:spacing w:val="-10"/>
          <w:sz w:val="45"/>
        </w:rPr>
        <w:t xml:space="preserve"> 件。</w:t>
      </w:r>
      <w:r>
        <w:rPr>
          <w:spacing w:val="-7"/>
          <w:sz w:val="45"/>
        </w:rPr>
        <w:t xml:space="preserve">我国申请的专利占据主导地位，所占比例到达 </w:t>
      </w:r>
      <w:r>
        <w:rPr>
          <w:sz w:val="45"/>
        </w:rPr>
        <w:t>94</w:t>
      </w:r>
      <w:r>
        <w:rPr>
          <w:spacing w:val="-29"/>
          <w:sz w:val="45"/>
        </w:rPr>
        <w:t xml:space="preserve">%，较 </w:t>
      </w:r>
      <w:r>
        <w:rPr>
          <w:sz w:val="45"/>
        </w:rPr>
        <w:t>2023</w:t>
      </w:r>
      <w:r>
        <w:rPr>
          <w:spacing w:val="-39"/>
          <w:sz w:val="45"/>
        </w:rPr>
        <w:t xml:space="preserve"> 年提高了 </w:t>
      </w:r>
      <w:r>
        <w:rPr>
          <w:sz w:val="45"/>
        </w:rPr>
        <w:t>2</w:t>
      </w:r>
      <w:r>
        <w:rPr>
          <w:spacing w:val="-58"/>
          <w:sz w:val="45"/>
        </w:rPr>
        <w:t xml:space="preserve"> 个</w:t>
      </w:r>
    </w:p>
    <w:p>
      <w:pPr>
        <w:spacing w:before="0" w:line="573" w:lineRule="exact"/>
        <w:ind w:left="280" w:right="0" w:firstLine="0"/>
        <w:jc w:val="left"/>
        <w:rPr>
          <w:sz w:val="45"/>
        </w:rPr>
      </w:pPr>
      <w:r>
        <w:rPr>
          <w:w w:val="95"/>
          <w:sz w:val="45"/>
        </w:rPr>
        <w:t>百分点。国外在华专利申请仅占</w:t>
      </w:r>
      <w:r>
        <w:rPr>
          <w:spacing w:val="246"/>
          <w:sz w:val="45"/>
        </w:rPr>
        <w:t xml:space="preserve"> </w:t>
      </w:r>
      <w:r>
        <w:rPr>
          <w:w w:val="95"/>
          <w:sz w:val="45"/>
        </w:rPr>
        <w:t>6%。</w:t>
      </w:r>
    </w:p>
    <w:p>
      <w:pPr>
        <w:spacing w:before="392" w:line="405" w:lineRule="auto"/>
        <w:ind w:left="280" w:right="937" w:firstLine="900"/>
        <w:jc w:val="both"/>
        <w:rPr>
          <w:sz w:val="45"/>
        </w:rPr>
      </w:pPr>
      <w:r>
        <w:rPr>
          <w:spacing w:val="-1"/>
          <w:sz w:val="45"/>
        </w:rPr>
        <w:t>石墨是中国少有的具有国际竞争优势的矿产之一，在锂电池、军工、节能环保领域用途宽阔。为转变当前中国石墨产业低端化，资源铺张严峻的现状，中国建材、中国宝安等公司通过投资深加工产业链，开头了行业整合。此外，受能源、材料需求的影响，石墨的子行业石墨烯和人造金刚石等也将迎来的进展机遇，黄河旋风、豫金刚石、方大碳素等最具</w:t>
      </w:r>
      <w:r>
        <w:rPr>
          <w:sz w:val="45"/>
        </w:rPr>
        <w:t>代表性的企业将迎来进展良机。</w:t>
      </w:r>
    </w:p>
    <w:p>
      <w:pPr>
        <w:pStyle w:val="BodyText"/>
        <w:spacing w:line="579" w:lineRule="exact"/>
        <w:ind w:left="1180"/>
        <w:jc w:val="both"/>
      </w:pPr>
      <w:r>
        <w:rPr>
          <w:spacing w:val="18"/>
          <w:w w:val="95"/>
        </w:rPr>
        <w:t xml:space="preserve">该石墨件工程打算总投资 </w:t>
      </w:r>
      <w:r>
        <w:rPr>
          <w:w w:val="95"/>
        </w:rPr>
        <w:t>11691.10</w:t>
      </w:r>
      <w:r>
        <w:rPr>
          <w:spacing w:val="12"/>
          <w:w w:val="95"/>
        </w:rPr>
        <w:t xml:space="preserve"> 万元，其中：固定资产投资</w:t>
      </w:r>
    </w:p>
    <w:p>
      <w:pPr>
        <w:pStyle w:val="BodyText"/>
        <w:spacing w:before="425" w:line="405" w:lineRule="auto"/>
        <w:ind w:right="697"/>
        <w:jc w:val="both"/>
      </w:pPr>
      <w:r>
        <w:rPr>
          <w:w w:val="95"/>
        </w:rPr>
        <w:t>10305.56</w:t>
      </w:r>
      <w:r>
        <w:rPr>
          <w:spacing w:val="7"/>
          <w:w w:val="95"/>
        </w:rPr>
        <w:t xml:space="preserve"> 万元，占工程总投资的 </w:t>
      </w:r>
      <w:r>
        <w:rPr>
          <w:w w:val="95"/>
        </w:rPr>
        <w:t>88.15</w:t>
      </w:r>
      <w:r>
        <w:rPr>
          <w:spacing w:val="7"/>
          <w:w w:val="95"/>
        </w:rPr>
        <w:t xml:space="preserve">%；流淌资金 </w:t>
      </w:r>
      <w:r>
        <w:rPr>
          <w:w w:val="95"/>
        </w:rPr>
        <w:t>1385.54</w:t>
      </w:r>
      <w:r>
        <w:rPr>
          <w:spacing w:val="9"/>
          <w:w w:val="95"/>
        </w:rPr>
        <w:t xml:space="preserve"> 万元，占</w:t>
      </w:r>
      <w:r>
        <w:rPr>
          <w:spacing w:val="-14"/>
          <w:w w:val="95"/>
        </w:rPr>
        <w:t xml:space="preserve">工程总投资的 </w:t>
      </w:r>
      <w:r>
        <w:rPr>
          <w:w w:val="95"/>
        </w:rPr>
        <w:t>11.85%。</w:t>
      </w:r>
    </w:p>
    <w:p>
      <w:pPr>
        <w:pStyle w:val="BodyText"/>
        <w:spacing w:line="611" w:lineRule="exact"/>
        <w:ind w:left="1180"/>
        <w:jc w:val="both"/>
      </w:pPr>
      <w:r>
        <w:rPr>
          <w:spacing w:val="5"/>
          <w:w w:val="95"/>
        </w:rPr>
        <w:t xml:space="preserve">本期工程达产年营业收入 </w:t>
      </w:r>
      <w:r>
        <w:rPr>
          <w:w w:val="95"/>
        </w:rPr>
        <w:t>11915.00</w:t>
      </w:r>
      <w:r>
        <w:rPr>
          <w:spacing w:val="10"/>
          <w:w w:val="95"/>
        </w:rPr>
        <w:t xml:space="preserve"> 万元，总本钱费用 </w:t>
      </w:r>
      <w:r>
        <w:rPr>
          <w:w w:val="95"/>
        </w:rPr>
        <w:t>9179.17</w:t>
      </w:r>
      <w:r>
        <w:rPr>
          <w:spacing w:val="19"/>
          <w:w w:val="95"/>
        </w:rPr>
        <w:t xml:space="preserve"> 万</w:t>
      </w:r>
    </w:p>
    <w:p>
      <w:pPr>
        <w:pStyle w:val="BodyText"/>
        <w:spacing w:before="422"/>
        <w:jc w:val="both"/>
      </w:pPr>
      <w:r>
        <w:rPr>
          <w:spacing w:val="7"/>
          <w:w w:val="95"/>
        </w:rPr>
        <w:t xml:space="preserve">元，税金及附加 </w:t>
      </w:r>
      <w:r>
        <w:rPr>
          <w:w w:val="95"/>
        </w:rPr>
        <w:t>194.40</w:t>
      </w:r>
      <w:r>
        <w:rPr>
          <w:spacing w:val="11"/>
          <w:w w:val="95"/>
        </w:rPr>
        <w:t xml:space="preserve"> 万元，利润总额 </w:t>
      </w:r>
      <w:r>
        <w:rPr>
          <w:w w:val="95"/>
        </w:rPr>
        <w:t>2735.83</w:t>
      </w:r>
      <w:r>
        <w:rPr>
          <w:spacing w:val="3"/>
          <w:w w:val="95"/>
        </w:rPr>
        <w:t xml:space="preserve"> 万元，利税总额</w:t>
      </w:r>
    </w:p>
    <w:p>
      <w:pPr>
        <w:pStyle w:val="BodyText"/>
        <w:spacing w:before="422"/>
        <w:jc w:val="both"/>
      </w:pPr>
      <w:r>
        <w:rPr>
          <w:w w:val="95"/>
        </w:rPr>
        <w:t>3307.59</w:t>
      </w:r>
      <w:r>
        <w:rPr>
          <w:spacing w:val="-7"/>
          <w:w w:val="95"/>
        </w:rPr>
        <w:t xml:space="preserve"> 万元，税后净利润 </w:t>
      </w:r>
      <w:r>
        <w:rPr>
          <w:w w:val="95"/>
        </w:rPr>
        <w:t>2051.87</w:t>
      </w:r>
      <w:r>
        <w:rPr>
          <w:spacing w:val="-7"/>
          <w:w w:val="95"/>
        </w:rPr>
        <w:t xml:space="preserve"> 万元，达产年纳税总额 </w:t>
      </w:r>
      <w:r>
        <w:rPr>
          <w:w w:val="95"/>
        </w:rPr>
        <w:t>1255.72</w:t>
      </w:r>
      <w:r>
        <w:rPr>
          <w:spacing w:val="-15"/>
          <w:w w:val="95"/>
        </w:rPr>
        <w:t xml:space="preserve"> 万</w:t>
      </w:r>
    </w:p>
    <w:p>
      <w:pPr>
        <w:spacing w:after="0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https://d.book118.com/938126077102006023</w:t>
        </w:r>
      </w:hyperlink>
    </w:p>
    <w:p>
      <w:pPr>
        <w:spacing w:after="0"/>
        <w:jc w:val="both"/>
      </w:pPr>
    </w:p>
    <w:sectPr>
      <w:pgSz w:w="18360" w:h="23760"/>
      <w:pgMar w:top="2300" w:right="122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958F3"/>
    <w:multiLevelType w:val="hybridMultilevel"/>
    <w:tmpl w:val="00000000"/>
    <w:lvl w:ilvl="0">
      <w:start w:val="0"/>
      <w:numFmt w:val="bullet"/>
      <w:lvlText w:val="•"/>
      <w:lvlJc w:val="left"/>
      <w:pPr>
        <w:ind w:left="763" w:hanging="484"/>
      </w:pPr>
      <w:rPr>
        <w:rFonts w:ascii="微软雅黑" w:eastAsia="微软雅黑" w:hAnsi="微软雅黑" w:cs="微软雅黑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246" w:hanging="4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2" w:hanging="4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8" w:hanging="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4" w:hanging="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0" w:hanging="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6" w:hanging="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2" w:hanging="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8" w:hanging="4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80"/>
    </w:pPr>
    <w:rPr>
      <w:rFonts w:ascii="仿宋" w:eastAsia="仿宋" w:hAnsi="仿宋" w:cs="仿宋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44"/>
      <w:ind w:left="763" w:hanging="484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38126077102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2023-10-13T10:33:20Z</dcterms:created>
  <dcterms:modified xsi:type="dcterms:W3CDTF">2023-10-13T10:33:20Z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2023-02-17T00:00:00Z</vt:filetime>
  </property>
  <property fmtid="{D5CDD505-2E9C-101B-9397-08002B2CF9AE}" pid="3" name="LastSaved">
    <vt:filetime>2023-10-13T00:00:00Z</vt:filetime>
  </property>
</Properties>
</file>