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超纯水和超纯溶剂的制备设备项目规划设计纲要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58" w:history="1">
        <w:r>
          <w:rPr>
            <w:rFonts w:ascii="仿宋" w:eastAsia="仿宋" w:hAnsi="仿宋" w:cs="仿宋" w:hint="eastAsia"/>
            <w:lang w:eastAsia="zh-CN"/>
          </w:rPr>
          <w:t>前言</w:t>
        </w:r>
        <w:r>
          <w:tab/>
        </w:r>
        <w:r>
          <w:fldChar w:fldCharType="begin"/>
        </w:r>
        <w:r>
          <w:instrText xml:space="preserve"> PAGEREF _Toc1758 \h </w:instrText>
        </w:r>
        <w:r>
          <w:fldChar w:fldCharType="separate"/>
        </w:r>
        <w:r>
          <w:t>3</w:t>
        </w:r>
        <w:r>
          <w:fldChar w:fldCharType="end"/>
        </w:r>
      </w:hyperlink>
    </w:p>
    <w:p>
      <w:pPr>
        <w:pStyle w:val="TOC1"/>
        <w:tabs>
          <w:tab w:val="right" w:leader="dot" w:pos="8306"/>
        </w:tabs>
      </w:pPr>
      <w:hyperlink w:anchor="_Toc25649" w:history="1">
        <w:r>
          <w:rPr>
            <w:rFonts w:ascii="仿宋" w:eastAsia="仿宋" w:hAnsi="仿宋" w:cs="仿宋" w:hint="eastAsia"/>
            <w:lang w:eastAsia="zh-CN"/>
          </w:rPr>
          <w:t>一、超纯水和超纯溶剂的制备设备项目可持续发展</w:t>
        </w:r>
        <w:r>
          <w:tab/>
        </w:r>
        <w:r>
          <w:fldChar w:fldCharType="begin"/>
        </w:r>
        <w:r>
          <w:instrText xml:space="preserve"> PAGEREF _Toc25649 \h </w:instrText>
        </w:r>
        <w:r>
          <w:fldChar w:fldCharType="separate"/>
        </w:r>
        <w:r>
          <w:t>3</w:t>
        </w:r>
        <w:r>
          <w:fldChar w:fldCharType="end"/>
        </w:r>
      </w:hyperlink>
    </w:p>
    <w:p>
      <w:pPr>
        <w:pStyle w:val="TOC2"/>
        <w:tabs>
          <w:tab w:val="right" w:leader="dot" w:pos="8306"/>
        </w:tabs>
      </w:pPr>
      <w:hyperlink w:anchor="_Toc12241" w:history="1">
        <w:r>
          <w:rPr>
            <w:rFonts w:ascii="仿宋" w:eastAsia="仿宋" w:hAnsi="仿宋" w:cs="仿宋" w:hint="eastAsia"/>
            <w:lang w:eastAsia="zh-CN"/>
          </w:rPr>
          <w:t>(一)、可持续战略与实践</w:t>
        </w:r>
        <w:r>
          <w:tab/>
        </w:r>
        <w:r>
          <w:fldChar w:fldCharType="begin"/>
        </w:r>
        <w:r>
          <w:instrText xml:space="preserve"> PAGEREF _Toc12241 \h </w:instrText>
        </w:r>
        <w:r>
          <w:fldChar w:fldCharType="separate"/>
        </w:r>
        <w:r>
          <w:t>3</w:t>
        </w:r>
        <w:r>
          <w:fldChar w:fldCharType="end"/>
        </w:r>
      </w:hyperlink>
    </w:p>
    <w:p>
      <w:pPr>
        <w:pStyle w:val="TOC2"/>
        <w:tabs>
          <w:tab w:val="right" w:leader="dot" w:pos="8306"/>
        </w:tabs>
      </w:pPr>
      <w:hyperlink w:anchor="_Toc27991" w:history="1">
        <w:r>
          <w:rPr>
            <w:rFonts w:ascii="仿宋" w:eastAsia="仿宋" w:hAnsi="仿宋" w:cs="仿宋" w:hint="eastAsia"/>
            <w:lang w:eastAsia="zh-CN"/>
          </w:rPr>
          <w:t>(二)、环保与社会责任</w:t>
        </w:r>
        <w:r>
          <w:tab/>
        </w:r>
        <w:r>
          <w:fldChar w:fldCharType="begin"/>
        </w:r>
        <w:r>
          <w:instrText xml:space="preserve"> PAGEREF _Toc27991 \h </w:instrText>
        </w:r>
        <w:r>
          <w:fldChar w:fldCharType="separate"/>
        </w:r>
        <w:r>
          <w:t>4</w:t>
        </w:r>
        <w:r>
          <w:fldChar w:fldCharType="end"/>
        </w:r>
      </w:hyperlink>
    </w:p>
    <w:p>
      <w:pPr>
        <w:pStyle w:val="TOC1"/>
        <w:tabs>
          <w:tab w:val="right" w:leader="dot" w:pos="8306"/>
        </w:tabs>
      </w:pPr>
      <w:hyperlink w:anchor="_Toc12807" w:history="1">
        <w:r>
          <w:rPr>
            <w:rFonts w:ascii="仿宋" w:eastAsia="仿宋" w:hAnsi="仿宋" w:cs="仿宋" w:hint="eastAsia"/>
            <w:lang w:eastAsia="zh-CN"/>
          </w:rPr>
          <w:t>二、超纯水和超纯溶剂的制备设备项目危机管理</w:t>
        </w:r>
        <w:r>
          <w:tab/>
        </w:r>
        <w:r>
          <w:fldChar w:fldCharType="begin"/>
        </w:r>
        <w:r>
          <w:instrText xml:space="preserve"> PAGEREF _Toc12807 \h </w:instrText>
        </w:r>
        <w:r>
          <w:fldChar w:fldCharType="separate"/>
        </w:r>
        <w:r>
          <w:t>5</w:t>
        </w:r>
        <w:r>
          <w:fldChar w:fldCharType="end"/>
        </w:r>
      </w:hyperlink>
    </w:p>
    <w:p>
      <w:pPr>
        <w:pStyle w:val="TOC2"/>
        <w:tabs>
          <w:tab w:val="right" w:leader="dot" w:pos="8306"/>
        </w:tabs>
      </w:pPr>
      <w:hyperlink w:anchor="_Toc4321" w:history="1">
        <w:r>
          <w:rPr>
            <w:rFonts w:ascii="仿宋" w:eastAsia="仿宋" w:hAnsi="仿宋" w:cs="仿宋" w:hint="eastAsia"/>
            <w:lang w:eastAsia="zh-CN"/>
          </w:rPr>
          <w:t>(一)、危机预警与识别</w:t>
        </w:r>
        <w:r>
          <w:tab/>
        </w:r>
        <w:r>
          <w:fldChar w:fldCharType="begin"/>
        </w:r>
        <w:r>
          <w:instrText xml:space="preserve"> PAGEREF _Toc4321 \h </w:instrText>
        </w:r>
        <w:r>
          <w:fldChar w:fldCharType="separate"/>
        </w:r>
        <w:r>
          <w:t>5</w:t>
        </w:r>
        <w:r>
          <w:fldChar w:fldCharType="end"/>
        </w:r>
      </w:hyperlink>
    </w:p>
    <w:p>
      <w:pPr>
        <w:pStyle w:val="TOC2"/>
        <w:tabs>
          <w:tab w:val="right" w:leader="dot" w:pos="8306"/>
        </w:tabs>
      </w:pPr>
      <w:hyperlink w:anchor="_Toc16255" w:history="1">
        <w:r>
          <w:rPr>
            <w:rFonts w:ascii="仿宋" w:eastAsia="仿宋" w:hAnsi="仿宋" w:cs="仿宋" w:hint="eastAsia"/>
            <w:lang w:eastAsia="zh-CN"/>
          </w:rPr>
          <w:t>(二)、危机应对与恢复</w:t>
        </w:r>
        <w:r>
          <w:tab/>
        </w:r>
        <w:r>
          <w:fldChar w:fldCharType="begin"/>
        </w:r>
        <w:r>
          <w:instrText xml:space="preserve"> PAGEREF _Toc16255 \h </w:instrText>
        </w:r>
        <w:r>
          <w:fldChar w:fldCharType="separate"/>
        </w:r>
        <w:r>
          <w:t>6</w:t>
        </w:r>
        <w:r>
          <w:fldChar w:fldCharType="end"/>
        </w:r>
      </w:hyperlink>
    </w:p>
    <w:p>
      <w:pPr>
        <w:pStyle w:val="TOC1"/>
        <w:tabs>
          <w:tab w:val="right" w:leader="dot" w:pos="8306"/>
        </w:tabs>
      </w:pPr>
      <w:hyperlink w:anchor="_Toc7248" w:history="1">
        <w:r>
          <w:rPr>
            <w:rFonts w:ascii="仿宋" w:eastAsia="仿宋" w:hAnsi="仿宋" w:cs="仿宋" w:hint="eastAsia"/>
            <w:lang w:eastAsia="zh-CN"/>
          </w:rPr>
          <w:t>三、工艺说明</w:t>
        </w:r>
        <w:r>
          <w:tab/>
        </w:r>
        <w:r>
          <w:fldChar w:fldCharType="begin"/>
        </w:r>
        <w:r>
          <w:instrText xml:space="preserve"> PAGEREF _Toc7248 \h </w:instrText>
        </w:r>
        <w:r>
          <w:fldChar w:fldCharType="separate"/>
        </w:r>
        <w:r>
          <w:t>8</w:t>
        </w:r>
        <w:r>
          <w:fldChar w:fldCharType="end"/>
        </w:r>
      </w:hyperlink>
    </w:p>
    <w:p>
      <w:pPr>
        <w:pStyle w:val="TOC2"/>
        <w:tabs>
          <w:tab w:val="right" w:leader="dot" w:pos="8306"/>
        </w:tabs>
      </w:pPr>
      <w:hyperlink w:anchor="_Toc11600" w:history="1">
        <w:r>
          <w:rPr>
            <w:rFonts w:ascii="仿宋" w:eastAsia="仿宋" w:hAnsi="仿宋" w:cs="仿宋" w:hint="eastAsia"/>
            <w:lang w:eastAsia="zh-CN"/>
          </w:rPr>
          <w:t>(一)、技术管理特点</w:t>
        </w:r>
        <w:r>
          <w:tab/>
        </w:r>
        <w:r>
          <w:fldChar w:fldCharType="begin"/>
        </w:r>
        <w:r>
          <w:instrText xml:space="preserve"> PAGEREF _Toc11600 \h </w:instrText>
        </w:r>
        <w:r>
          <w:fldChar w:fldCharType="separate"/>
        </w:r>
        <w:r>
          <w:t>8</w:t>
        </w:r>
        <w:r>
          <w:fldChar w:fldCharType="end"/>
        </w:r>
      </w:hyperlink>
    </w:p>
    <w:p>
      <w:pPr>
        <w:pStyle w:val="TOC2"/>
        <w:tabs>
          <w:tab w:val="right" w:leader="dot" w:pos="8306"/>
        </w:tabs>
      </w:pPr>
      <w:hyperlink w:anchor="_Toc8102" w:history="1">
        <w:r>
          <w:rPr>
            <w:rFonts w:ascii="仿宋" w:eastAsia="仿宋" w:hAnsi="仿宋" w:cs="仿宋" w:hint="eastAsia"/>
            <w:lang w:eastAsia="zh-CN"/>
          </w:rPr>
          <w:t>(二)、超纯水和超纯溶剂的制备设备项目工艺技术设计方案</w:t>
        </w:r>
        <w:r>
          <w:tab/>
        </w:r>
        <w:r>
          <w:fldChar w:fldCharType="begin"/>
        </w:r>
        <w:r>
          <w:instrText xml:space="preserve"> PAGEREF _Toc8102 \h </w:instrText>
        </w:r>
        <w:r>
          <w:fldChar w:fldCharType="separate"/>
        </w:r>
        <w:r>
          <w:t>9</w:t>
        </w:r>
        <w:r>
          <w:fldChar w:fldCharType="end"/>
        </w:r>
      </w:hyperlink>
    </w:p>
    <w:p>
      <w:pPr>
        <w:pStyle w:val="TOC2"/>
        <w:tabs>
          <w:tab w:val="right" w:leader="dot" w:pos="8306"/>
        </w:tabs>
      </w:pPr>
      <w:hyperlink w:anchor="_Toc17808" w:history="1">
        <w:r>
          <w:rPr>
            <w:rFonts w:ascii="仿宋" w:eastAsia="仿宋" w:hAnsi="仿宋" w:cs="仿宋" w:hint="eastAsia"/>
            <w:lang w:eastAsia="zh-CN"/>
          </w:rPr>
          <w:t>(三)、设备选型方案</w:t>
        </w:r>
        <w:r>
          <w:tab/>
        </w:r>
        <w:r>
          <w:fldChar w:fldCharType="begin"/>
        </w:r>
        <w:r>
          <w:instrText xml:space="preserve"> PAGEREF _Toc17808 \h </w:instrText>
        </w:r>
        <w:r>
          <w:fldChar w:fldCharType="separate"/>
        </w:r>
        <w:r>
          <w:t>10</w:t>
        </w:r>
        <w:r>
          <w:fldChar w:fldCharType="end"/>
        </w:r>
      </w:hyperlink>
    </w:p>
    <w:p>
      <w:pPr>
        <w:pStyle w:val="TOC1"/>
        <w:tabs>
          <w:tab w:val="right" w:leader="dot" w:pos="8306"/>
        </w:tabs>
      </w:pPr>
      <w:hyperlink w:anchor="_Toc22078" w:history="1">
        <w:r>
          <w:rPr>
            <w:rFonts w:ascii="仿宋" w:eastAsia="仿宋" w:hAnsi="仿宋" w:cs="仿宋" w:hint="eastAsia"/>
            <w:lang w:eastAsia="zh-CN"/>
          </w:rPr>
          <w:t>四、超纯水和超纯溶剂的制备设备项目选址可行性分析</w:t>
        </w:r>
        <w:r>
          <w:tab/>
        </w:r>
        <w:r>
          <w:fldChar w:fldCharType="begin"/>
        </w:r>
        <w:r>
          <w:instrText xml:space="preserve"> PAGEREF _Toc22078 \h </w:instrText>
        </w:r>
        <w:r>
          <w:fldChar w:fldCharType="separate"/>
        </w:r>
        <w:r>
          <w:t>12</w:t>
        </w:r>
        <w:r>
          <w:fldChar w:fldCharType="end"/>
        </w:r>
      </w:hyperlink>
    </w:p>
    <w:p>
      <w:pPr>
        <w:pStyle w:val="TOC2"/>
        <w:tabs>
          <w:tab w:val="right" w:leader="dot" w:pos="8306"/>
        </w:tabs>
      </w:pPr>
      <w:hyperlink w:anchor="_Toc29029" w:history="1">
        <w:r>
          <w:rPr>
            <w:rFonts w:ascii="仿宋" w:eastAsia="仿宋" w:hAnsi="仿宋" w:cs="仿宋" w:hint="eastAsia"/>
            <w:lang w:eastAsia="zh-CN"/>
          </w:rPr>
          <w:t>(一)、超纯水和超纯溶剂的制备设备项目选址</w:t>
        </w:r>
        <w:r>
          <w:tab/>
        </w:r>
        <w:r>
          <w:fldChar w:fldCharType="begin"/>
        </w:r>
        <w:r>
          <w:instrText xml:space="preserve"> PAGEREF _Toc29029 \h </w:instrText>
        </w:r>
        <w:r>
          <w:fldChar w:fldCharType="separate"/>
        </w:r>
        <w:r>
          <w:t>12</w:t>
        </w:r>
        <w:r>
          <w:fldChar w:fldCharType="end"/>
        </w:r>
      </w:hyperlink>
    </w:p>
    <w:p>
      <w:pPr>
        <w:pStyle w:val="TOC2"/>
        <w:tabs>
          <w:tab w:val="right" w:leader="dot" w:pos="8306"/>
        </w:tabs>
      </w:pPr>
      <w:hyperlink w:anchor="_Toc31500" w:history="1">
        <w:r>
          <w:rPr>
            <w:rFonts w:ascii="仿宋" w:eastAsia="仿宋" w:hAnsi="仿宋" w:cs="仿宋" w:hint="eastAsia"/>
            <w:lang w:eastAsia="zh-CN"/>
          </w:rPr>
          <w:t>(二)、用地控制指标</w:t>
        </w:r>
        <w:r>
          <w:tab/>
        </w:r>
        <w:r>
          <w:fldChar w:fldCharType="begin"/>
        </w:r>
        <w:r>
          <w:instrText xml:space="preserve"> PAGEREF _Toc31500 \h </w:instrText>
        </w:r>
        <w:r>
          <w:fldChar w:fldCharType="separate"/>
        </w:r>
        <w:r>
          <w:t>12</w:t>
        </w:r>
        <w:r>
          <w:fldChar w:fldCharType="end"/>
        </w:r>
      </w:hyperlink>
    </w:p>
    <w:p>
      <w:pPr>
        <w:pStyle w:val="TOC2"/>
        <w:tabs>
          <w:tab w:val="right" w:leader="dot" w:pos="8306"/>
        </w:tabs>
      </w:pPr>
      <w:hyperlink w:anchor="_Toc17583" w:history="1">
        <w:r>
          <w:rPr>
            <w:rFonts w:ascii="仿宋" w:eastAsia="仿宋" w:hAnsi="仿宋" w:cs="仿宋" w:hint="eastAsia"/>
            <w:lang w:eastAsia="zh-CN"/>
          </w:rPr>
          <w:t>(三)、节约用地措施</w:t>
        </w:r>
        <w:r>
          <w:tab/>
        </w:r>
        <w:r>
          <w:fldChar w:fldCharType="begin"/>
        </w:r>
        <w:r>
          <w:instrText xml:space="preserve"> PAGEREF _Toc17583 \h </w:instrText>
        </w:r>
        <w:r>
          <w:fldChar w:fldCharType="separate"/>
        </w:r>
        <w:r>
          <w:t>14</w:t>
        </w:r>
        <w:r>
          <w:fldChar w:fldCharType="end"/>
        </w:r>
      </w:hyperlink>
    </w:p>
    <w:p>
      <w:pPr>
        <w:pStyle w:val="TOC2"/>
        <w:tabs>
          <w:tab w:val="right" w:leader="dot" w:pos="8306"/>
        </w:tabs>
      </w:pPr>
      <w:hyperlink w:anchor="_Toc3119" w:history="1">
        <w:r>
          <w:rPr>
            <w:rFonts w:ascii="仿宋" w:eastAsia="仿宋" w:hAnsi="仿宋" w:cs="仿宋" w:hint="eastAsia"/>
            <w:lang w:eastAsia="zh-CN"/>
          </w:rPr>
          <w:t>(四)、总图布置方案</w:t>
        </w:r>
        <w:r>
          <w:tab/>
        </w:r>
        <w:r>
          <w:fldChar w:fldCharType="begin"/>
        </w:r>
        <w:r>
          <w:instrText xml:space="preserve"> PAGEREF _Toc3119 \h </w:instrText>
        </w:r>
        <w:r>
          <w:fldChar w:fldCharType="separate"/>
        </w:r>
        <w:r>
          <w:t>15</w:t>
        </w:r>
        <w:r>
          <w:fldChar w:fldCharType="end"/>
        </w:r>
      </w:hyperlink>
    </w:p>
    <w:p>
      <w:pPr>
        <w:pStyle w:val="TOC2"/>
        <w:tabs>
          <w:tab w:val="right" w:leader="dot" w:pos="8306"/>
        </w:tabs>
      </w:pPr>
      <w:hyperlink w:anchor="_Toc32745" w:history="1">
        <w:r>
          <w:rPr>
            <w:rFonts w:ascii="仿宋" w:eastAsia="仿宋" w:hAnsi="仿宋" w:cs="仿宋" w:hint="eastAsia"/>
            <w:lang w:eastAsia="zh-CN"/>
          </w:rPr>
          <w:t>(五)、选址综合评价</w:t>
        </w:r>
        <w:r>
          <w:tab/>
        </w:r>
        <w:r>
          <w:fldChar w:fldCharType="begin"/>
        </w:r>
        <w:r>
          <w:instrText xml:space="preserve"> PAGEREF _Toc32745 \h </w:instrText>
        </w:r>
        <w:r>
          <w:fldChar w:fldCharType="separate"/>
        </w:r>
        <w:r>
          <w:t>16</w:t>
        </w:r>
        <w:r>
          <w:fldChar w:fldCharType="end"/>
        </w:r>
      </w:hyperlink>
    </w:p>
    <w:p>
      <w:pPr>
        <w:pStyle w:val="TOC1"/>
        <w:tabs>
          <w:tab w:val="right" w:leader="dot" w:pos="8306"/>
        </w:tabs>
      </w:pPr>
      <w:hyperlink w:anchor="_Toc24506" w:history="1">
        <w:r>
          <w:rPr>
            <w:rFonts w:ascii="仿宋" w:eastAsia="仿宋" w:hAnsi="仿宋" w:cs="仿宋" w:hint="eastAsia"/>
            <w:lang w:eastAsia="zh-CN"/>
          </w:rPr>
          <w:t>五、超纯水和超纯溶剂的制备设备项目文档管理</w:t>
        </w:r>
        <w:r>
          <w:tab/>
        </w:r>
        <w:r>
          <w:fldChar w:fldCharType="begin"/>
        </w:r>
        <w:r>
          <w:instrText xml:space="preserve"> PAGEREF _Toc24506 \h </w:instrText>
        </w:r>
        <w:r>
          <w:fldChar w:fldCharType="separate"/>
        </w:r>
        <w:r>
          <w:t>18</w:t>
        </w:r>
        <w:r>
          <w:fldChar w:fldCharType="end"/>
        </w:r>
      </w:hyperlink>
    </w:p>
    <w:p>
      <w:pPr>
        <w:pStyle w:val="TOC2"/>
        <w:tabs>
          <w:tab w:val="right" w:leader="dot" w:pos="8306"/>
        </w:tabs>
      </w:pPr>
      <w:hyperlink w:anchor="_Toc568" w:history="1">
        <w:r>
          <w:rPr>
            <w:rFonts w:ascii="仿宋" w:eastAsia="仿宋" w:hAnsi="仿宋" w:cs="仿宋" w:hint="eastAsia"/>
            <w:lang w:eastAsia="zh-CN"/>
          </w:rPr>
          <w:t>(一)、文档编制与审查</w:t>
        </w:r>
        <w:r>
          <w:tab/>
        </w:r>
        <w:r>
          <w:fldChar w:fldCharType="begin"/>
        </w:r>
        <w:r>
          <w:instrText xml:space="preserve"> PAGEREF _Toc568 \h </w:instrText>
        </w:r>
        <w:r>
          <w:fldChar w:fldCharType="separate"/>
        </w:r>
        <w:r>
          <w:t>18</w:t>
        </w:r>
        <w:r>
          <w:fldChar w:fldCharType="end"/>
        </w:r>
      </w:hyperlink>
    </w:p>
    <w:p>
      <w:pPr>
        <w:pStyle w:val="TOC2"/>
        <w:tabs>
          <w:tab w:val="right" w:leader="dot" w:pos="8306"/>
        </w:tabs>
      </w:pPr>
      <w:hyperlink w:anchor="_Toc15390" w:history="1">
        <w:r>
          <w:rPr>
            <w:rFonts w:ascii="仿宋" w:eastAsia="仿宋" w:hAnsi="仿宋" w:cs="仿宋" w:hint="eastAsia"/>
            <w:lang w:eastAsia="zh-CN"/>
          </w:rPr>
          <w:t>(二)、文档发布与分发</w:t>
        </w:r>
        <w:r>
          <w:tab/>
        </w:r>
        <w:r>
          <w:fldChar w:fldCharType="begin"/>
        </w:r>
        <w:r>
          <w:instrText xml:space="preserve"> PAGEREF _Toc15390 \h </w:instrText>
        </w:r>
        <w:r>
          <w:fldChar w:fldCharType="separate"/>
        </w:r>
        <w:r>
          <w:t>19</w:t>
        </w:r>
        <w:r>
          <w:fldChar w:fldCharType="end"/>
        </w:r>
      </w:hyperlink>
    </w:p>
    <w:p>
      <w:pPr>
        <w:pStyle w:val="TOC2"/>
        <w:tabs>
          <w:tab w:val="right" w:leader="dot" w:pos="8306"/>
        </w:tabs>
      </w:pPr>
      <w:hyperlink w:anchor="_Toc13499" w:history="1">
        <w:r>
          <w:rPr>
            <w:rFonts w:ascii="仿宋" w:eastAsia="仿宋" w:hAnsi="仿宋" w:cs="仿宋" w:hint="eastAsia"/>
            <w:lang w:eastAsia="zh-CN"/>
          </w:rPr>
          <w:t>(三)、文档存档与归档</w:t>
        </w:r>
        <w:r>
          <w:tab/>
        </w:r>
        <w:r>
          <w:fldChar w:fldCharType="begin"/>
        </w:r>
        <w:r>
          <w:instrText xml:space="preserve"> PAGEREF _Toc13499 \h </w:instrText>
        </w:r>
        <w:r>
          <w:fldChar w:fldCharType="separate"/>
        </w:r>
        <w:r>
          <w:t>20</w:t>
        </w:r>
        <w:r>
          <w:fldChar w:fldCharType="end"/>
        </w:r>
      </w:hyperlink>
    </w:p>
    <w:p>
      <w:pPr>
        <w:pStyle w:val="TOC1"/>
        <w:tabs>
          <w:tab w:val="right" w:leader="dot" w:pos="8306"/>
        </w:tabs>
      </w:pPr>
      <w:hyperlink w:anchor="_Toc30884" w:history="1">
        <w:r>
          <w:rPr>
            <w:rFonts w:ascii="仿宋" w:eastAsia="仿宋" w:hAnsi="仿宋" w:cs="仿宋" w:hint="eastAsia"/>
            <w:lang w:eastAsia="zh-CN"/>
          </w:rPr>
          <w:t>六、超纯水和超纯溶剂的制备设备项目绩效评估</w:t>
        </w:r>
        <w:r>
          <w:tab/>
        </w:r>
        <w:r>
          <w:fldChar w:fldCharType="begin"/>
        </w:r>
        <w:r>
          <w:instrText xml:space="preserve"> PAGEREF _Toc30884 \h </w:instrText>
        </w:r>
        <w:r>
          <w:fldChar w:fldCharType="separate"/>
        </w:r>
        <w:r>
          <w:t>21</w:t>
        </w:r>
        <w:r>
          <w:fldChar w:fldCharType="end"/>
        </w:r>
      </w:hyperlink>
    </w:p>
    <w:p>
      <w:pPr>
        <w:pStyle w:val="TOC2"/>
        <w:tabs>
          <w:tab w:val="right" w:leader="dot" w:pos="8306"/>
        </w:tabs>
      </w:pPr>
      <w:hyperlink w:anchor="_Toc412" w:history="1">
        <w:r>
          <w:rPr>
            <w:rFonts w:ascii="仿宋" w:eastAsia="仿宋" w:hAnsi="仿宋" w:cs="仿宋" w:hint="eastAsia"/>
            <w:lang w:eastAsia="zh-CN"/>
          </w:rPr>
          <w:t>(一)、绩效评估指标</w:t>
        </w:r>
        <w:r>
          <w:tab/>
        </w:r>
        <w:r>
          <w:fldChar w:fldCharType="begin"/>
        </w:r>
        <w:r>
          <w:instrText xml:space="preserve"> PAGEREF _Toc412 \h </w:instrText>
        </w:r>
        <w:r>
          <w:fldChar w:fldCharType="separate"/>
        </w:r>
        <w:r>
          <w:t>21</w:t>
        </w:r>
        <w:r>
          <w:fldChar w:fldCharType="end"/>
        </w:r>
      </w:hyperlink>
    </w:p>
    <w:p>
      <w:pPr>
        <w:pStyle w:val="TOC2"/>
        <w:tabs>
          <w:tab w:val="right" w:leader="dot" w:pos="8306"/>
        </w:tabs>
      </w:pPr>
      <w:hyperlink w:anchor="_Toc3784" w:history="1">
        <w:r>
          <w:rPr>
            <w:rFonts w:ascii="仿宋" w:eastAsia="仿宋" w:hAnsi="仿宋" w:cs="仿宋" w:hint="eastAsia"/>
            <w:lang w:eastAsia="zh-CN"/>
          </w:rPr>
          <w:t>(二)、绩效评估方法</w:t>
        </w:r>
        <w:r>
          <w:tab/>
        </w:r>
        <w:r>
          <w:fldChar w:fldCharType="begin"/>
        </w:r>
        <w:r>
          <w:instrText xml:space="preserve"> PAGEREF _Toc3784 \h </w:instrText>
        </w:r>
        <w:r>
          <w:fldChar w:fldCharType="separate"/>
        </w:r>
        <w:r>
          <w:t>23</w:t>
        </w:r>
        <w:r>
          <w:fldChar w:fldCharType="end"/>
        </w:r>
      </w:hyperlink>
    </w:p>
    <w:p>
      <w:pPr>
        <w:pStyle w:val="TOC2"/>
        <w:tabs>
          <w:tab w:val="right" w:leader="dot" w:pos="8306"/>
        </w:tabs>
      </w:pPr>
      <w:hyperlink w:anchor="_Toc15480" w:history="1">
        <w:r>
          <w:rPr>
            <w:rFonts w:ascii="仿宋" w:eastAsia="仿宋" w:hAnsi="仿宋" w:cs="仿宋" w:hint="eastAsia"/>
            <w:lang w:eastAsia="zh-CN"/>
          </w:rPr>
          <w:t>(三)、绩效评估周期</w:t>
        </w:r>
        <w:r>
          <w:tab/>
        </w:r>
        <w:r>
          <w:fldChar w:fldCharType="begin"/>
        </w:r>
        <w:r>
          <w:instrText xml:space="preserve"> PAGEREF _Toc15480 \h </w:instrText>
        </w:r>
        <w:r>
          <w:fldChar w:fldCharType="separate"/>
        </w:r>
        <w:r>
          <w:t>24</w:t>
        </w:r>
        <w:r>
          <w:fldChar w:fldCharType="end"/>
        </w:r>
      </w:hyperlink>
    </w:p>
    <w:p>
      <w:pPr>
        <w:pStyle w:val="TOC1"/>
        <w:tabs>
          <w:tab w:val="right" w:leader="dot" w:pos="8306"/>
        </w:tabs>
      </w:pPr>
      <w:hyperlink w:anchor="_Toc2946" w:history="1">
        <w:r>
          <w:rPr>
            <w:rFonts w:ascii="仿宋" w:eastAsia="仿宋" w:hAnsi="仿宋" w:cs="仿宋" w:hint="eastAsia"/>
            <w:lang w:eastAsia="zh-CN"/>
          </w:rPr>
          <w:t>七、超纯水和超纯溶剂的制备设备项目人力资源培养与发展</w:t>
        </w:r>
        <w:r>
          <w:tab/>
        </w:r>
        <w:r>
          <w:fldChar w:fldCharType="begin"/>
        </w:r>
        <w:r>
          <w:instrText xml:space="preserve"> PAGEREF _Toc2946 \h </w:instrText>
        </w:r>
        <w:r>
          <w:fldChar w:fldCharType="separate"/>
        </w:r>
        <w:r>
          <w:t>25</w:t>
        </w:r>
        <w:r>
          <w:fldChar w:fldCharType="end"/>
        </w:r>
      </w:hyperlink>
    </w:p>
    <w:p>
      <w:pPr>
        <w:pStyle w:val="TOC2"/>
        <w:tabs>
          <w:tab w:val="right" w:leader="dot" w:pos="8306"/>
        </w:tabs>
      </w:pPr>
      <w:hyperlink w:anchor="_Toc20232" w:history="1">
        <w:r>
          <w:rPr>
            <w:rFonts w:ascii="仿宋" w:eastAsia="仿宋" w:hAnsi="仿宋" w:cs="仿宋" w:hint="eastAsia"/>
            <w:lang w:eastAsia="zh-CN"/>
          </w:rPr>
          <w:t>(一)、人才需求与规划</w:t>
        </w:r>
        <w:r>
          <w:tab/>
        </w:r>
        <w:r>
          <w:fldChar w:fldCharType="begin"/>
        </w:r>
        <w:r>
          <w:instrText xml:space="preserve"> PAGEREF _Toc20232 \h </w:instrText>
        </w:r>
        <w:r>
          <w:fldChar w:fldCharType="separate"/>
        </w:r>
        <w:r>
          <w:t>25</w:t>
        </w:r>
        <w:r>
          <w:fldChar w:fldCharType="end"/>
        </w:r>
      </w:hyperlink>
    </w:p>
    <w:p>
      <w:pPr>
        <w:pStyle w:val="TOC2"/>
        <w:tabs>
          <w:tab w:val="right" w:leader="dot" w:pos="8306"/>
        </w:tabs>
      </w:pPr>
      <w:hyperlink w:anchor="_Toc1979" w:history="1">
        <w:r>
          <w:rPr>
            <w:rFonts w:ascii="仿宋" w:eastAsia="仿宋" w:hAnsi="仿宋" w:cs="仿宋" w:hint="eastAsia"/>
            <w:lang w:eastAsia="zh-CN"/>
          </w:rPr>
          <w:t>(二)、培训与发展计划</w:t>
        </w:r>
        <w:r>
          <w:tab/>
        </w:r>
        <w:r>
          <w:fldChar w:fldCharType="begin"/>
        </w:r>
        <w:r>
          <w:instrText xml:space="preserve"> PAGEREF _Toc1979 \h </w:instrText>
        </w:r>
        <w:r>
          <w:fldChar w:fldCharType="separate"/>
        </w:r>
        <w:r>
          <w:t>25</w:t>
        </w:r>
        <w:r>
          <w:fldChar w:fldCharType="end"/>
        </w:r>
      </w:hyperlink>
    </w:p>
    <w:p>
      <w:pPr>
        <w:pStyle w:val="TOC1"/>
        <w:tabs>
          <w:tab w:val="right" w:leader="dot" w:pos="8306"/>
        </w:tabs>
      </w:pPr>
      <w:hyperlink w:anchor="_Toc21569" w:history="1">
        <w:r>
          <w:rPr>
            <w:rFonts w:ascii="仿宋" w:eastAsia="仿宋" w:hAnsi="仿宋" w:cs="仿宋" w:hint="eastAsia"/>
            <w:lang w:eastAsia="zh-CN"/>
          </w:rPr>
          <w:t>八、生产安全保护</w:t>
        </w:r>
        <w:r>
          <w:tab/>
        </w:r>
        <w:r>
          <w:fldChar w:fldCharType="begin"/>
        </w:r>
        <w:r>
          <w:instrText xml:space="preserve"> PAGEREF _Toc21569 \h </w:instrText>
        </w:r>
        <w:r>
          <w:fldChar w:fldCharType="separate"/>
        </w:r>
        <w:r>
          <w:t>26</w:t>
        </w:r>
        <w:r>
          <w:fldChar w:fldCharType="end"/>
        </w:r>
      </w:hyperlink>
    </w:p>
    <w:p>
      <w:pPr>
        <w:pStyle w:val="TOC2"/>
        <w:tabs>
          <w:tab w:val="right" w:leader="dot" w:pos="8306"/>
        </w:tabs>
      </w:pPr>
      <w:hyperlink w:anchor="_Toc18816" w:history="1">
        <w:r>
          <w:rPr>
            <w:rFonts w:ascii="仿宋" w:eastAsia="仿宋" w:hAnsi="仿宋" w:cs="仿宋" w:hint="eastAsia"/>
            <w:lang w:eastAsia="zh-CN"/>
          </w:rPr>
          <w:t>(一)、消防安全</w:t>
        </w:r>
        <w:r>
          <w:tab/>
        </w:r>
        <w:r>
          <w:fldChar w:fldCharType="begin"/>
        </w:r>
        <w:r>
          <w:instrText xml:space="preserve"> PAGEREF _Toc18816 \h </w:instrText>
        </w:r>
        <w:r>
          <w:fldChar w:fldCharType="separate"/>
        </w:r>
        <w:r>
          <w:t>26</w:t>
        </w:r>
        <w:r>
          <w:fldChar w:fldCharType="end"/>
        </w:r>
      </w:hyperlink>
    </w:p>
    <w:p>
      <w:pPr>
        <w:pStyle w:val="TOC2"/>
        <w:tabs>
          <w:tab w:val="right" w:leader="dot" w:pos="8306"/>
        </w:tabs>
      </w:pPr>
      <w:hyperlink w:anchor="_Toc23873" w:history="1">
        <w:r>
          <w:rPr>
            <w:rFonts w:ascii="仿宋" w:eastAsia="仿宋" w:hAnsi="仿宋" w:cs="仿宋" w:hint="eastAsia"/>
            <w:lang w:eastAsia="zh-CN"/>
          </w:rPr>
          <w:t>(二)、防火防爆总图布置措施</w:t>
        </w:r>
        <w:r>
          <w:tab/>
        </w:r>
        <w:r>
          <w:fldChar w:fldCharType="begin"/>
        </w:r>
        <w:r>
          <w:instrText xml:space="preserve"> PAGEREF _Toc23873 \h </w:instrText>
        </w:r>
        <w:r>
          <w:fldChar w:fldCharType="separate"/>
        </w:r>
        <w:r>
          <w:t>28</w:t>
        </w:r>
        <w:r>
          <w:fldChar w:fldCharType="end"/>
        </w:r>
      </w:hyperlink>
    </w:p>
    <w:p>
      <w:pPr>
        <w:pStyle w:val="TOC2"/>
        <w:tabs>
          <w:tab w:val="right" w:leader="dot" w:pos="8306"/>
        </w:tabs>
      </w:pPr>
      <w:hyperlink w:anchor="_Toc31664" w:history="1">
        <w:r>
          <w:rPr>
            <w:rFonts w:ascii="仿宋" w:eastAsia="仿宋" w:hAnsi="仿宋" w:cs="仿宋" w:hint="eastAsia"/>
            <w:lang w:eastAsia="zh-CN"/>
          </w:rPr>
          <w:t>(三)、自然灾害防范措施</w:t>
        </w:r>
        <w:r>
          <w:tab/>
        </w:r>
        <w:r>
          <w:fldChar w:fldCharType="begin"/>
        </w:r>
        <w:r>
          <w:instrText xml:space="preserve"> PAGEREF _Toc31664 \h </w:instrText>
        </w:r>
        <w:r>
          <w:fldChar w:fldCharType="separate"/>
        </w:r>
        <w:r>
          <w:t>29</w:t>
        </w:r>
        <w:r>
          <w:fldChar w:fldCharType="end"/>
        </w:r>
      </w:hyperlink>
    </w:p>
    <w:p>
      <w:pPr>
        <w:pStyle w:val="TOC2"/>
        <w:tabs>
          <w:tab w:val="right" w:leader="dot" w:pos="8306"/>
        </w:tabs>
      </w:pPr>
      <w:hyperlink w:anchor="_Toc14014" w:history="1">
        <w:r>
          <w:rPr>
            <w:rFonts w:ascii="仿宋" w:eastAsia="仿宋" w:hAnsi="仿宋" w:cs="仿宋" w:hint="eastAsia"/>
            <w:lang w:eastAsia="zh-CN"/>
          </w:rPr>
          <w:t>(四)、安全色及安全标志使用要求</w:t>
        </w:r>
        <w:r>
          <w:tab/>
        </w:r>
        <w:r>
          <w:fldChar w:fldCharType="begin"/>
        </w:r>
        <w:r>
          <w:instrText xml:space="preserve"> PAGEREF _Toc14014 \h </w:instrText>
        </w:r>
        <w:r>
          <w:fldChar w:fldCharType="separate"/>
        </w:r>
        <w:r>
          <w:t>30</w:t>
        </w:r>
        <w:r>
          <w:fldChar w:fldCharType="end"/>
        </w:r>
      </w:hyperlink>
    </w:p>
    <w:p>
      <w:pPr>
        <w:pStyle w:val="TOC2"/>
        <w:tabs>
          <w:tab w:val="right" w:leader="dot" w:pos="8306"/>
        </w:tabs>
      </w:pPr>
      <w:hyperlink w:anchor="_Toc6199" w:history="1">
        <w:r>
          <w:rPr>
            <w:rFonts w:ascii="仿宋" w:eastAsia="仿宋" w:hAnsi="仿宋" w:cs="仿宋" w:hint="eastAsia"/>
            <w:lang w:eastAsia="zh-CN"/>
          </w:rPr>
          <w:t>(五)、防尘防毒措施</w:t>
        </w:r>
        <w:r>
          <w:tab/>
        </w:r>
        <w:r>
          <w:fldChar w:fldCharType="begin"/>
        </w:r>
        <w:r>
          <w:instrText xml:space="preserve"> PAGEREF _Toc6199 \h </w:instrText>
        </w:r>
        <w:r>
          <w:fldChar w:fldCharType="separate"/>
        </w:r>
        <w:r>
          <w:t>31</w:t>
        </w:r>
        <w:r>
          <w:fldChar w:fldCharType="end"/>
        </w:r>
      </w:hyperlink>
    </w:p>
    <w:p>
      <w:pPr>
        <w:pStyle w:val="TOC2"/>
        <w:tabs>
          <w:tab w:val="right" w:leader="dot" w:pos="8306"/>
        </w:tabs>
      </w:pPr>
      <w:hyperlink w:anchor="_Toc31443" w:history="1">
        <w:r>
          <w:rPr>
            <w:rFonts w:ascii="仿宋" w:eastAsia="仿宋" w:hAnsi="仿宋" w:cs="仿宋" w:hint="eastAsia"/>
            <w:lang w:eastAsia="zh-CN"/>
          </w:rPr>
          <w:t>(六)、防静电、触电防护及防雷措施</w:t>
        </w:r>
        <w:r>
          <w:tab/>
        </w:r>
        <w:r>
          <w:fldChar w:fldCharType="begin"/>
        </w:r>
        <w:r>
          <w:instrText xml:space="preserve"> PAGEREF _Toc31443 \h </w:instrText>
        </w:r>
        <w:r>
          <w:fldChar w:fldCharType="separate"/>
        </w:r>
        <w:r>
          <w:t>32</w:t>
        </w:r>
        <w:r>
          <w:fldChar w:fldCharType="end"/>
        </w:r>
      </w:hyperlink>
    </w:p>
    <w:p>
      <w:pPr>
        <w:pStyle w:val="TOC2"/>
        <w:tabs>
          <w:tab w:val="right" w:leader="dot" w:pos="8306"/>
        </w:tabs>
      </w:pPr>
      <w:hyperlink w:anchor="_Toc16666" w:history="1">
        <w:r>
          <w:rPr>
            <w:rFonts w:ascii="仿宋" w:eastAsia="仿宋" w:hAnsi="仿宋" w:cs="仿宋" w:hint="eastAsia"/>
            <w:lang w:eastAsia="zh-CN"/>
          </w:rPr>
          <w:t>(七)、机械设备安全保障措施</w:t>
        </w:r>
        <w:r>
          <w:tab/>
        </w:r>
        <w:r>
          <w:fldChar w:fldCharType="begin"/>
        </w:r>
        <w:r>
          <w:instrText xml:space="preserve"> PAGEREF _Toc16666 \h </w:instrText>
        </w:r>
        <w:r>
          <w:fldChar w:fldCharType="separate"/>
        </w:r>
        <w:r>
          <w:t>34</w:t>
        </w:r>
        <w:r>
          <w:fldChar w:fldCharType="end"/>
        </w:r>
      </w:hyperlink>
    </w:p>
    <w:p>
      <w:pPr>
        <w:pStyle w:val="TOC1"/>
        <w:tabs>
          <w:tab w:val="right" w:leader="dot" w:pos="8306"/>
        </w:tabs>
      </w:pPr>
      <w:hyperlink w:anchor="_Toc23138" w:history="1">
        <w:r>
          <w:rPr>
            <w:rFonts w:ascii="仿宋" w:eastAsia="仿宋" w:hAnsi="仿宋" w:cs="仿宋" w:hint="eastAsia"/>
            <w:lang w:eastAsia="zh-CN"/>
          </w:rPr>
          <w:t>九、超纯水和超纯溶剂的制备设备项目投资规划</w:t>
        </w:r>
        <w:r>
          <w:tab/>
        </w:r>
        <w:r>
          <w:fldChar w:fldCharType="begin"/>
        </w:r>
        <w:r>
          <w:instrText xml:space="preserve"> PAGEREF _Toc23138 \h </w:instrText>
        </w:r>
        <w:r>
          <w:fldChar w:fldCharType="separate"/>
        </w:r>
        <w:r>
          <w:t>35</w:t>
        </w:r>
        <w:r>
          <w:fldChar w:fldCharType="end"/>
        </w:r>
      </w:hyperlink>
    </w:p>
    <w:p>
      <w:pPr>
        <w:pStyle w:val="TOC2"/>
        <w:tabs>
          <w:tab w:val="right" w:leader="dot" w:pos="8306"/>
        </w:tabs>
      </w:pPr>
      <w:hyperlink w:anchor="_Toc26332" w:history="1">
        <w:r>
          <w:rPr>
            <w:rFonts w:ascii="仿宋" w:eastAsia="仿宋" w:hAnsi="仿宋" w:cs="仿宋" w:hint="eastAsia"/>
            <w:lang w:eastAsia="zh-CN"/>
          </w:rPr>
          <w:t>(一)、超纯水和超纯溶剂的制备设备项目总投资估算</w:t>
        </w:r>
        <w:r>
          <w:tab/>
        </w:r>
        <w:r>
          <w:fldChar w:fldCharType="begin"/>
        </w:r>
        <w:r>
          <w:instrText xml:space="preserve"> PAGEREF _Toc26332 \h </w:instrText>
        </w:r>
        <w:r>
          <w:fldChar w:fldCharType="separate"/>
        </w:r>
        <w:r>
          <w:t>35</w:t>
        </w:r>
        <w:r>
          <w:fldChar w:fldCharType="end"/>
        </w:r>
      </w:hyperlink>
    </w:p>
    <w:p>
      <w:pPr>
        <w:pStyle w:val="TOC2"/>
        <w:tabs>
          <w:tab w:val="right" w:leader="dot" w:pos="8306"/>
        </w:tabs>
      </w:pPr>
      <w:hyperlink w:anchor="_Toc8810" w:history="1">
        <w:r>
          <w:rPr>
            <w:rFonts w:ascii="仿宋" w:eastAsia="仿宋" w:hAnsi="仿宋" w:cs="仿宋" w:hint="eastAsia"/>
            <w:lang w:eastAsia="zh-CN"/>
          </w:rPr>
          <w:t>(二)、资金筹措</w:t>
        </w:r>
        <w:r>
          <w:tab/>
        </w:r>
        <w:r>
          <w:fldChar w:fldCharType="begin"/>
        </w:r>
        <w:r>
          <w:instrText xml:space="preserve"> PAGEREF _Toc8810 \h </w:instrText>
        </w:r>
        <w:r>
          <w:fldChar w:fldCharType="separate"/>
        </w:r>
        <w:r>
          <w:t>37</w:t>
        </w:r>
        <w:r>
          <w:fldChar w:fldCharType="end"/>
        </w:r>
      </w:hyperlink>
    </w:p>
    <w:p>
      <w:pPr>
        <w:pStyle w:val="TOC1"/>
        <w:tabs>
          <w:tab w:val="right" w:leader="dot" w:pos="8306"/>
        </w:tabs>
      </w:pPr>
      <w:hyperlink w:anchor="_Toc20223" w:history="1">
        <w:r>
          <w:rPr>
            <w:rFonts w:ascii="仿宋" w:eastAsia="仿宋" w:hAnsi="仿宋" w:cs="仿宋" w:hint="eastAsia"/>
            <w:lang w:eastAsia="zh-CN"/>
          </w:rPr>
          <w:t>十、超纯水和超纯溶剂的制备设备项目计划安排</w:t>
        </w:r>
        <w:r>
          <w:tab/>
        </w:r>
        <w:r>
          <w:fldChar w:fldCharType="begin"/>
        </w:r>
        <w:r>
          <w:instrText xml:space="preserve"> PAGEREF _Toc20223 \h </w:instrText>
        </w:r>
        <w:r>
          <w:fldChar w:fldCharType="separate"/>
        </w:r>
        <w:r>
          <w:t>37</w:t>
        </w:r>
        <w:r>
          <w:fldChar w:fldCharType="end"/>
        </w:r>
      </w:hyperlink>
    </w:p>
    <w:p>
      <w:pPr>
        <w:pStyle w:val="TOC2"/>
        <w:tabs>
          <w:tab w:val="right" w:leader="dot" w:pos="8306"/>
        </w:tabs>
      </w:pPr>
      <w:hyperlink w:anchor="_Toc25841" w:history="1">
        <w:r>
          <w:rPr>
            <w:rFonts w:ascii="仿宋" w:eastAsia="仿宋" w:hAnsi="仿宋" w:cs="仿宋" w:hint="eastAsia"/>
            <w:lang w:eastAsia="zh-CN"/>
          </w:rPr>
          <w:t>(一)、建设周期</w:t>
        </w:r>
        <w:r>
          <w:tab/>
        </w:r>
        <w:r>
          <w:fldChar w:fldCharType="begin"/>
        </w:r>
        <w:r>
          <w:instrText xml:space="preserve"> PAGEREF _Toc25841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527" w:history="1">
        <w:r>
          <w:rPr>
            <w:rFonts w:ascii="仿宋" w:eastAsia="仿宋" w:hAnsi="仿宋" w:cs="仿宋" w:hint="eastAsia"/>
            <w:lang w:eastAsia="zh-CN"/>
          </w:rPr>
          <w:t>(二)、建设进度</w:t>
        </w:r>
        <w:r>
          <w:tab/>
        </w:r>
        <w:r>
          <w:fldChar w:fldCharType="begin"/>
        </w:r>
        <w:r>
          <w:instrText xml:space="preserve"> PAGEREF _Toc25527 \h </w:instrText>
        </w:r>
        <w:r>
          <w:fldChar w:fldCharType="separate"/>
        </w:r>
        <w:r>
          <w:t>38</w:t>
        </w:r>
        <w:r>
          <w:fldChar w:fldCharType="end"/>
        </w:r>
      </w:hyperlink>
    </w:p>
    <w:p>
      <w:pPr>
        <w:pStyle w:val="TOC2"/>
        <w:tabs>
          <w:tab w:val="right" w:leader="dot" w:pos="8306"/>
        </w:tabs>
      </w:pPr>
      <w:hyperlink w:anchor="_Toc10880" w:history="1">
        <w:r>
          <w:rPr>
            <w:rFonts w:ascii="仿宋" w:eastAsia="仿宋" w:hAnsi="仿宋" w:cs="仿宋" w:hint="eastAsia"/>
            <w:lang w:eastAsia="zh-CN"/>
          </w:rPr>
          <w:t>(三)、进度安排注意事项</w:t>
        </w:r>
        <w:r>
          <w:tab/>
        </w:r>
        <w:r>
          <w:fldChar w:fldCharType="begin"/>
        </w:r>
        <w:r>
          <w:instrText xml:space="preserve"> PAGEREF _Toc10880 \h </w:instrText>
        </w:r>
        <w:r>
          <w:fldChar w:fldCharType="separate"/>
        </w:r>
        <w:r>
          <w:t>39</w:t>
        </w:r>
        <w:r>
          <w:fldChar w:fldCharType="end"/>
        </w:r>
      </w:hyperlink>
    </w:p>
    <w:p>
      <w:pPr>
        <w:pStyle w:val="TOC2"/>
        <w:tabs>
          <w:tab w:val="right" w:leader="dot" w:pos="8306"/>
        </w:tabs>
      </w:pPr>
      <w:hyperlink w:anchor="_Toc15879" w:history="1">
        <w:r>
          <w:rPr>
            <w:rFonts w:ascii="仿宋" w:eastAsia="仿宋" w:hAnsi="仿宋" w:cs="仿宋" w:hint="eastAsia"/>
            <w:lang w:eastAsia="zh-CN"/>
          </w:rPr>
          <w:t>(四)、人力资源配置</w:t>
        </w:r>
        <w:r>
          <w:tab/>
        </w:r>
        <w:r>
          <w:fldChar w:fldCharType="begin"/>
        </w:r>
        <w:r>
          <w:instrText xml:space="preserve"> PAGEREF _Toc15879 \h </w:instrText>
        </w:r>
        <w:r>
          <w:fldChar w:fldCharType="separate"/>
        </w:r>
        <w:r>
          <w:t>41</w:t>
        </w:r>
        <w:r>
          <w:fldChar w:fldCharType="end"/>
        </w:r>
      </w:hyperlink>
    </w:p>
    <w:p>
      <w:pPr>
        <w:pStyle w:val="TOC1"/>
        <w:tabs>
          <w:tab w:val="right" w:leader="dot" w:pos="8306"/>
        </w:tabs>
      </w:pPr>
      <w:hyperlink w:anchor="_Toc30784" w:history="1">
        <w:r>
          <w:rPr>
            <w:rFonts w:ascii="仿宋" w:eastAsia="仿宋" w:hAnsi="仿宋" w:cs="仿宋" w:hint="eastAsia"/>
            <w:lang w:eastAsia="zh-CN"/>
          </w:rPr>
          <w:t>十一、超纯水和超纯溶剂的制备设备项目人力资源管理</w:t>
        </w:r>
        <w:r>
          <w:tab/>
        </w:r>
        <w:r>
          <w:fldChar w:fldCharType="begin"/>
        </w:r>
        <w:r>
          <w:instrText xml:space="preserve"> PAGEREF _Toc30784 \h </w:instrText>
        </w:r>
        <w:r>
          <w:fldChar w:fldCharType="separate"/>
        </w:r>
        <w:r>
          <w:t>42</w:t>
        </w:r>
        <w:r>
          <w:fldChar w:fldCharType="end"/>
        </w:r>
      </w:hyperlink>
    </w:p>
    <w:p>
      <w:pPr>
        <w:pStyle w:val="TOC2"/>
        <w:tabs>
          <w:tab w:val="right" w:leader="dot" w:pos="8306"/>
        </w:tabs>
      </w:pPr>
      <w:hyperlink w:anchor="_Toc9687" w:history="1">
        <w:r>
          <w:rPr>
            <w:rFonts w:ascii="仿宋" w:eastAsia="仿宋" w:hAnsi="仿宋" w:cs="仿宋" w:hint="eastAsia"/>
            <w:lang w:eastAsia="zh-CN"/>
          </w:rPr>
          <w:t>(一)、建立健全的预算管理制度</w:t>
        </w:r>
        <w:r>
          <w:tab/>
        </w:r>
        <w:r>
          <w:fldChar w:fldCharType="begin"/>
        </w:r>
        <w:r>
          <w:instrText xml:space="preserve"> PAGEREF _Toc9687 \h </w:instrText>
        </w:r>
        <w:r>
          <w:fldChar w:fldCharType="separate"/>
        </w:r>
        <w:r>
          <w:t>42</w:t>
        </w:r>
        <w:r>
          <w:fldChar w:fldCharType="end"/>
        </w:r>
      </w:hyperlink>
    </w:p>
    <w:p>
      <w:pPr>
        <w:pStyle w:val="TOC2"/>
        <w:tabs>
          <w:tab w:val="right" w:leader="dot" w:pos="8306"/>
        </w:tabs>
      </w:pPr>
      <w:hyperlink w:anchor="_Toc6200" w:history="1">
        <w:r>
          <w:rPr>
            <w:rFonts w:ascii="仿宋" w:eastAsia="仿宋" w:hAnsi="仿宋" w:cs="仿宋" w:hint="eastAsia"/>
            <w:lang w:eastAsia="zh-CN"/>
          </w:rPr>
          <w:t>(二)、加强资金流动监控</w:t>
        </w:r>
        <w:r>
          <w:tab/>
        </w:r>
        <w:r>
          <w:fldChar w:fldCharType="begin"/>
        </w:r>
        <w:r>
          <w:instrText xml:space="preserve"> PAGEREF _Toc6200 \h </w:instrText>
        </w:r>
        <w:r>
          <w:fldChar w:fldCharType="separate"/>
        </w:r>
        <w:r>
          <w:t>44</w:t>
        </w:r>
        <w:r>
          <w:fldChar w:fldCharType="end"/>
        </w:r>
      </w:hyperlink>
    </w:p>
    <w:p>
      <w:pPr>
        <w:pStyle w:val="TOC2"/>
        <w:tabs>
          <w:tab w:val="right" w:leader="dot" w:pos="8306"/>
        </w:tabs>
      </w:pPr>
      <w:hyperlink w:anchor="_Toc24531" w:history="1">
        <w:r>
          <w:rPr>
            <w:rFonts w:ascii="仿宋" w:eastAsia="仿宋" w:hAnsi="仿宋" w:cs="仿宋" w:hint="eastAsia"/>
            <w:lang w:eastAsia="zh-CN"/>
          </w:rPr>
          <w:t>(三)、制定完善的风险控制机制</w:t>
        </w:r>
        <w:r>
          <w:tab/>
        </w:r>
        <w:r>
          <w:fldChar w:fldCharType="begin"/>
        </w:r>
        <w:r>
          <w:instrText xml:space="preserve"> PAGEREF _Toc24531 \h </w:instrText>
        </w:r>
        <w:r>
          <w:fldChar w:fldCharType="separate"/>
        </w:r>
        <w:r>
          <w:t>45</w:t>
        </w:r>
        <w:r>
          <w:fldChar w:fldCharType="end"/>
        </w:r>
      </w:hyperlink>
    </w:p>
    <w:p>
      <w:pPr>
        <w:pStyle w:val="TOC2"/>
        <w:tabs>
          <w:tab w:val="right" w:leader="dot" w:pos="8306"/>
        </w:tabs>
      </w:pPr>
      <w:hyperlink w:anchor="_Toc15421" w:history="1">
        <w:r>
          <w:rPr>
            <w:rFonts w:ascii="仿宋" w:eastAsia="仿宋" w:hAnsi="仿宋" w:cs="仿宋" w:hint="eastAsia"/>
            <w:lang w:eastAsia="zh-CN"/>
          </w:rPr>
          <w:t>(四)、优化成本管理</w:t>
        </w:r>
        <w:r>
          <w:tab/>
        </w:r>
        <w:r>
          <w:fldChar w:fldCharType="begin"/>
        </w:r>
        <w:r>
          <w:instrText xml:space="preserve"> PAGEREF _Toc15421 \h </w:instrText>
        </w:r>
        <w:r>
          <w:fldChar w:fldCharType="separate"/>
        </w:r>
        <w:r>
          <w:t>47</w:t>
        </w:r>
        <w:r>
          <w:fldChar w:fldCharType="end"/>
        </w:r>
      </w:hyperlink>
    </w:p>
    <w:p>
      <w:pPr>
        <w:pStyle w:val="TOC1"/>
        <w:tabs>
          <w:tab w:val="right" w:leader="dot" w:pos="8306"/>
        </w:tabs>
      </w:pPr>
      <w:hyperlink w:anchor="_Toc7941" w:history="1">
        <w:r>
          <w:rPr>
            <w:rFonts w:ascii="仿宋" w:eastAsia="仿宋" w:hAnsi="仿宋" w:cs="仿宋" w:hint="eastAsia"/>
            <w:lang w:eastAsia="zh-CN"/>
          </w:rPr>
          <w:t>十二、超纯水和超纯溶剂的制备设备项目创新与研发</w:t>
        </w:r>
        <w:r>
          <w:tab/>
        </w:r>
        <w:r>
          <w:fldChar w:fldCharType="begin"/>
        </w:r>
        <w:r>
          <w:instrText xml:space="preserve"> PAGEREF _Toc7941 \h </w:instrText>
        </w:r>
        <w:r>
          <w:fldChar w:fldCharType="separate"/>
        </w:r>
        <w:r>
          <w:t>48</w:t>
        </w:r>
        <w:r>
          <w:fldChar w:fldCharType="end"/>
        </w:r>
      </w:hyperlink>
    </w:p>
    <w:p>
      <w:pPr>
        <w:pStyle w:val="TOC2"/>
        <w:tabs>
          <w:tab w:val="right" w:leader="dot" w:pos="8306"/>
        </w:tabs>
      </w:pPr>
      <w:hyperlink w:anchor="_Toc6538" w:history="1">
        <w:r>
          <w:rPr>
            <w:rFonts w:ascii="仿宋" w:eastAsia="仿宋" w:hAnsi="仿宋" w:cs="仿宋" w:hint="eastAsia"/>
            <w:lang w:eastAsia="zh-CN"/>
          </w:rPr>
          <w:t>(一)、创新策略与方向</w:t>
        </w:r>
        <w:r>
          <w:tab/>
        </w:r>
        <w:r>
          <w:fldChar w:fldCharType="begin"/>
        </w:r>
        <w:r>
          <w:instrText xml:space="preserve"> PAGEREF _Toc6538 \h </w:instrText>
        </w:r>
        <w:r>
          <w:fldChar w:fldCharType="separate"/>
        </w:r>
        <w:r>
          <w:t>48</w:t>
        </w:r>
        <w:r>
          <w:fldChar w:fldCharType="end"/>
        </w:r>
      </w:hyperlink>
    </w:p>
    <w:p>
      <w:pPr>
        <w:pStyle w:val="TOC2"/>
        <w:tabs>
          <w:tab w:val="right" w:leader="dot" w:pos="8306"/>
        </w:tabs>
      </w:pPr>
      <w:hyperlink w:anchor="_Toc24719" w:history="1">
        <w:r>
          <w:rPr>
            <w:rFonts w:ascii="仿宋" w:eastAsia="仿宋" w:hAnsi="仿宋" w:cs="仿宋" w:hint="eastAsia"/>
            <w:lang w:eastAsia="zh-CN"/>
          </w:rPr>
          <w:t>(二)、研发规划与投入</w:t>
        </w:r>
        <w:r>
          <w:tab/>
        </w:r>
        <w:r>
          <w:fldChar w:fldCharType="begin"/>
        </w:r>
        <w:r>
          <w:instrText xml:space="preserve"> PAGEREF _Toc24719 \h </w:instrText>
        </w:r>
        <w:r>
          <w:fldChar w:fldCharType="separate"/>
        </w:r>
        <w:r>
          <w:t>50</w:t>
        </w:r>
        <w:r>
          <w:fldChar w:fldCharType="end"/>
        </w:r>
      </w:hyperlink>
    </w:p>
    <w:p>
      <w:pPr>
        <w:pStyle w:val="TOC1"/>
        <w:tabs>
          <w:tab w:val="right" w:leader="dot" w:pos="8306"/>
        </w:tabs>
      </w:pPr>
      <w:hyperlink w:anchor="_Toc18990" w:history="1">
        <w:r>
          <w:rPr>
            <w:rFonts w:ascii="仿宋" w:eastAsia="仿宋" w:hAnsi="仿宋" w:cs="仿宋" w:hint="eastAsia"/>
            <w:lang w:eastAsia="zh-CN"/>
          </w:rPr>
          <w:t>十三、超纯水和超纯溶剂的制备设备项目工程方案分析</w:t>
        </w:r>
        <w:r>
          <w:tab/>
        </w:r>
        <w:r>
          <w:fldChar w:fldCharType="begin"/>
        </w:r>
        <w:r>
          <w:instrText xml:space="preserve"> PAGEREF _Toc18990 \h </w:instrText>
        </w:r>
        <w:r>
          <w:fldChar w:fldCharType="separate"/>
        </w:r>
        <w:r>
          <w:t>52</w:t>
        </w:r>
        <w:r>
          <w:fldChar w:fldCharType="end"/>
        </w:r>
      </w:hyperlink>
    </w:p>
    <w:p>
      <w:pPr>
        <w:pStyle w:val="TOC2"/>
        <w:tabs>
          <w:tab w:val="right" w:leader="dot" w:pos="8306"/>
        </w:tabs>
      </w:pPr>
      <w:hyperlink w:anchor="_Toc27126" w:history="1">
        <w:r>
          <w:rPr>
            <w:rFonts w:ascii="仿宋" w:eastAsia="仿宋" w:hAnsi="仿宋" w:cs="仿宋" w:hint="eastAsia"/>
            <w:lang w:eastAsia="zh-CN"/>
          </w:rPr>
          <w:t>(一)、建筑工程设计原则</w:t>
        </w:r>
        <w:r>
          <w:tab/>
        </w:r>
        <w:r>
          <w:fldChar w:fldCharType="begin"/>
        </w:r>
        <w:r>
          <w:instrText xml:space="preserve"> PAGEREF _Toc27126 \h </w:instrText>
        </w:r>
        <w:r>
          <w:fldChar w:fldCharType="separate"/>
        </w:r>
        <w:r>
          <w:t>52</w:t>
        </w:r>
        <w:r>
          <w:fldChar w:fldCharType="end"/>
        </w:r>
      </w:hyperlink>
    </w:p>
    <w:p>
      <w:pPr>
        <w:pStyle w:val="TOC2"/>
        <w:tabs>
          <w:tab w:val="right" w:leader="dot" w:pos="8306"/>
        </w:tabs>
      </w:pPr>
      <w:hyperlink w:anchor="_Toc27297" w:history="1">
        <w:r>
          <w:rPr>
            <w:rFonts w:ascii="仿宋" w:eastAsia="仿宋" w:hAnsi="仿宋" w:cs="仿宋" w:hint="eastAsia"/>
            <w:lang w:eastAsia="zh-CN"/>
          </w:rPr>
          <w:t>(二)、土建工程建设指标</w:t>
        </w:r>
        <w:r>
          <w:tab/>
        </w:r>
        <w:r>
          <w:fldChar w:fldCharType="begin"/>
        </w:r>
        <w:r>
          <w:instrText xml:space="preserve"> PAGEREF _Toc27297 \h </w:instrText>
        </w:r>
        <w:r>
          <w:fldChar w:fldCharType="separate"/>
        </w:r>
        <w:r>
          <w:t>55</w:t>
        </w:r>
        <w:r>
          <w:fldChar w:fldCharType="end"/>
        </w:r>
      </w:hyperlink>
    </w:p>
    <w:p>
      <w:pPr>
        <w:pStyle w:val="TOC1"/>
        <w:tabs>
          <w:tab w:val="right" w:leader="dot" w:pos="8306"/>
        </w:tabs>
      </w:pPr>
      <w:hyperlink w:anchor="_Toc9931" w:history="1">
        <w:r>
          <w:rPr>
            <w:rFonts w:ascii="仿宋" w:eastAsia="仿宋" w:hAnsi="仿宋" w:cs="仿宋" w:hint="eastAsia"/>
            <w:lang w:eastAsia="zh-CN"/>
          </w:rPr>
          <w:t>十四、超纯水和超纯溶剂的制备设备项目实施时间节点</w:t>
        </w:r>
        <w:r>
          <w:tab/>
        </w:r>
        <w:r>
          <w:fldChar w:fldCharType="begin"/>
        </w:r>
        <w:r>
          <w:instrText xml:space="preserve"> PAGEREF _Toc9931 \h </w:instrText>
        </w:r>
        <w:r>
          <w:fldChar w:fldCharType="separate"/>
        </w:r>
        <w:r>
          <w:t>57</w:t>
        </w:r>
        <w:r>
          <w:fldChar w:fldCharType="end"/>
        </w:r>
      </w:hyperlink>
    </w:p>
    <w:p>
      <w:pPr>
        <w:pStyle w:val="TOC2"/>
        <w:tabs>
          <w:tab w:val="right" w:leader="dot" w:pos="8306"/>
        </w:tabs>
      </w:pPr>
      <w:hyperlink w:anchor="_Toc23870" w:history="1">
        <w:r>
          <w:rPr>
            <w:rFonts w:ascii="仿宋" w:eastAsia="仿宋" w:hAnsi="仿宋" w:cs="仿宋" w:hint="eastAsia"/>
            <w:lang w:eastAsia="zh-CN"/>
          </w:rPr>
          <w:t>(一)、超纯水和超纯溶剂的制备设备项目启动阶段时间节点</w:t>
        </w:r>
        <w:r>
          <w:tab/>
        </w:r>
        <w:r>
          <w:fldChar w:fldCharType="begin"/>
        </w:r>
        <w:r>
          <w:instrText xml:space="preserve"> PAGEREF _Toc23870 \h </w:instrText>
        </w:r>
        <w:r>
          <w:fldChar w:fldCharType="separate"/>
        </w:r>
        <w:r>
          <w:t>57</w:t>
        </w:r>
        <w:r>
          <w:fldChar w:fldCharType="end"/>
        </w:r>
      </w:hyperlink>
    </w:p>
    <w:p>
      <w:pPr>
        <w:pStyle w:val="TOC2"/>
        <w:tabs>
          <w:tab w:val="right" w:leader="dot" w:pos="8306"/>
        </w:tabs>
      </w:pPr>
      <w:hyperlink w:anchor="_Toc18629" w:history="1">
        <w:r>
          <w:rPr>
            <w:rFonts w:ascii="仿宋" w:eastAsia="仿宋" w:hAnsi="仿宋" w:cs="仿宋" w:hint="eastAsia"/>
            <w:lang w:eastAsia="zh-CN"/>
          </w:rPr>
          <w:t>(二)、超纯水和超纯溶剂的制备设备项目执行阶段时间节点</w:t>
        </w:r>
        <w:r>
          <w:tab/>
        </w:r>
        <w:r>
          <w:fldChar w:fldCharType="begin"/>
        </w:r>
        <w:r>
          <w:instrText xml:space="preserve"> PAGEREF _Toc18629 \h </w:instrText>
        </w:r>
        <w:r>
          <w:fldChar w:fldCharType="separate"/>
        </w:r>
        <w:r>
          <w:t>58</w:t>
        </w:r>
        <w:r>
          <w:fldChar w:fldCharType="end"/>
        </w:r>
      </w:hyperlink>
    </w:p>
    <w:p>
      <w:pPr>
        <w:pStyle w:val="TOC2"/>
        <w:tabs>
          <w:tab w:val="right" w:leader="dot" w:pos="8306"/>
        </w:tabs>
      </w:pPr>
      <w:hyperlink w:anchor="_Toc10881" w:history="1">
        <w:r>
          <w:rPr>
            <w:rFonts w:ascii="仿宋" w:eastAsia="仿宋" w:hAnsi="仿宋" w:cs="仿宋" w:hint="eastAsia"/>
            <w:lang w:eastAsia="zh-CN"/>
          </w:rPr>
          <w:t>(三)、超纯水和超纯溶剂的制备设备项目完成阶段时间节点</w:t>
        </w:r>
        <w:r>
          <w:tab/>
        </w:r>
        <w:r>
          <w:fldChar w:fldCharType="begin"/>
        </w:r>
        <w:r>
          <w:instrText xml:space="preserve"> PAGEREF _Toc10881 \h </w:instrText>
        </w:r>
        <w:r>
          <w:fldChar w:fldCharType="separate"/>
        </w:r>
        <w:r>
          <w:t>59</w:t>
        </w:r>
        <w:r>
          <w:fldChar w:fldCharType="end"/>
        </w:r>
      </w:hyperlink>
    </w:p>
    <w:p>
      <w:pPr>
        <w:pStyle w:val="TOC1"/>
        <w:tabs>
          <w:tab w:val="right" w:leader="dot" w:pos="8306"/>
        </w:tabs>
      </w:pPr>
      <w:hyperlink w:anchor="_Toc25990" w:history="1">
        <w:r>
          <w:rPr>
            <w:rFonts w:ascii="仿宋" w:eastAsia="仿宋" w:hAnsi="仿宋" w:cs="仿宋" w:hint="eastAsia"/>
            <w:lang w:eastAsia="zh-CN"/>
          </w:rPr>
          <w:t>十五、超纯水和超纯溶剂的制备设备项目实施保障措施</w:t>
        </w:r>
        <w:r>
          <w:tab/>
        </w:r>
        <w:r>
          <w:fldChar w:fldCharType="begin"/>
        </w:r>
        <w:r>
          <w:instrText xml:space="preserve"> PAGEREF _Toc25990 \h </w:instrText>
        </w:r>
        <w:r>
          <w:fldChar w:fldCharType="separate"/>
        </w:r>
        <w:r>
          <w:t>61</w:t>
        </w:r>
        <w:r>
          <w:fldChar w:fldCharType="end"/>
        </w:r>
      </w:hyperlink>
    </w:p>
    <w:p>
      <w:pPr>
        <w:pStyle w:val="TOC2"/>
        <w:tabs>
          <w:tab w:val="right" w:leader="dot" w:pos="8306"/>
        </w:tabs>
      </w:pPr>
      <w:hyperlink w:anchor="_Toc27701" w:history="1">
        <w:r>
          <w:rPr>
            <w:rFonts w:ascii="仿宋" w:eastAsia="仿宋" w:hAnsi="仿宋" w:cs="仿宋" w:hint="eastAsia"/>
            <w:lang w:eastAsia="zh-CN"/>
          </w:rPr>
          <w:t>(一)、超纯水和超纯溶剂的制备设备项目实施保障机制</w:t>
        </w:r>
        <w:r>
          <w:tab/>
        </w:r>
        <w:r>
          <w:fldChar w:fldCharType="begin"/>
        </w:r>
        <w:r>
          <w:instrText xml:space="preserve"> PAGEREF _Toc27701 \h </w:instrText>
        </w:r>
        <w:r>
          <w:fldChar w:fldCharType="separate"/>
        </w:r>
        <w:r>
          <w:t>61</w:t>
        </w:r>
        <w:r>
          <w:fldChar w:fldCharType="end"/>
        </w:r>
      </w:hyperlink>
    </w:p>
    <w:p>
      <w:pPr>
        <w:pStyle w:val="TOC2"/>
        <w:tabs>
          <w:tab w:val="right" w:leader="dot" w:pos="8306"/>
        </w:tabs>
      </w:pPr>
      <w:hyperlink w:anchor="_Toc26528" w:history="1">
        <w:r>
          <w:rPr>
            <w:rFonts w:ascii="仿宋" w:eastAsia="仿宋" w:hAnsi="仿宋" w:cs="仿宋" w:hint="eastAsia"/>
            <w:lang w:eastAsia="zh-CN"/>
          </w:rPr>
          <w:t>(二)、超纯水和超纯溶剂的制备设备项目法律合规要求</w:t>
        </w:r>
        <w:r>
          <w:tab/>
        </w:r>
        <w:r>
          <w:fldChar w:fldCharType="begin"/>
        </w:r>
        <w:r>
          <w:instrText xml:space="preserve"> PAGEREF _Toc26528 \h </w:instrText>
        </w:r>
        <w:r>
          <w:fldChar w:fldCharType="separate"/>
        </w:r>
        <w:r>
          <w:t>65</w:t>
        </w:r>
        <w:r>
          <w:fldChar w:fldCharType="end"/>
        </w:r>
      </w:hyperlink>
    </w:p>
    <w:p>
      <w:pPr>
        <w:pStyle w:val="TOC2"/>
        <w:tabs>
          <w:tab w:val="right" w:leader="dot" w:pos="8306"/>
        </w:tabs>
      </w:pPr>
      <w:hyperlink w:anchor="_Toc25325" w:history="1">
        <w:r>
          <w:rPr>
            <w:rFonts w:ascii="仿宋" w:eastAsia="仿宋" w:hAnsi="仿宋" w:cs="仿宋" w:hint="eastAsia"/>
            <w:lang w:eastAsia="zh-CN"/>
          </w:rPr>
          <w:t>(三)、超纯水和超纯溶剂的制备设备项目合同管理与法律事务</w:t>
        </w:r>
        <w:r>
          <w:tab/>
        </w:r>
        <w:r>
          <w:fldChar w:fldCharType="begin"/>
        </w:r>
        <w:r>
          <w:instrText xml:space="preserve"> PAGEREF _Toc25325 \h </w:instrText>
        </w:r>
        <w:r>
          <w:fldChar w:fldCharType="separate"/>
        </w:r>
        <w:r>
          <w:t>69</w:t>
        </w:r>
        <w:r>
          <w:fldChar w:fldCharType="end"/>
        </w:r>
      </w:hyperlink>
    </w:p>
    <w:p>
      <w:pPr>
        <w:pStyle w:val="TOC2"/>
        <w:tabs>
          <w:tab w:val="right" w:leader="dot" w:pos="8306"/>
        </w:tabs>
      </w:pPr>
      <w:hyperlink w:anchor="_Toc5260" w:history="1">
        <w:r>
          <w:rPr>
            <w:rFonts w:ascii="仿宋" w:eastAsia="仿宋" w:hAnsi="仿宋" w:cs="仿宋" w:hint="eastAsia"/>
            <w:lang w:eastAsia="zh-CN"/>
          </w:rPr>
          <w:t>(四)、超纯水和超纯溶剂的制备设备项目知识产权保护策略</w:t>
        </w:r>
        <w:r>
          <w:tab/>
        </w:r>
        <w:r>
          <w:fldChar w:fldCharType="begin"/>
        </w:r>
        <w:r>
          <w:instrText xml:space="preserve"> PAGEREF _Toc5260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5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5649"/>
      <w:r>
        <w:rPr>
          <w:rFonts w:ascii="仿宋" w:eastAsia="仿宋" w:hAnsi="仿宋" w:cs="仿宋" w:hint="eastAsia"/>
          <w:sz w:val="28"/>
          <w:lang w:eastAsia="zh-CN"/>
        </w:rPr>
        <w:t>一、超纯水和超纯溶剂的制备设备项目可持续发展</w:t>
      </w:r>
      <w:bookmarkEnd w:id="2"/>
    </w:p>
    <w:p>
      <w:pPr>
        <w:pStyle w:val="Heading2"/>
        <w:rPr>
          <w:rFonts w:ascii="仿宋" w:eastAsia="仿宋" w:hAnsi="仿宋" w:cs="仿宋" w:hint="eastAsia"/>
          <w:lang w:eastAsia="zh-CN"/>
        </w:rPr>
      </w:pPr>
      <w:bookmarkStart w:id="3" w:name="_Toc12241"/>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超纯水和超纯溶剂的制备设备项目中，超纯水和超纯溶剂的制备设备项目团队着眼于未来，明确了可持续发展的战略方向。制定的具体可持续发展目标包括降低资源使用、采用环保技术、最大化社会效益等。这一步骤不仅有助于超纯水和超纯溶剂的制备设备项目在环保和社会责任方面达到最高标准，也为未来提供了明确的指引，确保超纯水和超纯溶剂的制备设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可持续实践的融入超纯水和超纯溶剂的制备设备项目管理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超纯水和超纯溶剂的制备设备项目管理周期。从超纯水和超纯溶剂的制备设备项目规划开始，超纯水和超纯溶剂的制备设备项目团队就考虑了环境和社会的因素。在执行阶段，超纯水和超纯溶剂的制备设备项目团队积极推动绿色技术的应用，优化资源利用。此外，关注员工的社会责任，通过培训和沟通活动提高员工对可持续发展的认知，使他们能够在日常工作中践行可持续实践。这些举措不仅为超纯水和超纯溶剂的制备设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7991"/>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超纯水和超纯溶剂的制备设备项目的可持续发展理念，我们深信环保与社会责任是超纯水和超纯溶剂的制备设备项目成功的关键支柱。在超纯水和超纯溶剂的制备设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超纯水和超纯溶剂的制备设备项目团队通过引入先进的环保技术、建立高效的废物处理系统以及推动能源节约措施，积极履行环保责任。定期的环保监测和评估确保超纯水和超纯溶剂的制备设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超纯水和超纯溶剂的制备设备项目不仅致力于自身可持续发展，还注重对社会的回馈。通过支持社区超纯水和超纯溶剂的制备设备项目、参与慈善事业、提供培训机会等方式，超纯水和超纯溶剂的制备设备项目积极履行社会责任。与当地社区建立积极互动，关注员工的工作与生活平衡，以及员工的身心健康，是超纯水和超纯溶剂的制备设备项目在社会责任层面的关键举措。这样的实践不仅增强了超纯水和超纯溶剂的制备设备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2807"/>
      <w:r>
        <w:rPr>
          <w:rFonts w:ascii="仿宋" w:eastAsia="仿宋" w:hAnsi="仿宋" w:cs="仿宋" w:hint="eastAsia"/>
          <w:sz w:val="28"/>
          <w:lang w:eastAsia="zh-CN"/>
        </w:rPr>
        <w:t>二、超纯水和超纯溶剂的制备设备项目危机管理</w:t>
      </w:r>
      <w:bookmarkEnd w:id="5"/>
    </w:p>
    <w:p>
      <w:pPr>
        <w:pStyle w:val="Heading2"/>
        <w:rPr>
          <w:rFonts w:ascii="仿宋" w:eastAsia="仿宋" w:hAnsi="仿宋" w:cs="仿宋" w:hint="eastAsia"/>
          <w:lang w:eastAsia="zh-CN"/>
        </w:rPr>
      </w:pPr>
      <w:bookmarkStart w:id="6" w:name="_Toc4321"/>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超纯水和超纯溶剂的制备设备项目危机管理中，危机预警与识别是确保超纯水和超纯溶剂的制备设备项目稳健运行的核心步骤。通过建立全面的监测机制，超纯水和超纯溶剂的制备设备项目团队旨在及时发现和理解潜在的风险和危机因素，以便采取及时的预防和应对措施，确保超纯水和超纯溶剂的制备设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超纯水和超纯溶剂的制备设备项目团队全面分析了整个超纯水和超纯溶剂的制备设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超纯水和超纯溶剂的制备设备项目团队着重于明确定义超纯水和超纯溶剂的制备设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超纯水和超纯溶剂的制备设备项目进展的持续监控，团队能够及时发现潜在问题并作出迅速反应。超纯水和超纯溶剂的制备设备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超纯水和超纯溶剂的制备设备项目得以更有序、可控地推进。</w:t>
      </w:r>
    </w:p>
    <w:p>
      <w:pPr>
        <w:pStyle w:val="Heading2"/>
        <w:ind w:firstLine="560" w:firstLineChars="200"/>
        <w:rPr>
          <w:rFonts w:ascii="仿宋" w:eastAsia="仿宋" w:hAnsi="仿宋" w:cs="仿宋" w:hint="eastAsia"/>
          <w:sz w:val="28"/>
          <w:lang w:eastAsia="zh-CN"/>
        </w:rPr>
      </w:pPr>
      <w:bookmarkStart w:id="7" w:name="_Toc16255"/>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在危机发生时，超纯水和超纯溶剂的制备设备项目团队立即行动，成立了应急小组。该小组的任务是迅速制定并实施紧急应对措施，以最小化潜在损失。以下是采取的主要措施：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暂停超纯水和超纯溶剂的制备设备项目进度：为遏制危机蔓延，超纯水和超纯溶剂的制备设备项目暂时停止进行，以便全面评估当前状况。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资源重新分配：重新评估超纯水和超纯溶剂的制备设备项目资源的分配，确保最大限度地减小损失。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实时沟通：与关键利益相关者建立实时沟通机制，向他们传递超纯水和超纯溶剂的制备设备项目危机的实际状况，保障超纯水和超纯溶剂的制备设备项目核心利益。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在紧急应对的同时，超纯水和超纯溶剂的制备设备项目团队强调了团队协作和有效沟通的重要性。以下是团队协作的关键举措：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信息共享机制：建立了信息共享平台，确保团队成员能够及时获取超纯水和超纯溶剂的制备设备项目危机的实时信息。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领导者沟通：超纯水和超纯溶剂的制备设备项目领导者通过定期会议和即时沟通工具，指导团队应对危机，保持团队稳定运行。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随着危机得到初步控制，超纯水和超纯溶剂的制备设备项目团队转向制定恢复计划，以确保超纯水和超纯溶剂的制备设备项目能够从中迅速恢复。主要恢复计划包括：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修复受损的进度计划：重新评估超纯水和超纯溶剂的制备设备项目进度，制定修复计划，确保超纯水和超纯溶剂的制备设备项目尽快回归正常进程。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重新调整资源分配：优化资源分配，确保超纯水和超纯溶剂的制备设备项目在有限资源下高效运转。</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风险管理机制加强：对超纯水和超纯溶剂的制备设备项目风险进行全面评估，制定更强化的风险管理策略，以预防未来可能的危机。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7248"/>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11600"/>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超纯水和超纯溶剂的制备设备项目的技术管理特点体现在其创新导向。通过引入最先进的技术趋势和解决方案，超纯水和超纯溶剂的制备设备项目致力于提升科技含量、提高质量和效率水平。这意味着我们将采用最新的工具和方法，确保超纯水和超纯溶剂的制备设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超纯水和超纯溶剂的制备设备项目技术管理的显著特征。通过整合不同领域的技术资源，我们实现了跨学科的协同工作。这有助于优化技术架构，提高整体效能。此外，整合性策略还促进了不同技术团队之间的紧密沟通和高效合作，确保超纯水和超纯溶剂的制备设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超纯水和超纯溶剂的制备设备项目所采用的技术。通过不断优化技术方案，超纯水和超纯溶剂的制备设备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超纯水和超纯溶剂的制备设备项目团队将在超纯水和超纯溶剂的制备设备项目初期识别可能的技术风险，并采取相应的预防和应对措施。通过建立健全的风险评估机制，超纯水和超纯溶剂的制备设备项目能够在实施过程中及时发现并解决潜在的技术问题，保障超纯水和超纯溶剂的制备设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超纯水和超纯溶剂的制备设备项目中，技术将成为超纯水和超纯溶剂的制备设备项目成功的有力支持。这一深度剖析揭示了技术管理在超纯水和超纯溶剂的制备设备项目实施中的关键作用，为超纯水和超纯溶剂的制备设备项目的技术基础奠定了坚实的基础。</w:t>
      </w:r>
    </w:p>
    <w:p>
      <w:pPr>
        <w:pStyle w:val="Heading2"/>
        <w:ind w:firstLine="560" w:firstLineChars="200"/>
        <w:rPr>
          <w:rFonts w:ascii="仿宋" w:eastAsia="仿宋" w:hAnsi="仿宋" w:cs="仿宋" w:hint="eastAsia"/>
          <w:sz w:val="28"/>
          <w:lang w:eastAsia="zh-CN"/>
        </w:rPr>
      </w:pPr>
      <w:bookmarkStart w:id="10" w:name="_Toc8102"/>
      <w:r>
        <w:rPr>
          <w:rFonts w:ascii="仿宋" w:eastAsia="仿宋" w:hAnsi="仿宋" w:cs="仿宋" w:hint="eastAsia"/>
          <w:sz w:val="28"/>
          <w:lang w:eastAsia="zh-CN"/>
        </w:rPr>
        <w:t>(二)、超纯水和超纯溶剂的制备设备项目工艺技术设计方案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超纯水和超纯溶剂的制备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超纯水和超纯溶剂的制备设备项目将严格按照相关行业规范要求进行组织。通过有效控制产品质量，超纯水和超纯溶剂的制备设备项目将致力于为顾客提供优质的超纯水和超纯溶剂的制备设备项目产品和良好的服务。这体现了超纯水和超纯溶剂的制备设备项目对于生产活动合规性和质量标准的高度重视，为超纯水和超纯溶剂的制备设备项目的可持续发展和顾客满意度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超纯水和超纯溶剂的制备设备项目注重生态效益和清洁生产原则。超纯水和超纯溶剂的制备设备项目建设将紧密结合地方特色经济发展，与社会经济发展规划和区域环境保护规划方案相协调一致。通过与当地区域自然生态系统的结合，超纯水和超纯溶剂的制备设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超纯水和超纯溶剂的制备设备项目产品具有多样化的客户需求和个性化的特点。因此，超纯水和超纯溶剂的制备设备项目产品规格品种多样，且单批生产数量较小。为满足这一特点，超纯水和超纯溶剂的制备设备项目承办单位将建设先进的柔性制造生产线。通过广泛应用柔性制造技术，超纯水和超纯溶剂的制备设备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超纯水和超纯溶剂的制备设备项目采用的技术具有较高的技术含量和自动化水平，处于国内先进水平。这一技术选用不仅体现了对生产效率、质量和环境友好性的高标准要求，同时为超纯水和超纯溶剂的制备设备项目的可持续发展奠定了坚实的基础。</w:t>
      </w:r>
    </w:p>
    <w:p>
      <w:pPr>
        <w:pStyle w:val="Heading2"/>
        <w:ind w:firstLine="560" w:firstLineChars="200"/>
        <w:rPr>
          <w:rFonts w:ascii="仿宋" w:eastAsia="仿宋" w:hAnsi="仿宋" w:cs="仿宋" w:hint="eastAsia"/>
          <w:sz w:val="28"/>
          <w:lang w:eastAsia="zh-CN"/>
        </w:rPr>
      </w:pPr>
      <w:bookmarkStart w:id="11" w:name="_Toc17808"/>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为确保超纯水和超纯溶剂的制备设备项目的高效生产和技术实施，我们制定了一套精心设计的设备选型方案，以满足超纯水和超纯溶剂的制备设备项目生产、质量和环保的要求。该方案的主要特点如下：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超纯水和超纯溶剂的制备设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超纯水和超纯溶剂的制备设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22078"/>
      <w:r>
        <w:rPr>
          <w:rFonts w:ascii="仿宋" w:eastAsia="仿宋" w:hAnsi="仿宋" w:cs="仿宋" w:hint="eastAsia"/>
          <w:sz w:val="28"/>
          <w:lang w:eastAsia="zh-CN"/>
        </w:rPr>
        <w:t>四、超纯水和超纯溶剂的制备设备项目选址可行性分析</w:t>
      </w:r>
      <w:bookmarkEnd w:id="12"/>
    </w:p>
    <w:p>
      <w:pPr>
        <w:pStyle w:val="Heading2"/>
        <w:rPr>
          <w:rFonts w:ascii="仿宋" w:eastAsia="仿宋" w:hAnsi="仿宋" w:cs="仿宋" w:hint="eastAsia"/>
          <w:lang w:eastAsia="zh-CN"/>
        </w:rPr>
      </w:pPr>
      <w:bookmarkStart w:id="13" w:name="_Toc29029"/>
      <w:r>
        <w:rPr>
          <w:rFonts w:ascii="仿宋" w:eastAsia="仿宋" w:hAnsi="仿宋" w:cs="仿宋" w:hint="eastAsia"/>
          <w:lang w:eastAsia="zh-CN"/>
        </w:rPr>
        <w:t>(一)、超纯水和超纯溶剂的制备设备项目选址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该超纯水和超纯溶剂的制备设备项目选址位于XX省XX市XX区XXX街道</w:t>
      </w:r>
    </w:p>
    <w:p>
      <w:pPr>
        <w:pStyle w:val="Heading2"/>
        <w:ind w:firstLine="560" w:firstLineChars="200"/>
        <w:rPr>
          <w:rFonts w:ascii="仿宋" w:eastAsia="仿宋" w:hAnsi="仿宋" w:cs="仿宋" w:hint="eastAsia"/>
          <w:sz w:val="28"/>
          <w:lang w:eastAsia="zh-CN"/>
        </w:rPr>
      </w:pPr>
      <w:bookmarkStart w:id="14" w:name="_Toc31500"/>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超纯水和超纯溶剂的制备设备项目的征地面积将根据超纯水和超纯溶剂的制备设备项目的实际规模和需求进行精确规划。具体面积XXX平方米，旨在确保超纯水和超纯溶剂的制备设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净用地面积是在征地面积基础上去除不可利用面积后的实际可开发用地。具体面积XXX平方米，考虑到环保、交通、安全等多方面因素，以确保超纯水和超纯溶剂的制备设备项目在整体利用效率上达到最优。</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3. 建筑面积： 超纯水和超纯溶剂的制备设备项目计划建设的建筑总规模具体面积XXX平方米。这一规模的确定综合考虑了超纯水和超纯溶剂的制备设备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超纯水和超纯溶剂的制备设备项目用地中被规划为绿地的比例。具体面积XXX平方米，旨在通过合理规划绿地，改善超纯水和超纯溶剂的制备设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容积率是用地上可以建设的建筑总体积与用地面积之比。具体面积XXX，通过合理的容积率规划，确保超纯水和超纯溶剂的制备设备项目建筑规模与周边环境和谐共生。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超纯水和超纯溶剂的制备设备项目选址与当地城市规划相一致，具体面积XXX平方米。通过与城市规划部门深入沟通，确保超纯水和超纯溶剂的制备设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超纯水和超纯溶剂的制备设备项目选址符合当地产业政策，具体面积XXX平方米。这包括超纯水和超纯溶剂的制备设备项目对当地经济的促进作用，以及对相关产业的带动效应，确保超纯水和超纯溶剂的制备设备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超纯水和超纯溶剂的制备设备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超纯水和超纯溶剂的制备设备项目选址具备必要的公共设施配套，具体面积XXX平方米。这包括交通便利性、教育、医疗等基础设施，以提高居民生活品质，使得超纯水和超纯溶剂的制备设备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考虑用地总体要求对当地社会稳定性的影响，具体面积XXX平方米。通过深入了解当地社区反馈，确保超纯水和超纯溶剂的制备设备项目的选址和建设过程对当地社会和谐稳定产生积极作用。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超纯水和超纯溶剂的制备设备项目选址不仅符合法规和规划，还在实际操作中具有可行性。这一全面规划将为超纯水和超纯溶剂的制备设备项目的成功实施提供坚实的基础，确保超纯水和超纯溶剂的制备设备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17583"/>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超纯水和超纯溶剂的制备设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超纯水和超纯溶剂的制备设备项目的设备规划和空间设计中，我们将采取灵活设备布局的措施。设备布局将根据实际需求进行灵活设计，避免不必要的浪费。通过合理规划设备摆放位置，我们将提高设备的利用率，减少设备间距，以确保超纯水和超纯溶剂的制备设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超纯水和超纯溶剂的制备设备项目内部引入共享设施的概念，例如共享会议室、办公区等。通过这种方式，我们可以减少对资源的重复建设，提高资源共享效率，从而减小超纯水和超纯溶剂的制备设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3119"/>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超纯水和超纯溶剂的制备设备项目的总图布置中，我们将不同功能区域进行明确的规划，以最大程度满足超纯水和超纯溶剂的制备设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32745"/>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https://d.book118.com/938130000015006025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超纯水和超纯溶剂的制备设备项目规划设计纲要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超纯水和超纯溶剂的制备设备项目规划设计纲要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超纯水和超纯溶剂的制备设备项目规划设计纲要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超纯水和超纯溶剂的制备设备项目规划设计纲要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超纯水和超纯溶剂的制备设备项目规划设计纲要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超纯水和超纯溶剂的制备设备项目规划设计纲要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超纯水和超纯溶剂的制备设备项目规划设计纲要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超纯水和超纯溶剂的制备设备项目规划设计纲要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超纯水和超纯溶剂的制备设备项目规划设计纲要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超纯水和超纯溶剂的制备设备项目规划设计纲要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超纯水和超纯溶剂的制备设备项目规划设计纲要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超纯水和超纯溶剂的制备设备项目规划设计纲要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超纯水和超纯溶剂的制备设备项目规划设计纲要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超纯水和超纯溶剂的制备设备项目规划设计纲要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超纯水和超纯溶剂的制备设备项目规划设计纲要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超纯水和超纯溶剂的制备设备项目规划设计纲要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超纯水和超纯溶剂的制备设备项目规划设计纲要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572200"/>
    <w:rsid w:val="755722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38130000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2024-01-08T01:37:00Z</dcterms:created>
  <dcterms:modified xsi:type="dcterms:W3CDTF">2024-01-08T01:38:05Z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BCA570B7E8DE4079BDF48B8AE6D29985_11</vt:lpwstr>
  </property>
  <property fmtid="{D5CDD505-2E9C-101B-9397-08002B2CF9AE}" pid="3" name="KSOProductBuildVer">
    <vt:lpwstr>2052-12.1.0.16120</vt:lpwstr>
  </property>
</Properties>
</file>