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pict>
          <v:group id="_x0000_s1025" style="width:681.45pt;height:1054pt;margin-top:92pt;margin-left:80.59pt;mso-position-horizontal-relative:page;mso-position-vertical-relative:page;position:absolute;z-index:-251658240" coordorigin="1612,1840" coordsize="13629,210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650;height:552;left:2600;position:absolute;top:3653" stroked="f">
              <v:imagedata r:id="rId4" o:title=""/>
            </v:shape>
            <v:shape id="_x0000_s1027" type="#_x0000_t75" style="width:450;height:338;left:2700;position:absolute;top:3753" stroked="f">
              <v:imagedata r:id="rId5" o:title=""/>
            </v:shape>
            <v:shape id="_x0000_s1028" type="#_x0000_t75" style="width:809;height:728;left:1611;position:absolute;top:6151" stroked="f">
              <v:imagedata r:id="rId6" o:title=""/>
            </v:shape>
            <v:shape id="_x0000_s1029" type="#_x0000_t75" style="width:609;height:490;left:1711;position:absolute;top:6250" stroked="f">
              <v:imagedata r:id="rId7" o:title=""/>
            </v:shape>
            <v:shape id="_x0000_s1030" type="#_x0000_t75" style="width:809;height:728;left:1611;position:absolute;top:7087" stroked="f">
              <v:imagedata r:id="rId6" o:title=""/>
            </v:shape>
            <v:shape id="_x0000_s1031" type="#_x0000_t75" style="width:609;height:490;left:1711;position:absolute;top:7186" stroked="f">
              <v:imagedata r:id="rId8" o:title=""/>
            </v:shape>
            <v:shape id="_x0000_s1032" type="#_x0000_t75" style="width:809;height:728;left:1611;position:absolute;top:9895" stroked="f">
              <v:imagedata r:id="rId6" o:title=""/>
            </v:shape>
            <v:shape id="_x0000_s1033" type="#_x0000_t75" style="width:609;height:490;left:1711;position:absolute;top:9994" stroked="f">
              <v:imagedata r:id="rId7" o:title=""/>
            </v:shape>
            <v:shape id="_x0000_s1034" type="#_x0000_t75" style="width:809;height:728;left:1611;position:absolute;top:10831" stroked="f">
              <v:imagedata r:id="rId6" o:title=""/>
            </v:shape>
            <v:shape id="_x0000_s1035" type="#_x0000_t75" style="width:609;height:490;left:1711;position:absolute;top:10930" stroked="f">
              <v:imagedata r:id="rId8" o:title=""/>
            </v:shape>
            <v:shape id="_x0000_s1036" type="#_x0000_t75" style="width:809;height:708;left:1611;position:absolute;top:12702" stroked="f">
              <v:imagedata r:id="rId9" o:title=""/>
            </v:shape>
            <v:shape id="_x0000_s1037" type="#_x0000_t75" style="width:609;height:490;left:1711;position:absolute;top:12802" stroked="f">
              <v:imagedata r:id="rId7" o:title=""/>
            </v:shape>
            <v:shape id="_x0000_s1038" type="#_x0000_t75" style="width:809;height:728;left:1611;position:absolute;top:13639" stroked="f">
              <v:imagedata r:id="rId6" o:title=""/>
            </v:shape>
            <v:shape id="_x0000_s1039" type="#_x0000_t75" style="width:609;height:490;left:1711;position:absolute;top:13738" stroked="f">
              <v:imagedata r:id="rId8" o:title=""/>
            </v:shape>
            <v:shape id="_x0000_s1040" type="#_x0000_t75" style="width:809;height:728;left:1611;position:absolute;top:15978" stroked="f">
              <v:imagedata r:id="rId6" o:title=""/>
            </v:shape>
            <v:shape id="_x0000_s1041" type="#_x0000_t75" style="width:609;height:490;left:1711;position:absolute;top:16078" stroked="f">
              <v:imagedata r:id="rId7" o:title=""/>
            </v:shape>
            <v:shape id="_x0000_s1042" type="#_x0000_t75" style="width:809;height:728;left:1611;position:absolute;top:16914" stroked="f">
              <v:imagedata r:id="rId6" o:title=""/>
            </v:shape>
            <v:shape id="_x0000_s1043" type="#_x0000_t75" style="width:609;height:490;left:1711;position:absolute;top:17014" stroked="f">
              <v:imagedata r:id="rId8" o:title=""/>
            </v:shape>
            <v:shape id="_x0000_s1044" type="#_x0000_t75" style="width:809;height:728;left:1611;position:absolute;top:18318" stroked="f">
              <v:imagedata r:id="rId6" o:title=""/>
            </v:shape>
            <v:shape id="_x0000_s1045" type="#_x0000_t75" style="width:609;height:490;left:1711;position:absolute;top:18418" stroked="f">
              <v:imagedata r:id="rId7" o:title=""/>
            </v:shape>
            <v:shape id="_x0000_s1046" type="#_x0000_t75" style="width:809;height:728;left:1611;position:absolute;top:19254" stroked="f">
              <v:imagedata r:id="rId6" o:title=""/>
            </v:shape>
            <v:shape id="_x0000_s1047" type="#_x0000_t75" style="width:609;height:490;left:1711;position:absolute;top:19354" stroked="f">
              <v:imagedata r:id="rId8" o:title=""/>
            </v:shape>
            <v:shape id="_x0000_s1048" type="#_x0000_t75" style="width:809;height:728;left:1611;position:absolute;top:21127" stroked="f">
              <v:imagedata r:id="rId6" o:title=""/>
            </v:shape>
            <v:shape id="_x0000_s1049" type="#_x0000_t75" style="width:609;height:490;left:1711;position:absolute;top:21226" stroked="f">
              <v:imagedata r:id="rId7" o:title=""/>
            </v:shape>
            <v:shape id="_x0000_s1050" type="#_x0000_t75" style="width:13580;height:21080;left:1660;position:absolute;top:1840" stroked="f">
              <v:imagedata r:id="rId10" o:title=""/>
            </v:shape>
            <v:shape id="_x0000_s1051" type="#_x0000_t75" style="width:809;height:708;left:1611;position:absolute;top:22062" stroked="f">
              <v:imagedata r:id="rId9" o:title=""/>
            </v:shape>
            <v:shape id="_x0000_s1052" type="#_x0000_t75" style="width:609;height:490;left:1711;position:absolute;top:22162" stroked="f">
              <v:imagedata r:id="rId8" o:title=""/>
            </v:shape>
          </v:group>
        </w:pict>
      </w:r>
      <w:r>
        <w:rPr>
          <w:color w:val="155866"/>
        </w:rPr>
        <w:t>商法-第 5 次任务_0052</w:t>
      </w:r>
    </w:p>
    <w:p>
      <w:pPr>
        <w:pStyle w:val="BodyText"/>
        <w:tabs>
          <w:tab w:val="left" w:pos="3600"/>
        </w:tabs>
        <w:spacing w:before="351"/>
        <w:ind w:right="3812"/>
        <w:jc w:val="right"/>
      </w:pPr>
      <w:r>
        <w:rPr>
          <w:color w:val="155866"/>
        </w:rPr>
        <w:t>试卷总分：100</w:t>
        <w:tab/>
      </w:r>
      <w:r>
        <w:rPr>
          <w:color w:val="155866"/>
          <w:w w:val="95"/>
        </w:rPr>
        <w:t>测试时间：90</w:t>
      </w:r>
    </w:p>
    <w:p>
      <w:pPr>
        <w:tabs>
          <w:tab w:val="left" w:pos="1108"/>
          <w:tab w:val="left" w:pos="2757"/>
          <w:tab w:val="left" w:pos="4410"/>
        </w:tabs>
        <w:spacing w:before="138"/>
        <w:ind w:left="0" w:right="3778" w:firstLine="0"/>
        <w:jc w:val="right"/>
        <w:rPr>
          <w:sz w:val="27"/>
        </w:rPr>
      </w:pPr>
      <w:r>
        <w:rPr>
          <w:color w:val="155866"/>
          <w:sz w:val="27"/>
        </w:rPr>
        <w:t>判断题</w:t>
        <w:tab/>
        <w:t>单项选择题</w:t>
        <w:tab/>
        <w:t>多项选择题</w:t>
        <w:tab/>
        <w:t>案例选择题</w:t>
      </w:r>
    </w:p>
    <w:p>
      <w:pPr>
        <w:pStyle w:val="Heading1"/>
        <w:tabs>
          <w:tab w:val="left" w:pos="3958"/>
          <w:tab w:val="left" w:pos="4568"/>
          <w:tab w:val="left" w:pos="6371"/>
          <w:tab w:val="left" w:pos="6976"/>
        </w:tabs>
        <w:ind w:left="1550"/>
      </w:pPr>
      <w:r>
        <w:rPr>
          <w:color w:val="2E6B51"/>
        </w:rPr>
        <w:t>一、判断题（共</w:t>
        <w:tab/>
        <w:t>30</w:t>
        <w:tab/>
        <w:t>道试题，共</w:t>
        <w:tab/>
        <w:t>15</w:t>
        <w:tab/>
        <w:t>分。）</w:t>
      </w:r>
    </w:p>
    <w:p>
      <w:pPr>
        <w:pStyle w:val="ListParagraph"/>
        <w:numPr>
          <w:ilvl w:val="0"/>
          <w:numId w:val="6"/>
        </w:numPr>
        <w:tabs>
          <w:tab w:val="left" w:pos="1460"/>
          <w:tab w:val="left" w:pos="1461"/>
        </w:tabs>
        <w:spacing w:before="62" w:after="0" w:line="292" w:lineRule="auto"/>
        <w:ind w:left="1100" w:right="294" w:hanging="540"/>
        <w:jc w:val="left"/>
        <w:rPr>
          <w:sz w:val="30"/>
        </w:rPr>
      </w:pPr>
      <w:r>
        <w:tab/>
      </w:r>
      <w:r>
        <w:rPr>
          <w:sz w:val="30"/>
        </w:rPr>
        <w:t xml:space="preserve">违反《中华人民共和国证券法》规定，操纵证券市场的，责令依法处理其非法持有的证券， </w:t>
      </w:r>
      <w:r>
        <w:rPr>
          <w:spacing w:val="-10"/>
          <w:w w:val="95"/>
          <w:sz w:val="30"/>
        </w:rPr>
        <w:t xml:space="preserve">没收违法所得，并处以违法所得一倍以上五倍以下的罚款；没有违法所得或者违法所得不足三十   </w:t>
      </w:r>
      <w:r>
        <w:rPr>
          <w:spacing w:val="-12"/>
          <w:w w:val="95"/>
          <w:sz w:val="30"/>
        </w:rPr>
        <w:t xml:space="preserve">万元的，处以三十万元以上三百万元以下的罚款。单位操纵证券市场的，还应当对直接负责的主 </w:t>
      </w:r>
      <w:r>
        <w:rPr>
          <w:spacing w:val="110"/>
          <w:w w:val="95"/>
          <w:sz w:val="30"/>
        </w:rPr>
        <w:t xml:space="preserve"> </w:t>
      </w:r>
      <w:r>
        <w:rPr>
          <w:sz w:val="30"/>
        </w:rPr>
        <w:t>管人员和其他直接责任人员给予警告，并处以十万元以上六十万元以下的罚款。</w:t>
      </w:r>
    </w:p>
    <w:p>
      <w:pPr>
        <w:pStyle w:val="BodyText"/>
        <w:spacing w:before="11"/>
        <w:rPr>
          <w:sz w:val="25"/>
        </w:rPr>
      </w:pPr>
    </w:p>
    <w:p>
      <w:pPr>
        <w:pStyle w:val="ListParagraph"/>
        <w:numPr>
          <w:ilvl w:val="1"/>
          <w:numId w:val="6"/>
        </w:numPr>
        <w:tabs>
          <w:tab w:val="left" w:pos="1173"/>
        </w:tabs>
        <w:spacing w:before="0" w:after="0" w:line="240" w:lineRule="auto"/>
        <w:ind w:left="1172" w:right="0" w:hanging="454"/>
        <w:jc w:val="left"/>
        <w:rPr>
          <w:sz w:val="30"/>
        </w:rPr>
      </w:pPr>
      <w:r>
        <w:rPr>
          <w:w w:val="95"/>
          <w:sz w:val="30"/>
        </w:rPr>
        <w:t>错误</w:t>
      </w:r>
    </w:p>
    <w:p>
      <w:pPr>
        <w:pStyle w:val="BodyText"/>
        <w:rPr>
          <w:sz w:val="43"/>
        </w:rPr>
      </w:pPr>
    </w:p>
    <w:p>
      <w:pPr>
        <w:pStyle w:val="ListParagraph"/>
        <w:numPr>
          <w:ilvl w:val="1"/>
          <w:numId w:val="6"/>
        </w:numPr>
        <w:tabs>
          <w:tab w:val="left" w:pos="1173"/>
        </w:tabs>
        <w:spacing w:before="1" w:after="0" w:line="240" w:lineRule="auto"/>
        <w:ind w:left="1172" w:right="0" w:hanging="454"/>
        <w:jc w:val="left"/>
        <w:rPr>
          <w:sz w:val="30"/>
        </w:rPr>
      </w:pPr>
      <w:r>
        <w:rPr>
          <w:w w:val="95"/>
          <w:sz w:val="30"/>
        </w:rPr>
        <w:t>正确</w:t>
      </w:r>
    </w:p>
    <w:p>
      <w:pPr>
        <w:pStyle w:val="ListParagraph"/>
        <w:numPr>
          <w:ilvl w:val="0"/>
          <w:numId w:val="6"/>
        </w:numPr>
        <w:tabs>
          <w:tab w:val="left" w:pos="1460"/>
          <w:tab w:val="left" w:pos="1461"/>
        </w:tabs>
        <w:spacing w:before="217" w:after="0" w:line="292" w:lineRule="auto"/>
        <w:ind w:left="1100" w:right="292" w:hanging="540"/>
        <w:jc w:val="left"/>
        <w:rPr>
          <w:sz w:val="30"/>
        </w:rPr>
      </w:pPr>
      <w:r>
        <w:tab/>
      </w:r>
      <w:r>
        <w:rPr>
          <w:sz w:val="30"/>
        </w:rPr>
        <w:t>证券公司违反《中华人民共和国证券法》规定，为客户买卖证券提供融资融券的，没收违法</w:t>
      </w:r>
      <w:r>
        <w:rPr>
          <w:spacing w:val="-11"/>
          <w:w w:val="95"/>
          <w:sz w:val="30"/>
        </w:rPr>
        <w:t xml:space="preserve">所得，暂停或者撤销相关业务许可，并处以非法融资融券等值以下的罚款。对直接负责的主管人 </w:t>
      </w:r>
      <w:r>
        <w:rPr>
          <w:spacing w:val="110"/>
          <w:w w:val="95"/>
          <w:sz w:val="30"/>
        </w:rPr>
        <w:t xml:space="preserve"> </w:t>
      </w:r>
      <w:r>
        <w:rPr>
          <w:spacing w:val="-7"/>
          <w:w w:val="95"/>
          <w:sz w:val="30"/>
        </w:rPr>
        <w:t xml:space="preserve">员和其他直接责任人员给予警告，撤销任职资格或者证券从业资格，并处以三万元以上三十万元   </w:t>
      </w:r>
      <w:r>
        <w:rPr>
          <w:sz w:val="30"/>
        </w:rPr>
        <w:t>以下的罚款。</w:t>
      </w:r>
    </w:p>
    <w:p>
      <w:pPr>
        <w:pStyle w:val="BodyText"/>
        <w:spacing w:before="11"/>
        <w:rPr>
          <w:sz w:val="25"/>
        </w:rPr>
      </w:pPr>
    </w:p>
    <w:p>
      <w:pPr>
        <w:pStyle w:val="ListParagraph"/>
        <w:numPr>
          <w:ilvl w:val="1"/>
          <w:numId w:val="6"/>
        </w:numPr>
        <w:tabs>
          <w:tab w:val="left" w:pos="1173"/>
        </w:tabs>
        <w:spacing w:before="0" w:after="0" w:line="240" w:lineRule="auto"/>
        <w:ind w:left="1172" w:right="0" w:hanging="454"/>
        <w:jc w:val="left"/>
        <w:rPr>
          <w:sz w:val="30"/>
        </w:rPr>
      </w:pPr>
      <w:r>
        <w:rPr>
          <w:w w:val="95"/>
          <w:sz w:val="30"/>
        </w:rPr>
        <w:t>错误</w:t>
      </w:r>
    </w:p>
    <w:p>
      <w:pPr>
        <w:pStyle w:val="BodyText"/>
        <w:spacing w:before="1"/>
        <w:rPr>
          <w:sz w:val="43"/>
        </w:rPr>
      </w:pPr>
    </w:p>
    <w:p>
      <w:pPr>
        <w:pStyle w:val="ListParagraph"/>
        <w:numPr>
          <w:ilvl w:val="1"/>
          <w:numId w:val="6"/>
        </w:numPr>
        <w:tabs>
          <w:tab w:val="left" w:pos="1173"/>
        </w:tabs>
        <w:spacing w:before="0" w:after="0" w:line="240" w:lineRule="auto"/>
        <w:ind w:left="1172" w:right="0" w:hanging="454"/>
        <w:jc w:val="left"/>
        <w:rPr>
          <w:sz w:val="30"/>
        </w:rPr>
      </w:pPr>
      <w:r>
        <w:rPr>
          <w:w w:val="95"/>
          <w:sz w:val="30"/>
        </w:rPr>
        <w:t>正确</w:t>
      </w:r>
    </w:p>
    <w:p>
      <w:pPr>
        <w:pStyle w:val="ListParagraph"/>
        <w:numPr>
          <w:ilvl w:val="0"/>
          <w:numId w:val="6"/>
        </w:numPr>
        <w:tabs>
          <w:tab w:val="left" w:pos="1460"/>
          <w:tab w:val="left" w:pos="1461"/>
        </w:tabs>
        <w:spacing w:before="217" w:after="0" w:line="292" w:lineRule="auto"/>
        <w:ind w:left="1100" w:right="426" w:hanging="540"/>
        <w:jc w:val="left"/>
        <w:rPr>
          <w:sz w:val="30"/>
        </w:rPr>
      </w:pPr>
      <w:r>
        <w:tab/>
      </w:r>
      <w:r>
        <w:rPr>
          <w:spacing w:val="-1"/>
          <w:w w:val="95"/>
          <w:sz w:val="30"/>
        </w:rPr>
        <w:t xml:space="preserve">上市公司非公开发行新股，应当符合经国务院批准的国务院证券监督管理机构规定的条件，   </w:t>
      </w:r>
      <w:r>
        <w:rPr>
          <w:sz w:val="30"/>
        </w:rPr>
        <w:t>并报国务院证券监督管理机构核准。</w:t>
      </w:r>
    </w:p>
    <w:p>
      <w:pPr>
        <w:pStyle w:val="BodyText"/>
        <w:rPr>
          <w:sz w:val="26"/>
        </w:rPr>
      </w:pPr>
    </w:p>
    <w:p>
      <w:pPr>
        <w:pStyle w:val="ListParagraph"/>
        <w:numPr>
          <w:ilvl w:val="1"/>
          <w:numId w:val="6"/>
        </w:numPr>
        <w:tabs>
          <w:tab w:val="left" w:pos="1173"/>
        </w:tabs>
        <w:spacing w:before="0" w:after="0" w:line="240" w:lineRule="auto"/>
        <w:ind w:left="1172" w:right="0" w:hanging="454"/>
        <w:jc w:val="left"/>
        <w:rPr>
          <w:sz w:val="30"/>
        </w:rPr>
      </w:pPr>
      <w:r>
        <w:rPr>
          <w:w w:val="95"/>
          <w:sz w:val="30"/>
        </w:rPr>
        <w:t>错误</w:t>
      </w:r>
    </w:p>
    <w:p>
      <w:pPr>
        <w:pStyle w:val="BodyText"/>
        <w:rPr>
          <w:sz w:val="43"/>
        </w:rPr>
      </w:pPr>
    </w:p>
    <w:p>
      <w:pPr>
        <w:pStyle w:val="ListParagraph"/>
        <w:numPr>
          <w:ilvl w:val="1"/>
          <w:numId w:val="6"/>
        </w:numPr>
        <w:tabs>
          <w:tab w:val="left" w:pos="1173"/>
        </w:tabs>
        <w:spacing w:before="1" w:after="0" w:line="240" w:lineRule="auto"/>
        <w:ind w:left="1172" w:right="0" w:hanging="454"/>
        <w:jc w:val="left"/>
        <w:rPr>
          <w:sz w:val="30"/>
        </w:rPr>
      </w:pPr>
      <w:r>
        <w:rPr>
          <w:w w:val="95"/>
          <w:sz w:val="30"/>
        </w:rPr>
        <w:t>正确</w:t>
      </w:r>
    </w:p>
    <w:p>
      <w:pPr>
        <w:pStyle w:val="ListParagraph"/>
        <w:numPr>
          <w:ilvl w:val="0"/>
          <w:numId w:val="6"/>
        </w:numPr>
        <w:tabs>
          <w:tab w:val="left" w:pos="1460"/>
          <w:tab w:val="left" w:pos="1461"/>
        </w:tabs>
        <w:spacing w:before="216" w:after="0" w:line="292" w:lineRule="auto"/>
        <w:ind w:left="1100" w:right="289" w:hanging="540"/>
        <w:jc w:val="left"/>
        <w:rPr>
          <w:sz w:val="30"/>
        </w:rPr>
      </w:pPr>
      <w:r>
        <w:tab/>
      </w:r>
      <w:r>
        <w:rPr>
          <w:sz w:val="30"/>
        </w:rPr>
        <w:t>违反《中华人民共和国证券法》规定，聘任不具有任职资格、证券从业资格的人员的，由证</w:t>
      </w:r>
      <w:r>
        <w:rPr>
          <w:spacing w:val="-8"/>
          <w:w w:val="95"/>
          <w:sz w:val="30"/>
        </w:rPr>
        <w:t xml:space="preserve">券监督管理机构责令改正，给予警告，可以并处十万元以上三十万元以下的罚款；对直接负责的   </w:t>
      </w:r>
      <w:r>
        <w:rPr>
          <w:sz w:val="30"/>
        </w:rPr>
        <w:t>主管人员给予警告，可以并处三万元以上十万元以下的罚款。</w:t>
      </w:r>
    </w:p>
    <w:p>
      <w:pPr>
        <w:pStyle w:val="BodyText"/>
        <w:spacing w:before="12"/>
        <w:rPr>
          <w:sz w:val="25"/>
        </w:rPr>
      </w:pPr>
    </w:p>
    <w:p>
      <w:pPr>
        <w:pStyle w:val="ListParagraph"/>
        <w:numPr>
          <w:ilvl w:val="1"/>
          <w:numId w:val="6"/>
        </w:numPr>
        <w:tabs>
          <w:tab w:val="left" w:pos="1173"/>
        </w:tabs>
        <w:spacing w:before="0" w:after="0" w:line="240" w:lineRule="auto"/>
        <w:ind w:left="1172" w:right="0" w:hanging="454"/>
        <w:jc w:val="left"/>
        <w:rPr>
          <w:sz w:val="30"/>
        </w:rPr>
      </w:pPr>
      <w:r>
        <w:rPr>
          <w:w w:val="95"/>
          <w:sz w:val="30"/>
        </w:rPr>
        <w:t>错误</w:t>
      </w:r>
    </w:p>
    <w:p>
      <w:pPr>
        <w:pStyle w:val="BodyText"/>
        <w:spacing w:before="1"/>
        <w:rPr>
          <w:sz w:val="43"/>
        </w:rPr>
      </w:pPr>
    </w:p>
    <w:p>
      <w:pPr>
        <w:pStyle w:val="ListParagraph"/>
        <w:numPr>
          <w:ilvl w:val="1"/>
          <w:numId w:val="6"/>
        </w:numPr>
        <w:tabs>
          <w:tab w:val="left" w:pos="1173"/>
        </w:tabs>
        <w:spacing w:before="0" w:after="0" w:line="240" w:lineRule="auto"/>
        <w:ind w:left="1172" w:right="0" w:hanging="454"/>
        <w:jc w:val="left"/>
        <w:rPr>
          <w:sz w:val="30"/>
        </w:rPr>
      </w:pPr>
      <w:r>
        <w:rPr>
          <w:w w:val="95"/>
          <w:sz w:val="30"/>
        </w:rPr>
        <w:t>正确</w:t>
      </w:r>
    </w:p>
    <w:p>
      <w:pPr>
        <w:pStyle w:val="ListParagraph"/>
        <w:numPr>
          <w:ilvl w:val="0"/>
          <w:numId w:val="6"/>
        </w:numPr>
        <w:tabs>
          <w:tab w:val="left" w:pos="1460"/>
          <w:tab w:val="left" w:pos="1461"/>
        </w:tabs>
        <w:spacing w:before="217" w:after="0" w:line="240" w:lineRule="auto"/>
        <w:ind w:left="1460" w:right="0" w:hanging="901"/>
        <w:jc w:val="left"/>
        <w:rPr>
          <w:sz w:val="30"/>
        </w:rPr>
      </w:pPr>
      <w:r>
        <w:rPr>
          <w:spacing w:val="-4"/>
          <w:sz w:val="30"/>
        </w:rPr>
        <w:t xml:space="preserve">现行的《中华人民共和国证券法》自 </w:t>
      </w:r>
      <w:r>
        <w:rPr>
          <w:rFonts w:ascii="Arial" w:eastAsia="Arial"/>
          <w:sz w:val="30"/>
        </w:rPr>
        <w:t>2006</w:t>
      </w:r>
      <w:r>
        <w:rPr>
          <w:rFonts w:ascii="Arial" w:eastAsia="Arial"/>
          <w:spacing w:val="-8"/>
          <w:sz w:val="30"/>
        </w:rPr>
        <w:t xml:space="preserve"> </w:t>
      </w:r>
      <w:r>
        <w:rPr>
          <w:spacing w:val="-38"/>
          <w:sz w:val="30"/>
        </w:rPr>
        <w:t xml:space="preserve">年 </w:t>
      </w:r>
      <w:r>
        <w:rPr>
          <w:rFonts w:ascii="Arial" w:eastAsia="Arial"/>
          <w:sz w:val="30"/>
        </w:rPr>
        <w:t>1</w:t>
      </w:r>
      <w:r>
        <w:rPr>
          <w:rFonts w:ascii="Arial" w:eastAsia="Arial"/>
          <w:spacing w:val="-6"/>
          <w:sz w:val="30"/>
        </w:rPr>
        <w:t xml:space="preserve"> </w:t>
      </w:r>
      <w:r>
        <w:rPr>
          <w:spacing w:val="-37"/>
          <w:sz w:val="30"/>
        </w:rPr>
        <w:t xml:space="preserve">月 </w:t>
      </w:r>
      <w:r>
        <w:rPr>
          <w:rFonts w:ascii="Arial" w:eastAsia="Arial"/>
          <w:sz w:val="30"/>
        </w:rPr>
        <w:t>1</w:t>
      </w:r>
      <w:r>
        <w:rPr>
          <w:rFonts w:ascii="Arial" w:eastAsia="Arial"/>
          <w:spacing w:val="-10"/>
          <w:sz w:val="30"/>
        </w:rPr>
        <w:t xml:space="preserve"> </w:t>
      </w:r>
      <w:r>
        <w:rPr>
          <w:sz w:val="30"/>
        </w:rPr>
        <w:t>日起施行。</w:t>
      </w:r>
    </w:p>
    <w:p>
      <w:pPr>
        <w:pStyle w:val="BodyText"/>
        <w:spacing w:before="9"/>
        <w:rPr>
          <w:sz w:val="32"/>
        </w:rPr>
      </w:pPr>
    </w:p>
    <w:p>
      <w:pPr>
        <w:pStyle w:val="ListParagraph"/>
        <w:numPr>
          <w:ilvl w:val="1"/>
          <w:numId w:val="6"/>
        </w:numPr>
        <w:tabs>
          <w:tab w:val="left" w:pos="1173"/>
        </w:tabs>
        <w:spacing w:before="0" w:after="0" w:line="240" w:lineRule="auto"/>
        <w:ind w:left="1172" w:right="0" w:hanging="454"/>
        <w:jc w:val="left"/>
        <w:rPr>
          <w:sz w:val="30"/>
        </w:rPr>
      </w:pPr>
      <w:r>
        <w:rPr>
          <w:w w:val="95"/>
          <w:sz w:val="30"/>
        </w:rPr>
        <w:t>错误</w:t>
      </w:r>
    </w:p>
    <w:p>
      <w:pPr>
        <w:pStyle w:val="BodyText"/>
        <w:spacing w:before="1"/>
        <w:rPr>
          <w:sz w:val="43"/>
        </w:rPr>
      </w:pPr>
    </w:p>
    <w:p>
      <w:pPr>
        <w:pStyle w:val="ListParagraph"/>
        <w:numPr>
          <w:ilvl w:val="1"/>
          <w:numId w:val="6"/>
        </w:numPr>
        <w:tabs>
          <w:tab w:val="left" w:pos="1173"/>
        </w:tabs>
        <w:spacing w:before="0" w:after="0" w:line="240" w:lineRule="auto"/>
        <w:ind w:left="1172" w:right="0" w:hanging="454"/>
        <w:jc w:val="left"/>
        <w:rPr>
          <w:sz w:val="30"/>
        </w:rPr>
      </w:pPr>
      <w:r>
        <w:rPr>
          <w:w w:val="95"/>
          <w:sz w:val="30"/>
        </w:rPr>
        <w:t>正确</w:t>
      </w:r>
    </w:p>
    <w:p>
      <w:pPr>
        <w:pStyle w:val="ListParagraph"/>
        <w:numPr>
          <w:ilvl w:val="0"/>
          <w:numId w:val="6"/>
        </w:numPr>
        <w:tabs>
          <w:tab w:val="left" w:pos="1460"/>
          <w:tab w:val="left" w:pos="1461"/>
        </w:tabs>
        <w:spacing w:before="217" w:after="0" w:line="292" w:lineRule="auto"/>
        <w:ind w:left="1100" w:right="723" w:hanging="540"/>
        <w:jc w:val="left"/>
        <w:rPr>
          <w:sz w:val="30"/>
        </w:rPr>
      </w:pPr>
      <w:r>
        <w:tab/>
      </w:r>
      <w:r>
        <w:rPr>
          <w:spacing w:val="-1"/>
          <w:w w:val="95"/>
          <w:sz w:val="30"/>
        </w:rPr>
        <w:t xml:space="preserve">证券交易当事人买卖的证券可以采用纸面形式或者国务院证券监督管理机构规定的其他形   </w:t>
      </w:r>
      <w:r>
        <w:rPr>
          <w:sz w:val="30"/>
        </w:rPr>
        <w:t>式。</w:t>
      </w:r>
    </w:p>
    <w:p>
      <w:pPr>
        <w:pStyle w:val="BodyText"/>
        <w:spacing w:before="12"/>
        <w:rPr>
          <w:sz w:val="25"/>
        </w:rPr>
      </w:pPr>
    </w:p>
    <w:p>
      <w:pPr>
        <w:pStyle w:val="ListParagraph"/>
        <w:numPr>
          <w:ilvl w:val="1"/>
          <w:numId w:val="6"/>
        </w:numPr>
        <w:tabs>
          <w:tab w:val="left" w:pos="1173"/>
        </w:tabs>
        <w:spacing w:before="0" w:after="0" w:line="240" w:lineRule="auto"/>
        <w:ind w:left="1172" w:right="0" w:hanging="454"/>
        <w:jc w:val="left"/>
        <w:rPr>
          <w:sz w:val="30"/>
        </w:rPr>
      </w:pPr>
      <w:r>
        <w:rPr>
          <w:w w:val="95"/>
          <w:sz w:val="30"/>
        </w:rPr>
        <w:t>错误</w:t>
      </w:r>
    </w:p>
    <w:p>
      <w:pPr>
        <w:pStyle w:val="BodyText"/>
        <w:rPr>
          <w:sz w:val="43"/>
        </w:rPr>
      </w:pPr>
    </w:p>
    <w:p>
      <w:pPr>
        <w:pStyle w:val="ListParagraph"/>
        <w:numPr>
          <w:ilvl w:val="1"/>
          <w:numId w:val="6"/>
        </w:numPr>
        <w:tabs>
          <w:tab w:val="left" w:pos="1173"/>
        </w:tabs>
        <w:spacing w:before="1" w:after="0" w:line="240" w:lineRule="auto"/>
        <w:ind w:left="1172" w:right="0" w:hanging="454"/>
        <w:jc w:val="left"/>
        <w:rPr>
          <w:sz w:val="30"/>
        </w:rPr>
      </w:pPr>
      <w:r>
        <w:rPr>
          <w:w w:val="95"/>
          <w:sz w:val="30"/>
        </w:rPr>
        <w:t>正确</w:t>
      </w:r>
    </w:p>
    <w:p>
      <w:pPr>
        <w:spacing w:after="0" w:line="240" w:lineRule="auto"/>
        <w:jc w:val="left"/>
        <w:rPr>
          <w:sz w:val="30"/>
        </w:rPr>
        <w:sectPr>
          <w:type w:val="continuous"/>
          <w:pgSz w:w="17860" w:h="25260"/>
          <w:pgMar w:top="1820" w:right="2420" w:bottom="280" w:left="1600" w:header="708" w:footer="708"/>
          <w:cols w:space="708"/>
        </w:sectPr>
      </w:pPr>
    </w:p>
    <w:p>
      <w:pPr>
        <w:pStyle w:val="ListParagraph"/>
        <w:numPr>
          <w:ilvl w:val="0"/>
          <w:numId w:val="6"/>
        </w:numPr>
        <w:tabs>
          <w:tab w:val="left" w:pos="1460"/>
          <w:tab w:val="left" w:pos="1461"/>
        </w:tabs>
        <w:spacing w:before="104" w:after="0" w:line="240" w:lineRule="auto"/>
        <w:ind w:left="1460" w:right="0" w:hanging="901"/>
        <w:jc w:val="left"/>
        <w:rPr>
          <w:sz w:val="30"/>
        </w:rPr>
      </w:pPr>
      <w:r>
        <w:pict>
          <v:group id="_x0000_s1053" style="width:681.45pt;height:1031pt;margin-top:0.11pt;margin-left:80.59pt;mso-position-horizontal-relative:page;position:absolute;z-index:-251657216" coordorigin="1612,2" coordsize="13629,20620">
            <v:shape id="_x0000_s1054" type="#_x0000_t75" style="width:809;height:728;left:1611;position:absolute;top:569" stroked="f">
              <v:imagedata r:id="rId6" o:title=""/>
            </v:shape>
            <v:shape id="_x0000_s1055" type="#_x0000_t75" style="width:609;height:490;left:1711;position:absolute;top:669" stroked="f">
              <v:imagedata r:id="rId11" o:title=""/>
            </v:shape>
            <v:shape id="_x0000_s1056" type="#_x0000_t75" style="width:809;height:708;left:1611;position:absolute;top:1505" stroked="f">
              <v:imagedata r:id="rId9" o:title=""/>
            </v:shape>
            <v:shape id="_x0000_s1057" type="#_x0000_t75" style="width:609;height:490;left:1711;position:absolute;top:1605" stroked="f">
              <v:imagedata r:id="rId12" o:title=""/>
            </v:shape>
            <v:shape id="_x0000_s1058" type="#_x0000_t75" style="width:809;height:728;left:1611;position:absolute;top:3377" stroked="f">
              <v:imagedata r:id="rId6" o:title=""/>
            </v:shape>
            <v:shape id="_x0000_s1059" type="#_x0000_t75" style="width:609;height:490;left:1711;position:absolute;top:3477" stroked="f">
              <v:imagedata r:id="rId11" o:title=""/>
            </v:shape>
            <v:shape id="_x0000_s1060" type="#_x0000_t75" style="width:809;height:728;left:1611;position:absolute;top:4313" stroked="f">
              <v:imagedata r:id="rId6" o:title=""/>
            </v:shape>
            <v:shape id="_x0000_s1061" type="#_x0000_t75" style="width:609;height:490;left:1711;position:absolute;top:4413" stroked="f">
              <v:imagedata r:id="rId12" o:title=""/>
            </v:shape>
            <v:shape id="_x0000_s1062" type="#_x0000_t75" style="width:809;height:708;left:1611;position:absolute;top:6185" stroked="f">
              <v:imagedata r:id="rId9" o:title=""/>
            </v:shape>
            <v:shape id="_x0000_s1063" type="#_x0000_t75" style="width:609;height:490;left:1711;position:absolute;top:6285" stroked="f">
              <v:imagedata r:id="rId11" o:title=""/>
            </v:shape>
            <v:shape id="_x0000_s1064" type="#_x0000_t75" style="width:809;height:728;left:1611;position:absolute;top:7121" stroked="f">
              <v:imagedata r:id="rId6" o:title=""/>
            </v:shape>
            <v:shape id="_x0000_s1065" type="#_x0000_t75" style="width:609;height:490;left:1711;position:absolute;top:7221" stroked="f">
              <v:imagedata r:id="rId12" o:title=""/>
            </v:shape>
            <v:shape id="_x0000_s1066" type="#_x0000_t75" style="width:809;height:728;left:1611;position:absolute;top:9461" stroked="f">
              <v:imagedata r:id="rId6" o:title=""/>
            </v:shape>
            <v:shape id="_x0000_s1067" type="#_x0000_t75" style="width:609;height:490;left:1711;position:absolute;top:9561" stroked="f">
              <v:imagedata r:id="rId11" o:title=""/>
            </v:shape>
            <v:shape id="_x0000_s1068" type="#_x0000_t75" style="width:809;height:728;left:1611;position:absolute;top:10397" stroked="f">
              <v:imagedata r:id="rId6" o:title=""/>
            </v:shape>
            <v:shape id="_x0000_s1069" type="#_x0000_t75" style="width:609;height:490;left:1711;position:absolute;top:10497" stroked="f">
              <v:imagedata r:id="rId12" o:title=""/>
            </v:shape>
            <v:shape id="_x0000_s1070" type="#_x0000_t75" style="width:809;height:728;left:1611;position:absolute;top:12737" stroked="f">
              <v:imagedata r:id="rId6" o:title=""/>
            </v:shape>
            <v:shape id="_x0000_s1071" type="#_x0000_t75" style="width:609;height:490;left:1711;position:absolute;top:12837" stroked="f">
              <v:imagedata r:id="rId11" o:title=""/>
            </v:shape>
            <v:shape id="_x0000_s1072" type="#_x0000_t75" style="width:809;height:728;left:1611;position:absolute;top:13673" stroked="f">
              <v:imagedata r:id="rId6" o:title=""/>
            </v:shape>
            <v:shape id="_x0000_s1073" type="#_x0000_t75" style="width:609;height:490;left:1711;position:absolute;top:13773" stroked="f">
              <v:imagedata r:id="rId12" o:title=""/>
            </v:shape>
            <v:shape id="_x0000_s1074" type="#_x0000_t75" style="width:809;height:708;left:1611;position:absolute;top:15545" stroked="f">
              <v:imagedata r:id="rId9" o:title=""/>
            </v:shape>
            <v:shape id="_x0000_s1075" type="#_x0000_t75" style="width:609;height:490;left:1711;position:absolute;top:15645" stroked="f">
              <v:imagedata r:id="rId11" o:title=""/>
            </v:shape>
            <v:shape id="_x0000_s1076" type="#_x0000_t75" style="width:809;height:728;left:1611;position:absolute;top:16481" stroked="f">
              <v:imagedata r:id="rId6" o:title=""/>
            </v:shape>
            <v:shape id="_x0000_s1077" type="#_x0000_t75" style="width:609;height:490;left:1711;position:absolute;top:16581" stroked="f">
              <v:imagedata r:id="rId12" o:title=""/>
            </v:shape>
            <v:shape id="_x0000_s1078" type="#_x0000_t75" style="width:809;height:728;left:1611;position:absolute;top:18353" stroked="f">
              <v:imagedata r:id="rId6" o:title=""/>
            </v:shape>
            <v:shape id="_x0000_s1079" type="#_x0000_t75" style="width:609;height:490;left:1711;position:absolute;top:18453" stroked="f">
              <v:imagedata r:id="rId11" o:title=""/>
            </v:shape>
            <v:shape id="_x0000_s1080" type="#_x0000_t75" style="width:809;height:728;left:1611;position:absolute;top:19289" stroked="f">
              <v:imagedata r:id="rId6" o:title=""/>
            </v:shape>
            <v:shape id="_x0000_s1081" type="#_x0000_t75" style="width:609;height:490;left:1711;position:absolute;top:19389" stroked="f">
              <v:imagedata r:id="rId12" o:title=""/>
            </v:shape>
            <v:shape id="_x0000_s1082" type="#_x0000_t75" style="width:13580;height:20620;left:1660;position:absolute;top:2" stroked="f">
              <v:imagedata r:id="rId13" o:title=""/>
            </v:shape>
          </v:group>
        </w:pict>
      </w:r>
      <w:r>
        <w:rPr>
          <w:sz w:val="30"/>
        </w:rPr>
        <w:t>证券交易当事人依法买卖的证券，必须是依法发行并交付的证券。</w:t>
      </w:r>
    </w:p>
    <w:p>
      <w:pPr>
        <w:pStyle w:val="BodyText"/>
        <w:spacing w:before="9"/>
        <w:rPr>
          <w:sz w:val="32"/>
        </w:rPr>
      </w:pPr>
    </w:p>
    <w:p>
      <w:pPr>
        <w:pStyle w:val="ListParagraph"/>
        <w:numPr>
          <w:ilvl w:val="1"/>
          <w:numId w:val="6"/>
        </w:numPr>
        <w:tabs>
          <w:tab w:val="left" w:pos="1173"/>
        </w:tabs>
        <w:spacing w:before="0" w:after="0" w:line="240" w:lineRule="auto"/>
        <w:ind w:left="1172" w:right="0" w:hanging="454"/>
        <w:jc w:val="both"/>
        <w:rPr>
          <w:sz w:val="30"/>
        </w:rPr>
      </w:pPr>
      <w:r>
        <w:rPr>
          <w:w w:val="95"/>
          <w:sz w:val="30"/>
        </w:rPr>
        <w:t>错误</w:t>
      </w:r>
    </w:p>
    <w:p>
      <w:pPr>
        <w:pStyle w:val="BodyText"/>
        <w:rPr>
          <w:sz w:val="43"/>
        </w:rPr>
      </w:pPr>
    </w:p>
    <w:p>
      <w:pPr>
        <w:pStyle w:val="ListParagraph"/>
        <w:numPr>
          <w:ilvl w:val="1"/>
          <w:numId w:val="6"/>
        </w:numPr>
        <w:tabs>
          <w:tab w:val="left" w:pos="1173"/>
        </w:tabs>
        <w:spacing w:before="1" w:after="0" w:line="240" w:lineRule="auto"/>
        <w:ind w:left="1172" w:right="0" w:hanging="454"/>
        <w:jc w:val="both"/>
        <w:rPr>
          <w:sz w:val="30"/>
        </w:rPr>
      </w:pPr>
      <w:r>
        <w:rPr>
          <w:w w:val="95"/>
          <w:sz w:val="30"/>
        </w:rPr>
        <w:t>正确</w:t>
      </w:r>
    </w:p>
    <w:p>
      <w:pPr>
        <w:pStyle w:val="ListParagraph"/>
        <w:numPr>
          <w:ilvl w:val="0"/>
          <w:numId w:val="6"/>
        </w:numPr>
        <w:tabs>
          <w:tab w:val="left" w:pos="1460"/>
          <w:tab w:val="left" w:pos="1461"/>
        </w:tabs>
        <w:spacing w:before="216" w:after="0" w:line="292" w:lineRule="auto"/>
        <w:ind w:left="1100" w:right="426" w:hanging="540"/>
        <w:jc w:val="left"/>
        <w:rPr>
          <w:sz w:val="30"/>
        </w:rPr>
      </w:pPr>
      <w:r>
        <w:tab/>
      </w:r>
      <w:r>
        <w:rPr>
          <w:spacing w:val="-1"/>
          <w:w w:val="95"/>
          <w:sz w:val="30"/>
        </w:rPr>
        <w:t xml:space="preserve">证券业和银行业、信托业、保险业实行分业经营、分业管理，证券公司与银行、信托、保险   </w:t>
      </w:r>
      <w:r>
        <w:rPr>
          <w:sz w:val="30"/>
        </w:rPr>
        <w:t>业务机构分别设立。国家另有规定的除外。</w:t>
      </w:r>
    </w:p>
    <w:p>
      <w:pPr>
        <w:pStyle w:val="BodyText"/>
        <w:rPr>
          <w:sz w:val="26"/>
        </w:rPr>
      </w:pPr>
    </w:p>
    <w:p>
      <w:pPr>
        <w:pStyle w:val="ListParagraph"/>
        <w:numPr>
          <w:ilvl w:val="1"/>
          <w:numId w:val="6"/>
        </w:numPr>
        <w:tabs>
          <w:tab w:val="left" w:pos="1173"/>
        </w:tabs>
        <w:spacing w:before="0" w:after="0" w:line="240" w:lineRule="auto"/>
        <w:ind w:left="1172" w:right="0" w:hanging="454"/>
        <w:jc w:val="both"/>
        <w:rPr>
          <w:sz w:val="30"/>
        </w:rPr>
      </w:pPr>
      <w:r>
        <w:rPr>
          <w:w w:val="95"/>
          <w:sz w:val="30"/>
        </w:rPr>
        <w:t>错误</w:t>
      </w:r>
    </w:p>
    <w:p>
      <w:pPr>
        <w:pStyle w:val="BodyText"/>
        <w:spacing w:before="1"/>
        <w:rPr>
          <w:sz w:val="43"/>
        </w:rPr>
      </w:pPr>
    </w:p>
    <w:p>
      <w:pPr>
        <w:pStyle w:val="ListParagraph"/>
        <w:numPr>
          <w:ilvl w:val="1"/>
          <w:numId w:val="6"/>
        </w:numPr>
        <w:tabs>
          <w:tab w:val="left" w:pos="1173"/>
        </w:tabs>
        <w:spacing w:before="0" w:after="0" w:line="240" w:lineRule="auto"/>
        <w:ind w:left="1172" w:right="0" w:hanging="454"/>
        <w:jc w:val="both"/>
        <w:rPr>
          <w:sz w:val="30"/>
        </w:rPr>
      </w:pPr>
      <w:r>
        <w:rPr>
          <w:w w:val="95"/>
          <w:sz w:val="30"/>
        </w:rPr>
        <w:t>正确</w:t>
      </w:r>
    </w:p>
    <w:p>
      <w:pPr>
        <w:pStyle w:val="ListParagraph"/>
        <w:numPr>
          <w:ilvl w:val="0"/>
          <w:numId w:val="6"/>
        </w:numPr>
        <w:tabs>
          <w:tab w:val="left" w:pos="1460"/>
          <w:tab w:val="left" w:pos="1461"/>
        </w:tabs>
        <w:spacing w:before="217" w:after="0" w:line="292" w:lineRule="auto"/>
        <w:ind w:left="1100" w:right="426" w:hanging="540"/>
        <w:jc w:val="left"/>
        <w:rPr>
          <w:sz w:val="30"/>
        </w:rPr>
      </w:pPr>
      <w:r>
        <w:tab/>
      </w:r>
      <w:r>
        <w:rPr>
          <w:spacing w:val="-1"/>
          <w:w w:val="95"/>
          <w:sz w:val="30"/>
        </w:rPr>
        <w:t xml:space="preserve">证券的发行、交易活动，必须遵守法律、行政法规；禁止欺诈、内幕交易和操纵证券市场的   </w:t>
      </w:r>
      <w:r>
        <w:rPr>
          <w:sz w:val="30"/>
        </w:rPr>
        <w:t>行为。</w:t>
      </w:r>
    </w:p>
    <w:p>
      <w:pPr>
        <w:pStyle w:val="BodyText"/>
        <w:rPr>
          <w:sz w:val="26"/>
        </w:rPr>
      </w:pPr>
    </w:p>
    <w:p>
      <w:pPr>
        <w:pStyle w:val="ListParagraph"/>
        <w:numPr>
          <w:ilvl w:val="1"/>
          <w:numId w:val="6"/>
        </w:numPr>
        <w:tabs>
          <w:tab w:val="left" w:pos="1173"/>
        </w:tabs>
        <w:spacing w:before="0" w:after="0" w:line="240" w:lineRule="auto"/>
        <w:ind w:left="1172" w:right="0" w:hanging="454"/>
        <w:jc w:val="both"/>
        <w:rPr>
          <w:sz w:val="30"/>
        </w:rPr>
      </w:pPr>
      <w:r>
        <w:rPr>
          <w:w w:val="95"/>
          <w:sz w:val="30"/>
        </w:rPr>
        <w:t>错误</w:t>
      </w:r>
    </w:p>
    <w:p>
      <w:pPr>
        <w:pStyle w:val="BodyText"/>
        <w:spacing w:before="1"/>
        <w:rPr>
          <w:sz w:val="43"/>
        </w:rPr>
      </w:pPr>
    </w:p>
    <w:p>
      <w:pPr>
        <w:pStyle w:val="ListParagraph"/>
        <w:numPr>
          <w:ilvl w:val="1"/>
          <w:numId w:val="6"/>
        </w:numPr>
        <w:tabs>
          <w:tab w:val="left" w:pos="1173"/>
        </w:tabs>
        <w:spacing w:before="0" w:after="0" w:line="240" w:lineRule="auto"/>
        <w:ind w:left="1172" w:right="0" w:hanging="454"/>
        <w:jc w:val="both"/>
        <w:rPr>
          <w:sz w:val="30"/>
        </w:rPr>
      </w:pPr>
      <w:r>
        <w:rPr>
          <w:w w:val="95"/>
          <w:sz w:val="30"/>
        </w:rPr>
        <w:t>正确</w:t>
      </w:r>
    </w:p>
    <w:p>
      <w:pPr>
        <w:pStyle w:val="ListParagraph"/>
        <w:numPr>
          <w:ilvl w:val="0"/>
          <w:numId w:val="6"/>
        </w:numPr>
        <w:tabs>
          <w:tab w:val="left" w:pos="1612"/>
        </w:tabs>
        <w:spacing w:before="217" w:after="0" w:line="292" w:lineRule="auto"/>
        <w:ind w:left="1100" w:right="273" w:hanging="540"/>
        <w:jc w:val="both"/>
        <w:rPr>
          <w:sz w:val="30"/>
        </w:rPr>
      </w:pPr>
      <w:r>
        <w:tab/>
      </w:r>
      <w:r>
        <w:rPr>
          <w:spacing w:val="-1"/>
          <w:w w:val="95"/>
          <w:sz w:val="30"/>
        </w:rPr>
        <w:t xml:space="preserve">为股票的发行、上市、交易出具审计报告、资产评估报告或者法律意见书等文件的证券服务 </w:t>
      </w:r>
      <w:r>
        <w:rPr>
          <w:spacing w:val="110"/>
          <w:w w:val="95"/>
          <w:sz w:val="30"/>
        </w:rPr>
        <w:t xml:space="preserve"> </w:t>
      </w:r>
      <w:r>
        <w:rPr>
          <w:spacing w:val="-6"/>
          <w:w w:val="95"/>
          <w:sz w:val="30"/>
        </w:rPr>
        <w:t xml:space="preserve">机构和人员，违反《中华人民共和国证券法》第四十五条的规定买卖股票的，责令依法处理非法   </w:t>
      </w:r>
      <w:r>
        <w:rPr>
          <w:spacing w:val="-6"/>
          <w:sz w:val="30"/>
        </w:rPr>
        <w:t>持有的股票，没收违法所得，并处以买卖股票等值以下的罚款。</w:t>
      </w:r>
    </w:p>
    <w:p>
      <w:pPr>
        <w:pStyle w:val="BodyText"/>
        <w:spacing w:before="11"/>
        <w:rPr>
          <w:sz w:val="25"/>
        </w:rPr>
      </w:pPr>
    </w:p>
    <w:p>
      <w:pPr>
        <w:pStyle w:val="ListParagraph"/>
        <w:numPr>
          <w:ilvl w:val="1"/>
          <w:numId w:val="6"/>
        </w:numPr>
        <w:tabs>
          <w:tab w:val="left" w:pos="1173"/>
        </w:tabs>
        <w:spacing w:before="1" w:after="0" w:line="240" w:lineRule="auto"/>
        <w:ind w:left="1172" w:right="0" w:hanging="454"/>
        <w:jc w:val="both"/>
        <w:rPr>
          <w:sz w:val="30"/>
        </w:rPr>
      </w:pPr>
      <w:r>
        <w:rPr>
          <w:w w:val="95"/>
          <w:sz w:val="30"/>
        </w:rPr>
        <w:t>错误</w:t>
      </w:r>
    </w:p>
    <w:p>
      <w:pPr>
        <w:pStyle w:val="BodyText"/>
        <w:rPr>
          <w:sz w:val="43"/>
        </w:rPr>
      </w:pPr>
    </w:p>
    <w:p>
      <w:pPr>
        <w:pStyle w:val="ListParagraph"/>
        <w:numPr>
          <w:ilvl w:val="1"/>
          <w:numId w:val="6"/>
        </w:numPr>
        <w:tabs>
          <w:tab w:val="left" w:pos="1173"/>
        </w:tabs>
        <w:spacing w:before="0" w:after="0" w:line="240" w:lineRule="auto"/>
        <w:ind w:left="1172" w:right="0" w:hanging="454"/>
        <w:jc w:val="both"/>
        <w:rPr>
          <w:sz w:val="30"/>
        </w:rPr>
      </w:pPr>
      <w:r>
        <w:rPr>
          <w:w w:val="95"/>
          <w:sz w:val="30"/>
        </w:rPr>
        <w:t>正确</w:t>
      </w:r>
    </w:p>
    <w:p>
      <w:pPr>
        <w:pStyle w:val="ListParagraph"/>
        <w:numPr>
          <w:ilvl w:val="0"/>
          <w:numId w:val="6"/>
        </w:numPr>
        <w:tabs>
          <w:tab w:val="left" w:pos="1612"/>
        </w:tabs>
        <w:spacing w:before="218" w:after="0" w:line="292" w:lineRule="auto"/>
        <w:ind w:left="1100" w:right="187" w:hanging="540"/>
        <w:jc w:val="both"/>
        <w:rPr>
          <w:sz w:val="30"/>
        </w:rPr>
      </w:pPr>
      <w:r>
        <w:tab/>
      </w:r>
      <w:r>
        <w:rPr>
          <w:sz w:val="30"/>
        </w:rPr>
        <w:t>法律、行政法规规定禁止参与股票交易的人员，直接或者以化名、借他人名义持有、买卖股</w:t>
      </w:r>
      <w:r>
        <w:rPr>
          <w:spacing w:val="-1"/>
          <w:w w:val="95"/>
          <w:sz w:val="30"/>
        </w:rPr>
        <w:t xml:space="preserve">票的，责令依法处理非法持有的股票，没收违法所得，并处以买卖股票等值以下的罚款；属于国   </w:t>
      </w:r>
      <w:r>
        <w:rPr>
          <w:sz w:val="30"/>
        </w:rPr>
        <w:t>家工作人员的，还应当依法给予行政处分。</w:t>
      </w:r>
    </w:p>
    <w:p>
      <w:pPr>
        <w:pStyle w:val="BodyText"/>
        <w:spacing w:before="11"/>
        <w:rPr>
          <w:sz w:val="25"/>
        </w:rPr>
      </w:pPr>
    </w:p>
    <w:p>
      <w:pPr>
        <w:pStyle w:val="ListParagraph"/>
        <w:numPr>
          <w:ilvl w:val="1"/>
          <w:numId w:val="6"/>
        </w:numPr>
        <w:tabs>
          <w:tab w:val="left" w:pos="1173"/>
        </w:tabs>
        <w:spacing w:before="0" w:after="0" w:line="240" w:lineRule="auto"/>
        <w:ind w:left="1172" w:right="0" w:hanging="454"/>
        <w:jc w:val="both"/>
        <w:rPr>
          <w:sz w:val="30"/>
        </w:rPr>
      </w:pPr>
      <w:r>
        <w:rPr>
          <w:w w:val="95"/>
          <w:sz w:val="30"/>
        </w:rPr>
        <w:t>错误</w:t>
      </w:r>
    </w:p>
    <w:p>
      <w:pPr>
        <w:pStyle w:val="BodyText"/>
        <w:spacing w:before="1"/>
        <w:rPr>
          <w:sz w:val="43"/>
        </w:rPr>
      </w:pPr>
    </w:p>
    <w:p>
      <w:pPr>
        <w:pStyle w:val="ListParagraph"/>
        <w:numPr>
          <w:ilvl w:val="1"/>
          <w:numId w:val="6"/>
        </w:numPr>
        <w:tabs>
          <w:tab w:val="left" w:pos="1173"/>
        </w:tabs>
        <w:spacing w:before="0" w:after="0" w:line="240" w:lineRule="auto"/>
        <w:ind w:left="1172" w:right="0" w:hanging="454"/>
        <w:jc w:val="both"/>
        <w:rPr>
          <w:sz w:val="30"/>
        </w:rPr>
      </w:pPr>
      <w:r>
        <w:rPr>
          <w:w w:val="95"/>
          <w:sz w:val="30"/>
        </w:rPr>
        <w:t>正确</w:t>
      </w:r>
    </w:p>
    <w:p>
      <w:pPr>
        <w:pStyle w:val="ListParagraph"/>
        <w:numPr>
          <w:ilvl w:val="0"/>
          <w:numId w:val="6"/>
        </w:numPr>
        <w:tabs>
          <w:tab w:val="left" w:pos="1612"/>
        </w:tabs>
        <w:spacing w:before="217" w:after="0" w:line="292" w:lineRule="auto"/>
        <w:ind w:left="1100" w:right="288" w:hanging="540"/>
        <w:jc w:val="both"/>
        <w:rPr>
          <w:sz w:val="30"/>
        </w:rPr>
      </w:pPr>
      <w:r>
        <w:tab/>
      </w:r>
      <w:r>
        <w:rPr>
          <w:spacing w:val="-2"/>
          <w:w w:val="95"/>
          <w:sz w:val="30"/>
        </w:rPr>
        <w:t xml:space="preserve">发行人向国务院证券监督管理机构或者国务院授权的部门报送的证券发行申请文件，必须真 </w:t>
      </w:r>
      <w:r>
        <w:rPr>
          <w:spacing w:val="110"/>
          <w:w w:val="95"/>
          <w:sz w:val="30"/>
        </w:rPr>
        <w:t xml:space="preserve"> </w:t>
      </w:r>
      <w:r>
        <w:rPr>
          <w:sz w:val="30"/>
        </w:rPr>
        <w:t>实、准确、完整。</w:t>
      </w:r>
    </w:p>
    <w:p>
      <w:pPr>
        <w:pStyle w:val="BodyText"/>
        <w:spacing w:before="12"/>
        <w:rPr>
          <w:sz w:val="25"/>
        </w:rPr>
      </w:pPr>
    </w:p>
    <w:p>
      <w:pPr>
        <w:pStyle w:val="ListParagraph"/>
        <w:numPr>
          <w:ilvl w:val="1"/>
          <w:numId w:val="6"/>
        </w:numPr>
        <w:tabs>
          <w:tab w:val="left" w:pos="1173"/>
        </w:tabs>
        <w:spacing w:before="0" w:after="0" w:line="240" w:lineRule="auto"/>
        <w:ind w:left="1172" w:right="0" w:hanging="454"/>
        <w:jc w:val="both"/>
        <w:rPr>
          <w:sz w:val="30"/>
        </w:rPr>
      </w:pPr>
      <w:r>
        <w:rPr>
          <w:w w:val="95"/>
          <w:sz w:val="30"/>
        </w:rPr>
        <w:t>错误</w:t>
      </w:r>
    </w:p>
    <w:p>
      <w:pPr>
        <w:pStyle w:val="BodyText"/>
        <w:spacing w:before="2"/>
        <w:rPr>
          <w:sz w:val="43"/>
        </w:rPr>
      </w:pPr>
    </w:p>
    <w:p>
      <w:pPr>
        <w:pStyle w:val="ListParagraph"/>
        <w:numPr>
          <w:ilvl w:val="1"/>
          <w:numId w:val="6"/>
        </w:numPr>
        <w:tabs>
          <w:tab w:val="left" w:pos="1173"/>
        </w:tabs>
        <w:spacing w:before="0" w:after="0" w:line="240" w:lineRule="auto"/>
        <w:ind w:left="1172" w:right="0" w:hanging="454"/>
        <w:jc w:val="both"/>
        <w:rPr>
          <w:sz w:val="30"/>
        </w:rPr>
      </w:pPr>
      <w:r>
        <w:rPr>
          <w:w w:val="95"/>
          <w:sz w:val="30"/>
        </w:rPr>
        <w:t>正确</w:t>
      </w:r>
    </w:p>
    <w:p>
      <w:pPr>
        <w:pStyle w:val="ListParagraph"/>
        <w:numPr>
          <w:ilvl w:val="0"/>
          <w:numId w:val="6"/>
        </w:numPr>
        <w:tabs>
          <w:tab w:val="left" w:pos="1612"/>
        </w:tabs>
        <w:spacing w:before="217" w:after="0" w:line="292" w:lineRule="auto"/>
        <w:ind w:left="1100" w:right="314" w:hanging="540"/>
        <w:jc w:val="both"/>
        <w:rPr>
          <w:sz w:val="30"/>
        </w:rPr>
      </w:pPr>
      <w:r>
        <w:tab/>
      </w:r>
      <w:r>
        <w:rPr>
          <w:spacing w:val="-5"/>
          <w:w w:val="95"/>
          <w:sz w:val="30"/>
        </w:rPr>
        <w:t xml:space="preserve">证券在证券交易所上市交易，应当采用公开的集中交易方式或者国务院证券监督管理机构批 </w:t>
      </w:r>
      <w:r>
        <w:rPr>
          <w:spacing w:val="110"/>
          <w:w w:val="95"/>
          <w:sz w:val="30"/>
        </w:rPr>
        <w:t xml:space="preserve"> </w:t>
      </w:r>
      <w:r>
        <w:rPr>
          <w:sz w:val="30"/>
        </w:rPr>
        <w:t>准的其他方式。</w:t>
      </w:r>
    </w:p>
    <w:p>
      <w:pPr>
        <w:pStyle w:val="BodyText"/>
        <w:rPr>
          <w:sz w:val="26"/>
        </w:rPr>
      </w:pPr>
    </w:p>
    <w:p>
      <w:pPr>
        <w:pStyle w:val="ListParagraph"/>
        <w:numPr>
          <w:ilvl w:val="1"/>
          <w:numId w:val="6"/>
        </w:numPr>
        <w:tabs>
          <w:tab w:val="left" w:pos="1173"/>
        </w:tabs>
        <w:spacing w:before="0" w:after="0" w:line="240" w:lineRule="auto"/>
        <w:ind w:left="1172" w:right="0" w:hanging="454"/>
        <w:jc w:val="both"/>
        <w:rPr>
          <w:sz w:val="30"/>
        </w:rPr>
      </w:pPr>
      <w:r>
        <w:rPr>
          <w:w w:val="95"/>
          <w:sz w:val="30"/>
        </w:rPr>
        <w:t>错误</w:t>
      </w:r>
    </w:p>
    <w:p>
      <w:pPr>
        <w:pStyle w:val="BodyText"/>
        <w:rPr>
          <w:sz w:val="43"/>
        </w:rPr>
      </w:pPr>
    </w:p>
    <w:p>
      <w:pPr>
        <w:pStyle w:val="ListParagraph"/>
        <w:numPr>
          <w:ilvl w:val="1"/>
          <w:numId w:val="6"/>
        </w:numPr>
        <w:tabs>
          <w:tab w:val="left" w:pos="1173"/>
        </w:tabs>
        <w:spacing w:before="0" w:after="0" w:line="240" w:lineRule="auto"/>
        <w:ind w:left="1172" w:right="0" w:hanging="454"/>
        <w:jc w:val="both"/>
        <w:rPr>
          <w:sz w:val="30"/>
        </w:rPr>
      </w:pPr>
      <w:r>
        <w:rPr>
          <w:w w:val="95"/>
          <w:sz w:val="30"/>
        </w:rPr>
        <w:t>正确</w:t>
      </w:r>
    </w:p>
    <w:p>
      <w:pPr>
        <w:pStyle w:val="ListParagraph"/>
        <w:numPr>
          <w:ilvl w:val="0"/>
          <w:numId w:val="6"/>
        </w:numPr>
        <w:tabs>
          <w:tab w:val="left" w:pos="1611"/>
          <w:tab w:val="left" w:pos="1612"/>
        </w:tabs>
        <w:spacing w:before="217" w:after="0" w:line="240" w:lineRule="auto"/>
        <w:ind w:left="1611" w:right="0" w:hanging="1052"/>
        <w:jc w:val="left"/>
        <w:rPr>
          <w:sz w:val="30"/>
        </w:rPr>
      </w:pPr>
      <w:r>
        <w:rPr>
          <w:spacing w:val="-13"/>
          <w:sz w:val="30"/>
        </w:rPr>
        <w:t>证券发行、交易活动的当事人具有平等的法律地位，应当遵守自愿、有偿、诚实信用的原则。</w:t>
      </w:r>
    </w:p>
    <w:p>
      <w:pPr>
        <w:spacing w:after="0" w:line="240" w:lineRule="auto"/>
        <w:jc w:val="left"/>
        <w:rPr>
          <w:sz w:val="30"/>
        </w:rPr>
        <w:sectPr>
          <w:pgSz w:w="17860" w:h="25260"/>
          <w:pgMar w:top="1820" w:right="2420" w:bottom="280" w:left="1600" w:header="708" w:footer="708"/>
          <w:pgNumType w:start="2"/>
          <w:cols w:space="708"/>
        </w:sectPr>
      </w:pPr>
    </w:p>
    <w:p>
      <w:pPr>
        <w:pStyle w:val="BodyText"/>
        <w:spacing w:before="11"/>
        <w:rPr>
          <w:sz w:val="29"/>
        </w:rPr>
      </w:pPr>
      <w:r>
        <w:pict>
          <v:group id="_x0000_s1083" style="width:681.45pt;height:1054pt;margin-top:92pt;margin-left:80.59pt;mso-position-horizontal-relative:page;mso-position-vertical-relative:page;position:absolute;z-index:-251656192" coordorigin="1612,1840" coordsize="13629,21080">
            <v:shape id="_x0000_s1084" type="#_x0000_t75" style="width:809;height:728;left:1611;position:absolute;top:1938" stroked="f">
              <v:imagedata r:id="rId6" o:title=""/>
            </v:shape>
            <v:shape id="_x0000_s1085" type="#_x0000_t75" style="width:609;height:490;left:1711;position:absolute;top:2038" stroked="f">
              <v:imagedata r:id="rId11" o:title=""/>
            </v:shape>
            <v:shape id="_x0000_s1086" type="#_x0000_t75" style="width:809;height:728;left:1611;position:absolute;top:2875" stroked="f">
              <v:imagedata r:id="rId6" o:title=""/>
            </v:shape>
            <v:shape id="_x0000_s1087" type="#_x0000_t75" style="width:609;height:490;left:1711;position:absolute;top:2974" stroked="f">
              <v:imagedata r:id="rId12" o:title=""/>
            </v:shape>
            <v:shape id="_x0000_s1088" type="#_x0000_t75" style="width:809;height:728;left:1611;position:absolute;top:4278" stroked="f">
              <v:imagedata r:id="rId6" o:title=""/>
            </v:shape>
            <v:shape id="_x0000_s1089" type="#_x0000_t75" style="width:609;height:490;left:1711;position:absolute;top:4378" stroked="f">
              <v:imagedata r:id="rId11" o:title=""/>
            </v:shape>
            <v:shape id="_x0000_s1090" type="#_x0000_t75" style="width:809;height:728;left:1611;position:absolute;top:5215" stroked="f">
              <v:imagedata r:id="rId6" o:title=""/>
            </v:shape>
            <v:shape id="_x0000_s1091" type="#_x0000_t75" style="width:609;height:490;left:1711;position:absolute;top:5314" stroked="f">
              <v:imagedata r:id="rId12" o:title=""/>
            </v:shape>
            <v:shape id="_x0000_s1092" type="#_x0000_t75" style="width:809;height:728;left:1611;position:absolute;top:7087" stroked="f">
              <v:imagedata r:id="rId6" o:title=""/>
            </v:shape>
            <v:shape id="_x0000_s1093" type="#_x0000_t75" style="width:609;height:490;left:1711;position:absolute;top:7186" stroked="f">
              <v:imagedata r:id="rId11" o:title=""/>
            </v:shape>
            <v:shape id="_x0000_s1094" type="#_x0000_t75" style="width:809;height:708;left:1611;position:absolute;top:8022" stroked="f">
              <v:imagedata r:id="rId9" o:title=""/>
            </v:shape>
            <v:shape id="_x0000_s1095" type="#_x0000_t75" style="width:609;height:490;left:1711;position:absolute;top:8122" stroked="f">
              <v:imagedata r:id="rId12" o:title=""/>
            </v:shape>
            <v:shape id="_x0000_s1096" type="#_x0000_t75" style="width:809;height:728;left:1611;position:absolute;top:9895" stroked="f">
              <v:imagedata r:id="rId6" o:title=""/>
            </v:shape>
            <v:shape id="_x0000_s1097" type="#_x0000_t75" style="width:609;height:490;left:1711;position:absolute;top:9994" stroked="f">
              <v:imagedata r:id="rId11" o:title=""/>
            </v:shape>
            <v:shape id="_x0000_s1098" type="#_x0000_t75" style="width:809;height:728;left:1611;position:absolute;top:10831" stroked="f">
              <v:imagedata r:id="rId6" o:title=""/>
            </v:shape>
            <v:shape id="_x0000_s1099" type="#_x0000_t75" style="width:609;height:490;left:1711;position:absolute;top:10930" stroked="f">
              <v:imagedata r:id="rId12" o:title=""/>
            </v:shape>
            <v:shape id="_x0000_s1100" type="#_x0000_t75" style="width:809;height:728;left:1611;position:absolute;top:13171" stroked="f">
              <v:imagedata r:id="rId6" o:title=""/>
            </v:shape>
            <v:shape id="_x0000_s1101" type="#_x0000_t75" style="width:609;height:490;left:1711;position:absolute;top:13270" stroked="f">
              <v:imagedata r:id="rId11" o:title=""/>
            </v:shape>
            <v:shape id="_x0000_s1102" type="#_x0000_t75" style="width:809;height:728;left:1611;position:absolute;top:14106" stroked="f">
              <v:imagedata r:id="rId6" o:title=""/>
            </v:shape>
            <v:shape id="_x0000_s1103" type="#_x0000_t75" style="width:609;height:490;left:1711;position:absolute;top:14206" stroked="f">
              <v:imagedata r:id="rId12" o:title=""/>
            </v:shape>
            <v:shape id="_x0000_s1104" type="#_x0000_t75" style="width:809;height:728;left:1611;position:absolute;top:15978" stroked="f">
              <v:imagedata r:id="rId6" o:title=""/>
            </v:shape>
            <v:shape id="_x0000_s1105" type="#_x0000_t75" style="width:609;height:490;left:1711;position:absolute;top:16078" stroked="f">
              <v:imagedata r:id="rId11" o:title=""/>
            </v:shape>
            <v:shape id="_x0000_s1106" type="#_x0000_t75" style="width:809;height:728;left:1611;position:absolute;top:16914" stroked="f">
              <v:imagedata r:id="rId6" o:title=""/>
            </v:shape>
            <v:shape id="_x0000_s1107" type="#_x0000_t75" style="width:609;height:490;left:1711;position:absolute;top:17014" stroked="f">
              <v:imagedata r:id="rId12" o:title=""/>
            </v:shape>
            <v:shape id="_x0000_s1108" type="#_x0000_t75" style="width:809;height:728;left:1611;position:absolute;top:18786" stroked="f">
              <v:imagedata r:id="rId6" o:title=""/>
            </v:shape>
            <v:shape id="_x0000_s1109" type="#_x0000_t75" style="width:609;height:490;left:1711;position:absolute;top:18886" stroked="f">
              <v:imagedata r:id="rId11" o:title=""/>
            </v:shape>
            <v:shape id="_x0000_s1110" type="#_x0000_t75" style="width:809;height:708;left:1611;position:absolute;top:19722" stroked="f">
              <v:imagedata r:id="rId9" o:title=""/>
            </v:shape>
            <v:shape id="_x0000_s1111" type="#_x0000_t75" style="width:609;height:490;left:1711;position:absolute;top:19822" stroked="f">
              <v:imagedata r:id="rId12" o:title=""/>
            </v:shape>
            <v:shape id="_x0000_s1112" type="#_x0000_t75" style="width:809;height:728;left:1611;position:absolute;top:21127" stroked="f">
              <v:imagedata r:id="rId6" o:title=""/>
            </v:shape>
            <v:shape id="_x0000_s1113" type="#_x0000_t75" style="width:609;height:490;left:1711;position:absolute;top:21226" stroked="f">
              <v:imagedata r:id="rId11" o:title=""/>
            </v:shape>
            <v:shape id="_x0000_s1114" type="#_x0000_t75" style="width:13580;height:21080;left:1660;position:absolute;top:1840" stroked="f">
              <v:imagedata r:id="rId14" o:title=""/>
            </v:shape>
            <v:shape id="_x0000_s1115" type="#_x0000_t75" style="width:809;height:708;left:1611;position:absolute;top:22062" stroked="f">
              <v:imagedata r:id="rId9" o:title=""/>
            </v:shape>
            <v:shape id="_x0000_s1116" type="#_x0000_t75" style="width:609;height:490;left:1711;position:absolute;top:22162" stroked="f">
              <v:imagedata r:id="rId12" o:title=""/>
            </v:shape>
          </v:group>
        </w:pict>
      </w:r>
    </w:p>
    <w:p>
      <w:pPr>
        <w:pStyle w:val="ListParagraph"/>
        <w:numPr>
          <w:ilvl w:val="1"/>
          <w:numId w:val="7"/>
        </w:numPr>
        <w:tabs>
          <w:tab w:val="left" w:pos="1173"/>
        </w:tabs>
        <w:spacing w:before="57" w:after="0" w:line="240" w:lineRule="auto"/>
        <w:ind w:left="1172" w:right="0" w:hanging="454"/>
        <w:jc w:val="both"/>
        <w:rPr>
          <w:sz w:val="30"/>
        </w:rPr>
      </w:pPr>
      <w:r>
        <w:rPr>
          <w:w w:val="95"/>
          <w:sz w:val="30"/>
        </w:rPr>
        <w:t>错误</w:t>
      </w:r>
    </w:p>
    <w:p>
      <w:pPr>
        <w:pStyle w:val="BodyText"/>
        <w:rPr>
          <w:sz w:val="43"/>
        </w:rPr>
      </w:pPr>
    </w:p>
    <w:p>
      <w:pPr>
        <w:pStyle w:val="ListParagraph"/>
        <w:numPr>
          <w:ilvl w:val="1"/>
          <w:numId w:val="7"/>
        </w:numPr>
        <w:tabs>
          <w:tab w:val="left" w:pos="1173"/>
        </w:tabs>
        <w:spacing w:before="0" w:after="0" w:line="240" w:lineRule="auto"/>
        <w:ind w:left="1172" w:right="0" w:hanging="454"/>
        <w:jc w:val="both"/>
        <w:rPr>
          <w:sz w:val="30"/>
        </w:rPr>
      </w:pPr>
      <w:r>
        <w:rPr>
          <w:w w:val="95"/>
          <w:sz w:val="30"/>
        </w:rPr>
        <w:t>正确</w:t>
      </w:r>
    </w:p>
    <w:p>
      <w:pPr>
        <w:pStyle w:val="ListParagraph"/>
        <w:numPr>
          <w:ilvl w:val="0"/>
          <w:numId w:val="7"/>
        </w:numPr>
        <w:tabs>
          <w:tab w:val="left" w:pos="1611"/>
          <w:tab w:val="left" w:pos="1612"/>
        </w:tabs>
        <w:spacing w:before="217" w:after="0" w:line="240" w:lineRule="auto"/>
        <w:ind w:left="1611" w:right="0" w:hanging="1052"/>
        <w:jc w:val="left"/>
        <w:rPr>
          <w:sz w:val="30"/>
        </w:rPr>
      </w:pPr>
      <w:r>
        <w:rPr>
          <w:sz w:val="30"/>
        </w:rPr>
        <w:t>国务院证券监督管理机构依法对全国证券市场实行集中统一监督管理。</w:t>
      </w:r>
    </w:p>
    <w:p>
      <w:pPr>
        <w:pStyle w:val="BodyText"/>
        <w:spacing w:before="8"/>
        <w:rPr>
          <w:sz w:val="32"/>
        </w:rPr>
      </w:pPr>
    </w:p>
    <w:p>
      <w:pPr>
        <w:pStyle w:val="ListParagraph"/>
        <w:numPr>
          <w:ilvl w:val="1"/>
          <w:numId w:val="7"/>
        </w:numPr>
        <w:tabs>
          <w:tab w:val="left" w:pos="1173"/>
        </w:tabs>
        <w:spacing w:before="1" w:after="0" w:line="240" w:lineRule="auto"/>
        <w:ind w:left="1172" w:right="0" w:hanging="454"/>
        <w:jc w:val="both"/>
        <w:rPr>
          <w:sz w:val="30"/>
        </w:rPr>
      </w:pPr>
      <w:r>
        <w:rPr>
          <w:w w:val="95"/>
          <w:sz w:val="30"/>
        </w:rPr>
        <w:t>错误</w:t>
      </w:r>
    </w:p>
    <w:p>
      <w:pPr>
        <w:pStyle w:val="BodyText"/>
        <w:rPr>
          <w:sz w:val="43"/>
        </w:rPr>
      </w:pPr>
    </w:p>
    <w:p>
      <w:pPr>
        <w:pStyle w:val="ListParagraph"/>
        <w:numPr>
          <w:ilvl w:val="1"/>
          <w:numId w:val="7"/>
        </w:numPr>
        <w:tabs>
          <w:tab w:val="left" w:pos="1173"/>
        </w:tabs>
        <w:spacing w:before="0" w:after="0" w:line="240" w:lineRule="auto"/>
        <w:ind w:left="1172" w:right="0" w:hanging="454"/>
        <w:jc w:val="both"/>
        <w:rPr>
          <w:sz w:val="30"/>
        </w:rPr>
      </w:pPr>
      <w:r>
        <w:rPr>
          <w:w w:val="95"/>
          <w:sz w:val="30"/>
        </w:rPr>
        <w:t>正确</w:t>
      </w:r>
    </w:p>
    <w:p>
      <w:pPr>
        <w:pStyle w:val="ListParagraph"/>
        <w:numPr>
          <w:ilvl w:val="0"/>
          <w:numId w:val="7"/>
        </w:numPr>
        <w:tabs>
          <w:tab w:val="left" w:pos="1612"/>
        </w:tabs>
        <w:spacing w:before="217" w:after="0" w:line="292" w:lineRule="auto"/>
        <w:ind w:left="1100" w:right="273" w:hanging="540"/>
        <w:jc w:val="both"/>
        <w:rPr>
          <w:sz w:val="30"/>
        </w:rPr>
      </w:pPr>
      <w:r>
        <w:tab/>
      </w:r>
      <w:r>
        <w:rPr>
          <w:spacing w:val="-1"/>
          <w:w w:val="95"/>
          <w:sz w:val="30"/>
        </w:rPr>
        <w:t xml:space="preserve">依法公开发行的股票、公司债券及其他证券，应当在依法设立的证券交易所上市交易或者在 </w:t>
      </w:r>
      <w:r>
        <w:rPr>
          <w:spacing w:val="110"/>
          <w:w w:val="95"/>
          <w:sz w:val="30"/>
        </w:rPr>
        <w:t xml:space="preserve"> </w:t>
      </w:r>
      <w:r>
        <w:rPr>
          <w:sz w:val="30"/>
        </w:rPr>
        <w:t>国务院批准的其他证券交易场所转让。</w:t>
      </w:r>
    </w:p>
    <w:p>
      <w:pPr>
        <w:pStyle w:val="BodyText"/>
        <w:rPr>
          <w:sz w:val="26"/>
        </w:rPr>
      </w:pPr>
    </w:p>
    <w:p>
      <w:pPr>
        <w:pStyle w:val="ListParagraph"/>
        <w:numPr>
          <w:ilvl w:val="1"/>
          <w:numId w:val="7"/>
        </w:numPr>
        <w:tabs>
          <w:tab w:val="left" w:pos="1173"/>
        </w:tabs>
        <w:spacing w:before="0" w:after="0" w:line="240" w:lineRule="auto"/>
        <w:ind w:left="1172" w:right="0" w:hanging="454"/>
        <w:jc w:val="both"/>
        <w:rPr>
          <w:sz w:val="30"/>
        </w:rPr>
      </w:pPr>
      <w:r>
        <w:rPr>
          <w:w w:val="95"/>
          <w:sz w:val="30"/>
        </w:rPr>
        <w:t>错误</w:t>
      </w:r>
    </w:p>
    <w:p>
      <w:pPr>
        <w:pStyle w:val="BodyText"/>
        <w:spacing w:before="1"/>
        <w:rPr>
          <w:sz w:val="43"/>
        </w:rPr>
      </w:pPr>
    </w:p>
    <w:p>
      <w:pPr>
        <w:pStyle w:val="ListParagraph"/>
        <w:numPr>
          <w:ilvl w:val="1"/>
          <w:numId w:val="7"/>
        </w:numPr>
        <w:tabs>
          <w:tab w:val="left" w:pos="1173"/>
        </w:tabs>
        <w:spacing w:before="0" w:after="0" w:line="240" w:lineRule="auto"/>
        <w:ind w:left="1172" w:right="0" w:hanging="454"/>
        <w:jc w:val="both"/>
        <w:rPr>
          <w:sz w:val="30"/>
        </w:rPr>
      </w:pPr>
      <w:r>
        <w:rPr>
          <w:w w:val="95"/>
          <w:sz w:val="30"/>
        </w:rPr>
        <w:t>正确</w:t>
      </w:r>
    </w:p>
    <w:p>
      <w:pPr>
        <w:pStyle w:val="ListParagraph"/>
        <w:numPr>
          <w:ilvl w:val="0"/>
          <w:numId w:val="7"/>
        </w:numPr>
        <w:tabs>
          <w:tab w:val="left" w:pos="1612"/>
        </w:tabs>
        <w:spacing w:before="217" w:after="0" w:line="292" w:lineRule="auto"/>
        <w:ind w:left="1100" w:right="273" w:hanging="540"/>
        <w:jc w:val="both"/>
        <w:rPr>
          <w:sz w:val="30"/>
        </w:rPr>
      </w:pPr>
      <w:r>
        <w:tab/>
      </w:r>
      <w:r>
        <w:rPr>
          <w:spacing w:val="-1"/>
          <w:w w:val="95"/>
          <w:sz w:val="30"/>
        </w:rPr>
        <w:t xml:space="preserve">依法发行的股票、公司债券及其他证券，法律对其转让期限有限制性规定的，在限定的期限 </w:t>
      </w:r>
      <w:r>
        <w:rPr>
          <w:spacing w:val="110"/>
          <w:w w:val="95"/>
          <w:sz w:val="30"/>
        </w:rPr>
        <w:t xml:space="preserve"> </w:t>
      </w:r>
      <w:r>
        <w:rPr>
          <w:sz w:val="30"/>
        </w:rPr>
        <w:t>内不得买卖。</w:t>
      </w:r>
    </w:p>
    <w:p>
      <w:pPr>
        <w:pStyle w:val="BodyText"/>
        <w:rPr>
          <w:sz w:val="26"/>
        </w:rPr>
      </w:pPr>
    </w:p>
    <w:p>
      <w:pPr>
        <w:pStyle w:val="ListParagraph"/>
        <w:numPr>
          <w:ilvl w:val="1"/>
          <w:numId w:val="7"/>
        </w:numPr>
        <w:tabs>
          <w:tab w:val="left" w:pos="1173"/>
        </w:tabs>
        <w:spacing w:before="0" w:after="0" w:line="240" w:lineRule="auto"/>
        <w:ind w:left="1172" w:right="0" w:hanging="454"/>
        <w:jc w:val="both"/>
        <w:rPr>
          <w:sz w:val="30"/>
        </w:rPr>
      </w:pPr>
      <w:r>
        <w:rPr>
          <w:w w:val="95"/>
          <w:sz w:val="30"/>
        </w:rPr>
        <w:t>错误</w:t>
      </w:r>
    </w:p>
    <w:p>
      <w:pPr>
        <w:pStyle w:val="BodyText"/>
        <w:spacing w:before="1"/>
        <w:rPr>
          <w:sz w:val="43"/>
        </w:rPr>
      </w:pPr>
    </w:p>
    <w:p>
      <w:pPr>
        <w:pStyle w:val="ListParagraph"/>
        <w:numPr>
          <w:ilvl w:val="1"/>
          <w:numId w:val="7"/>
        </w:numPr>
        <w:tabs>
          <w:tab w:val="left" w:pos="1173"/>
        </w:tabs>
        <w:spacing w:before="0" w:after="0" w:line="240" w:lineRule="auto"/>
        <w:ind w:left="1172" w:right="0" w:hanging="454"/>
        <w:jc w:val="both"/>
        <w:rPr>
          <w:sz w:val="30"/>
        </w:rPr>
      </w:pPr>
      <w:r>
        <w:rPr>
          <w:w w:val="95"/>
          <w:sz w:val="30"/>
        </w:rPr>
        <w:t>正确</w:t>
      </w:r>
    </w:p>
    <w:p>
      <w:pPr>
        <w:pStyle w:val="ListParagraph"/>
        <w:numPr>
          <w:ilvl w:val="0"/>
          <w:numId w:val="7"/>
        </w:numPr>
        <w:tabs>
          <w:tab w:val="left" w:pos="1612"/>
        </w:tabs>
        <w:spacing w:before="217" w:after="0" w:line="292" w:lineRule="auto"/>
        <w:ind w:left="1100" w:right="273" w:hanging="540"/>
        <w:jc w:val="both"/>
        <w:rPr>
          <w:sz w:val="30"/>
        </w:rPr>
      </w:pPr>
      <w:r>
        <w:tab/>
      </w:r>
      <w:r>
        <w:rPr>
          <w:spacing w:val="-1"/>
          <w:w w:val="95"/>
          <w:sz w:val="30"/>
        </w:rPr>
        <w:t xml:space="preserve">违反《中华人民共和国证券法》第七十八条第二款的规定，在证券交易活动中作出虚假陈述 </w:t>
      </w:r>
      <w:r>
        <w:rPr>
          <w:spacing w:val="110"/>
          <w:w w:val="95"/>
          <w:sz w:val="30"/>
        </w:rPr>
        <w:t xml:space="preserve"> </w:t>
      </w:r>
      <w:r>
        <w:rPr>
          <w:spacing w:val="-3"/>
          <w:w w:val="95"/>
          <w:sz w:val="30"/>
        </w:rPr>
        <w:t xml:space="preserve">或者信息误导的，责令改正，处以三万元以上二十万元以下的罚款；属于国家工作人员的，还应   </w:t>
      </w:r>
      <w:r>
        <w:rPr>
          <w:spacing w:val="-3"/>
          <w:sz w:val="30"/>
        </w:rPr>
        <w:t>当依法给予行政处分。</w:t>
      </w:r>
    </w:p>
    <w:p>
      <w:pPr>
        <w:pStyle w:val="BodyText"/>
        <w:spacing w:before="12"/>
        <w:rPr>
          <w:sz w:val="25"/>
        </w:rPr>
      </w:pPr>
    </w:p>
    <w:p>
      <w:pPr>
        <w:pStyle w:val="ListParagraph"/>
        <w:numPr>
          <w:ilvl w:val="1"/>
          <w:numId w:val="7"/>
        </w:numPr>
        <w:tabs>
          <w:tab w:val="left" w:pos="1173"/>
        </w:tabs>
        <w:spacing w:before="0" w:after="0" w:line="240" w:lineRule="auto"/>
        <w:ind w:left="1172" w:right="0" w:hanging="454"/>
        <w:jc w:val="both"/>
        <w:rPr>
          <w:sz w:val="30"/>
        </w:rPr>
      </w:pPr>
      <w:r>
        <w:rPr>
          <w:w w:val="95"/>
          <w:sz w:val="30"/>
        </w:rPr>
        <w:t>错误</w:t>
      </w:r>
    </w:p>
    <w:p>
      <w:pPr>
        <w:pStyle w:val="BodyText"/>
        <w:rPr>
          <w:sz w:val="43"/>
        </w:rPr>
      </w:pPr>
    </w:p>
    <w:p>
      <w:pPr>
        <w:pStyle w:val="ListParagraph"/>
        <w:numPr>
          <w:ilvl w:val="1"/>
          <w:numId w:val="7"/>
        </w:numPr>
        <w:tabs>
          <w:tab w:val="left" w:pos="1173"/>
        </w:tabs>
        <w:spacing w:before="1" w:after="0" w:line="240" w:lineRule="auto"/>
        <w:ind w:left="1172" w:right="0" w:hanging="454"/>
        <w:jc w:val="both"/>
        <w:rPr>
          <w:sz w:val="30"/>
        </w:rPr>
      </w:pPr>
      <w:r>
        <w:rPr>
          <w:w w:val="95"/>
          <w:sz w:val="30"/>
        </w:rPr>
        <w:t>正确</w:t>
      </w:r>
    </w:p>
    <w:p>
      <w:pPr>
        <w:pStyle w:val="ListParagraph"/>
        <w:numPr>
          <w:ilvl w:val="0"/>
          <w:numId w:val="7"/>
        </w:numPr>
        <w:tabs>
          <w:tab w:val="left" w:pos="1612"/>
        </w:tabs>
        <w:spacing w:before="216" w:after="0" w:line="292" w:lineRule="auto"/>
        <w:ind w:left="1100" w:right="273" w:hanging="540"/>
        <w:jc w:val="both"/>
        <w:rPr>
          <w:sz w:val="30"/>
        </w:rPr>
      </w:pPr>
      <w:r>
        <w:tab/>
      </w:r>
      <w:r>
        <w:rPr>
          <w:spacing w:val="-1"/>
          <w:w w:val="95"/>
          <w:sz w:val="30"/>
        </w:rPr>
        <w:t xml:space="preserve">国家审计机关依法对证券交易所、证券公司、证券登记结算机构、证券监督管理机构进行审 </w:t>
      </w:r>
      <w:r>
        <w:rPr>
          <w:spacing w:val="110"/>
          <w:w w:val="95"/>
          <w:sz w:val="30"/>
        </w:rPr>
        <w:t xml:space="preserve"> </w:t>
      </w:r>
      <w:r>
        <w:rPr>
          <w:sz w:val="30"/>
        </w:rPr>
        <w:t>计监督。</w:t>
      </w:r>
    </w:p>
    <w:p>
      <w:pPr>
        <w:pStyle w:val="BodyText"/>
        <w:rPr>
          <w:sz w:val="26"/>
        </w:rPr>
      </w:pPr>
    </w:p>
    <w:p>
      <w:pPr>
        <w:pStyle w:val="ListParagraph"/>
        <w:numPr>
          <w:ilvl w:val="1"/>
          <w:numId w:val="7"/>
        </w:numPr>
        <w:tabs>
          <w:tab w:val="left" w:pos="1173"/>
        </w:tabs>
        <w:spacing w:before="0" w:after="0" w:line="240" w:lineRule="auto"/>
        <w:ind w:left="1172" w:right="0" w:hanging="454"/>
        <w:jc w:val="both"/>
        <w:rPr>
          <w:sz w:val="30"/>
        </w:rPr>
      </w:pPr>
      <w:r>
        <w:rPr>
          <w:w w:val="95"/>
          <w:sz w:val="30"/>
        </w:rPr>
        <w:t>错误</w:t>
      </w:r>
    </w:p>
    <w:p>
      <w:pPr>
        <w:pStyle w:val="BodyText"/>
        <w:spacing w:before="1"/>
        <w:rPr>
          <w:sz w:val="43"/>
        </w:rPr>
      </w:pPr>
    </w:p>
    <w:p>
      <w:pPr>
        <w:pStyle w:val="ListParagraph"/>
        <w:numPr>
          <w:ilvl w:val="1"/>
          <w:numId w:val="7"/>
        </w:numPr>
        <w:tabs>
          <w:tab w:val="left" w:pos="1173"/>
        </w:tabs>
        <w:spacing w:before="0" w:after="0" w:line="240" w:lineRule="auto"/>
        <w:ind w:left="1172" w:right="0" w:hanging="454"/>
        <w:jc w:val="both"/>
        <w:rPr>
          <w:sz w:val="30"/>
        </w:rPr>
      </w:pPr>
      <w:r>
        <w:rPr>
          <w:w w:val="95"/>
          <w:sz w:val="30"/>
        </w:rPr>
        <w:t>正确</w:t>
      </w:r>
    </w:p>
    <w:p>
      <w:pPr>
        <w:pStyle w:val="ListParagraph"/>
        <w:numPr>
          <w:ilvl w:val="0"/>
          <w:numId w:val="7"/>
        </w:numPr>
        <w:tabs>
          <w:tab w:val="left" w:pos="1612"/>
        </w:tabs>
        <w:spacing w:before="217" w:after="0" w:line="292" w:lineRule="auto"/>
        <w:ind w:left="1100" w:right="153" w:hanging="540"/>
        <w:jc w:val="both"/>
        <w:rPr>
          <w:sz w:val="30"/>
        </w:rPr>
      </w:pPr>
      <w:r>
        <w:tab/>
      </w:r>
      <w:r>
        <w:rPr>
          <w:spacing w:val="-12"/>
          <w:w w:val="95"/>
          <w:sz w:val="30"/>
        </w:rPr>
        <w:t xml:space="preserve">为了规范证券发行和交易行为，保护投资者的合法权益，维护社会经济秩序和社会公共利益， </w:t>
      </w:r>
      <w:r>
        <w:rPr>
          <w:spacing w:val="110"/>
          <w:w w:val="95"/>
          <w:sz w:val="30"/>
        </w:rPr>
        <w:t xml:space="preserve"> </w:t>
      </w:r>
      <w:r>
        <w:rPr>
          <w:sz w:val="30"/>
        </w:rPr>
        <w:t>促进社会主义市场经济的发展，制定《中华人民共和国证券法》。</w:t>
      </w:r>
    </w:p>
    <w:p>
      <w:pPr>
        <w:pStyle w:val="BodyText"/>
        <w:rPr>
          <w:sz w:val="26"/>
        </w:rPr>
      </w:pPr>
    </w:p>
    <w:p>
      <w:pPr>
        <w:pStyle w:val="ListParagraph"/>
        <w:numPr>
          <w:ilvl w:val="1"/>
          <w:numId w:val="7"/>
        </w:numPr>
        <w:tabs>
          <w:tab w:val="left" w:pos="1173"/>
        </w:tabs>
        <w:spacing w:before="1" w:after="0" w:line="240" w:lineRule="auto"/>
        <w:ind w:left="1172" w:right="0" w:hanging="454"/>
        <w:jc w:val="both"/>
        <w:rPr>
          <w:sz w:val="30"/>
        </w:rPr>
      </w:pPr>
      <w:r>
        <w:rPr>
          <w:w w:val="95"/>
          <w:sz w:val="30"/>
        </w:rPr>
        <w:t>错误</w:t>
      </w:r>
    </w:p>
    <w:p>
      <w:pPr>
        <w:pStyle w:val="BodyText"/>
        <w:rPr>
          <w:sz w:val="43"/>
        </w:rPr>
      </w:pPr>
    </w:p>
    <w:p>
      <w:pPr>
        <w:pStyle w:val="ListParagraph"/>
        <w:numPr>
          <w:ilvl w:val="1"/>
          <w:numId w:val="7"/>
        </w:numPr>
        <w:tabs>
          <w:tab w:val="left" w:pos="1173"/>
        </w:tabs>
        <w:spacing w:before="0" w:after="0" w:line="240" w:lineRule="auto"/>
        <w:ind w:left="1172" w:right="0" w:hanging="454"/>
        <w:jc w:val="both"/>
        <w:rPr>
          <w:sz w:val="30"/>
        </w:rPr>
      </w:pPr>
      <w:r>
        <w:rPr>
          <w:w w:val="95"/>
          <w:sz w:val="30"/>
        </w:rPr>
        <w:t>正确</w:t>
      </w:r>
    </w:p>
    <w:p>
      <w:pPr>
        <w:pStyle w:val="ListParagraph"/>
        <w:numPr>
          <w:ilvl w:val="0"/>
          <w:numId w:val="7"/>
        </w:numPr>
        <w:tabs>
          <w:tab w:val="left" w:pos="1611"/>
          <w:tab w:val="left" w:pos="1612"/>
        </w:tabs>
        <w:spacing w:before="217" w:after="0" w:line="240" w:lineRule="auto"/>
        <w:ind w:left="1611" w:right="0" w:hanging="1052"/>
        <w:jc w:val="left"/>
        <w:rPr>
          <w:sz w:val="30"/>
        </w:rPr>
      </w:pPr>
      <w:r>
        <w:rPr>
          <w:sz w:val="30"/>
        </w:rPr>
        <w:t>保荐人的资格及其管理办法由国务院证券监督管理机构规定。</w:t>
      </w:r>
    </w:p>
    <w:p>
      <w:pPr>
        <w:pStyle w:val="BodyText"/>
        <w:spacing w:before="8"/>
        <w:rPr>
          <w:sz w:val="32"/>
        </w:rPr>
      </w:pPr>
    </w:p>
    <w:p>
      <w:pPr>
        <w:pStyle w:val="ListParagraph"/>
        <w:numPr>
          <w:ilvl w:val="1"/>
          <w:numId w:val="7"/>
        </w:numPr>
        <w:tabs>
          <w:tab w:val="left" w:pos="1173"/>
        </w:tabs>
        <w:spacing w:before="0" w:after="0" w:line="240" w:lineRule="auto"/>
        <w:ind w:left="1172" w:right="0" w:hanging="454"/>
        <w:jc w:val="both"/>
        <w:rPr>
          <w:sz w:val="30"/>
        </w:rPr>
      </w:pPr>
      <w:r>
        <w:rPr>
          <w:w w:val="95"/>
          <w:sz w:val="30"/>
        </w:rPr>
        <w:t>错误</w:t>
      </w:r>
    </w:p>
    <w:p>
      <w:pPr>
        <w:pStyle w:val="BodyText"/>
        <w:spacing w:before="1"/>
        <w:rPr>
          <w:sz w:val="43"/>
        </w:rPr>
      </w:pPr>
    </w:p>
    <w:p>
      <w:pPr>
        <w:pStyle w:val="ListParagraph"/>
        <w:numPr>
          <w:ilvl w:val="1"/>
          <w:numId w:val="7"/>
        </w:numPr>
        <w:tabs>
          <w:tab w:val="left" w:pos="1173"/>
        </w:tabs>
        <w:spacing w:before="0" w:after="0" w:line="240" w:lineRule="auto"/>
        <w:ind w:left="1172" w:right="0" w:hanging="454"/>
        <w:jc w:val="both"/>
        <w:rPr>
          <w:sz w:val="30"/>
        </w:rPr>
      </w:pPr>
      <w:r>
        <w:rPr>
          <w:w w:val="95"/>
          <w:sz w:val="30"/>
        </w:rPr>
        <w:t>正确</w:t>
      </w:r>
    </w:p>
    <w:p>
      <w:pPr>
        <w:spacing w:after="0" w:line="240" w:lineRule="auto"/>
        <w:jc w:val="both"/>
        <w:rPr>
          <w:sz w:val="30"/>
        </w:rPr>
        <w:sectPr>
          <w:pgSz w:w="17860" w:h="25260"/>
          <w:pgMar w:top="1820" w:right="2420" w:bottom="280" w:left="1600" w:header="708" w:footer="708"/>
          <w:pgNumType w:start="3"/>
          <w:cols w:space="708"/>
        </w:sectPr>
      </w:pPr>
    </w:p>
    <w:p>
      <w:pPr>
        <w:pStyle w:val="ListParagraph"/>
        <w:numPr>
          <w:ilvl w:val="0"/>
          <w:numId w:val="6"/>
        </w:numPr>
        <w:tabs>
          <w:tab w:val="left" w:pos="1611"/>
          <w:tab w:val="left" w:pos="1612"/>
        </w:tabs>
        <w:spacing w:before="104" w:after="0" w:line="240" w:lineRule="auto"/>
        <w:ind w:left="1611" w:right="0" w:hanging="1052"/>
        <w:jc w:val="left"/>
        <w:rPr>
          <w:sz w:val="30"/>
        </w:rPr>
      </w:pPr>
      <w:r>
        <w:pict>
          <v:group id="_x0000_s1117" style="width:681.45pt;height:1054pt;margin-top:92pt;margin-left:80.59pt;mso-position-horizontal-relative:page;mso-position-vertical-relative:page;position:absolute;z-index:-251655168" coordorigin="1612,1840" coordsize="13629,21080">
            <v:shape id="_x0000_s1118" type="#_x0000_t75" style="width:809;height:728;left:1611;position:absolute;top:2406" stroked="f">
              <v:imagedata r:id="rId6" o:title=""/>
            </v:shape>
            <v:shape id="_x0000_s1119" type="#_x0000_t75" style="width:609;height:490;left:1711;position:absolute;top:2506" stroked="f">
              <v:imagedata r:id="rId11" o:title=""/>
            </v:shape>
            <v:shape id="_x0000_s1120" type="#_x0000_t75" style="width:809;height:708;left:1611;position:absolute;top:3342" stroked="f">
              <v:imagedata r:id="rId9" o:title=""/>
            </v:shape>
            <v:shape id="_x0000_s1121" type="#_x0000_t75" style="width:609;height:490;left:1711;position:absolute;top:3442" stroked="f">
              <v:imagedata r:id="rId12" o:title=""/>
            </v:shape>
            <v:shape id="_x0000_s1122" type="#_x0000_t75" style="width:809;height:708;left:1611;position:absolute;top:5682" stroked="f">
              <v:imagedata r:id="rId9" o:title=""/>
            </v:shape>
            <v:shape id="_x0000_s1123" type="#_x0000_t75" style="width:609;height:490;left:1711;position:absolute;top:5782" stroked="f">
              <v:imagedata r:id="rId11" o:title=""/>
            </v:shape>
            <v:shape id="_x0000_s1124" type="#_x0000_t75" style="width:809;height:728;left:1611;position:absolute;top:6618" stroked="f">
              <v:imagedata r:id="rId6" o:title=""/>
            </v:shape>
            <v:shape id="_x0000_s1125" type="#_x0000_t75" style="width:609;height:490;left:1711;position:absolute;top:6718" stroked="f">
              <v:imagedata r:id="rId12" o:title=""/>
            </v:shape>
            <v:shape id="_x0000_s1126" type="#_x0000_t75" style="width:809;height:728;left:1611;position:absolute;top:8491" stroked="f">
              <v:imagedata r:id="rId6" o:title=""/>
            </v:shape>
            <v:shape id="_x0000_s1127" type="#_x0000_t75" style="width:609;height:490;left:1711;position:absolute;top:8590" stroked="f">
              <v:imagedata r:id="rId11" o:title=""/>
            </v:shape>
            <v:shape id="_x0000_s1128" type="#_x0000_t75" style="width:809;height:728;left:1611;position:absolute;top:9426" stroked="f">
              <v:imagedata r:id="rId6" o:title=""/>
            </v:shape>
            <v:shape id="_x0000_s1129" type="#_x0000_t75" style="width:609;height:490;left:1711;position:absolute;top:9526" stroked="f">
              <v:imagedata r:id="rId12" o:title=""/>
            </v:shape>
            <v:shape id="_x0000_s1130" type="#_x0000_t75" style="width:809;height:728;left:1611;position:absolute;top:11766" stroked="f">
              <v:imagedata r:id="rId6" o:title=""/>
            </v:shape>
            <v:shape id="_x0000_s1131" type="#_x0000_t75" style="width:609;height:490;left:1711;position:absolute;top:11866" stroked="f">
              <v:imagedata r:id="rId11" o:title=""/>
            </v:shape>
            <v:shape id="_x0000_s1132" type="#_x0000_t75" style="width:809;height:708;left:1611;position:absolute;top:12702" stroked="f">
              <v:imagedata r:id="rId9" o:title=""/>
            </v:shape>
            <v:shape id="_x0000_s1133" type="#_x0000_t75" style="width:609;height:490;left:1711;position:absolute;top:12802" stroked="f">
              <v:imagedata r:id="rId12" o:title=""/>
            </v:shape>
            <v:shape id="_x0000_s1134" type="#_x0000_t75" style="width:809;height:728;left:1611;position:absolute;top:16446" stroked="f">
              <v:imagedata r:id="rId6" o:title=""/>
            </v:shape>
            <v:shape id="_x0000_s1135" type="#_x0000_t75" style="width:609;height:490;left:1711;position:absolute;top:16546" stroked="f">
              <v:imagedata r:id="rId11" o:title=""/>
            </v:shape>
            <v:shape id="_x0000_s1136" type="#_x0000_t75" style="width:809;height:708;left:1611;position:absolute;top:17382" stroked="f">
              <v:imagedata r:id="rId9" o:title=""/>
            </v:shape>
            <v:shape id="_x0000_s1137" type="#_x0000_t75" style="width:609;height:490;left:1711;position:absolute;top:17482" stroked="f">
              <v:imagedata r:id="rId12" o:title=""/>
            </v:shape>
            <v:shape id="_x0000_s1138" type="#_x0000_t75" style="width:809;height:728;left:1611;position:absolute;top:18786" stroked="f">
              <v:imagedata r:id="rId6" o:title=""/>
            </v:shape>
            <v:shape id="_x0000_s1139" type="#_x0000_t75" style="width:609;height:490;left:1711;position:absolute;top:18886" stroked="f">
              <v:imagedata r:id="rId11" o:title=""/>
            </v:shape>
            <v:shape id="_x0000_s1140" type="#_x0000_t75" style="width:809;height:708;left:1611;position:absolute;top:19722" stroked="f">
              <v:imagedata r:id="rId9" o:title=""/>
            </v:shape>
            <v:shape id="_x0000_s1141" type="#_x0000_t75" style="width:609;height:490;left:1711;position:absolute;top:19822" stroked="f">
              <v:imagedata r:id="rId12" o:title=""/>
            </v:shape>
            <v:shape id="_x0000_s1142" type="#_x0000_t75" style="width:809;height:728;left:1611;position:absolute;top:21127" stroked="f">
              <v:imagedata r:id="rId6" o:title=""/>
            </v:shape>
            <v:shape id="_x0000_s1143" type="#_x0000_t75" style="width:609;height:490;left:1711;position:absolute;top:21226" stroked="f">
              <v:imagedata r:id="rId11" o:title=""/>
            </v:shape>
            <v:shape id="_x0000_s1144" type="#_x0000_t75" style="width:13580;height:21080;left:1660;position:absolute;top:1840" stroked="f">
              <v:imagedata r:id="rId15" o:title=""/>
            </v:shape>
            <v:shape id="_x0000_s1145" type="#_x0000_t75" style="width:809;height:708;left:1611;position:absolute;top:22062" stroked="f">
              <v:imagedata r:id="rId9" o:title=""/>
            </v:shape>
            <v:shape id="_x0000_s1146" type="#_x0000_t75" style="width:609;height:490;left:1711;position:absolute;top:22162" stroked="f">
              <v:imagedata r:id="rId12" o:title=""/>
            </v:shape>
          </v:group>
        </w:pict>
      </w:r>
      <w:r>
        <w:rPr>
          <w:spacing w:val="-11"/>
          <w:sz w:val="30"/>
        </w:rPr>
        <w:t>证券衍生品种发行、交易的管理办法，由国务院依照《中华人民共和国证券法》的原则规定。</w:t>
      </w:r>
    </w:p>
    <w:p>
      <w:pPr>
        <w:pStyle w:val="BodyText"/>
        <w:spacing w:before="9"/>
        <w:rPr>
          <w:sz w:val="32"/>
        </w:rPr>
      </w:pPr>
    </w:p>
    <w:p>
      <w:pPr>
        <w:pStyle w:val="ListParagraph"/>
        <w:numPr>
          <w:ilvl w:val="1"/>
          <w:numId w:val="6"/>
        </w:numPr>
        <w:tabs>
          <w:tab w:val="left" w:pos="1173"/>
        </w:tabs>
        <w:spacing w:before="0" w:after="0" w:line="240" w:lineRule="auto"/>
        <w:ind w:left="1172" w:right="0" w:hanging="454"/>
        <w:jc w:val="both"/>
        <w:rPr>
          <w:sz w:val="30"/>
        </w:rPr>
      </w:pPr>
      <w:r>
        <w:rPr>
          <w:w w:val="95"/>
          <w:sz w:val="30"/>
        </w:rPr>
        <w:t>错误</w:t>
      </w:r>
    </w:p>
    <w:p>
      <w:pPr>
        <w:pStyle w:val="BodyText"/>
        <w:rPr>
          <w:sz w:val="43"/>
        </w:rPr>
      </w:pPr>
    </w:p>
    <w:p>
      <w:pPr>
        <w:pStyle w:val="ListParagraph"/>
        <w:numPr>
          <w:ilvl w:val="1"/>
          <w:numId w:val="6"/>
        </w:numPr>
        <w:tabs>
          <w:tab w:val="left" w:pos="1173"/>
        </w:tabs>
        <w:spacing w:before="1" w:after="0" w:line="240" w:lineRule="auto"/>
        <w:ind w:left="1172" w:right="0" w:hanging="454"/>
        <w:jc w:val="both"/>
        <w:rPr>
          <w:sz w:val="30"/>
        </w:rPr>
      </w:pPr>
      <w:r>
        <w:rPr>
          <w:w w:val="95"/>
          <w:sz w:val="30"/>
        </w:rPr>
        <w:t>正确</w:t>
      </w:r>
    </w:p>
    <w:p>
      <w:pPr>
        <w:pStyle w:val="ListParagraph"/>
        <w:numPr>
          <w:ilvl w:val="0"/>
          <w:numId w:val="6"/>
        </w:numPr>
        <w:tabs>
          <w:tab w:val="left" w:pos="1612"/>
        </w:tabs>
        <w:spacing w:before="216" w:after="0" w:line="292" w:lineRule="auto"/>
        <w:ind w:left="1100" w:right="187" w:hanging="540"/>
        <w:jc w:val="both"/>
        <w:rPr>
          <w:sz w:val="30"/>
        </w:rPr>
      </w:pPr>
      <w:r>
        <w:tab/>
      </w:r>
      <w:r>
        <w:rPr>
          <w:sz w:val="30"/>
        </w:rPr>
        <w:t>证券交易所、证券公司和证券登记结算机构的从业人员、证券监督管理机构的工作人员以及</w:t>
      </w:r>
      <w:r>
        <w:rPr>
          <w:spacing w:val="-1"/>
          <w:w w:val="95"/>
          <w:sz w:val="30"/>
        </w:rPr>
        <w:t xml:space="preserve">法律、行政法规禁止参与股票交易的其他人员，在任期或者法定限期内，不得直接或者以化名、   </w:t>
      </w:r>
      <w:r>
        <w:rPr>
          <w:sz w:val="30"/>
        </w:rPr>
        <w:t>借他人名义持有、买卖股票，也不得收受他人赠送的股票。</w:t>
      </w:r>
    </w:p>
    <w:p>
      <w:pPr>
        <w:pStyle w:val="BodyText"/>
        <w:spacing w:before="12"/>
        <w:rPr>
          <w:sz w:val="25"/>
        </w:rPr>
      </w:pPr>
    </w:p>
    <w:p>
      <w:pPr>
        <w:pStyle w:val="ListParagraph"/>
        <w:numPr>
          <w:ilvl w:val="1"/>
          <w:numId w:val="6"/>
        </w:numPr>
        <w:tabs>
          <w:tab w:val="left" w:pos="1173"/>
        </w:tabs>
        <w:spacing w:before="0" w:after="0" w:line="240" w:lineRule="auto"/>
        <w:ind w:left="1172" w:right="0" w:hanging="454"/>
        <w:jc w:val="both"/>
        <w:rPr>
          <w:sz w:val="30"/>
        </w:rPr>
      </w:pPr>
      <w:r>
        <w:rPr>
          <w:w w:val="95"/>
          <w:sz w:val="30"/>
        </w:rPr>
        <w:t>错误</w:t>
      </w:r>
    </w:p>
    <w:p>
      <w:pPr>
        <w:pStyle w:val="BodyText"/>
        <w:spacing w:before="1"/>
        <w:rPr>
          <w:sz w:val="43"/>
        </w:rPr>
      </w:pPr>
    </w:p>
    <w:p>
      <w:pPr>
        <w:pStyle w:val="ListParagraph"/>
        <w:numPr>
          <w:ilvl w:val="1"/>
          <w:numId w:val="6"/>
        </w:numPr>
        <w:tabs>
          <w:tab w:val="left" w:pos="1173"/>
        </w:tabs>
        <w:spacing w:before="0" w:after="0" w:line="240" w:lineRule="auto"/>
        <w:ind w:left="1172" w:right="0" w:hanging="454"/>
        <w:jc w:val="both"/>
        <w:rPr>
          <w:sz w:val="30"/>
        </w:rPr>
      </w:pPr>
      <w:r>
        <w:rPr>
          <w:w w:val="95"/>
          <w:sz w:val="30"/>
        </w:rPr>
        <w:t>正确</w:t>
      </w:r>
    </w:p>
    <w:p>
      <w:pPr>
        <w:pStyle w:val="ListParagraph"/>
        <w:numPr>
          <w:ilvl w:val="0"/>
          <w:numId w:val="6"/>
        </w:numPr>
        <w:tabs>
          <w:tab w:val="left" w:pos="1612"/>
        </w:tabs>
        <w:spacing w:before="217" w:after="0" w:line="292" w:lineRule="auto"/>
        <w:ind w:left="1100" w:right="273" w:hanging="540"/>
        <w:jc w:val="both"/>
        <w:rPr>
          <w:sz w:val="30"/>
        </w:rPr>
      </w:pPr>
      <w:r>
        <w:tab/>
      </w:r>
      <w:r>
        <w:rPr>
          <w:spacing w:val="-1"/>
          <w:w w:val="95"/>
          <w:sz w:val="30"/>
        </w:rPr>
        <w:t xml:space="preserve">发行人申请公开发行股票、可转换为股票的公司债券，依法采取承销方式的，或者公开发行 </w:t>
      </w:r>
      <w:r>
        <w:rPr>
          <w:spacing w:val="110"/>
          <w:w w:val="95"/>
          <w:sz w:val="30"/>
        </w:rPr>
        <w:t xml:space="preserve"> </w:t>
      </w:r>
      <w:r>
        <w:rPr>
          <w:sz w:val="30"/>
        </w:rPr>
        <w:t>法律、行政法规规定实行保荐制度的其他证券的，应当聘请具有保荐资格的机构担任保荐人。</w:t>
      </w:r>
    </w:p>
    <w:p>
      <w:pPr>
        <w:pStyle w:val="BodyText"/>
        <w:rPr>
          <w:sz w:val="26"/>
        </w:rPr>
      </w:pPr>
    </w:p>
    <w:p>
      <w:pPr>
        <w:pStyle w:val="ListParagraph"/>
        <w:numPr>
          <w:ilvl w:val="1"/>
          <w:numId w:val="6"/>
        </w:numPr>
        <w:tabs>
          <w:tab w:val="left" w:pos="1173"/>
        </w:tabs>
        <w:spacing w:before="0" w:after="0" w:line="240" w:lineRule="auto"/>
        <w:ind w:left="1172" w:right="0" w:hanging="454"/>
        <w:jc w:val="both"/>
        <w:rPr>
          <w:sz w:val="30"/>
        </w:rPr>
      </w:pPr>
      <w:r>
        <w:rPr>
          <w:w w:val="95"/>
          <w:sz w:val="30"/>
        </w:rPr>
        <w:t>错误</w:t>
      </w:r>
    </w:p>
    <w:p>
      <w:pPr>
        <w:pStyle w:val="BodyText"/>
        <w:spacing w:before="1"/>
        <w:rPr>
          <w:sz w:val="43"/>
        </w:rPr>
      </w:pPr>
    </w:p>
    <w:p>
      <w:pPr>
        <w:pStyle w:val="ListParagraph"/>
        <w:numPr>
          <w:ilvl w:val="1"/>
          <w:numId w:val="6"/>
        </w:numPr>
        <w:tabs>
          <w:tab w:val="left" w:pos="1173"/>
        </w:tabs>
        <w:spacing w:before="0" w:after="0" w:line="240" w:lineRule="auto"/>
        <w:ind w:left="1172" w:right="0" w:hanging="454"/>
        <w:jc w:val="both"/>
        <w:rPr>
          <w:sz w:val="30"/>
        </w:rPr>
      </w:pPr>
      <w:r>
        <w:rPr>
          <w:w w:val="95"/>
          <w:sz w:val="30"/>
        </w:rPr>
        <w:t>正确</w:t>
      </w:r>
    </w:p>
    <w:p>
      <w:pPr>
        <w:pStyle w:val="ListParagraph"/>
        <w:numPr>
          <w:ilvl w:val="0"/>
          <w:numId w:val="6"/>
        </w:numPr>
        <w:tabs>
          <w:tab w:val="left" w:pos="1611"/>
          <w:tab w:val="left" w:pos="1612"/>
        </w:tabs>
        <w:spacing w:before="217" w:after="0" w:line="240" w:lineRule="auto"/>
        <w:ind w:left="1611" w:right="0" w:hanging="1052"/>
        <w:jc w:val="left"/>
        <w:rPr>
          <w:sz w:val="30"/>
        </w:rPr>
      </w:pPr>
      <w:r>
        <w:rPr>
          <w:sz w:val="30"/>
        </w:rPr>
        <w:t>在中华人民共和国境内，股票、公司债券和国务院依法认定的其他证券的发行和交易，适用</w:t>
      </w:r>
    </w:p>
    <w:p>
      <w:pPr>
        <w:pStyle w:val="BodyText"/>
        <w:spacing w:before="83" w:line="292" w:lineRule="auto"/>
        <w:ind w:left="1100" w:right="242"/>
      </w:pPr>
      <w:r>
        <w:rPr>
          <w:spacing w:val="-6"/>
          <w:w w:val="95"/>
        </w:rPr>
        <w:t xml:space="preserve">《中华人民共和国证券法》；《中华人民共和国证券法》未规定的，适用《中华人民共和国公司 </w:t>
      </w:r>
      <w:r>
        <w:rPr>
          <w:spacing w:val="110"/>
          <w:w w:val="95"/>
        </w:rPr>
        <w:t xml:space="preserve"> </w:t>
      </w:r>
      <w:r>
        <w:t>法》和其他法律、行政法规的规定。</w:t>
      </w:r>
    </w:p>
    <w:p>
      <w:pPr>
        <w:pStyle w:val="BodyText"/>
        <w:rPr>
          <w:sz w:val="26"/>
        </w:rPr>
      </w:pPr>
    </w:p>
    <w:p>
      <w:pPr>
        <w:pStyle w:val="ListParagraph"/>
        <w:numPr>
          <w:ilvl w:val="1"/>
          <w:numId w:val="6"/>
        </w:numPr>
        <w:tabs>
          <w:tab w:val="left" w:pos="1173"/>
        </w:tabs>
        <w:spacing w:before="0" w:after="0" w:line="240" w:lineRule="auto"/>
        <w:ind w:left="1172" w:right="0" w:hanging="454"/>
        <w:jc w:val="both"/>
        <w:rPr>
          <w:sz w:val="30"/>
        </w:rPr>
      </w:pPr>
      <w:r>
        <w:rPr>
          <w:w w:val="95"/>
          <w:sz w:val="30"/>
        </w:rPr>
        <w:t>错误</w:t>
      </w:r>
    </w:p>
    <w:p>
      <w:pPr>
        <w:pStyle w:val="BodyText"/>
        <w:spacing w:before="1"/>
        <w:rPr>
          <w:sz w:val="43"/>
        </w:rPr>
      </w:pPr>
    </w:p>
    <w:p>
      <w:pPr>
        <w:pStyle w:val="ListParagraph"/>
        <w:numPr>
          <w:ilvl w:val="1"/>
          <w:numId w:val="6"/>
        </w:numPr>
        <w:tabs>
          <w:tab w:val="left" w:pos="1173"/>
        </w:tabs>
        <w:spacing w:before="0" w:after="0" w:line="240" w:lineRule="auto"/>
        <w:ind w:left="1172" w:right="0" w:hanging="454"/>
        <w:jc w:val="left"/>
        <w:rPr>
          <w:sz w:val="30"/>
        </w:rPr>
      </w:pPr>
      <w:r>
        <w:rPr>
          <w:w w:val="95"/>
          <w:sz w:val="30"/>
        </w:rPr>
        <w:t>正确</w:t>
      </w:r>
    </w:p>
    <w:p>
      <w:pPr>
        <w:pStyle w:val="ListParagraph"/>
        <w:numPr>
          <w:ilvl w:val="0"/>
          <w:numId w:val="6"/>
        </w:numPr>
        <w:tabs>
          <w:tab w:val="left" w:pos="1611"/>
          <w:tab w:val="left" w:pos="1612"/>
        </w:tabs>
        <w:spacing w:before="217" w:after="0" w:line="292" w:lineRule="auto"/>
        <w:ind w:left="1100" w:right="153" w:hanging="540"/>
        <w:jc w:val="left"/>
        <w:rPr>
          <w:sz w:val="30"/>
        </w:rPr>
      </w:pPr>
      <w:r>
        <w:tab/>
      </w:r>
      <w:r>
        <w:rPr>
          <w:sz w:val="30"/>
        </w:rPr>
        <w:t>证券交易内幕信息的知情人或者非法获取内幕信息的人，在涉及证券的发行、交易或者其他</w:t>
      </w:r>
      <w:r>
        <w:rPr>
          <w:spacing w:val="-6"/>
          <w:sz w:val="30"/>
        </w:rPr>
        <w:t>对证券的价格有重大影响的信息公开前，买卖该证券，或者泄露该信息，或者建议他人买卖该证</w:t>
      </w:r>
      <w:r>
        <w:rPr>
          <w:spacing w:val="-20"/>
          <w:w w:val="95"/>
          <w:sz w:val="30"/>
        </w:rPr>
        <w:t xml:space="preserve">券的，责令依法处理非法持有的证券，没收违法所得，并处以违法所得一倍以上五倍以下的罚款； </w:t>
      </w:r>
      <w:r>
        <w:rPr>
          <w:spacing w:val="110"/>
          <w:w w:val="95"/>
          <w:sz w:val="30"/>
        </w:rPr>
        <w:t xml:space="preserve"> </w:t>
      </w:r>
      <w:r>
        <w:rPr>
          <w:spacing w:val="-5"/>
          <w:sz w:val="30"/>
        </w:rPr>
        <w:t>没有违法所得或者违法所得不足三万元的，处以三万元以上六十万元以下的罚款。单位从事内幕</w:t>
      </w:r>
      <w:r>
        <w:rPr>
          <w:spacing w:val="-12"/>
          <w:sz w:val="30"/>
        </w:rPr>
        <w:t>交易的，还应当对直接负责的主管人员和其他直接责任人员给予警告，并处以三万元以上三十万元以下的罚款。证券监督管理机构工作人员进行内幕交易的，从重处罚。</w:t>
      </w:r>
    </w:p>
    <w:p>
      <w:pPr>
        <w:pStyle w:val="BodyText"/>
        <w:spacing w:before="9"/>
        <w:rPr>
          <w:sz w:val="25"/>
        </w:rPr>
      </w:pPr>
    </w:p>
    <w:p>
      <w:pPr>
        <w:pStyle w:val="ListParagraph"/>
        <w:numPr>
          <w:ilvl w:val="1"/>
          <w:numId w:val="6"/>
        </w:numPr>
        <w:tabs>
          <w:tab w:val="left" w:pos="1173"/>
        </w:tabs>
        <w:spacing w:before="0" w:after="0" w:line="240" w:lineRule="auto"/>
        <w:ind w:left="1172" w:right="0" w:hanging="454"/>
        <w:jc w:val="left"/>
        <w:rPr>
          <w:sz w:val="30"/>
        </w:rPr>
      </w:pPr>
      <w:r>
        <w:rPr>
          <w:w w:val="95"/>
          <w:sz w:val="30"/>
        </w:rPr>
        <w:t>错误</w:t>
      </w:r>
    </w:p>
    <w:p>
      <w:pPr>
        <w:pStyle w:val="BodyText"/>
        <w:spacing w:before="1"/>
        <w:rPr>
          <w:sz w:val="43"/>
        </w:rPr>
      </w:pPr>
    </w:p>
    <w:p>
      <w:pPr>
        <w:pStyle w:val="ListParagraph"/>
        <w:numPr>
          <w:ilvl w:val="1"/>
          <w:numId w:val="6"/>
        </w:numPr>
        <w:tabs>
          <w:tab w:val="left" w:pos="1173"/>
        </w:tabs>
        <w:spacing w:before="0" w:after="0" w:line="240" w:lineRule="auto"/>
        <w:ind w:left="1172" w:right="0" w:hanging="454"/>
        <w:jc w:val="left"/>
        <w:rPr>
          <w:sz w:val="30"/>
        </w:rPr>
      </w:pPr>
      <w:r>
        <w:rPr>
          <w:w w:val="95"/>
          <w:sz w:val="30"/>
        </w:rPr>
        <w:t>正确</w:t>
      </w:r>
    </w:p>
    <w:p>
      <w:pPr>
        <w:pStyle w:val="ListParagraph"/>
        <w:numPr>
          <w:ilvl w:val="0"/>
          <w:numId w:val="6"/>
        </w:numPr>
        <w:tabs>
          <w:tab w:val="left" w:pos="1611"/>
          <w:tab w:val="left" w:pos="1612"/>
        </w:tabs>
        <w:spacing w:before="218" w:after="0" w:line="240" w:lineRule="auto"/>
        <w:ind w:left="1611" w:right="0" w:hanging="1052"/>
        <w:jc w:val="left"/>
        <w:rPr>
          <w:sz w:val="30"/>
        </w:rPr>
      </w:pPr>
      <w:r>
        <w:rPr>
          <w:sz w:val="30"/>
        </w:rPr>
        <w:t>国务院证券监督管理机构根据需要可以设立派出机构，按照授权履行监督管理职责。</w:t>
      </w:r>
    </w:p>
    <w:p>
      <w:pPr>
        <w:pStyle w:val="BodyText"/>
        <w:spacing w:before="8"/>
        <w:rPr>
          <w:sz w:val="32"/>
        </w:rPr>
      </w:pPr>
    </w:p>
    <w:p>
      <w:pPr>
        <w:pStyle w:val="ListParagraph"/>
        <w:numPr>
          <w:ilvl w:val="1"/>
          <w:numId w:val="6"/>
        </w:numPr>
        <w:tabs>
          <w:tab w:val="left" w:pos="1173"/>
        </w:tabs>
        <w:spacing w:before="0" w:after="0" w:line="240" w:lineRule="auto"/>
        <w:ind w:left="1172" w:right="0" w:hanging="454"/>
        <w:jc w:val="left"/>
        <w:rPr>
          <w:sz w:val="30"/>
        </w:rPr>
      </w:pPr>
      <w:r>
        <w:rPr>
          <w:w w:val="95"/>
          <w:sz w:val="30"/>
        </w:rPr>
        <w:t>错误</w:t>
      </w:r>
    </w:p>
    <w:p>
      <w:pPr>
        <w:pStyle w:val="BodyText"/>
        <w:spacing w:before="1"/>
        <w:rPr>
          <w:sz w:val="43"/>
        </w:rPr>
      </w:pPr>
    </w:p>
    <w:p>
      <w:pPr>
        <w:pStyle w:val="ListParagraph"/>
        <w:numPr>
          <w:ilvl w:val="1"/>
          <w:numId w:val="6"/>
        </w:numPr>
        <w:tabs>
          <w:tab w:val="left" w:pos="1173"/>
        </w:tabs>
        <w:spacing w:before="0" w:after="0" w:line="240" w:lineRule="auto"/>
        <w:ind w:left="1172" w:right="0" w:hanging="454"/>
        <w:jc w:val="left"/>
        <w:rPr>
          <w:sz w:val="30"/>
        </w:rPr>
      </w:pPr>
      <w:r>
        <w:rPr>
          <w:w w:val="95"/>
          <w:sz w:val="30"/>
        </w:rPr>
        <w:t>正确</w:t>
      </w:r>
    </w:p>
    <w:p>
      <w:pPr>
        <w:pStyle w:val="ListParagraph"/>
        <w:numPr>
          <w:ilvl w:val="0"/>
          <w:numId w:val="6"/>
        </w:numPr>
        <w:tabs>
          <w:tab w:val="left" w:pos="1611"/>
          <w:tab w:val="left" w:pos="1612"/>
        </w:tabs>
        <w:spacing w:before="217" w:after="0" w:line="240" w:lineRule="auto"/>
        <w:ind w:left="1611" w:right="0" w:hanging="1052"/>
        <w:jc w:val="left"/>
        <w:rPr>
          <w:sz w:val="30"/>
        </w:rPr>
      </w:pPr>
      <w:r>
        <w:rPr>
          <w:sz w:val="30"/>
        </w:rPr>
        <w:t>证券交易以现货和国务院规定的其他方式进行交易。</w:t>
      </w:r>
    </w:p>
    <w:p>
      <w:pPr>
        <w:pStyle w:val="BodyText"/>
        <w:spacing w:before="8"/>
        <w:rPr>
          <w:sz w:val="32"/>
        </w:rPr>
      </w:pPr>
    </w:p>
    <w:p>
      <w:pPr>
        <w:pStyle w:val="ListParagraph"/>
        <w:numPr>
          <w:ilvl w:val="1"/>
          <w:numId w:val="6"/>
        </w:numPr>
        <w:tabs>
          <w:tab w:val="left" w:pos="1173"/>
        </w:tabs>
        <w:spacing w:before="0" w:after="0" w:line="240" w:lineRule="auto"/>
        <w:ind w:left="1172" w:right="0" w:hanging="454"/>
        <w:jc w:val="left"/>
        <w:rPr>
          <w:sz w:val="30"/>
        </w:rPr>
      </w:pPr>
      <w:r>
        <w:rPr>
          <w:w w:val="95"/>
          <w:sz w:val="30"/>
        </w:rPr>
        <w:t>错误</w:t>
      </w:r>
    </w:p>
    <w:p>
      <w:pPr>
        <w:pStyle w:val="BodyText"/>
        <w:rPr>
          <w:sz w:val="43"/>
        </w:rPr>
      </w:pPr>
    </w:p>
    <w:p>
      <w:pPr>
        <w:pStyle w:val="ListParagraph"/>
        <w:numPr>
          <w:ilvl w:val="1"/>
          <w:numId w:val="6"/>
        </w:numPr>
        <w:tabs>
          <w:tab w:val="left" w:pos="1173"/>
        </w:tabs>
        <w:spacing w:before="1" w:after="0" w:line="240" w:lineRule="auto"/>
        <w:ind w:left="1172" w:right="0" w:hanging="454"/>
        <w:jc w:val="left"/>
        <w:rPr>
          <w:sz w:val="30"/>
        </w:rPr>
      </w:pPr>
      <w:r>
        <w:rPr>
          <w:w w:val="95"/>
          <w:sz w:val="30"/>
        </w:rPr>
        <w:t>正确</w:t>
      </w:r>
    </w:p>
    <w:p>
      <w:pPr>
        <w:spacing w:after="0" w:line="240" w:lineRule="auto"/>
        <w:jc w:val="left"/>
        <w:rPr>
          <w:sz w:val="30"/>
        </w:rPr>
        <w:sectPr>
          <w:pgSz w:w="17860" w:h="25260"/>
          <w:pgMar w:top="1820" w:right="2420" w:bottom="280" w:left="1600" w:header="708" w:footer="708"/>
          <w:pgNumType w:start="4"/>
          <w:cols w:space="708"/>
        </w:sectPr>
      </w:pPr>
    </w:p>
    <w:p>
      <w:pPr>
        <w:pStyle w:val="BodyText"/>
        <w:ind w:left="11"/>
        <w:rPr>
          <w:sz w:val="20"/>
        </w:rPr>
      </w:pPr>
      <w:r>
        <w:rPr>
          <w:sz w:val="20"/>
        </w:rPr>
        <w:pict>
          <v:group id="_x0000_i1147" style="width:682.95pt;height:654pt;mso-position-horizontal-relative:char;mso-position-vertical-relative:line" coordorigin="0,0" coordsize="13659,13080">
            <v:shape id="_x0000_s1148" type="#_x0000_t75" style="width:809;height:728;position:absolute;top:1035" stroked="f">
              <v:imagedata r:id="rId6" o:title=""/>
            </v:shape>
            <v:shape id="_x0000_s1149" type="#_x0000_t75" style="width:609;height:490;left:100;position:absolute;top:1134" stroked="f">
              <v:imagedata r:id="rId16" o:title=""/>
            </v:shape>
            <v:shape id="_x0000_s1150" type="#_x0000_t75" style="width:809;height:728;position:absolute;top:1971" stroked="f">
              <v:imagedata r:id="rId6" o:title=""/>
            </v:shape>
            <v:shape id="_x0000_s1151" type="#_x0000_t75" style="width:609;height:490;left:100;position:absolute;top:2070" stroked="f">
              <v:imagedata r:id="rId17" o:title=""/>
            </v:shape>
            <v:shape id="_x0000_s1152" type="#_x0000_t75" style="width:809;height:708;position:absolute;top:3842" stroked="f">
              <v:imagedata r:id="rId9" o:title=""/>
            </v:shape>
            <v:shape id="_x0000_s1153" type="#_x0000_t75" style="width:609;height:490;left:100;position:absolute;top:3942" stroked="f">
              <v:imagedata r:id="rId16" o:title=""/>
            </v:shape>
            <v:shape id="_x0000_s1154" type="#_x0000_t75" style="width:809;height:728;position:absolute;top:4778" stroked="f">
              <v:imagedata r:id="rId6" o:title=""/>
            </v:shape>
            <v:shape id="_x0000_s1155" type="#_x0000_t75" style="width:609;height:490;left:100;position:absolute;top:4878" stroked="f">
              <v:imagedata r:id="rId17" o:title=""/>
            </v:shape>
            <v:shape id="_x0000_s1156" type="#_x0000_t75" style="width:809;height:728;position:absolute;top:7586" stroked="f">
              <v:imagedata r:id="rId6" o:title=""/>
            </v:shape>
            <v:shape id="_x0000_s1157" type="#_x0000_t75" style="width:609;height:490;left:100;position:absolute;top:7686" stroked="f">
              <v:imagedata r:id="rId16" o:title=""/>
            </v:shape>
            <v:shape id="_x0000_s1158" type="#_x0000_t75" style="width:809;height:708;position:absolute;top:8522" stroked="f">
              <v:imagedata r:id="rId9" o:title=""/>
            </v:shape>
            <v:shape id="_x0000_s1159" type="#_x0000_t75" style="width:609;height:490;left:100;position:absolute;top:8622" stroked="f">
              <v:imagedata r:id="rId17" o:title=""/>
            </v:shape>
            <v:shape id="_x0000_s1160" type="#_x0000_t75" style="width:809;height:728;position:absolute;top:9459" stroked="f">
              <v:imagedata r:id="rId6" o:title=""/>
            </v:shape>
            <v:shape id="_x0000_s1161" type="#_x0000_t75" style="width:609;height:490;left:100;position:absolute;top:9558" stroked="f">
              <v:imagedata r:id="rId16" o:title=""/>
            </v:shape>
            <v:shape id="_x0000_s1162" type="#_x0000_t75" style="width:809;height:728;position:absolute;top:10395" stroked="f">
              <v:imagedata r:id="rId6" o:title=""/>
            </v:shape>
            <v:shape id="_x0000_s1163" type="#_x0000_t75" style="width:609;height:490;left:100;position:absolute;top:10494" stroked="f">
              <v:imagedata r:id="rId16" o:title=""/>
            </v:shape>
            <v:shape id="_x0000_s1164" type="#_x0000_t75" style="width:13580;height:13080;left:48;position:absolute" stroked="f">
              <v:imagedata r:id="rId18" o:title=""/>
            </v:shape>
            <v:shapetype id="_x0000_t202" coordsize="21600,21600" o:spt="202" path="m,l,21600r21600,l21600,xe">
              <v:stroke joinstyle="miter"/>
              <v:path gradientshapeok="t" o:connecttype="rect"/>
            </v:shapetype>
            <v:shape id="_x0000_s1165" type="#_x0000_t202" style="width:13023;height:768;left:549;position:absolute;top:145" filled="f" stroked="f">
              <v:textbox inset="0,0,0,0">
                <w:txbxContent>
                  <w:p>
                    <w:pPr>
                      <w:tabs>
                        <w:tab w:val="left" w:pos="1050"/>
                      </w:tabs>
                      <w:spacing w:before="0" w:line="341" w:lineRule="exact"/>
                      <w:ind w:left="0" w:right="0" w:firstLine="0"/>
                      <w:jc w:val="left"/>
                      <w:rPr>
                        <w:sz w:val="30"/>
                      </w:rPr>
                    </w:pPr>
                    <w:r>
                      <w:rPr>
                        <w:sz w:val="30"/>
                      </w:rPr>
                      <w:t>29.</w:t>
                      <w:tab/>
                    </w:r>
                    <w:r>
                      <w:rPr>
                        <w:w w:val="95"/>
                        <w:sz w:val="30"/>
                      </w:rPr>
                      <w:t>政府债券、证券投资基金份额的上市交易，适用《中华人民共和国证券法》；其他法律、行</w:t>
                    </w:r>
                  </w:p>
                  <w:p>
                    <w:pPr>
                      <w:spacing w:before="84" w:line="342" w:lineRule="exact"/>
                      <w:ind w:left="539" w:right="0" w:firstLine="0"/>
                      <w:jc w:val="left"/>
                      <w:rPr>
                        <w:sz w:val="30"/>
                      </w:rPr>
                    </w:pPr>
                    <w:r>
                      <w:rPr>
                        <w:sz w:val="30"/>
                      </w:rPr>
                      <w:t>政法规有特别规定的，适用其规定。</w:t>
                    </w:r>
                  </w:p>
                </w:txbxContent>
              </v:textbox>
            </v:shape>
            <v:shape id="_x0000_s1166" type="#_x0000_t202" style="width:1072;height:299;left:707;position:absolute;top:1416" filled="f" stroked="f">
              <v:textbox inset="0,0,0,0">
                <w:txbxContent>
                  <w:p>
                    <w:pPr>
                      <w:spacing w:before="0" w:line="299" w:lineRule="exact"/>
                      <w:ind w:left="0" w:right="0" w:firstLine="0"/>
                      <w:jc w:val="left"/>
                      <w:rPr>
                        <w:sz w:val="30"/>
                      </w:rPr>
                    </w:pPr>
                    <w:r>
                      <w:rPr>
                        <w:sz w:val="30"/>
                      </w:rPr>
                      <w:t>A. 错误</w:t>
                    </w:r>
                  </w:p>
                </w:txbxContent>
              </v:textbox>
            </v:shape>
            <v:shape id="_x0000_s1167" type="#_x0000_t202" style="width:13023;height:1368;left:549;position:absolute;top:2352" filled="f" stroked="f">
              <v:textbox inset="0,0,0,0">
                <w:txbxContent>
                  <w:p>
                    <w:pPr>
                      <w:spacing w:before="0" w:line="341" w:lineRule="exact"/>
                      <w:ind w:left="158" w:right="0" w:firstLine="0"/>
                      <w:jc w:val="left"/>
                      <w:rPr>
                        <w:sz w:val="30"/>
                      </w:rPr>
                    </w:pPr>
                    <w:r>
                      <w:rPr>
                        <w:sz w:val="30"/>
                      </w:rPr>
                      <w:t>B. 正确</w:t>
                    </w:r>
                  </w:p>
                  <w:p>
                    <w:pPr>
                      <w:tabs>
                        <w:tab w:val="left" w:pos="1050"/>
                      </w:tabs>
                      <w:spacing w:before="141" w:line="460" w:lineRule="atLeast"/>
                      <w:ind w:left="539" w:right="18" w:hanging="540"/>
                      <w:jc w:val="left"/>
                      <w:rPr>
                        <w:sz w:val="30"/>
                      </w:rPr>
                    </w:pPr>
                    <w:r>
                      <w:rPr>
                        <w:sz w:val="30"/>
                      </w:rPr>
                      <w:t>30.</w:t>
                      <w:tab/>
                      <w:tab/>
                    </w:r>
                    <w:r>
                      <w:rPr>
                        <w:w w:val="95"/>
                        <w:sz w:val="30"/>
                      </w:rPr>
                      <w:t xml:space="preserve">发行人依法申请核准发行证券所报送的申请文件的格式、报送方式，由依法负责核准的机构  </w:t>
                    </w:r>
                    <w:r>
                      <w:rPr>
                        <w:sz w:val="30"/>
                      </w:rPr>
                      <w:t>或者部门规定。</w:t>
                    </w:r>
                  </w:p>
                </w:txbxContent>
              </v:textbox>
            </v:shape>
            <v:shape id="_x0000_s1168" type="#_x0000_t202" style="width:1072;height:299;left:707;position:absolute;top:4224" filled="f" stroked="f">
              <v:textbox inset="0,0,0,0">
                <w:txbxContent>
                  <w:p>
                    <w:pPr>
                      <w:spacing w:before="0" w:line="299" w:lineRule="exact"/>
                      <w:ind w:left="0" w:right="0" w:firstLine="0"/>
                      <w:jc w:val="left"/>
                      <w:rPr>
                        <w:sz w:val="30"/>
                      </w:rPr>
                    </w:pPr>
                    <w:r>
                      <w:rPr>
                        <w:sz w:val="30"/>
                      </w:rPr>
                      <w:t>A. 错误</w:t>
                    </w:r>
                  </w:p>
                </w:txbxContent>
              </v:textbox>
            </v:shape>
            <v:shape id="_x0000_s1169" type="#_x0000_t202" style="width:7325;height:901;left:707;position:absolute;top:5160" filled="f" stroked="f">
              <v:textbox inset="0,0,0,0">
                <w:txbxContent>
                  <w:p>
                    <w:pPr>
                      <w:spacing w:before="0" w:line="341" w:lineRule="exact"/>
                      <w:ind w:left="0" w:right="0" w:firstLine="0"/>
                      <w:jc w:val="left"/>
                      <w:rPr>
                        <w:sz w:val="30"/>
                      </w:rPr>
                    </w:pPr>
                    <w:r>
                      <w:rPr>
                        <w:sz w:val="30"/>
                      </w:rPr>
                      <w:t>B. 正确</w:t>
                    </w:r>
                  </w:p>
                  <w:p>
                    <w:pPr>
                      <w:tabs>
                        <w:tab w:val="left" w:pos="3395"/>
                        <w:tab w:val="left" w:pos="3996"/>
                        <w:tab w:val="left" w:pos="5803"/>
                        <w:tab w:val="left" w:pos="6408"/>
                      </w:tabs>
                      <w:spacing w:before="217" w:line="342" w:lineRule="exact"/>
                      <w:ind w:left="381" w:right="0" w:firstLine="0"/>
                      <w:jc w:val="left"/>
                      <w:rPr>
                        <w:b/>
                        <w:sz w:val="30"/>
                      </w:rPr>
                    </w:pPr>
                    <w:r>
                      <w:rPr>
                        <w:b/>
                        <w:color w:val="2E6B51"/>
                        <w:sz w:val="30"/>
                      </w:rPr>
                      <w:t>二、单项选择题（共</w:t>
                      <w:tab/>
                      <w:t>30</w:t>
                      <w:tab/>
                      <w:t>道试题，共</w:t>
                      <w:tab/>
                      <w:t>15</w:t>
                      <w:tab/>
                      <w:t>分。）</w:t>
                    </w:r>
                  </w:p>
                </w:txbxContent>
              </v:textbox>
            </v:shape>
            <v:shape id="_x0000_s1170" type="#_x0000_t202" style="width:319;height:299;left:549;position:absolute;top:6230" filled="f" stroked="f">
              <v:textbox inset="0,0,0,0">
                <w:txbxContent>
                  <w:p>
                    <w:pPr>
                      <w:spacing w:before="0" w:line="299" w:lineRule="exact"/>
                      <w:ind w:left="0" w:right="0" w:firstLine="0"/>
                      <w:jc w:val="left"/>
                      <w:rPr>
                        <w:sz w:val="30"/>
                      </w:rPr>
                    </w:pPr>
                    <w:r>
                      <w:rPr>
                        <w:sz w:val="30"/>
                      </w:rPr>
                      <w:t>1.</w:t>
                    </w:r>
                  </w:p>
                </w:txbxContent>
              </v:textbox>
            </v:shape>
            <v:shape id="_x0000_s1171" type="#_x0000_t202" style="width:10777;height:299;left:1448;position:absolute;top:6230" filled="f" stroked="f">
              <v:textbox inset="0,0,0,0">
                <w:txbxContent>
                  <w:p>
                    <w:pPr>
                      <w:spacing w:before="0" w:line="299" w:lineRule="exact"/>
                      <w:ind w:left="0" w:right="0" w:firstLine="0"/>
                      <w:jc w:val="left"/>
                      <w:rPr>
                        <w:sz w:val="30"/>
                      </w:rPr>
                    </w:pPr>
                    <w:r>
                      <w:rPr>
                        <w:w w:val="95"/>
                        <w:sz w:val="30"/>
                      </w:rPr>
                      <w:t>证券公司设立、收购或者撤销分支机构，变更业务范围或者注册资本，变更持有（</w:t>
                    </w:r>
                  </w:p>
                </w:txbxContent>
              </v:textbox>
            </v:shape>
            <v:shape id="_x0000_s1172" type="#_x0000_t202" style="width:917;height:299;left:12647;position:absolute;top:6230" filled="f" stroked="f">
              <v:textbox inset="0,0,0,0">
                <w:txbxContent>
                  <w:p>
                    <w:pPr>
                      <w:spacing w:before="0" w:line="299" w:lineRule="exact"/>
                      <w:ind w:left="0" w:right="0" w:firstLine="0"/>
                      <w:jc w:val="left"/>
                      <w:rPr>
                        <w:sz w:val="30"/>
                      </w:rPr>
                    </w:pPr>
                    <w:r>
                      <w:rPr>
                        <w:sz w:val="30"/>
                      </w:rPr>
                      <w:t>）以上</w:t>
                    </w:r>
                  </w:p>
                </w:txbxContent>
              </v:textbox>
            </v:shape>
            <v:shape id="_x0000_s1173" type="#_x0000_t202" style="width:12570;height:767;left:1089;position:absolute;top:6698" filled="f" stroked="f">
              <v:textbox inset="0,0,0,0">
                <w:txbxContent>
                  <w:p>
                    <w:pPr>
                      <w:spacing w:before="0" w:line="341" w:lineRule="exact"/>
                      <w:ind w:left="0" w:right="0" w:firstLine="0"/>
                      <w:jc w:val="left"/>
                      <w:rPr>
                        <w:sz w:val="30"/>
                      </w:rPr>
                    </w:pPr>
                    <w:r>
                      <w:rPr>
                        <w:w w:val="95"/>
                        <w:sz w:val="30"/>
                      </w:rPr>
                      <w:t>股权的股东、实际控制人，变更公司章程中的重要条款，合并、分立、变更公司形式、停业、解</w:t>
                    </w:r>
                  </w:p>
                  <w:p>
                    <w:pPr>
                      <w:spacing w:before="83" w:line="342" w:lineRule="exact"/>
                      <w:ind w:left="0" w:right="0" w:firstLine="0"/>
                      <w:jc w:val="left"/>
                      <w:rPr>
                        <w:sz w:val="30"/>
                      </w:rPr>
                    </w:pPr>
                    <w:r>
                      <w:rPr>
                        <w:sz w:val="30"/>
                      </w:rPr>
                      <w:t>散、破产，必须经国务院证券监督管理机构批准。</w:t>
                    </w:r>
                  </w:p>
                </w:txbxContent>
              </v:textbox>
            </v:shape>
            <v:shape id="_x0000_s1174" type="#_x0000_t202" style="width:767;height:299;left:707;position:absolute;top:7969" filled="f" stroked="f">
              <v:textbox inset="0,0,0,0">
                <w:txbxContent>
                  <w:p>
                    <w:pPr>
                      <w:spacing w:before="0" w:line="299" w:lineRule="exact"/>
                      <w:ind w:left="0" w:right="0" w:firstLine="0"/>
                      <w:jc w:val="left"/>
                      <w:rPr>
                        <w:sz w:val="30"/>
                      </w:rPr>
                    </w:pPr>
                    <w:r>
                      <w:rPr>
                        <w:sz w:val="30"/>
                      </w:rPr>
                      <w:t>A. 3%</w:t>
                    </w:r>
                  </w:p>
                </w:txbxContent>
              </v:textbox>
            </v:shape>
            <v:shape id="_x0000_s1175" type="#_x0000_t202" style="width:767;height:299;left:707;position:absolute;top:8905" filled="f" stroked="f">
              <v:textbox inset="0,0,0,0">
                <w:txbxContent>
                  <w:p>
                    <w:pPr>
                      <w:spacing w:before="0" w:line="299" w:lineRule="exact"/>
                      <w:ind w:left="0" w:right="0" w:firstLine="0"/>
                      <w:jc w:val="left"/>
                      <w:rPr>
                        <w:sz w:val="30"/>
                      </w:rPr>
                    </w:pPr>
                    <w:r>
                      <w:rPr>
                        <w:sz w:val="30"/>
                      </w:rPr>
                      <w:t>B. 5%</w:t>
                    </w:r>
                  </w:p>
                </w:txbxContent>
              </v:textbox>
            </v:shape>
            <v:shape id="_x0000_s1176" type="#_x0000_t202" style="width:767;height:299;left:707;position:absolute;top:9841" filled="f" stroked="f">
              <v:textbox inset="0,0,0,0">
                <w:txbxContent>
                  <w:p>
                    <w:pPr>
                      <w:spacing w:before="0" w:line="299" w:lineRule="exact"/>
                      <w:ind w:left="0" w:right="0" w:firstLine="0"/>
                      <w:jc w:val="left"/>
                      <w:rPr>
                        <w:sz w:val="30"/>
                      </w:rPr>
                    </w:pPr>
                    <w:r>
                      <w:rPr>
                        <w:sz w:val="30"/>
                      </w:rPr>
                      <w:t>C. 7%</w:t>
                    </w:r>
                  </w:p>
                </w:txbxContent>
              </v:textbox>
            </v:shape>
            <v:shape id="_x0000_s1177" type="#_x0000_t202" style="width:1075;height:901;left:549;position:absolute;top:10777" filled="f" stroked="f">
              <v:textbox inset="0,0,0,0">
                <w:txbxContent>
                  <w:p>
                    <w:pPr>
                      <w:spacing w:before="0" w:line="341" w:lineRule="exact"/>
                      <w:ind w:left="158" w:right="0" w:firstLine="0"/>
                      <w:jc w:val="left"/>
                      <w:rPr>
                        <w:sz w:val="30"/>
                      </w:rPr>
                    </w:pPr>
                    <w:r>
                      <w:rPr>
                        <w:sz w:val="30"/>
                      </w:rPr>
                      <w:t>D. 10%</w:t>
                    </w:r>
                  </w:p>
                  <w:p>
                    <w:pPr>
                      <w:spacing w:before="217" w:line="342" w:lineRule="exact"/>
                      <w:ind w:left="0" w:right="0" w:firstLine="0"/>
                      <w:jc w:val="left"/>
                      <w:rPr>
                        <w:sz w:val="30"/>
                      </w:rPr>
                    </w:pPr>
                    <w:r>
                      <w:rPr>
                        <w:sz w:val="30"/>
                      </w:rPr>
                      <w:t>2.</w:t>
                    </w:r>
                  </w:p>
                </w:txbxContent>
              </v:textbox>
            </v:shape>
            <v:shape id="_x0000_s1178" type="#_x0000_t202" style="width:11076;height:767;left:549;position:absolute;top:12268" filled="f" stroked="f">
              <v:textbox inset="0,0,0,0">
                <w:txbxContent>
                  <w:p>
                    <w:pPr>
                      <w:spacing w:before="0" w:line="341" w:lineRule="exact"/>
                      <w:ind w:left="0" w:right="0" w:firstLine="0"/>
                      <w:jc w:val="left"/>
                      <w:rPr>
                        <w:sz w:val="30"/>
                      </w:rPr>
                    </w:pPr>
                    <w:r>
                      <w:rPr>
                        <w:w w:val="95"/>
                        <w:sz w:val="30"/>
                      </w:rPr>
                      <w:t>在上市公司收购中，收购人持有的被收购的上市公司的股票，在收购行为完成后的（</w:t>
                    </w:r>
                  </w:p>
                  <w:p>
                    <w:pPr>
                      <w:spacing w:before="83" w:line="342" w:lineRule="exact"/>
                      <w:ind w:left="539" w:right="0" w:firstLine="0"/>
                      <w:jc w:val="left"/>
                      <w:rPr>
                        <w:sz w:val="30"/>
                      </w:rPr>
                    </w:pPr>
                    <w:r>
                      <w:rPr>
                        <w:sz w:val="30"/>
                      </w:rPr>
                      <w:t>让。</w:t>
                    </w:r>
                  </w:p>
                </w:txbxContent>
              </v:textbox>
            </v:shape>
            <v:shape id="_x0000_s1179" type="#_x0000_t202" style="width:1514;height:299;left:12049;position:absolute;top:12268" filled="f" stroked="f">
              <v:textbox inset="0,0,0,0">
                <w:txbxContent>
                  <w:p>
                    <w:pPr>
                      <w:spacing w:before="0" w:line="299" w:lineRule="exact"/>
                      <w:ind w:left="0" w:right="0" w:firstLine="0"/>
                      <w:jc w:val="left"/>
                      <w:rPr>
                        <w:sz w:val="30"/>
                      </w:rPr>
                    </w:pPr>
                    <w:r>
                      <w:rPr>
                        <w:sz w:val="30"/>
                      </w:rPr>
                      <w:t>）内不得转</w:t>
                    </w:r>
                  </w:p>
                </w:txbxContent>
              </v:textbox>
            </v:shape>
            <w10:wrap type="none"/>
          </v:group>
        </w:pict>
      </w:r>
    </w:p>
    <w:p>
      <w:pPr>
        <w:pStyle w:val="BodyText"/>
        <w:spacing w:before="7"/>
        <w:rPr>
          <w:sz w:val="27"/>
        </w:rPr>
      </w:pPr>
      <w:r>
        <w:pict>
          <v:group id="_x0000_s1180" style="width:681.45pt;height:352pt;margin-top:19.62pt;margin-left:80.59pt;mso-position-horizontal-relative:page;mso-wrap-distance-left:0;mso-wrap-distance-right:0;position:absolute;z-index:-251654144" coordorigin="1612,392" coordsize="13629,7040">
            <v:shape id="_x0000_s1181" type="#_x0000_t75" style="width:809;height:728;left:1611;position:absolute;top:485" stroked="f">
              <v:imagedata r:id="rId6" o:title=""/>
            </v:shape>
            <v:shape id="_x0000_s1182" type="#_x0000_t75" style="width:609;height:490;left:1711;position:absolute;top:585" stroked="f">
              <v:imagedata r:id="rId16" o:title=""/>
            </v:shape>
            <v:shape id="_x0000_s1183" type="#_x0000_t75" style="width:809;height:728;left:1611;position:absolute;top:1421" stroked="f">
              <v:imagedata r:id="rId6" o:title=""/>
            </v:shape>
            <v:shape id="_x0000_s1184" type="#_x0000_t75" style="width:609;height:490;left:1711;position:absolute;top:1521" stroked="f">
              <v:imagedata r:id="rId17" o:title=""/>
            </v:shape>
            <v:shape id="_x0000_s1185" type="#_x0000_t75" style="width:809;height:728;left:1611;position:absolute;top:2357" stroked="f">
              <v:imagedata r:id="rId6" o:title=""/>
            </v:shape>
            <v:shape id="_x0000_s1186" type="#_x0000_t75" style="width:609;height:490;left:1711;position:absolute;top:2457" stroked="f">
              <v:imagedata r:id="rId16" o:title=""/>
            </v:shape>
            <v:shape id="_x0000_s1187" type="#_x0000_t75" style="width:809;height:708;left:1611;position:absolute;top:3293" stroked="f">
              <v:imagedata r:id="rId9" o:title=""/>
            </v:shape>
            <v:shape id="_x0000_s1188" type="#_x0000_t75" style="width:609;height:490;left:1711;position:absolute;top:3393" stroked="f">
              <v:imagedata r:id="rId16" o:title=""/>
            </v:shape>
            <v:shape id="_x0000_s1189" type="#_x0000_t75" style="width:809;height:728;left:1611;position:absolute;top:4697" stroked="f">
              <v:imagedata r:id="rId6" o:title=""/>
            </v:shape>
            <v:shape id="_x0000_s1190" type="#_x0000_t75" style="width:609;height:490;left:1711;position:absolute;top:4797" stroked="f">
              <v:imagedata r:id="rId16" o:title=""/>
            </v:shape>
            <v:shape id="_x0000_s1191" type="#_x0000_t75" style="width:809;height:708;left:1611;position:absolute;top:5633" stroked="f">
              <v:imagedata r:id="rId9" o:title=""/>
            </v:shape>
            <v:shape id="_x0000_s1192" type="#_x0000_t75" style="width:609;height:490;left:1711;position:absolute;top:5733" stroked="f">
              <v:imagedata r:id="rId17" o:title=""/>
            </v:shape>
            <v:shape id="_x0000_s1193" type="#_x0000_t75" style="width:13580;height:7040;left:1660;position:absolute;top:392" stroked="f">
              <v:imagedata r:id="rId19" o:title=""/>
            </v:shape>
            <v:shape id="_x0000_s1194" type="#_x0000_t75" style="width:809;height:728;left:1611;position:absolute;top:6569" stroked="f">
              <v:imagedata r:id="rId6" o:title=""/>
            </v:shape>
            <v:shape id="_x0000_s1195" type="#_x0000_t75" style="width:609;height:490;left:1711;position:absolute;top:6669" stroked="f">
              <v:imagedata r:id="rId16" o:title=""/>
            </v:shape>
            <v:shape id="_x0000_s1196" type="#_x0000_t202" style="width:1298;height:299;left:2319;position:absolute;top:869" filled="f" stroked="f">
              <v:textbox inset="0,0,0,0">
                <w:txbxContent>
                  <w:p>
                    <w:pPr>
                      <w:spacing w:before="0" w:line="299" w:lineRule="exact"/>
                      <w:ind w:left="0" w:right="0" w:firstLine="0"/>
                      <w:jc w:val="left"/>
                      <w:rPr>
                        <w:sz w:val="30"/>
                      </w:rPr>
                    </w:pPr>
                    <w:r>
                      <w:rPr>
                        <w:sz w:val="30"/>
                      </w:rPr>
                      <w:t>A. 6</w:t>
                    </w:r>
                    <w:r>
                      <w:rPr>
                        <w:spacing w:val="-24"/>
                        <w:sz w:val="30"/>
                      </w:rPr>
                      <w:t xml:space="preserve"> 个月</w:t>
                    </w:r>
                  </w:p>
                </w:txbxContent>
              </v:textbox>
            </v:shape>
            <v:shape id="_x0000_s1197" type="#_x0000_t202" style="width:1446;height:299;left:2319;position:absolute;top:1805" filled="f" stroked="f">
              <v:textbox inset="0,0,0,0">
                <w:txbxContent>
                  <w:p>
                    <w:pPr>
                      <w:spacing w:before="0" w:line="299" w:lineRule="exact"/>
                      <w:ind w:left="0" w:right="0" w:firstLine="0"/>
                      <w:jc w:val="left"/>
                      <w:rPr>
                        <w:sz w:val="30"/>
                      </w:rPr>
                    </w:pPr>
                    <w:r>
                      <w:rPr>
                        <w:sz w:val="30"/>
                      </w:rPr>
                      <w:t>B. 12</w:t>
                    </w:r>
                    <w:r>
                      <w:rPr>
                        <w:spacing w:val="-25"/>
                        <w:sz w:val="30"/>
                      </w:rPr>
                      <w:t xml:space="preserve"> 个月</w:t>
                    </w:r>
                  </w:p>
                </w:txbxContent>
              </v:textbox>
            </v:shape>
            <v:shape id="_x0000_s1198" type="#_x0000_t202" style="width:1298;height:299;left:2319;position:absolute;top:2741" filled="f" stroked="f">
              <v:textbox inset="0,0,0,0">
                <w:txbxContent>
                  <w:p>
                    <w:pPr>
                      <w:spacing w:before="0" w:line="299" w:lineRule="exact"/>
                      <w:ind w:left="0" w:right="0" w:firstLine="0"/>
                      <w:jc w:val="left"/>
                      <w:rPr>
                        <w:sz w:val="30"/>
                      </w:rPr>
                    </w:pPr>
                    <w:r>
                      <w:rPr>
                        <w:sz w:val="30"/>
                      </w:rPr>
                      <w:t>C. 2</w:t>
                    </w:r>
                    <w:r>
                      <w:rPr>
                        <w:spacing w:val="-24"/>
                        <w:sz w:val="30"/>
                      </w:rPr>
                      <w:t xml:space="preserve"> 个月</w:t>
                    </w:r>
                  </w:p>
                </w:txbxContent>
              </v:textbox>
            </v:shape>
            <v:shape id="_x0000_s1199" type="#_x0000_t202" style="width:1446;height:299;left:2319;position:absolute;top:3678" filled="f" stroked="f">
              <v:textbox inset="0,0,0,0">
                <w:txbxContent>
                  <w:p>
                    <w:pPr>
                      <w:spacing w:before="0" w:line="299" w:lineRule="exact"/>
                      <w:ind w:left="0" w:right="0" w:firstLine="0"/>
                      <w:jc w:val="left"/>
                      <w:rPr>
                        <w:sz w:val="30"/>
                      </w:rPr>
                    </w:pPr>
                    <w:r>
                      <w:rPr>
                        <w:sz w:val="30"/>
                      </w:rPr>
                      <w:t>D. 24</w:t>
                    </w:r>
                    <w:r>
                      <w:rPr>
                        <w:spacing w:val="-25"/>
                        <w:sz w:val="30"/>
                      </w:rPr>
                      <w:t xml:space="preserve"> 个月</w:t>
                    </w:r>
                  </w:p>
                </w:txbxContent>
              </v:textbox>
            </v:shape>
            <v:shape id="_x0000_s1200" type="#_x0000_t202" style="width:319;height:299;left:2160;position:absolute;top:4279" filled="f" stroked="f">
              <v:textbox inset="0,0,0,0">
                <w:txbxContent>
                  <w:p>
                    <w:pPr>
                      <w:spacing w:before="0" w:line="299" w:lineRule="exact"/>
                      <w:ind w:left="0" w:right="0" w:firstLine="0"/>
                      <w:jc w:val="left"/>
                      <w:rPr>
                        <w:sz w:val="30"/>
                      </w:rPr>
                    </w:pPr>
                    <w:r>
                      <w:rPr>
                        <w:sz w:val="30"/>
                      </w:rPr>
                      <w:t>3.</w:t>
                    </w:r>
                  </w:p>
                </w:txbxContent>
              </v:textbox>
            </v:shape>
            <v:shape id="_x0000_s1201" type="#_x0000_t202" style="width:7789;height:299;left:3060;position:absolute;top:4279" filled="f" stroked="f">
              <v:textbox inset="0,0,0,0">
                <w:txbxContent>
                  <w:p>
                    <w:pPr>
                      <w:spacing w:before="0" w:line="299" w:lineRule="exact"/>
                      <w:ind w:left="0" w:right="0" w:firstLine="0"/>
                      <w:jc w:val="left"/>
                      <w:rPr>
                        <w:sz w:val="30"/>
                      </w:rPr>
                    </w:pPr>
                    <w:r>
                      <w:rPr>
                        <w:w w:val="95"/>
                        <w:sz w:val="30"/>
                      </w:rPr>
                      <w:t>股份有限公司申请股票上市，公司股本总额不少于人民币（</w:t>
                    </w:r>
                  </w:p>
                </w:txbxContent>
              </v:textbox>
            </v:shape>
            <v:shape id="_x0000_s1202" type="#_x0000_t202" style="width:319;height:299;left:11259;position:absolute;top:4279" filled="f" stroked="f">
              <v:textbox inset="0,0,0,0">
                <w:txbxContent>
                  <w:p>
                    <w:pPr>
                      <w:spacing w:before="0" w:line="299" w:lineRule="exact"/>
                      <w:ind w:left="0" w:right="0" w:firstLine="0"/>
                      <w:jc w:val="left"/>
                      <w:rPr>
                        <w:sz w:val="30"/>
                      </w:rPr>
                    </w:pPr>
                    <w:r>
                      <w:rPr>
                        <w:w w:val="99"/>
                        <w:sz w:val="30"/>
                      </w:rPr>
                      <w:t>）</w:t>
                    </w:r>
                  </w:p>
                </w:txbxContent>
              </v:textbox>
            </v:shape>
            <v:shape id="_x0000_s1203" type="#_x0000_t202" style="width:1748;height:299;left:2319;position:absolute;top:5082" filled="f" stroked="f">
              <v:textbox inset="0,0,0,0">
                <w:txbxContent>
                  <w:p>
                    <w:pPr>
                      <w:spacing w:before="0" w:line="299" w:lineRule="exact"/>
                      <w:ind w:left="0" w:right="0" w:firstLine="0"/>
                      <w:jc w:val="left"/>
                      <w:rPr>
                        <w:sz w:val="30"/>
                      </w:rPr>
                    </w:pPr>
                    <w:r>
                      <w:rPr>
                        <w:sz w:val="30"/>
                      </w:rPr>
                      <w:t>A. 2000</w:t>
                    </w:r>
                    <w:r>
                      <w:rPr>
                        <w:spacing w:val="-23"/>
                        <w:sz w:val="30"/>
                      </w:rPr>
                      <w:t xml:space="preserve"> 万元</w:t>
                    </w:r>
                  </w:p>
                </w:txbxContent>
              </v:textbox>
            </v:shape>
            <v:shape id="_x0000_s1204" type="#_x0000_t202" style="width:1748;height:299;left:2319;position:absolute;top:6018" filled="f" stroked="f">
              <v:textbox inset="0,0,0,0">
                <w:txbxContent>
                  <w:p>
                    <w:pPr>
                      <w:spacing w:before="0" w:line="299" w:lineRule="exact"/>
                      <w:ind w:left="0" w:right="0" w:firstLine="0"/>
                      <w:jc w:val="left"/>
                      <w:rPr>
                        <w:sz w:val="30"/>
                      </w:rPr>
                    </w:pPr>
                    <w:r>
                      <w:rPr>
                        <w:sz w:val="30"/>
                      </w:rPr>
                      <w:t>B. 3000</w:t>
                    </w:r>
                    <w:r>
                      <w:rPr>
                        <w:spacing w:val="-23"/>
                        <w:sz w:val="30"/>
                      </w:rPr>
                      <w:t xml:space="preserve"> 万元</w:t>
                    </w:r>
                  </w:p>
                </w:txbxContent>
              </v:textbox>
            </v:shape>
            <v:shape id="_x0000_s1205" type="#_x0000_t202" style="width:1748;height:299;left:2319;position:absolute;top:6953" filled="f" stroked="f">
              <v:textbox inset="0,0,0,0">
                <w:txbxContent>
                  <w:p>
                    <w:pPr>
                      <w:spacing w:before="0" w:line="299" w:lineRule="exact"/>
                      <w:ind w:left="0" w:right="0" w:firstLine="0"/>
                      <w:jc w:val="left"/>
                      <w:rPr>
                        <w:sz w:val="30"/>
                      </w:rPr>
                    </w:pPr>
                    <w:r>
                      <w:rPr>
                        <w:sz w:val="30"/>
                      </w:rPr>
                      <w:t>C. 4000</w:t>
                    </w:r>
                    <w:r>
                      <w:rPr>
                        <w:spacing w:val="-23"/>
                        <w:sz w:val="30"/>
                      </w:rPr>
                      <w:t xml:space="preserve"> 万元</w:t>
                    </w:r>
                  </w:p>
                </w:txbxContent>
              </v:textbox>
            </v:shape>
            <w10:wrap type="topAndBottom"/>
          </v:group>
        </w:pict>
      </w:r>
    </w:p>
    <w:p>
      <w:pPr>
        <w:spacing w:after="0"/>
        <w:rPr>
          <w:sz w:val="27"/>
        </w:rPr>
        <w:sectPr>
          <w:pgSz w:w="17860" w:h="25260"/>
          <w:pgMar w:top="1820" w:right="2420" w:bottom="280" w:left="1600" w:header="708" w:footer="708"/>
          <w:pgNumType w:start="5"/>
          <w:cols w:space="708"/>
        </w:sectPr>
      </w:pPr>
    </w:p>
    <w:p>
      <w:pPr>
        <w:pStyle w:val="BodyText"/>
        <w:spacing w:before="11"/>
        <w:rPr>
          <w:sz w:val="29"/>
        </w:rPr>
      </w:pPr>
    </w:p>
    <w:p>
      <w:pPr>
        <w:pStyle w:val="BodyText"/>
        <w:spacing w:before="57"/>
        <w:ind w:left="719"/>
      </w:pPr>
      <w:r>
        <w:pict>
          <v:group id="_x0000_s1206" style="width:681.45pt;height:1031pt;margin-top:-19.01pt;margin-left:80.59pt;mso-position-horizontal-relative:page;position:absolute;z-index:-251653120" coordorigin="1612,-380" coordsize="13629,20620">
            <v:shape id="_x0000_s1207" type="#_x0000_t75" style="width:809;height:728;left:1611;position:absolute;top:-282" stroked="f">
              <v:imagedata r:id="rId6" o:title=""/>
            </v:shape>
            <v:shape id="_x0000_s1208" type="#_x0000_t75" style="width:609;height:490;left:1711;position:absolute;top:-182" stroked="f">
              <v:imagedata r:id="rId20" o:title=""/>
            </v:shape>
            <v:shape id="_x0000_s1209" type="#_x0000_t75" style="width:809;height:728;left:1611;position:absolute;top:1590" stroked="f">
              <v:imagedata r:id="rId6" o:title=""/>
            </v:shape>
            <v:shape id="_x0000_s1210" type="#_x0000_t75" style="width:609;height:490;left:1711;position:absolute;top:1690" stroked="f">
              <v:imagedata r:id="rId20" o:title=""/>
            </v:shape>
            <v:shape id="_x0000_s1211" type="#_x0000_t75" style="width:809;height:728;left:1611;position:absolute;top:2526" stroked="f">
              <v:imagedata r:id="rId6" o:title=""/>
            </v:shape>
            <v:shape id="_x0000_s1212" type="#_x0000_t75" style="width:609;height:490;left:1711;position:absolute;top:2626" stroked="f">
              <v:imagedata r:id="rId21" o:title=""/>
            </v:shape>
            <v:shape id="_x0000_s1213" type="#_x0000_t75" style="width:809;height:708;left:1611;position:absolute;top:3462" stroked="f">
              <v:imagedata r:id="rId9" o:title=""/>
            </v:shape>
            <v:shape id="_x0000_s1214" type="#_x0000_t75" style="width:609;height:490;left:1711;position:absolute;top:3562" stroked="f">
              <v:imagedata r:id="rId20" o:title=""/>
            </v:shape>
            <v:shape id="_x0000_s1215" type="#_x0000_t75" style="width:809;height:728;left:1611;position:absolute;top:4398" stroked="f">
              <v:imagedata r:id="rId6" o:title=""/>
            </v:shape>
            <v:shape id="_x0000_s1216" type="#_x0000_t75" style="width:609;height:490;left:1711;position:absolute;top:4498" stroked="f">
              <v:imagedata r:id="rId20" o:title=""/>
            </v:shape>
            <v:shape id="_x0000_s1217" type="#_x0000_t75" style="width:809;height:728;left:1611;position:absolute;top:6270" stroked="f">
              <v:imagedata r:id="rId6" o:title=""/>
            </v:shape>
            <v:shape id="_x0000_s1218" type="#_x0000_t75" style="width:609;height:490;left:1711;position:absolute;top:6370" stroked="f">
              <v:imagedata r:id="rId20" o:title=""/>
            </v:shape>
            <v:shape id="_x0000_s1219" type="#_x0000_t75" style="width:809;height:728;left:1611;position:absolute;top:7206" stroked="f">
              <v:imagedata r:id="rId6" o:title=""/>
            </v:shape>
            <v:shape id="_x0000_s1220" type="#_x0000_t75" style="width:609;height:490;left:1711;position:absolute;top:7306" stroked="f">
              <v:imagedata r:id="rId21" o:title=""/>
            </v:shape>
            <v:shape id="_x0000_s1221" type="#_x0000_t75" style="width:809;height:708;left:1611;position:absolute;top:8142" stroked="f">
              <v:imagedata r:id="rId9" o:title=""/>
            </v:shape>
            <v:shape id="_x0000_s1222" type="#_x0000_t75" style="width:609;height:490;left:1711;position:absolute;top:8242" stroked="f">
              <v:imagedata r:id="rId20" o:title=""/>
            </v:shape>
            <v:shape id="_x0000_s1223" type="#_x0000_t75" style="width:809;height:728;left:1611;position:absolute;top:9078" stroked="f">
              <v:imagedata r:id="rId6" o:title=""/>
            </v:shape>
            <v:shape id="_x0000_s1224" type="#_x0000_t75" style="width:609;height:490;left:1711;position:absolute;top:9178" stroked="f">
              <v:imagedata r:id="rId20" o:title=""/>
            </v:shape>
            <v:shape id="_x0000_s1225" type="#_x0000_t75" style="width:809;height:708;left:1611;position:absolute;top:10482" stroked="f">
              <v:imagedata r:id="rId9" o:title=""/>
            </v:shape>
            <v:shape id="_x0000_s1226" type="#_x0000_t75" style="width:609;height:490;left:1711;position:absolute;top:10582" stroked="f">
              <v:imagedata r:id="rId20" o:title=""/>
            </v:shape>
            <v:shape id="_x0000_s1227" type="#_x0000_t75" style="width:809;height:728;left:1611;position:absolute;top:11418" stroked="f">
              <v:imagedata r:id="rId6" o:title=""/>
            </v:shape>
            <v:shape id="_x0000_s1228" type="#_x0000_t75" style="width:609;height:490;left:1711;position:absolute;top:11518" stroked="f">
              <v:imagedata r:id="rId21" o:title=""/>
            </v:shape>
            <v:shape id="_x0000_s1229" type="#_x0000_t75" style="width:809;height:728;left:1611;position:absolute;top:12354" stroked="f">
              <v:imagedata r:id="rId6" o:title=""/>
            </v:shape>
            <v:shape id="_x0000_s1230" type="#_x0000_t75" style="width:609;height:490;left:1711;position:absolute;top:12454" stroked="f">
              <v:imagedata r:id="rId20" o:title=""/>
            </v:shape>
            <v:shape id="_x0000_s1231" type="#_x0000_t75" style="width:809;height:728;left:1611;position:absolute;top:13290" stroked="f">
              <v:imagedata r:id="rId6" o:title=""/>
            </v:shape>
            <v:shape id="_x0000_s1232" type="#_x0000_t75" style="width:609;height:490;left:1711;position:absolute;top:13390" stroked="f">
              <v:imagedata r:id="rId20" o:title=""/>
            </v:shape>
            <v:shape id="_x0000_s1233" type="#_x0000_t75" style="width:809;height:708;left:1611;position:absolute;top:15162" stroked="f">
              <v:imagedata r:id="rId9" o:title=""/>
            </v:shape>
            <v:shape id="_x0000_s1234" type="#_x0000_t75" style="width:609;height:490;left:1711;position:absolute;top:15262" stroked="f">
              <v:imagedata r:id="rId20" o:title=""/>
            </v:shape>
            <v:shape id="_x0000_s1235" type="#_x0000_t75" style="width:809;height:728;left:1611;position:absolute;top:16098" stroked="f">
              <v:imagedata r:id="rId6" o:title=""/>
            </v:shape>
            <v:shape id="_x0000_s1236" type="#_x0000_t75" style="width:609;height:490;left:1711;position:absolute;top:16198" stroked="f">
              <v:imagedata r:id="rId21" o:title=""/>
            </v:shape>
            <v:shape id="_x0000_s1237" type="#_x0000_t75" style="width:809;height:728;left:1611;position:absolute;top:17034" stroked="f">
              <v:imagedata r:id="rId6" o:title=""/>
            </v:shape>
            <v:shape id="_x0000_s1238" type="#_x0000_t75" style="width:609;height:490;left:1711;position:absolute;top:17134" stroked="f">
              <v:imagedata r:id="rId20" o:title=""/>
            </v:shape>
            <v:shape id="_x0000_s1239" type="#_x0000_t75" style="width:809;height:728;left:1611;position:absolute;top:17970" stroked="f">
              <v:imagedata r:id="rId6" o:title=""/>
            </v:shape>
            <v:shape id="_x0000_s1240" type="#_x0000_t75" style="width:609;height:490;left:1711;position:absolute;top:18070" stroked="f">
              <v:imagedata r:id="rId20" o:title=""/>
            </v:shape>
            <v:shape id="_x0000_s1241" type="#_x0000_t75" style="width:13580;height:20620;left:1660;position:absolute;top:-381" stroked="f">
              <v:imagedata r:id="rId22" o:title=""/>
            </v:shape>
            <v:shape id="_x0000_s1242" type="#_x0000_t75" style="width:809;height:728;left:1611;position:absolute;top:19374" stroked="f">
              <v:imagedata r:id="rId6" o:title=""/>
            </v:shape>
            <v:shape id="_x0000_s1243" type="#_x0000_t75" style="width:609;height:490;left:1711;position:absolute;top:19474" stroked="f">
              <v:imagedata r:id="rId20" o:title=""/>
            </v:shape>
          </v:group>
        </w:pict>
      </w:r>
      <w:r>
        <w:t>D. 5000 万元</w:t>
      </w:r>
    </w:p>
    <w:p>
      <w:pPr>
        <w:pStyle w:val="ListParagraph"/>
        <w:numPr>
          <w:ilvl w:val="0"/>
          <w:numId w:val="5"/>
        </w:numPr>
        <w:tabs>
          <w:tab w:val="left" w:pos="1460"/>
          <w:tab w:val="left" w:pos="1461"/>
          <w:tab w:val="left" w:pos="6357"/>
        </w:tabs>
        <w:spacing w:before="217" w:after="0" w:line="292" w:lineRule="auto"/>
        <w:ind w:left="1100" w:right="308" w:hanging="540"/>
        <w:jc w:val="left"/>
        <w:rPr>
          <w:sz w:val="30"/>
        </w:rPr>
      </w:pPr>
      <w:r>
        <w:tab/>
      </w:r>
      <w:r>
        <w:rPr>
          <w:sz w:val="30"/>
        </w:rPr>
        <w:t>公司债券上市交易后，如果公司（</w:t>
        <w:tab/>
      </w:r>
      <w:r>
        <w:rPr>
          <w:w w:val="95"/>
          <w:sz w:val="30"/>
        </w:rPr>
        <w:t>）连续亏损，由证券交易所决定暂停其公司债券上市</w:t>
      </w:r>
      <w:r>
        <w:rPr>
          <w:spacing w:val="-17"/>
          <w:w w:val="95"/>
          <w:sz w:val="30"/>
        </w:rPr>
        <w:t xml:space="preserve">交 </w:t>
      </w:r>
      <w:r>
        <w:rPr>
          <w:sz w:val="30"/>
        </w:rPr>
        <w:t>易：</w:t>
      </w:r>
    </w:p>
    <w:p>
      <w:pPr>
        <w:pStyle w:val="BodyText"/>
        <w:spacing w:before="12"/>
        <w:rPr>
          <w:sz w:val="25"/>
        </w:rPr>
      </w:pPr>
    </w:p>
    <w:p>
      <w:pPr>
        <w:pStyle w:val="ListParagraph"/>
        <w:numPr>
          <w:ilvl w:val="1"/>
          <w:numId w:val="5"/>
        </w:numPr>
        <w:tabs>
          <w:tab w:val="left" w:pos="1173"/>
        </w:tabs>
        <w:spacing w:before="0" w:after="0" w:line="240" w:lineRule="auto"/>
        <w:ind w:left="1172" w:right="0" w:hanging="454"/>
        <w:jc w:val="left"/>
        <w:rPr>
          <w:sz w:val="30"/>
        </w:rPr>
      </w:pPr>
      <w:r>
        <w:rPr>
          <w:spacing w:val="-26"/>
          <w:sz w:val="30"/>
        </w:rPr>
        <w:t xml:space="preserve">最近 </w:t>
      </w:r>
      <w:r>
        <w:rPr>
          <w:sz w:val="30"/>
        </w:rPr>
        <w:t>1</w:t>
      </w:r>
      <w:r>
        <w:rPr>
          <w:spacing w:val="-38"/>
          <w:sz w:val="30"/>
        </w:rPr>
        <w:t xml:space="preserve"> 年</w:t>
      </w:r>
    </w:p>
    <w:p>
      <w:pPr>
        <w:pStyle w:val="BodyText"/>
        <w:spacing w:before="1"/>
        <w:rPr>
          <w:sz w:val="43"/>
        </w:rPr>
      </w:pPr>
    </w:p>
    <w:p>
      <w:pPr>
        <w:pStyle w:val="ListParagraph"/>
        <w:numPr>
          <w:ilvl w:val="1"/>
          <w:numId w:val="5"/>
        </w:numPr>
        <w:tabs>
          <w:tab w:val="left" w:pos="1173"/>
        </w:tabs>
        <w:spacing w:before="0" w:after="0" w:line="240" w:lineRule="auto"/>
        <w:ind w:left="1172" w:right="0" w:hanging="454"/>
        <w:jc w:val="left"/>
        <w:rPr>
          <w:sz w:val="30"/>
        </w:rPr>
      </w:pPr>
      <w:r>
        <w:rPr>
          <w:spacing w:val="-26"/>
          <w:sz w:val="30"/>
        </w:rPr>
        <w:t xml:space="preserve">最近 </w:t>
      </w:r>
      <w:r>
        <w:rPr>
          <w:sz w:val="30"/>
        </w:rPr>
        <w:t>2</w:t>
      </w:r>
      <w:r>
        <w:rPr>
          <w:spacing w:val="-38"/>
          <w:sz w:val="30"/>
        </w:rPr>
        <w:t xml:space="preserve"> 年</w:t>
      </w:r>
    </w:p>
    <w:p>
      <w:pPr>
        <w:pStyle w:val="BodyText"/>
        <w:rPr>
          <w:sz w:val="43"/>
        </w:rPr>
      </w:pPr>
    </w:p>
    <w:p>
      <w:pPr>
        <w:pStyle w:val="ListParagraph"/>
        <w:numPr>
          <w:ilvl w:val="1"/>
          <w:numId w:val="5"/>
        </w:numPr>
        <w:tabs>
          <w:tab w:val="left" w:pos="1173"/>
        </w:tabs>
        <w:spacing w:before="1" w:after="0" w:line="240" w:lineRule="auto"/>
        <w:ind w:left="1172" w:right="0" w:hanging="454"/>
        <w:jc w:val="left"/>
        <w:rPr>
          <w:sz w:val="30"/>
        </w:rPr>
      </w:pPr>
      <w:r>
        <w:rPr>
          <w:spacing w:val="-26"/>
          <w:sz w:val="30"/>
        </w:rPr>
        <w:t xml:space="preserve">最近 </w:t>
      </w:r>
      <w:r>
        <w:rPr>
          <w:sz w:val="30"/>
        </w:rPr>
        <w:t>3</w:t>
      </w:r>
      <w:r>
        <w:rPr>
          <w:spacing w:val="-38"/>
          <w:sz w:val="30"/>
        </w:rPr>
        <w:t xml:space="preserve"> 年</w:t>
      </w:r>
    </w:p>
    <w:p>
      <w:pPr>
        <w:pStyle w:val="BodyText"/>
        <w:rPr>
          <w:sz w:val="43"/>
        </w:rPr>
      </w:pPr>
    </w:p>
    <w:p>
      <w:pPr>
        <w:pStyle w:val="ListParagraph"/>
        <w:numPr>
          <w:ilvl w:val="1"/>
          <w:numId w:val="5"/>
        </w:numPr>
        <w:tabs>
          <w:tab w:val="left" w:pos="1173"/>
        </w:tabs>
        <w:spacing w:before="0" w:after="0" w:line="240" w:lineRule="auto"/>
        <w:ind w:left="1172" w:right="0" w:hanging="454"/>
        <w:jc w:val="left"/>
        <w:rPr>
          <w:sz w:val="30"/>
        </w:rPr>
      </w:pPr>
      <w:r>
        <w:rPr>
          <w:spacing w:val="-26"/>
          <w:sz w:val="30"/>
        </w:rPr>
        <w:t xml:space="preserve">最近 </w:t>
      </w:r>
      <w:r>
        <w:rPr>
          <w:sz w:val="30"/>
        </w:rPr>
        <w:t>5</w:t>
      </w:r>
      <w:r>
        <w:rPr>
          <w:spacing w:val="-38"/>
          <w:sz w:val="30"/>
        </w:rPr>
        <w:t xml:space="preserve"> 年</w:t>
      </w:r>
    </w:p>
    <w:p>
      <w:pPr>
        <w:pStyle w:val="ListParagraph"/>
        <w:numPr>
          <w:ilvl w:val="0"/>
          <w:numId w:val="5"/>
        </w:numPr>
        <w:tabs>
          <w:tab w:val="left" w:pos="1460"/>
          <w:tab w:val="left" w:pos="1461"/>
          <w:tab w:val="left" w:pos="5399"/>
        </w:tabs>
        <w:spacing w:before="218" w:after="0" w:line="292" w:lineRule="auto"/>
        <w:ind w:left="1100" w:right="426" w:hanging="540"/>
        <w:jc w:val="left"/>
        <w:rPr>
          <w:sz w:val="30"/>
        </w:rPr>
      </w:pPr>
      <w:r>
        <w:tab/>
      </w:r>
      <w:r>
        <w:rPr>
          <w:w w:val="95"/>
          <w:sz w:val="30"/>
        </w:rPr>
        <w:t>证券公司经营证券承销与保荐、证券自营、证券资产管理、其他证券业务其中两项以上的</w:t>
      </w:r>
      <w:r>
        <w:rPr>
          <w:spacing w:val="-19"/>
          <w:w w:val="95"/>
          <w:sz w:val="30"/>
        </w:rPr>
        <w:t xml:space="preserve">，   </w:t>
      </w:r>
      <w:r>
        <w:rPr>
          <w:sz w:val="30"/>
        </w:rPr>
        <w:t>注册资本最低限额为人民币（</w:t>
        <w:tab/>
        <w:t>）元。</w:t>
      </w:r>
    </w:p>
    <w:p>
      <w:pPr>
        <w:pStyle w:val="BodyText"/>
        <w:spacing w:before="12"/>
        <w:rPr>
          <w:sz w:val="25"/>
        </w:rPr>
      </w:pPr>
    </w:p>
    <w:p>
      <w:pPr>
        <w:pStyle w:val="ListParagraph"/>
        <w:numPr>
          <w:ilvl w:val="1"/>
          <w:numId w:val="5"/>
        </w:numPr>
        <w:tabs>
          <w:tab w:val="left" w:pos="1168"/>
        </w:tabs>
        <w:spacing w:before="0" w:after="0" w:line="240" w:lineRule="auto"/>
        <w:ind w:left="1167" w:right="0" w:hanging="449"/>
        <w:jc w:val="left"/>
        <w:rPr>
          <w:sz w:val="30"/>
        </w:rPr>
      </w:pPr>
      <w:r>
        <w:rPr>
          <w:sz w:val="30"/>
        </w:rPr>
        <w:t>3</w:t>
      </w:r>
      <w:r>
        <w:rPr>
          <w:spacing w:val="-35"/>
          <w:sz w:val="30"/>
        </w:rPr>
        <w:t xml:space="preserve"> 亿</w:t>
      </w:r>
    </w:p>
    <w:p>
      <w:pPr>
        <w:pStyle w:val="BodyText"/>
        <w:spacing w:before="1"/>
        <w:rPr>
          <w:sz w:val="43"/>
        </w:rPr>
      </w:pPr>
    </w:p>
    <w:p>
      <w:pPr>
        <w:pStyle w:val="ListParagraph"/>
        <w:numPr>
          <w:ilvl w:val="1"/>
          <w:numId w:val="5"/>
        </w:numPr>
        <w:tabs>
          <w:tab w:val="left" w:pos="1168"/>
        </w:tabs>
        <w:spacing w:before="0" w:after="0" w:line="240" w:lineRule="auto"/>
        <w:ind w:left="1167" w:right="0" w:hanging="449"/>
        <w:jc w:val="left"/>
        <w:rPr>
          <w:sz w:val="30"/>
        </w:rPr>
      </w:pPr>
      <w:r>
        <w:rPr>
          <w:sz w:val="30"/>
        </w:rPr>
        <w:t>5</w:t>
      </w:r>
      <w:r>
        <w:rPr>
          <w:spacing w:val="-35"/>
          <w:sz w:val="30"/>
        </w:rPr>
        <w:t xml:space="preserve"> 亿</w:t>
      </w:r>
    </w:p>
    <w:p>
      <w:pPr>
        <w:pStyle w:val="BodyText"/>
        <w:spacing w:before="1"/>
        <w:rPr>
          <w:sz w:val="43"/>
        </w:rPr>
      </w:pPr>
    </w:p>
    <w:p>
      <w:pPr>
        <w:pStyle w:val="ListParagraph"/>
        <w:numPr>
          <w:ilvl w:val="1"/>
          <w:numId w:val="5"/>
        </w:numPr>
        <w:tabs>
          <w:tab w:val="left" w:pos="1168"/>
        </w:tabs>
        <w:spacing w:before="0" w:after="0" w:line="240" w:lineRule="auto"/>
        <w:ind w:left="1167" w:right="0" w:hanging="449"/>
        <w:jc w:val="left"/>
        <w:rPr>
          <w:sz w:val="30"/>
        </w:rPr>
      </w:pPr>
      <w:r>
        <w:rPr>
          <w:sz w:val="30"/>
        </w:rPr>
        <w:t>7</w:t>
      </w:r>
      <w:r>
        <w:rPr>
          <w:spacing w:val="-35"/>
          <w:sz w:val="30"/>
        </w:rPr>
        <w:t xml:space="preserve"> 亿</w:t>
      </w:r>
    </w:p>
    <w:p>
      <w:pPr>
        <w:pStyle w:val="BodyText"/>
        <w:rPr>
          <w:sz w:val="43"/>
        </w:rPr>
      </w:pPr>
    </w:p>
    <w:p>
      <w:pPr>
        <w:pStyle w:val="ListParagraph"/>
        <w:numPr>
          <w:ilvl w:val="1"/>
          <w:numId w:val="5"/>
        </w:numPr>
        <w:tabs>
          <w:tab w:val="left" w:pos="1168"/>
        </w:tabs>
        <w:spacing w:before="1" w:after="0" w:line="240" w:lineRule="auto"/>
        <w:ind w:left="1167" w:right="0" w:hanging="449"/>
        <w:jc w:val="left"/>
        <w:rPr>
          <w:sz w:val="30"/>
        </w:rPr>
      </w:pPr>
      <w:r>
        <w:rPr>
          <w:sz w:val="30"/>
        </w:rPr>
        <w:t>1</w:t>
      </w:r>
      <w:r>
        <w:rPr>
          <w:spacing w:val="-35"/>
          <w:sz w:val="30"/>
        </w:rPr>
        <w:t xml:space="preserve"> 亿</w:t>
      </w:r>
    </w:p>
    <w:p>
      <w:pPr>
        <w:pStyle w:val="ListParagraph"/>
        <w:numPr>
          <w:ilvl w:val="0"/>
          <w:numId w:val="5"/>
        </w:numPr>
        <w:tabs>
          <w:tab w:val="left" w:pos="1460"/>
          <w:tab w:val="left" w:pos="1461"/>
          <w:tab w:val="left" w:pos="7484"/>
        </w:tabs>
        <w:spacing w:before="216" w:after="0" w:line="240" w:lineRule="auto"/>
        <w:ind w:left="1460" w:right="0" w:hanging="901"/>
        <w:jc w:val="left"/>
        <w:rPr>
          <w:sz w:val="30"/>
        </w:rPr>
      </w:pPr>
      <w:r>
        <w:rPr>
          <w:sz w:val="30"/>
        </w:rPr>
        <w:t>股份有限公司申请股票上市，公司应当在（</w:t>
        <w:tab/>
      </w:r>
      <w:r>
        <w:rPr>
          <w:spacing w:val="-36"/>
          <w:sz w:val="30"/>
        </w:rPr>
        <w:t>）</w:t>
      </w:r>
      <w:r>
        <w:rPr>
          <w:sz w:val="30"/>
        </w:rPr>
        <w:t>无重大违法行为，财务会计报告无虚假记载。</w:t>
      </w:r>
    </w:p>
    <w:p>
      <w:pPr>
        <w:pStyle w:val="BodyText"/>
        <w:spacing w:before="9"/>
        <w:rPr>
          <w:sz w:val="32"/>
        </w:rPr>
      </w:pPr>
    </w:p>
    <w:p>
      <w:pPr>
        <w:pStyle w:val="ListParagraph"/>
        <w:numPr>
          <w:ilvl w:val="1"/>
          <w:numId w:val="5"/>
        </w:numPr>
        <w:tabs>
          <w:tab w:val="left" w:pos="1173"/>
        </w:tabs>
        <w:spacing w:before="0" w:after="0" w:line="240" w:lineRule="auto"/>
        <w:ind w:left="1172" w:right="0" w:hanging="454"/>
        <w:jc w:val="left"/>
        <w:rPr>
          <w:sz w:val="30"/>
        </w:rPr>
      </w:pPr>
      <w:r>
        <w:rPr>
          <w:spacing w:val="-26"/>
          <w:sz w:val="30"/>
        </w:rPr>
        <w:t xml:space="preserve">最近 </w:t>
      </w:r>
      <w:r>
        <w:rPr>
          <w:sz w:val="30"/>
        </w:rPr>
        <w:t>1</w:t>
      </w:r>
      <w:r>
        <w:rPr>
          <w:spacing w:val="-38"/>
          <w:sz w:val="30"/>
        </w:rPr>
        <w:t xml:space="preserve"> 年</w:t>
      </w:r>
    </w:p>
    <w:p>
      <w:pPr>
        <w:pStyle w:val="BodyText"/>
        <w:spacing w:before="1"/>
        <w:rPr>
          <w:sz w:val="43"/>
        </w:rPr>
      </w:pPr>
    </w:p>
    <w:p>
      <w:pPr>
        <w:pStyle w:val="ListParagraph"/>
        <w:numPr>
          <w:ilvl w:val="1"/>
          <w:numId w:val="5"/>
        </w:numPr>
        <w:tabs>
          <w:tab w:val="left" w:pos="1173"/>
        </w:tabs>
        <w:spacing w:before="0" w:after="0" w:line="240" w:lineRule="auto"/>
        <w:ind w:left="1172" w:right="0" w:hanging="454"/>
        <w:jc w:val="left"/>
        <w:rPr>
          <w:sz w:val="30"/>
        </w:rPr>
      </w:pPr>
      <w:r>
        <w:rPr>
          <w:spacing w:val="-26"/>
          <w:sz w:val="30"/>
        </w:rPr>
        <w:t xml:space="preserve">最近 </w:t>
      </w:r>
      <w:r>
        <w:rPr>
          <w:sz w:val="30"/>
        </w:rPr>
        <w:t>3</w:t>
      </w:r>
      <w:r>
        <w:rPr>
          <w:spacing w:val="-38"/>
          <w:sz w:val="30"/>
        </w:rPr>
        <w:t xml:space="preserve"> 年</w:t>
      </w:r>
    </w:p>
    <w:p>
      <w:pPr>
        <w:pStyle w:val="BodyText"/>
        <w:spacing w:before="1"/>
        <w:rPr>
          <w:sz w:val="43"/>
        </w:rPr>
      </w:pPr>
    </w:p>
    <w:p>
      <w:pPr>
        <w:pStyle w:val="ListParagraph"/>
        <w:numPr>
          <w:ilvl w:val="1"/>
          <w:numId w:val="5"/>
        </w:numPr>
        <w:tabs>
          <w:tab w:val="left" w:pos="1173"/>
        </w:tabs>
        <w:spacing w:before="0" w:after="0" w:line="240" w:lineRule="auto"/>
        <w:ind w:left="1172" w:right="0" w:hanging="454"/>
        <w:jc w:val="left"/>
        <w:rPr>
          <w:sz w:val="30"/>
        </w:rPr>
      </w:pPr>
      <w:r>
        <w:rPr>
          <w:spacing w:val="-26"/>
          <w:sz w:val="30"/>
        </w:rPr>
        <w:t xml:space="preserve">最近 </w:t>
      </w:r>
      <w:r>
        <w:rPr>
          <w:sz w:val="30"/>
        </w:rPr>
        <w:t>2</w:t>
      </w:r>
      <w:r>
        <w:rPr>
          <w:spacing w:val="-38"/>
          <w:sz w:val="30"/>
        </w:rPr>
        <w:t xml:space="preserve"> 年</w:t>
      </w:r>
    </w:p>
    <w:p>
      <w:pPr>
        <w:pStyle w:val="BodyText"/>
        <w:rPr>
          <w:sz w:val="43"/>
        </w:rPr>
      </w:pPr>
    </w:p>
    <w:p>
      <w:pPr>
        <w:pStyle w:val="ListParagraph"/>
        <w:numPr>
          <w:ilvl w:val="1"/>
          <w:numId w:val="5"/>
        </w:numPr>
        <w:tabs>
          <w:tab w:val="left" w:pos="1173"/>
        </w:tabs>
        <w:spacing w:before="0" w:after="0" w:line="240" w:lineRule="auto"/>
        <w:ind w:left="1172" w:right="0" w:hanging="454"/>
        <w:jc w:val="left"/>
        <w:rPr>
          <w:sz w:val="30"/>
        </w:rPr>
      </w:pPr>
      <w:r>
        <w:rPr>
          <w:spacing w:val="-26"/>
          <w:sz w:val="30"/>
        </w:rPr>
        <w:t xml:space="preserve">最近 </w:t>
      </w:r>
      <w:r>
        <w:rPr>
          <w:sz w:val="30"/>
        </w:rPr>
        <w:t>5</w:t>
      </w:r>
      <w:r>
        <w:rPr>
          <w:spacing w:val="-38"/>
          <w:sz w:val="30"/>
        </w:rPr>
        <w:t xml:space="preserve"> 年</w:t>
      </w:r>
    </w:p>
    <w:p>
      <w:pPr>
        <w:pStyle w:val="ListParagraph"/>
        <w:numPr>
          <w:ilvl w:val="0"/>
          <w:numId w:val="5"/>
        </w:numPr>
        <w:tabs>
          <w:tab w:val="left" w:pos="1460"/>
          <w:tab w:val="left" w:pos="1461"/>
          <w:tab w:val="left" w:pos="9659"/>
        </w:tabs>
        <w:spacing w:before="217" w:after="0" w:line="292" w:lineRule="auto"/>
        <w:ind w:left="1100" w:right="293" w:hanging="540"/>
        <w:jc w:val="left"/>
        <w:rPr>
          <w:sz w:val="30"/>
        </w:rPr>
      </w:pPr>
      <w:r>
        <w:tab/>
      </w:r>
      <w:r>
        <w:rPr>
          <w:sz w:val="30"/>
        </w:rPr>
        <w:t>以协议方式收购上市公司时，达成协议后，收购人必须在（</w:t>
        <w:tab/>
      </w:r>
      <w:r>
        <w:rPr>
          <w:w w:val="95"/>
          <w:sz w:val="30"/>
        </w:rPr>
        <w:t>）日内将该收购协议向国务</w:t>
      </w:r>
      <w:r>
        <w:rPr>
          <w:spacing w:val="-17"/>
          <w:w w:val="95"/>
          <w:sz w:val="30"/>
        </w:rPr>
        <w:t>院</w:t>
      </w:r>
      <w:r>
        <w:rPr>
          <w:sz w:val="30"/>
        </w:rPr>
        <w:t>证券监督管理机构及证券交易所作出书面报告，并予公告。</w:t>
      </w:r>
    </w:p>
    <w:p>
      <w:pPr>
        <w:pStyle w:val="BodyText"/>
        <w:rPr>
          <w:sz w:val="26"/>
        </w:rPr>
      </w:pPr>
    </w:p>
    <w:p>
      <w:pPr>
        <w:pStyle w:val="ListParagraph"/>
        <w:numPr>
          <w:ilvl w:val="1"/>
          <w:numId w:val="5"/>
        </w:numPr>
        <w:tabs>
          <w:tab w:val="left" w:pos="1168"/>
        </w:tabs>
        <w:spacing w:before="0" w:after="0" w:line="240" w:lineRule="auto"/>
        <w:ind w:left="1167" w:right="0" w:hanging="449"/>
        <w:jc w:val="left"/>
        <w:rPr>
          <w:sz w:val="30"/>
        </w:rPr>
      </w:pPr>
      <w:r>
        <w:rPr>
          <w:w w:val="99"/>
          <w:sz w:val="30"/>
        </w:rPr>
        <w:t>5</w:t>
      </w:r>
    </w:p>
    <w:p>
      <w:pPr>
        <w:pStyle w:val="BodyText"/>
        <w:spacing w:before="2"/>
        <w:rPr>
          <w:sz w:val="43"/>
        </w:rPr>
      </w:pPr>
    </w:p>
    <w:p>
      <w:pPr>
        <w:pStyle w:val="ListParagraph"/>
        <w:numPr>
          <w:ilvl w:val="1"/>
          <w:numId w:val="5"/>
        </w:numPr>
        <w:tabs>
          <w:tab w:val="left" w:pos="1168"/>
        </w:tabs>
        <w:spacing w:before="0" w:after="0" w:line="240" w:lineRule="auto"/>
        <w:ind w:left="1167" w:right="0" w:hanging="449"/>
        <w:jc w:val="left"/>
        <w:rPr>
          <w:sz w:val="30"/>
        </w:rPr>
      </w:pPr>
      <w:r>
        <w:rPr>
          <w:w w:val="99"/>
          <w:sz w:val="30"/>
        </w:rPr>
        <w:t>3</w:t>
      </w:r>
    </w:p>
    <w:p>
      <w:pPr>
        <w:pStyle w:val="BodyText"/>
        <w:rPr>
          <w:sz w:val="43"/>
        </w:rPr>
      </w:pPr>
    </w:p>
    <w:p>
      <w:pPr>
        <w:pStyle w:val="ListParagraph"/>
        <w:numPr>
          <w:ilvl w:val="1"/>
          <w:numId w:val="5"/>
        </w:numPr>
        <w:tabs>
          <w:tab w:val="left" w:pos="1168"/>
        </w:tabs>
        <w:spacing w:before="0" w:after="0" w:line="240" w:lineRule="auto"/>
        <w:ind w:left="1167" w:right="0" w:hanging="449"/>
        <w:jc w:val="left"/>
        <w:rPr>
          <w:sz w:val="30"/>
        </w:rPr>
      </w:pPr>
      <w:r>
        <w:rPr>
          <w:w w:val="99"/>
          <w:sz w:val="30"/>
        </w:rPr>
        <w:t>7</w:t>
      </w:r>
    </w:p>
    <w:p>
      <w:pPr>
        <w:pStyle w:val="BodyText"/>
        <w:spacing w:before="1"/>
        <w:rPr>
          <w:sz w:val="43"/>
        </w:rPr>
      </w:pPr>
    </w:p>
    <w:p>
      <w:pPr>
        <w:pStyle w:val="ListParagraph"/>
        <w:numPr>
          <w:ilvl w:val="1"/>
          <w:numId w:val="5"/>
        </w:numPr>
        <w:tabs>
          <w:tab w:val="left" w:pos="1168"/>
        </w:tabs>
        <w:spacing w:before="0" w:after="0" w:line="240" w:lineRule="auto"/>
        <w:ind w:left="1167" w:right="0" w:hanging="449"/>
        <w:jc w:val="left"/>
        <w:rPr>
          <w:sz w:val="30"/>
        </w:rPr>
      </w:pPr>
      <w:r>
        <w:rPr>
          <w:sz w:val="30"/>
        </w:rPr>
        <w:t>10</w:t>
      </w:r>
    </w:p>
    <w:p>
      <w:pPr>
        <w:pStyle w:val="ListParagraph"/>
        <w:numPr>
          <w:ilvl w:val="0"/>
          <w:numId w:val="5"/>
        </w:numPr>
        <w:tabs>
          <w:tab w:val="left" w:pos="1460"/>
          <w:tab w:val="left" w:pos="1461"/>
          <w:tab w:val="left" w:pos="8460"/>
        </w:tabs>
        <w:spacing w:before="217" w:after="0" w:line="240" w:lineRule="auto"/>
        <w:ind w:left="1460" w:right="0" w:hanging="901"/>
        <w:jc w:val="left"/>
        <w:rPr>
          <w:sz w:val="30"/>
        </w:rPr>
      </w:pPr>
      <w:r>
        <w:rPr>
          <w:sz w:val="30"/>
        </w:rPr>
        <w:t>设立证券登记结算机构，自有资金不少于人民币（</w:t>
        <w:tab/>
        <w:t>）元。</w:t>
      </w:r>
    </w:p>
    <w:p>
      <w:pPr>
        <w:pStyle w:val="BodyText"/>
        <w:spacing w:before="8"/>
        <w:rPr>
          <w:sz w:val="32"/>
        </w:rPr>
      </w:pPr>
    </w:p>
    <w:p>
      <w:pPr>
        <w:pStyle w:val="ListParagraph"/>
        <w:numPr>
          <w:ilvl w:val="1"/>
          <w:numId w:val="5"/>
        </w:numPr>
        <w:tabs>
          <w:tab w:val="left" w:pos="1168"/>
        </w:tabs>
        <w:spacing w:before="0" w:after="0" w:line="240" w:lineRule="auto"/>
        <w:ind w:left="1167" w:right="0" w:hanging="449"/>
        <w:jc w:val="left"/>
        <w:rPr>
          <w:sz w:val="30"/>
        </w:rPr>
      </w:pPr>
      <w:r>
        <w:rPr>
          <w:sz w:val="30"/>
        </w:rPr>
        <w:t>1</w:t>
      </w:r>
      <w:r>
        <w:rPr>
          <w:spacing w:val="-35"/>
          <w:sz w:val="30"/>
        </w:rPr>
        <w:t xml:space="preserve"> 亿</w:t>
      </w:r>
    </w:p>
    <w:p>
      <w:pPr>
        <w:spacing w:after="0" w:line="240" w:lineRule="auto"/>
        <w:jc w:val="left"/>
        <w:rPr>
          <w:sz w:val="30"/>
        </w:rPr>
        <w:sectPr>
          <w:pgSz w:w="17860" w:h="25260"/>
          <w:pgMar w:top="1820" w:right="2420" w:bottom="280" w:left="1600" w:header="708" w:footer="708"/>
          <w:pgNumType w:start="6"/>
          <w:cols w:space="708"/>
        </w:sectPr>
      </w:pPr>
    </w:p>
    <w:p>
      <w:pPr>
        <w:pStyle w:val="BodyText"/>
        <w:spacing w:before="11"/>
        <w:rPr>
          <w:sz w:val="29"/>
        </w:rPr>
      </w:pPr>
    </w:p>
    <w:p>
      <w:pPr>
        <w:pStyle w:val="ListParagraph"/>
        <w:numPr>
          <w:ilvl w:val="1"/>
          <w:numId w:val="5"/>
        </w:numPr>
        <w:tabs>
          <w:tab w:val="left" w:pos="1168"/>
        </w:tabs>
        <w:spacing w:before="57" w:after="0" w:line="240" w:lineRule="auto"/>
        <w:ind w:left="1167" w:right="0" w:hanging="449"/>
        <w:jc w:val="left"/>
        <w:rPr>
          <w:sz w:val="30"/>
        </w:rPr>
      </w:pPr>
      <w:r>
        <w:pict>
          <v:group id="_x0000_s1244" style="width:681.45pt;height:1031pt;margin-top:-19.01pt;margin-left:80.59pt;mso-position-horizontal-relative:page;position:absolute;z-index:-251652096" coordorigin="1612,-380" coordsize="13629,20620">
            <v:shape id="_x0000_s1245" type="#_x0000_t75" style="width:809;height:728;left:1611;position:absolute;top:-282" stroked="f">
              <v:imagedata r:id="rId6" o:title=""/>
            </v:shape>
            <v:shape id="_x0000_s1246" type="#_x0000_t75" style="width:609;height:490;left:1711;position:absolute;top:-182" stroked="f">
              <v:imagedata r:id="rId23" o:title=""/>
            </v:shape>
            <v:shape id="_x0000_s1247" type="#_x0000_t75" style="width:809;height:728;left:1611;position:absolute;top:654" stroked="f">
              <v:imagedata r:id="rId6" o:title=""/>
            </v:shape>
            <v:shape id="_x0000_s1248" type="#_x0000_t75" style="width:609;height:490;left:1711;position:absolute;top:754" stroked="f">
              <v:imagedata r:id="rId24" o:title=""/>
            </v:shape>
            <v:shape id="_x0000_s1249" type="#_x0000_t75" style="width:809;height:728;left:1611;position:absolute;top:1590" stroked="f">
              <v:imagedata r:id="rId6" o:title=""/>
            </v:shape>
            <v:shape id="_x0000_s1250" type="#_x0000_t75" style="width:609;height:490;left:1711;position:absolute;top:1690" stroked="f">
              <v:imagedata r:id="rId24" o:title=""/>
            </v:shape>
            <v:shape id="_x0000_s1251" type="#_x0000_t75" style="width:809;height:708;left:1611;position:absolute;top:3462" stroked="f">
              <v:imagedata r:id="rId9" o:title=""/>
            </v:shape>
            <v:shape id="_x0000_s1252" type="#_x0000_t75" style="width:609;height:490;left:1711;position:absolute;top:3562" stroked="f">
              <v:imagedata r:id="rId24" o:title=""/>
            </v:shape>
            <v:shape id="_x0000_s1253" type="#_x0000_t75" style="width:809;height:728;left:1611;position:absolute;top:4398" stroked="f">
              <v:imagedata r:id="rId6" o:title=""/>
            </v:shape>
            <v:shape id="_x0000_s1254" type="#_x0000_t75" style="width:609;height:490;left:1711;position:absolute;top:4498" stroked="f">
              <v:imagedata r:id="rId23" o:title=""/>
            </v:shape>
            <v:shape id="_x0000_s1255" type="#_x0000_t75" style="width:809;height:728;left:1611;position:absolute;top:5334" stroked="f">
              <v:imagedata r:id="rId6" o:title=""/>
            </v:shape>
            <v:shape id="_x0000_s1256" type="#_x0000_t75" style="width:609;height:490;left:1711;position:absolute;top:5434" stroked="f">
              <v:imagedata r:id="rId24" o:title=""/>
            </v:shape>
            <v:shape id="_x0000_s1257" type="#_x0000_t75" style="width:809;height:728;left:1611;position:absolute;top:6270" stroked="f">
              <v:imagedata r:id="rId6" o:title=""/>
            </v:shape>
            <v:shape id="_x0000_s1258" type="#_x0000_t75" style="width:609;height:490;left:1711;position:absolute;top:6370" stroked="f">
              <v:imagedata r:id="rId24" o:title=""/>
            </v:shape>
            <v:shape id="_x0000_s1259" type="#_x0000_t75" style="width:809;height:728;left:1611;position:absolute;top:9078" stroked="f">
              <v:imagedata r:id="rId6" o:title=""/>
            </v:shape>
            <v:shape id="_x0000_s1260" type="#_x0000_t75" style="width:609;height:490;left:1711;position:absolute;top:9178" stroked="f">
              <v:imagedata r:id="rId24" o:title=""/>
            </v:shape>
            <v:shape id="_x0000_s1261" type="#_x0000_t75" style="width:809;height:728;left:1611;position:absolute;top:10014" stroked="f">
              <v:imagedata r:id="rId6" o:title=""/>
            </v:shape>
            <v:shape id="_x0000_s1262" type="#_x0000_t75" style="width:609;height:490;left:1711;position:absolute;top:10114" stroked="f">
              <v:imagedata r:id="rId23" o:title=""/>
            </v:shape>
            <v:shape id="_x0000_s1263" type="#_x0000_t75" style="width:809;height:728;left:1611;position:absolute;top:10950" stroked="f">
              <v:imagedata r:id="rId6" o:title=""/>
            </v:shape>
            <v:shape id="_x0000_s1264" type="#_x0000_t75" style="width:609;height:490;left:1711;position:absolute;top:11050" stroked="f">
              <v:imagedata r:id="rId24" o:title=""/>
            </v:shape>
            <v:shape id="_x0000_s1265" type="#_x0000_t75" style="width:809;height:728;left:1611;position:absolute;top:11886" stroked="f">
              <v:imagedata r:id="rId6" o:title=""/>
            </v:shape>
            <v:shape id="_x0000_s1266" type="#_x0000_t75" style="width:609;height:490;left:1711;position:absolute;top:11986" stroked="f">
              <v:imagedata r:id="rId24" o:title=""/>
            </v:shape>
            <v:shape id="_x0000_s1267" type="#_x0000_t75" style="width:809;height:728;left:1611;position:absolute;top:13758" stroked="f">
              <v:imagedata r:id="rId6" o:title=""/>
            </v:shape>
            <v:shape id="_x0000_s1268" type="#_x0000_t75" style="width:609;height:490;left:1711;position:absolute;top:13858" stroked="f">
              <v:imagedata r:id="rId24" o:title=""/>
            </v:shape>
            <v:shape id="_x0000_s1269" type="#_x0000_t75" style="width:809;height:728;left:1611;position:absolute;top:14694" stroked="f">
              <v:imagedata r:id="rId6" o:title=""/>
            </v:shape>
            <v:shape id="_x0000_s1270" type="#_x0000_t75" style="width:609;height:490;left:1711;position:absolute;top:14794" stroked="f">
              <v:imagedata r:id="rId23" o:title=""/>
            </v:shape>
            <v:shape id="_x0000_s1271" type="#_x0000_t75" style="width:809;height:728;left:1611;position:absolute;top:15630" stroked="f">
              <v:imagedata r:id="rId6" o:title=""/>
            </v:shape>
            <v:shape id="_x0000_s1272" type="#_x0000_t75" style="width:609;height:490;left:1711;position:absolute;top:15730" stroked="f">
              <v:imagedata r:id="rId24" o:title=""/>
            </v:shape>
            <v:shape id="_x0000_s1273" type="#_x0000_t75" style="width:809;height:728;left:1611;position:absolute;top:16566" stroked="f">
              <v:imagedata r:id="rId6" o:title=""/>
            </v:shape>
            <v:shape id="_x0000_s1274" type="#_x0000_t75" style="width:609;height:490;left:1711;position:absolute;top:16666" stroked="f">
              <v:imagedata r:id="rId24" o:title=""/>
            </v:shape>
            <v:shape id="_x0000_s1275" type="#_x0000_t75" style="width:13580;height:20620;left:1660;position:absolute;top:-381" stroked="f">
              <v:imagedata r:id="rId25" o:title=""/>
            </v:shape>
            <v:shape id="_x0000_s1276" type="#_x0000_t75" style="width:809;height:728;left:1611;position:absolute;top:19374" stroked="f">
              <v:imagedata r:id="rId6" o:title=""/>
            </v:shape>
            <v:shape id="_x0000_s1277" type="#_x0000_t75" style="width:609;height:490;left:1711;position:absolute;top:19474" stroked="f">
              <v:imagedata r:id="rId24" o:title=""/>
            </v:shape>
          </v:group>
        </w:pict>
      </w:r>
      <w:r>
        <w:rPr>
          <w:sz w:val="30"/>
        </w:rPr>
        <w:t>2</w:t>
      </w:r>
      <w:r>
        <w:rPr>
          <w:spacing w:val="-35"/>
          <w:sz w:val="30"/>
        </w:rPr>
        <w:t xml:space="preserve"> 亿</w:t>
      </w:r>
    </w:p>
    <w:p>
      <w:pPr>
        <w:pStyle w:val="BodyText"/>
        <w:rPr>
          <w:sz w:val="43"/>
        </w:rPr>
      </w:pPr>
    </w:p>
    <w:p>
      <w:pPr>
        <w:pStyle w:val="ListParagraph"/>
        <w:numPr>
          <w:ilvl w:val="1"/>
          <w:numId w:val="5"/>
        </w:numPr>
        <w:tabs>
          <w:tab w:val="left" w:pos="1168"/>
        </w:tabs>
        <w:spacing w:before="0" w:after="0" w:line="240" w:lineRule="auto"/>
        <w:ind w:left="1167" w:right="0" w:hanging="449"/>
        <w:jc w:val="left"/>
        <w:rPr>
          <w:sz w:val="30"/>
        </w:rPr>
      </w:pPr>
      <w:r>
        <w:rPr>
          <w:sz w:val="30"/>
        </w:rPr>
        <w:t>3</w:t>
      </w:r>
      <w:r>
        <w:rPr>
          <w:spacing w:val="-35"/>
          <w:sz w:val="30"/>
        </w:rPr>
        <w:t xml:space="preserve"> 亿</w:t>
      </w:r>
    </w:p>
    <w:p>
      <w:pPr>
        <w:pStyle w:val="BodyText"/>
        <w:spacing w:before="1"/>
        <w:rPr>
          <w:sz w:val="43"/>
        </w:rPr>
      </w:pPr>
    </w:p>
    <w:p>
      <w:pPr>
        <w:pStyle w:val="ListParagraph"/>
        <w:numPr>
          <w:ilvl w:val="1"/>
          <w:numId w:val="5"/>
        </w:numPr>
        <w:tabs>
          <w:tab w:val="left" w:pos="1168"/>
        </w:tabs>
        <w:spacing w:before="0" w:after="0" w:line="240" w:lineRule="auto"/>
        <w:ind w:left="1167" w:right="0" w:hanging="449"/>
        <w:jc w:val="left"/>
        <w:rPr>
          <w:sz w:val="30"/>
        </w:rPr>
      </w:pPr>
      <w:r>
        <w:rPr>
          <w:sz w:val="30"/>
        </w:rPr>
        <w:t>5</w:t>
      </w:r>
      <w:r>
        <w:rPr>
          <w:spacing w:val="-35"/>
          <w:sz w:val="30"/>
        </w:rPr>
        <w:t xml:space="preserve"> 亿</w:t>
      </w:r>
    </w:p>
    <w:p>
      <w:pPr>
        <w:pStyle w:val="ListParagraph"/>
        <w:numPr>
          <w:ilvl w:val="0"/>
          <w:numId w:val="5"/>
        </w:numPr>
        <w:tabs>
          <w:tab w:val="left" w:pos="1460"/>
          <w:tab w:val="left" w:pos="1461"/>
          <w:tab w:val="left" w:pos="6357"/>
        </w:tabs>
        <w:spacing w:before="217" w:after="0" w:line="292" w:lineRule="auto"/>
        <w:ind w:left="1100" w:right="308" w:hanging="540"/>
        <w:jc w:val="left"/>
        <w:rPr>
          <w:sz w:val="30"/>
        </w:rPr>
      </w:pPr>
      <w:r>
        <w:tab/>
      </w:r>
      <w:r>
        <w:rPr>
          <w:sz w:val="30"/>
        </w:rPr>
        <w:t>收购行为完成后，收购人应当在（</w:t>
        <w:tab/>
      </w:r>
      <w:r>
        <w:rPr>
          <w:w w:val="95"/>
          <w:sz w:val="30"/>
        </w:rPr>
        <w:t>）日内将收购情况报告国务院证券监督管理机构和证</w:t>
      </w:r>
      <w:r>
        <w:rPr>
          <w:spacing w:val="-17"/>
          <w:w w:val="95"/>
          <w:sz w:val="30"/>
        </w:rPr>
        <w:t xml:space="preserve">券 </w:t>
      </w:r>
      <w:r>
        <w:rPr>
          <w:sz w:val="30"/>
        </w:rPr>
        <w:t>交易所，并予公告。</w:t>
      </w:r>
    </w:p>
    <w:p>
      <w:pPr>
        <w:pStyle w:val="BodyText"/>
        <w:rPr>
          <w:sz w:val="26"/>
        </w:rPr>
      </w:pPr>
    </w:p>
    <w:p>
      <w:pPr>
        <w:pStyle w:val="ListParagraph"/>
        <w:numPr>
          <w:ilvl w:val="1"/>
          <w:numId w:val="5"/>
        </w:numPr>
        <w:tabs>
          <w:tab w:val="left" w:pos="1168"/>
        </w:tabs>
        <w:spacing w:before="0" w:after="0" w:line="240" w:lineRule="auto"/>
        <w:ind w:left="1167" w:right="0" w:hanging="449"/>
        <w:jc w:val="left"/>
        <w:rPr>
          <w:sz w:val="30"/>
        </w:rPr>
      </w:pPr>
      <w:r>
        <w:rPr>
          <w:sz w:val="30"/>
        </w:rPr>
        <w:t>10</w:t>
      </w:r>
    </w:p>
    <w:p>
      <w:pPr>
        <w:pStyle w:val="BodyText"/>
        <w:rPr>
          <w:sz w:val="43"/>
        </w:rPr>
      </w:pPr>
    </w:p>
    <w:p>
      <w:pPr>
        <w:pStyle w:val="ListParagraph"/>
        <w:numPr>
          <w:ilvl w:val="1"/>
          <w:numId w:val="5"/>
        </w:numPr>
        <w:tabs>
          <w:tab w:val="left" w:pos="1168"/>
        </w:tabs>
        <w:spacing w:before="0" w:after="0" w:line="240" w:lineRule="auto"/>
        <w:ind w:left="1167" w:right="0" w:hanging="449"/>
        <w:jc w:val="left"/>
        <w:rPr>
          <w:sz w:val="30"/>
        </w:rPr>
      </w:pPr>
      <w:r>
        <w:rPr>
          <w:sz w:val="30"/>
        </w:rPr>
        <w:t>15</w:t>
      </w:r>
    </w:p>
    <w:p>
      <w:pPr>
        <w:pStyle w:val="BodyText"/>
        <w:spacing w:before="2"/>
        <w:rPr>
          <w:sz w:val="43"/>
        </w:rPr>
      </w:pPr>
    </w:p>
    <w:p>
      <w:pPr>
        <w:pStyle w:val="ListParagraph"/>
        <w:numPr>
          <w:ilvl w:val="1"/>
          <w:numId w:val="5"/>
        </w:numPr>
        <w:tabs>
          <w:tab w:val="left" w:pos="1168"/>
        </w:tabs>
        <w:spacing w:before="0" w:after="0" w:line="240" w:lineRule="auto"/>
        <w:ind w:left="1167" w:right="0" w:hanging="449"/>
        <w:jc w:val="left"/>
        <w:rPr>
          <w:sz w:val="30"/>
        </w:rPr>
      </w:pPr>
      <w:r>
        <w:rPr>
          <w:sz w:val="30"/>
        </w:rPr>
        <w:t>30</w:t>
      </w:r>
    </w:p>
    <w:p>
      <w:pPr>
        <w:pStyle w:val="BodyText"/>
        <w:rPr>
          <w:sz w:val="43"/>
        </w:rPr>
      </w:pPr>
    </w:p>
    <w:p>
      <w:pPr>
        <w:pStyle w:val="ListParagraph"/>
        <w:numPr>
          <w:ilvl w:val="1"/>
          <w:numId w:val="5"/>
        </w:numPr>
        <w:tabs>
          <w:tab w:val="left" w:pos="1168"/>
        </w:tabs>
        <w:spacing w:before="1" w:after="0" w:line="240" w:lineRule="auto"/>
        <w:ind w:left="1167" w:right="0" w:hanging="449"/>
        <w:jc w:val="left"/>
        <w:rPr>
          <w:sz w:val="30"/>
        </w:rPr>
      </w:pPr>
      <w:r>
        <w:rPr>
          <w:sz w:val="30"/>
        </w:rPr>
        <w:t>60</w:t>
      </w:r>
    </w:p>
    <w:p>
      <w:pPr>
        <w:pStyle w:val="ListParagraph"/>
        <w:numPr>
          <w:ilvl w:val="0"/>
          <w:numId w:val="5"/>
        </w:numPr>
        <w:tabs>
          <w:tab w:val="left" w:pos="1611"/>
          <w:tab w:val="left" w:pos="1612"/>
          <w:tab w:val="left" w:pos="9508"/>
        </w:tabs>
        <w:spacing w:before="216" w:after="0" w:line="292" w:lineRule="auto"/>
        <w:ind w:left="1100" w:right="187" w:hanging="540"/>
        <w:jc w:val="left"/>
        <w:rPr>
          <w:sz w:val="30"/>
        </w:rPr>
      </w:pPr>
      <w:r>
        <w:tab/>
      </w:r>
      <w:r>
        <w:rPr>
          <w:sz w:val="30"/>
        </w:rPr>
        <w:t>收购人在依照前条规定报送上市公司收购报告书之日起（</w:t>
        <w:tab/>
        <w:t>）日后，公告其收购要约。在</w:t>
      </w:r>
      <w:r>
        <w:rPr>
          <w:w w:val="95"/>
          <w:sz w:val="30"/>
        </w:rPr>
        <w:t>上述期限内，国务院证券监督管理机构发现上市公司收购报告书不符合法律、行政法规规定的</w:t>
      </w:r>
      <w:r>
        <w:rPr>
          <w:spacing w:val="-17"/>
          <w:w w:val="95"/>
          <w:sz w:val="30"/>
        </w:rPr>
        <w:t xml:space="preserve">，   </w:t>
      </w:r>
      <w:r>
        <w:rPr>
          <w:sz w:val="30"/>
        </w:rPr>
        <w:t>应当及时告知收购人，收购人不得公告其收购要约。</w:t>
      </w:r>
    </w:p>
    <w:p>
      <w:pPr>
        <w:pStyle w:val="BodyText"/>
        <w:tabs>
          <w:tab w:val="left" w:pos="6299"/>
          <w:tab w:val="left" w:pos="9400"/>
        </w:tabs>
        <w:spacing w:line="382" w:lineRule="exact"/>
        <w:ind w:left="1100"/>
      </w:pPr>
      <w:r>
        <w:t>收购要约约定的收购期限不得少于（</w:t>
        <w:tab/>
        <w:t>）日，并不得超过（</w:t>
        <w:tab/>
        <w:t>）日。</w:t>
      </w:r>
    </w:p>
    <w:p>
      <w:pPr>
        <w:pStyle w:val="BodyText"/>
        <w:rPr>
          <w:sz w:val="20"/>
        </w:rPr>
      </w:pPr>
    </w:p>
    <w:p>
      <w:pPr>
        <w:pStyle w:val="BodyText"/>
        <w:spacing w:before="1"/>
        <w:rPr>
          <w:sz w:val="16"/>
        </w:rPr>
      </w:pPr>
    </w:p>
    <w:tbl>
      <w:tblPr>
        <w:tblStyle w:val="TableNormal0"/>
        <w:tblW w:w="0" w:type="auto"/>
        <w:jc w:val="left"/>
        <w:tblInd w:w="6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24"/>
        <w:gridCol w:w="753"/>
        <w:gridCol w:w="576"/>
      </w:tblGrid>
      <w:tr>
        <w:tblPrEx>
          <w:tblW w:w="0" w:type="auto"/>
          <w:jc w:val="left"/>
          <w:tblInd w:w="6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17"/>
          <w:jc w:val="left"/>
        </w:trPr>
        <w:tc>
          <w:tcPr>
            <w:tcW w:w="1024" w:type="dxa"/>
          </w:tcPr>
          <w:p>
            <w:pPr>
              <w:pStyle w:val="TableParagraph"/>
              <w:spacing w:line="341" w:lineRule="exact"/>
              <w:ind w:left="50"/>
              <w:rPr>
                <w:sz w:val="30"/>
              </w:rPr>
            </w:pPr>
            <w:r>
              <w:rPr>
                <w:sz w:val="30"/>
              </w:rPr>
              <w:t>A. 10</w:t>
            </w:r>
          </w:p>
        </w:tc>
        <w:tc>
          <w:tcPr>
            <w:tcW w:w="753" w:type="dxa"/>
          </w:tcPr>
          <w:p>
            <w:pPr>
              <w:pStyle w:val="TableParagraph"/>
              <w:spacing w:line="341" w:lineRule="exact"/>
              <w:ind w:left="206" w:right="207"/>
              <w:jc w:val="center"/>
              <w:rPr>
                <w:sz w:val="30"/>
              </w:rPr>
            </w:pPr>
            <w:r>
              <w:rPr>
                <w:sz w:val="30"/>
              </w:rPr>
              <w:t>30</w:t>
            </w:r>
          </w:p>
        </w:tc>
        <w:tc>
          <w:tcPr>
            <w:tcW w:w="576" w:type="dxa"/>
          </w:tcPr>
          <w:p>
            <w:pPr>
              <w:pStyle w:val="TableParagraph"/>
              <w:spacing w:line="341" w:lineRule="exact"/>
              <w:ind w:right="49"/>
              <w:jc w:val="right"/>
              <w:rPr>
                <w:sz w:val="30"/>
              </w:rPr>
            </w:pPr>
            <w:r>
              <w:rPr>
                <w:w w:val="95"/>
                <w:sz w:val="30"/>
              </w:rPr>
              <w:t>60</w:t>
            </w:r>
          </w:p>
        </w:tc>
      </w:tr>
      <w:tr>
        <w:tblPrEx>
          <w:tblW w:w="0" w:type="auto"/>
          <w:jc w:val="left"/>
          <w:tblInd w:w="676" w:type="dxa"/>
          <w:tblLayout w:type="fixed"/>
          <w:tblCellMar>
            <w:top w:w="0" w:type="dxa"/>
            <w:left w:w="0" w:type="dxa"/>
            <w:bottom w:w="0" w:type="dxa"/>
            <w:right w:w="0" w:type="dxa"/>
          </w:tblCellMar>
          <w:tblLook w:val="01E0"/>
        </w:tblPrEx>
        <w:trPr>
          <w:trHeight w:val="936"/>
          <w:jc w:val="left"/>
        </w:trPr>
        <w:tc>
          <w:tcPr>
            <w:tcW w:w="1024" w:type="dxa"/>
          </w:tcPr>
          <w:p>
            <w:pPr>
              <w:pStyle w:val="TableParagraph"/>
              <w:spacing w:before="6"/>
              <w:rPr>
                <w:sz w:val="21"/>
              </w:rPr>
            </w:pPr>
          </w:p>
          <w:p>
            <w:pPr>
              <w:pStyle w:val="TableParagraph"/>
              <w:ind w:left="50"/>
              <w:rPr>
                <w:sz w:val="30"/>
              </w:rPr>
            </w:pPr>
            <w:r>
              <w:rPr>
                <w:sz w:val="30"/>
              </w:rPr>
              <w:t>B. 15</w:t>
            </w:r>
          </w:p>
        </w:tc>
        <w:tc>
          <w:tcPr>
            <w:tcW w:w="753" w:type="dxa"/>
          </w:tcPr>
          <w:p>
            <w:pPr>
              <w:pStyle w:val="TableParagraph"/>
              <w:spacing w:before="6"/>
              <w:rPr>
                <w:sz w:val="21"/>
              </w:rPr>
            </w:pPr>
          </w:p>
          <w:p>
            <w:pPr>
              <w:pStyle w:val="TableParagraph"/>
              <w:ind w:left="206" w:right="207"/>
              <w:jc w:val="center"/>
              <w:rPr>
                <w:sz w:val="30"/>
              </w:rPr>
            </w:pPr>
            <w:r>
              <w:rPr>
                <w:sz w:val="30"/>
              </w:rPr>
              <w:t>30</w:t>
            </w:r>
          </w:p>
        </w:tc>
        <w:tc>
          <w:tcPr>
            <w:tcW w:w="576" w:type="dxa"/>
          </w:tcPr>
          <w:p>
            <w:pPr>
              <w:pStyle w:val="TableParagraph"/>
              <w:spacing w:before="6"/>
              <w:rPr>
                <w:sz w:val="21"/>
              </w:rPr>
            </w:pPr>
          </w:p>
          <w:p>
            <w:pPr>
              <w:pStyle w:val="TableParagraph"/>
              <w:ind w:right="49"/>
              <w:jc w:val="right"/>
              <w:rPr>
                <w:sz w:val="30"/>
              </w:rPr>
            </w:pPr>
            <w:r>
              <w:rPr>
                <w:w w:val="95"/>
                <w:sz w:val="30"/>
              </w:rPr>
              <w:t>60</w:t>
            </w:r>
          </w:p>
        </w:tc>
      </w:tr>
      <w:tr>
        <w:tblPrEx>
          <w:tblW w:w="0" w:type="auto"/>
          <w:jc w:val="left"/>
          <w:tblInd w:w="676" w:type="dxa"/>
          <w:tblLayout w:type="fixed"/>
          <w:tblCellMar>
            <w:top w:w="0" w:type="dxa"/>
            <w:left w:w="0" w:type="dxa"/>
            <w:bottom w:w="0" w:type="dxa"/>
            <w:right w:w="0" w:type="dxa"/>
          </w:tblCellMar>
          <w:tblLook w:val="01E0"/>
        </w:tblPrEx>
        <w:trPr>
          <w:trHeight w:val="936"/>
          <w:jc w:val="left"/>
        </w:trPr>
        <w:tc>
          <w:tcPr>
            <w:tcW w:w="1024" w:type="dxa"/>
          </w:tcPr>
          <w:p>
            <w:pPr>
              <w:pStyle w:val="TableParagraph"/>
              <w:spacing w:before="6"/>
              <w:rPr>
                <w:sz w:val="21"/>
              </w:rPr>
            </w:pPr>
          </w:p>
          <w:p>
            <w:pPr>
              <w:pStyle w:val="TableParagraph"/>
              <w:ind w:left="50"/>
              <w:rPr>
                <w:sz w:val="30"/>
              </w:rPr>
            </w:pPr>
            <w:r>
              <w:rPr>
                <w:sz w:val="30"/>
              </w:rPr>
              <w:t>C. 15</w:t>
            </w:r>
          </w:p>
        </w:tc>
        <w:tc>
          <w:tcPr>
            <w:tcW w:w="753" w:type="dxa"/>
          </w:tcPr>
          <w:p>
            <w:pPr>
              <w:pStyle w:val="TableParagraph"/>
              <w:spacing w:before="6"/>
              <w:rPr>
                <w:sz w:val="21"/>
              </w:rPr>
            </w:pPr>
          </w:p>
          <w:p>
            <w:pPr>
              <w:pStyle w:val="TableParagraph"/>
              <w:ind w:left="206" w:right="207"/>
              <w:jc w:val="center"/>
              <w:rPr>
                <w:sz w:val="30"/>
              </w:rPr>
            </w:pPr>
            <w:r>
              <w:rPr>
                <w:sz w:val="30"/>
              </w:rPr>
              <w:t>30</w:t>
            </w:r>
          </w:p>
        </w:tc>
        <w:tc>
          <w:tcPr>
            <w:tcW w:w="576" w:type="dxa"/>
          </w:tcPr>
          <w:p>
            <w:pPr>
              <w:pStyle w:val="TableParagraph"/>
              <w:spacing w:before="6"/>
              <w:rPr>
                <w:sz w:val="21"/>
              </w:rPr>
            </w:pPr>
          </w:p>
          <w:p>
            <w:pPr>
              <w:pStyle w:val="TableParagraph"/>
              <w:ind w:right="49"/>
              <w:jc w:val="right"/>
              <w:rPr>
                <w:sz w:val="30"/>
              </w:rPr>
            </w:pPr>
            <w:r>
              <w:rPr>
                <w:w w:val="95"/>
                <w:sz w:val="30"/>
              </w:rPr>
              <w:t>90</w:t>
            </w:r>
          </w:p>
        </w:tc>
      </w:tr>
      <w:tr>
        <w:tblPrEx>
          <w:tblW w:w="0" w:type="auto"/>
          <w:jc w:val="left"/>
          <w:tblInd w:w="676" w:type="dxa"/>
          <w:tblLayout w:type="fixed"/>
          <w:tblCellMar>
            <w:top w:w="0" w:type="dxa"/>
            <w:left w:w="0" w:type="dxa"/>
            <w:bottom w:w="0" w:type="dxa"/>
            <w:right w:w="0" w:type="dxa"/>
          </w:tblCellMar>
          <w:tblLook w:val="01E0"/>
        </w:tblPrEx>
        <w:trPr>
          <w:trHeight w:val="617"/>
          <w:jc w:val="left"/>
        </w:trPr>
        <w:tc>
          <w:tcPr>
            <w:tcW w:w="1024" w:type="dxa"/>
          </w:tcPr>
          <w:p>
            <w:pPr>
              <w:pStyle w:val="TableParagraph"/>
              <w:spacing w:before="6"/>
              <w:rPr>
                <w:sz w:val="21"/>
              </w:rPr>
            </w:pPr>
          </w:p>
          <w:p>
            <w:pPr>
              <w:pStyle w:val="TableParagraph"/>
              <w:spacing w:line="322" w:lineRule="exact"/>
              <w:ind w:left="50"/>
              <w:rPr>
                <w:sz w:val="30"/>
              </w:rPr>
            </w:pPr>
            <w:r>
              <w:rPr>
                <w:sz w:val="30"/>
              </w:rPr>
              <w:t>D. 15</w:t>
            </w:r>
          </w:p>
        </w:tc>
        <w:tc>
          <w:tcPr>
            <w:tcW w:w="753" w:type="dxa"/>
          </w:tcPr>
          <w:p>
            <w:pPr>
              <w:pStyle w:val="TableParagraph"/>
              <w:spacing w:before="6"/>
              <w:rPr>
                <w:sz w:val="21"/>
              </w:rPr>
            </w:pPr>
          </w:p>
          <w:p>
            <w:pPr>
              <w:pStyle w:val="TableParagraph"/>
              <w:spacing w:line="322" w:lineRule="exact"/>
              <w:ind w:left="206" w:right="207"/>
              <w:jc w:val="center"/>
              <w:rPr>
                <w:sz w:val="30"/>
              </w:rPr>
            </w:pPr>
            <w:r>
              <w:rPr>
                <w:sz w:val="30"/>
              </w:rPr>
              <w:t>45</w:t>
            </w:r>
          </w:p>
        </w:tc>
        <w:tc>
          <w:tcPr>
            <w:tcW w:w="576" w:type="dxa"/>
          </w:tcPr>
          <w:p>
            <w:pPr>
              <w:pStyle w:val="TableParagraph"/>
              <w:spacing w:before="6"/>
              <w:rPr>
                <w:sz w:val="21"/>
              </w:rPr>
            </w:pPr>
          </w:p>
          <w:p>
            <w:pPr>
              <w:pStyle w:val="TableParagraph"/>
              <w:spacing w:line="322" w:lineRule="exact"/>
              <w:ind w:right="49"/>
              <w:jc w:val="right"/>
              <w:rPr>
                <w:sz w:val="30"/>
              </w:rPr>
            </w:pPr>
            <w:r>
              <w:rPr>
                <w:w w:val="95"/>
                <w:sz w:val="30"/>
              </w:rPr>
              <w:t>60</w:t>
            </w:r>
          </w:p>
        </w:tc>
      </w:tr>
    </w:tbl>
    <w:p>
      <w:pPr>
        <w:pStyle w:val="BodyText"/>
        <w:spacing w:before="10"/>
        <w:rPr>
          <w:sz w:val="15"/>
        </w:rPr>
      </w:pPr>
    </w:p>
    <w:p>
      <w:pPr>
        <w:pStyle w:val="ListParagraph"/>
        <w:numPr>
          <w:ilvl w:val="0"/>
          <w:numId w:val="5"/>
        </w:numPr>
        <w:tabs>
          <w:tab w:val="left" w:pos="1611"/>
          <w:tab w:val="left" w:pos="1612"/>
          <w:tab w:val="left" w:pos="8809"/>
        </w:tabs>
        <w:spacing w:before="57" w:after="0" w:line="292" w:lineRule="auto"/>
        <w:ind w:left="1100" w:right="247" w:hanging="540"/>
        <w:jc w:val="left"/>
        <w:rPr>
          <w:sz w:val="30"/>
        </w:rPr>
      </w:pPr>
      <w:r>
        <w:tab/>
      </w:r>
      <w:r>
        <w:rPr>
          <w:sz w:val="30"/>
        </w:rPr>
        <w:t>向不特定对象公开发行的证券票面总值超过人民币（</w:t>
        <w:tab/>
      </w:r>
      <w:r>
        <w:rPr>
          <w:w w:val="95"/>
          <w:sz w:val="30"/>
        </w:rPr>
        <w:t>）的，应当由承销团承销。承销团</w:t>
      </w:r>
      <w:r>
        <w:rPr>
          <w:spacing w:val="-18"/>
          <w:w w:val="95"/>
          <w:sz w:val="30"/>
        </w:rPr>
        <w:t>应</w:t>
      </w:r>
      <w:r>
        <w:rPr>
          <w:sz w:val="30"/>
        </w:rPr>
        <w:t>当由主承销和参与承销的证券公司组成。</w:t>
      </w:r>
    </w:p>
    <w:p>
      <w:pPr>
        <w:pStyle w:val="BodyText"/>
        <w:spacing w:before="12"/>
        <w:rPr>
          <w:sz w:val="25"/>
        </w:rPr>
      </w:pPr>
    </w:p>
    <w:p>
      <w:pPr>
        <w:pStyle w:val="ListParagraph"/>
        <w:numPr>
          <w:ilvl w:val="1"/>
          <w:numId w:val="5"/>
        </w:numPr>
        <w:tabs>
          <w:tab w:val="left" w:pos="1168"/>
        </w:tabs>
        <w:spacing w:before="0" w:after="0" w:line="240" w:lineRule="auto"/>
        <w:ind w:left="1167" w:right="0" w:hanging="449"/>
        <w:jc w:val="left"/>
        <w:rPr>
          <w:sz w:val="30"/>
        </w:rPr>
      </w:pPr>
      <w:r>
        <w:rPr>
          <w:sz w:val="30"/>
        </w:rPr>
        <w:t>1</w:t>
      </w:r>
      <w:r>
        <w:rPr>
          <w:spacing w:val="-19"/>
          <w:sz w:val="30"/>
        </w:rPr>
        <w:t xml:space="preserve"> 千万元</w:t>
      </w:r>
    </w:p>
    <w:p>
      <w:pPr>
        <w:pStyle w:val="BodyText"/>
        <w:spacing w:before="1"/>
        <w:rPr>
          <w:sz w:val="43"/>
        </w:rPr>
      </w:pPr>
    </w:p>
    <w:p>
      <w:pPr>
        <w:pStyle w:val="ListParagraph"/>
        <w:numPr>
          <w:ilvl w:val="1"/>
          <w:numId w:val="5"/>
        </w:numPr>
        <w:tabs>
          <w:tab w:val="left" w:pos="1168"/>
        </w:tabs>
        <w:spacing w:before="0" w:after="0" w:line="240" w:lineRule="auto"/>
        <w:ind w:left="1167" w:right="0" w:hanging="449"/>
        <w:jc w:val="left"/>
        <w:rPr>
          <w:sz w:val="30"/>
        </w:rPr>
      </w:pPr>
      <w:r>
        <w:rPr>
          <w:sz w:val="30"/>
        </w:rPr>
        <w:t>5</w:t>
      </w:r>
      <w:r>
        <w:rPr>
          <w:spacing w:val="-19"/>
          <w:sz w:val="30"/>
        </w:rPr>
        <w:t xml:space="preserve"> 千万元</w:t>
      </w:r>
    </w:p>
    <w:p>
      <w:pPr>
        <w:pStyle w:val="BodyText"/>
        <w:spacing w:before="1"/>
        <w:rPr>
          <w:sz w:val="43"/>
        </w:rPr>
      </w:pPr>
    </w:p>
    <w:p>
      <w:pPr>
        <w:pStyle w:val="ListParagraph"/>
        <w:numPr>
          <w:ilvl w:val="1"/>
          <w:numId w:val="5"/>
        </w:numPr>
        <w:tabs>
          <w:tab w:val="left" w:pos="1168"/>
        </w:tabs>
        <w:spacing w:before="1" w:after="0" w:line="240" w:lineRule="auto"/>
        <w:ind w:left="1167" w:right="0" w:hanging="449"/>
        <w:jc w:val="left"/>
        <w:rPr>
          <w:sz w:val="30"/>
        </w:rPr>
      </w:pPr>
      <w:r>
        <w:rPr>
          <w:sz w:val="30"/>
        </w:rPr>
        <w:t>3</w:t>
      </w:r>
      <w:r>
        <w:rPr>
          <w:spacing w:val="-19"/>
          <w:sz w:val="30"/>
        </w:rPr>
        <w:t xml:space="preserve"> 千万元</w:t>
      </w:r>
    </w:p>
    <w:p>
      <w:pPr>
        <w:pStyle w:val="BodyText"/>
        <w:rPr>
          <w:sz w:val="43"/>
        </w:rPr>
      </w:pPr>
    </w:p>
    <w:p>
      <w:pPr>
        <w:pStyle w:val="ListParagraph"/>
        <w:numPr>
          <w:ilvl w:val="1"/>
          <w:numId w:val="5"/>
        </w:numPr>
        <w:tabs>
          <w:tab w:val="left" w:pos="1168"/>
        </w:tabs>
        <w:spacing w:before="0" w:after="0" w:line="240" w:lineRule="auto"/>
        <w:ind w:left="1167" w:right="0" w:hanging="449"/>
        <w:jc w:val="left"/>
        <w:rPr>
          <w:sz w:val="30"/>
        </w:rPr>
      </w:pPr>
      <w:r>
        <w:rPr>
          <w:sz w:val="30"/>
        </w:rPr>
        <w:t>7</w:t>
      </w:r>
      <w:r>
        <w:rPr>
          <w:spacing w:val="-19"/>
          <w:sz w:val="30"/>
        </w:rPr>
        <w:t xml:space="preserve"> 千万元</w:t>
      </w:r>
    </w:p>
    <w:p>
      <w:pPr>
        <w:pStyle w:val="ListParagraph"/>
        <w:numPr>
          <w:ilvl w:val="0"/>
          <w:numId w:val="5"/>
        </w:numPr>
        <w:tabs>
          <w:tab w:val="left" w:pos="1611"/>
          <w:tab w:val="left" w:pos="1612"/>
          <w:tab w:val="left" w:pos="4795"/>
          <w:tab w:val="left" w:pos="5698"/>
          <w:tab w:val="left" w:pos="8773"/>
          <w:tab w:val="left" w:pos="9810"/>
          <w:tab w:val="left" w:pos="13411"/>
        </w:tabs>
        <w:spacing w:before="217" w:after="0" w:line="292" w:lineRule="auto"/>
        <w:ind w:left="1100" w:right="127" w:hanging="540"/>
        <w:jc w:val="left"/>
        <w:rPr>
          <w:sz w:val="30"/>
        </w:rPr>
      </w:pPr>
      <w:r>
        <w:tab/>
      </w:r>
      <w:r>
        <w:rPr>
          <w:sz w:val="30"/>
        </w:rPr>
        <w:t>上市公司董事、监事、高级管理人员、持有上市公司股份（</w:t>
        <w:tab/>
        <w:t>）以上的股东，将其持有的 该公司的股票在买入后（</w:t>
        <w:tab/>
        <w:t>）内卖出，或者在卖出后（</w:t>
        <w:tab/>
        <w:t>）内又买入，由此所得收益归该公司所有，公司董事会应当收回其所得收益。但是，证券公司因包销购入售后剩余股票而持有（</w:t>
        <w:tab/>
      </w:r>
      <w:r>
        <w:rPr>
          <w:spacing w:val="-18"/>
          <w:sz w:val="30"/>
        </w:rPr>
        <w:t xml:space="preserve">） </w:t>
      </w:r>
      <w:r>
        <w:rPr>
          <w:sz w:val="30"/>
        </w:rPr>
        <w:t>以上股份的，卖出该股票不受（</w:t>
        <w:tab/>
        <w:t>）时间限制。</w:t>
      </w:r>
    </w:p>
    <w:p>
      <w:pPr>
        <w:pStyle w:val="BodyText"/>
        <w:spacing w:before="11"/>
        <w:rPr>
          <w:sz w:val="25"/>
        </w:rPr>
      </w:pPr>
    </w:p>
    <w:p>
      <w:pPr>
        <w:pStyle w:val="ListParagraph"/>
        <w:numPr>
          <w:ilvl w:val="1"/>
          <w:numId w:val="5"/>
        </w:numPr>
        <w:tabs>
          <w:tab w:val="left" w:pos="1168"/>
          <w:tab w:val="left" w:pos="2218"/>
          <w:tab w:val="left" w:pos="3492"/>
          <w:tab w:val="left" w:pos="4767"/>
          <w:tab w:val="left" w:pos="5671"/>
        </w:tabs>
        <w:spacing w:before="0" w:after="0" w:line="240" w:lineRule="auto"/>
        <w:ind w:left="1167" w:right="0" w:hanging="449"/>
        <w:jc w:val="left"/>
        <w:rPr>
          <w:sz w:val="30"/>
        </w:rPr>
      </w:pPr>
      <w:r>
        <w:rPr>
          <w:sz w:val="30"/>
        </w:rPr>
        <w:t>5%</w:t>
        <w:tab/>
        <w:t>6</w:t>
      </w:r>
      <w:r>
        <w:rPr>
          <w:spacing w:val="-72"/>
          <w:sz w:val="30"/>
        </w:rPr>
        <w:t xml:space="preserve"> </w:t>
      </w:r>
      <w:r>
        <w:rPr>
          <w:sz w:val="30"/>
        </w:rPr>
        <w:t>个月</w:t>
        <w:tab/>
        <w:t>6</w:t>
      </w:r>
      <w:r>
        <w:rPr>
          <w:spacing w:val="-72"/>
          <w:sz w:val="30"/>
        </w:rPr>
        <w:t xml:space="preserve"> </w:t>
      </w:r>
      <w:r>
        <w:rPr>
          <w:sz w:val="30"/>
        </w:rPr>
        <w:t>个月</w:t>
        <w:tab/>
        <w:t>10%</w:t>
        <w:tab/>
        <w:t>6</w:t>
      </w:r>
      <w:r>
        <w:rPr>
          <w:spacing w:val="-71"/>
          <w:sz w:val="30"/>
        </w:rPr>
        <w:t xml:space="preserve"> </w:t>
      </w:r>
      <w:r>
        <w:rPr>
          <w:sz w:val="30"/>
        </w:rPr>
        <w:t>个月</w:t>
      </w:r>
    </w:p>
    <w:p>
      <w:pPr>
        <w:spacing w:after="0" w:line="240" w:lineRule="auto"/>
        <w:jc w:val="left"/>
        <w:rPr>
          <w:sz w:val="30"/>
        </w:rPr>
        <w:sectPr>
          <w:pgSz w:w="17860" w:h="25260"/>
          <w:pgMar w:top="1820" w:right="2420" w:bottom="280" w:left="1600" w:header="708" w:footer="708"/>
          <w:pgNumType w:start="7"/>
          <w:cols w:space="708"/>
        </w:sectPr>
      </w:pPr>
    </w:p>
    <w:p>
      <w:pPr>
        <w:pStyle w:val="BodyText"/>
        <w:rPr>
          <w:sz w:val="20"/>
        </w:rPr>
      </w:pPr>
      <w:r>
        <w:pict>
          <v:group id="_x0000_s1278" style="width:681.45pt;height:1054pt;margin-top:92pt;margin-left:80.59pt;mso-position-horizontal-relative:page;mso-position-vertical-relative:page;position:absolute;z-index:-251651072" coordorigin="1612,1840" coordsize="13629,21080">
            <v:shape id="_x0000_s1279" type="#_x0000_t75" style="width:809;height:728;left:1611;position:absolute;top:1938" stroked="f">
              <v:imagedata r:id="rId6" o:title=""/>
            </v:shape>
            <v:shape id="_x0000_s1280" type="#_x0000_t75" style="width:609;height:490;left:1711;position:absolute;top:2038" stroked="f">
              <v:imagedata r:id="rId26" o:title=""/>
            </v:shape>
            <v:shape id="_x0000_s1281" type="#_x0000_t75" style="width:809;height:728;left:1611;position:absolute;top:2875" stroked="f">
              <v:imagedata r:id="rId6" o:title=""/>
            </v:shape>
            <v:shape id="_x0000_s1282" type="#_x0000_t75" style="width:609;height:490;left:1711;position:absolute;top:2974" stroked="f">
              <v:imagedata r:id="rId27" o:title=""/>
            </v:shape>
            <v:shape id="_x0000_s1283" type="#_x0000_t75" style="width:809;height:728;left:1611;position:absolute;top:3811" stroked="f">
              <v:imagedata r:id="rId6" o:title=""/>
            </v:shape>
            <v:shape id="_x0000_s1284" type="#_x0000_t75" style="width:609;height:490;left:1711;position:absolute;top:3910" stroked="f">
              <v:imagedata r:id="rId27" o:title=""/>
            </v:shape>
            <v:shape id="_x0000_s1285" type="#_x0000_t75" style="width:809;height:728;left:1611;position:absolute;top:6618" stroked="f">
              <v:imagedata r:id="rId6" o:title=""/>
            </v:shape>
            <v:shape id="_x0000_s1286" type="#_x0000_t75" style="width:609;height:490;left:1711;position:absolute;top:6718" stroked="f">
              <v:imagedata r:id="rId27" o:title=""/>
            </v:shape>
            <v:shape id="_x0000_s1287" type="#_x0000_t75" style="width:809;height:728;left:1611;position:absolute;top:7555" stroked="f">
              <v:imagedata r:id="rId6" o:title=""/>
            </v:shape>
            <v:shape id="_x0000_s1288" type="#_x0000_t75" style="width:609;height:490;left:1711;position:absolute;top:7654" stroked="f">
              <v:imagedata r:id="rId26" o:title=""/>
            </v:shape>
            <v:shape id="_x0000_s1289" type="#_x0000_t75" style="width:809;height:728;left:1611;position:absolute;top:8491" stroked="f">
              <v:imagedata r:id="rId6" o:title=""/>
            </v:shape>
            <v:shape id="_x0000_s1290" type="#_x0000_t75" style="width:609;height:490;left:1711;position:absolute;top:8590" stroked="f">
              <v:imagedata r:id="rId27" o:title=""/>
            </v:shape>
            <v:shape id="_x0000_s1291" type="#_x0000_t75" style="width:809;height:728;left:1611;position:absolute;top:9426" stroked="f">
              <v:imagedata r:id="rId6" o:title=""/>
            </v:shape>
            <v:shape id="_x0000_s1292" type="#_x0000_t75" style="width:609;height:490;left:1711;position:absolute;top:9526" stroked="f">
              <v:imagedata r:id="rId27" o:title=""/>
            </v:shape>
            <v:shape id="_x0000_s1293" type="#_x0000_t75" style="width:809;height:728;left:1611;position:absolute;top:11299" stroked="f">
              <v:imagedata r:id="rId6" o:title=""/>
            </v:shape>
            <v:shape id="_x0000_s1294" type="#_x0000_t75" style="width:609;height:490;left:1711;position:absolute;top:11398" stroked="f">
              <v:imagedata r:id="rId27" o:title=""/>
            </v:shape>
            <v:shape id="_x0000_s1295" type="#_x0000_t75" style="width:809;height:728;left:1611;position:absolute;top:12235" stroked="f">
              <v:imagedata r:id="rId6" o:title=""/>
            </v:shape>
            <v:shape id="_x0000_s1296" type="#_x0000_t75" style="width:609;height:490;left:1711;position:absolute;top:12334" stroked="f">
              <v:imagedata r:id="rId26" o:title=""/>
            </v:shape>
            <v:shape id="_x0000_s1297" type="#_x0000_t75" style="width:809;height:728;left:1611;position:absolute;top:13171" stroked="f">
              <v:imagedata r:id="rId6" o:title=""/>
            </v:shape>
            <v:shape id="_x0000_s1298" type="#_x0000_t75" style="width:609;height:490;left:1711;position:absolute;top:13270" stroked="f">
              <v:imagedata r:id="rId27" o:title=""/>
            </v:shape>
            <v:shape id="_x0000_s1299" type="#_x0000_t75" style="width:809;height:728;left:1611;position:absolute;top:14106" stroked="f">
              <v:imagedata r:id="rId6" o:title=""/>
            </v:shape>
            <v:shape id="_x0000_s1300" type="#_x0000_t75" style="width:609;height:490;left:1711;position:absolute;top:14206" stroked="f">
              <v:imagedata r:id="rId27" o:title=""/>
            </v:shape>
            <v:shape id="_x0000_s1301" type="#_x0000_t75" style="width:809;height:728;left:1611;position:absolute;top:16446" stroked="f">
              <v:imagedata r:id="rId6" o:title=""/>
            </v:shape>
            <v:shape id="_x0000_s1302" type="#_x0000_t75" style="width:609;height:490;left:1711;position:absolute;top:16546" stroked="f">
              <v:imagedata r:id="rId27" o:title=""/>
            </v:shape>
            <v:shape id="_x0000_s1303" type="#_x0000_t75" style="width:809;height:708;left:1611;position:absolute;top:17382" stroked="f">
              <v:imagedata r:id="rId9" o:title=""/>
            </v:shape>
            <v:shape id="_x0000_s1304" type="#_x0000_t75" style="width:609;height:490;left:1711;position:absolute;top:17482" stroked="f">
              <v:imagedata r:id="rId26" o:title=""/>
            </v:shape>
            <v:shape id="_x0000_s1305" type="#_x0000_t75" style="width:809;height:728;left:1611;position:absolute;top:18318" stroked="f">
              <v:imagedata r:id="rId6" o:title=""/>
            </v:shape>
            <v:shape id="_x0000_s1306" type="#_x0000_t75" style="width:609;height:490;left:1711;position:absolute;top:18418" stroked="f">
              <v:imagedata r:id="rId27" o:title=""/>
            </v:shape>
            <v:shape id="_x0000_s1307" type="#_x0000_t75" style="width:809;height:728;left:1611;position:absolute;top:19254" stroked="f">
              <v:imagedata r:id="rId6" o:title=""/>
            </v:shape>
            <v:shape id="_x0000_s1308" type="#_x0000_t75" style="width:609;height:490;left:1711;position:absolute;top:19354" stroked="f">
              <v:imagedata r:id="rId27" o:title=""/>
            </v:shape>
            <v:shape id="_x0000_s1309" type="#_x0000_t75" style="width:809;height:728;left:1611;position:absolute;top:21127" stroked="f">
              <v:imagedata r:id="rId6" o:title=""/>
            </v:shape>
            <v:shape id="_x0000_s1310" type="#_x0000_t75" style="width:609;height:490;left:1711;position:absolute;top:21226" stroked="f">
              <v:imagedata r:id="rId27" o:title=""/>
            </v:shape>
            <v:shape id="_x0000_s1311" type="#_x0000_t75" style="width:13580;height:21080;left:1660;position:absolute;top:1840" stroked="f">
              <v:imagedata r:id="rId28" o:title=""/>
            </v:shape>
            <v:shape id="_x0000_s1312" type="#_x0000_t75" style="width:809;height:708;left:1611;position:absolute;top:22062" stroked="f">
              <v:imagedata r:id="rId9" o:title=""/>
            </v:shape>
            <v:shape id="_x0000_s1313" type="#_x0000_t75" style="width:609;height:490;left:1711;position:absolute;top:22162" stroked="f">
              <v:imagedata r:id="rId26" o:title=""/>
            </v:shape>
          </v:group>
        </w:pict>
      </w:r>
    </w:p>
    <w:p>
      <w:pPr>
        <w:pStyle w:val="BodyText"/>
        <w:spacing w:before="8"/>
        <w:rPr>
          <w:sz w:val="17"/>
        </w:rPr>
      </w:pPr>
    </w:p>
    <w:tbl>
      <w:tblPr>
        <w:tblStyle w:val="TableNormal1"/>
        <w:tblW w:w="0" w:type="auto"/>
        <w:jc w:val="left"/>
        <w:tblInd w:w="6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4"/>
        <w:gridCol w:w="675"/>
        <w:gridCol w:w="1427"/>
        <w:gridCol w:w="1273"/>
        <w:gridCol w:w="899"/>
        <w:gridCol w:w="1328"/>
      </w:tblGrid>
      <w:tr>
        <w:tblPrEx>
          <w:tblW w:w="0" w:type="auto"/>
          <w:jc w:val="left"/>
          <w:tblInd w:w="6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17"/>
          <w:jc w:val="left"/>
        </w:trPr>
        <w:tc>
          <w:tcPr>
            <w:tcW w:w="424" w:type="dxa"/>
          </w:tcPr>
          <w:p>
            <w:pPr>
              <w:pStyle w:val="TableParagraph"/>
              <w:spacing w:line="341" w:lineRule="exact"/>
              <w:ind w:left="30" w:right="53"/>
              <w:jc w:val="center"/>
              <w:rPr>
                <w:sz w:val="30"/>
              </w:rPr>
            </w:pPr>
            <w:r>
              <w:rPr>
                <w:sz w:val="30"/>
              </w:rPr>
              <w:t>B.</w:t>
            </w:r>
          </w:p>
        </w:tc>
        <w:tc>
          <w:tcPr>
            <w:tcW w:w="675" w:type="dxa"/>
          </w:tcPr>
          <w:p>
            <w:pPr>
              <w:pStyle w:val="TableParagraph"/>
              <w:spacing w:line="341" w:lineRule="exact"/>
              <w:ind w:left="74"/>
              <w:rPr>
                <w:sz w:val="30"/>
              </w:rPr>
            </w:pPr>
            <w:r>
              <w:rPr>
                <w:sz w:val="30"/>
              </w:rPr>
              <w:t>5%</w:t>
            </w:r>
          </w:p>
        </w:tc>
        <w:tc>
          <w:tcPr>
            <w:tcW w:w="1427" w:type="dxa"/>
          </w:tcPr>
          <w:p>
            <w:pPr>
              <w:pStyle w:val="TableParagraph"/>
              <w:spacing w:line="341" w:lineRule="exact"/>
              <w:ind w:left="450"/>
              <w:rPr>
                <w:sz w:val="30"/>
              </w:rPr>
            </w:pPr>
            <w:r>
              <w:rPr>
                <w:sz w:val="30"/>
              </w:rPr>
              <w:t>6 个月</w:t>
            </w:r>
          </w:p>
        </w:tc>
        <w:tc>
          <w:tcPr>
            <w:tcW w:w="1273" w:type="dxa"/>
          </w:tcPr>
          <w:p>
            <w:pPr>
              <w:pStyle w:val="TableParagraph"/>
              <w:spacing w:line="341" w:lineRule="exact"/>
              <w:ind w:left="297"/>
              <w:rPr>
                <w:sz w:val="30"/>
              </w:rPr>
            </w:pPr>
            <w:r>
              <w:rPr>
                <w:sz w:val="30"/>
              </w:rPr>
              <w:t>6 个月</w:t>
            </w:r>
          </w:p>
        </w:tc>
        <w:tc>
          <w:tcPr>
            <w:tcW w:w="899" w:type="dxa"/>
          </w:tcPr>
          <w:p>
            <w:pPr>
              <w:pStyle w:val="TableParagraph"/>
              <w:spacing w:line="341" w:lineRule="exact"/>
              <w:ind w:left="279" w:right="279"/>
              <w:jc w:val="center"/>
              <w:rPr>
                <w:sz w:val="30"/>
              </w:rPr>
            </w:pPr>
            <w:r>
              <w:rPr>
                <w:sz w:val="30"/>
              </w:rPr>
              <w:t>5%</w:t>
            </w:r>
          </w:p>
        </w:tc>
        <w:tc>
          <w:tcPr>
            <w:tcW w:w="1328" w:type="dxa"/>
          </w:tcPr>
          <w:p>
            <w:pPr>
              <w:pStyle w:val="TableParagraph"/>
              <w:spacing w:line="341" w:lineRule="exact"/>
              <w:ind w:left="452"/>
              <w:rPr>
                <w:sz w:val="30"/>
              </w:rPr>
            </w:pPr>
            <w:r>
              <w:rPr>
                <w:sz w:val="30"/>
              </w:rPr>
              <w:t>6</w:t>
            </w:r>
            <w:r>
              <w:rPr>
                <w:spacing w:val="-25"/>
                <w:sz w:val="30"/>
              </w:rPr>
              <w:t xml:space="preserve"> 个月</w:t>
            </w:r>
          </w:p>
        </w:tc>
      </w:tr>
      <w:tr>
        <w:tblPrEx>
          <w:tblW w:w="0" w:type="auto"/>
          <w:jc w:val="left"/>
          <w:tblInd w:w="676" w:type="dxa"/>
          <w:tblLayout w:type="fixed"/>
          <w:tblCellMar>
            <w:top w:w="0" w:type="dxa"/>
            <w:left w:w="0" w:type="dxa"/>
            <w:bottom w:w="0" w:type="dxa"/>
            <w:right w:w="0" w:type="dxa"/>
          </w:tblCellMar>
          <w:tblLook w:val="01E0"/>
        </w:tblPrEx>
        <w:trPr>
          <w:trHeight w:val="935"/>
          <w:jc w:val="left"/>
        </w:trPr>
        <w:tc>
          <w:tcPr>
            <w:tcW w:w="424" w:type="dxa"/>
          </w:tcPr>
          <w:p>
            <w:pPr>
              <w:pStyle w:val="TableParagraph"/>
              <w:spacing w:before="6"/>
              <w:rPr>
                <w:sz w:val="21"/>
              </w:rPr>
            </w:pPr>
          </w:p>
          <w:p>
            <w:pPr>
              <w:pStyle w:val="TableParagraph"/>
              <w:ind w:left="30" w:right="53"/>
              <w:jc w:val="center"/>
              <w:rPr>
                <w:sz w:val="30"/>
              </w:rPr>
            </w:pPr>
            <w:r>
              <w:rPr>
                <w:sz w:val="30"/>
              </w:rPr>
              <w:t>C.</w:t>
            </w:r>
          </w:p>
        </w:tc>
        <w:tc>
          <w:tcPr>
            <w:tcW w:w="675" w:type="dxa"/>
          </w:tcPr>
          <w:p>
            <w:pPr>
              <w:pStyle w:val="TableParagraph"/>
              <w:spacing w:before="6"/>
              <w:rPr>
                <w:sz w:val="21"/>
              </w:rPr>
            </w:pPr>
          </w:p>
          <w:p>
            <w:pPr>
              <w:pStyle w:val="TableParagraph"/>
              <w:ind w:left="74"/>
              <w:rPr>
                <w:sz w:val="30"/>
              </w:rPr>
            </w:pPr>
            <w:r>
              <w:rPr>
                <w:sz w:val="30"/>
              </w:rPr>
              <w:t>10%</w:t>
            </w:r>
          </w:p>
        </w:tc>
        <w:tc>
          <w:tcPr>
            <w:tcW w:w="1427" w:type="dxa"/>
          </w:tcPr>
          <w:p>
            <w:pPr>
              <w:pStyle w:val="TableParagraph"/>
              <w:spacing w:before="6"/>
              <w:rPr>
                <w:sz w:val="21"/>
              </w:rPr>
            </w:pPr>
          </w:p>
          <w:p>
            <w:pPr>
              <w:pStyle w:val="TableParagraph"/>
              <w:ind w:left="302"/>
              <w:rPr>
                <w:sz w:val="30"/>
              </w:rPr>
            </w:pPr>
            <w:r>
              <w:rPr>
                <w:sz w:val="30"/>
              </w:rPr>
              <w:t>6 个月</w:t>
            </w:r>
          </w:p>
        </w:tc>
        <w:tc>
          <w:tcPr>
            <w:tcW w:w="1273" w:type="dxa"/>
          </w:tcPr>
          <w:p>
            <w:pPr>
              <w:pStyle w:val="TableParagraph"/>
              <w:spacing w:before="6"/>
              <w:rPr>
                <w:sz w:val="21"/>
              </w:rPr>
            </w:pPr>
          </w:p>
          <w:p>
            <w:pPr>
              <w:pStyle w:val="TableParagraph"/>
              <w:ind w:left="150"/>
              <w:rPr>
                <w:sz w:val="30"/>
              </w:rPr>
            </w:pPr>
            <w:r>
              <w:rPr>
                <w:sz w:val="30"/>
              </w:rPr>
              <w:t>6 个月</w:t>
            </w:r>
          </w:p>
        </w:tc>
        <w:tc>
          <w:tcPr>
            <w:tcW w:w="899" w:type="dxa"/>
          </w:tcPr>
          <w:p>
            <w:pPr>
              <w:pStyle w:val="TableParagraph"/>
              <w:spacing w:before="6"/>
              <w:rPr>
                <w:sz w:val="21"/>
              </w:rPr>
            </w:pPr>
          </w:p>
          <w:p>
            <w:pPr>
              <w:pStyle w:val="TableParagraph"/>
              <w:ind w:left="148"/>
              <w:rPr>
                <w:sz w:val="30"/>
              </w:rPr>
            </w:pPr>
            <w:r>
              <w:rPr>
                <w:sz w:val="30"/>
              </w:rPr>
              <w:t>5%</w:t>
            </w:r>
          </w:p>
        </w:tc>
        <w:tc>
          <w:tcPr>
            <w:tcW w:w="1328" w:type="dxa"/>
          </w:tcPr>
          <w:p>
            <w:pPr>
              <w:pStyle w:val="TableParagraph"/>
              <w:spacing w:before="6"/>
              <w:rPr>
                <w:sz w:val="21"/>
              </w:rPr>
            </w:pPr>
          </w:p>
          <w:p>
            <w:pPr>
              <w:pStyle w:val="TableParagraph"/>
              <w:ind w:left="300"/>
              <w:rPr>
                <w:sz w:val="30"/>
              </w:rPr>
            </w:pPr>
            <w:r>
              <w:rPr>
                <w:sz w:val="30"/>
              </w:rPr>
              <w:t>6 个月</w:t>
            </w:r>
          </w:p>
        </w:tc>
      </w:tr>
      <w:tr>
        <w:tblPrEx>
          <w:tblW w:w="0" w:type="auto"/>
          <w:jc w:val="left"/>
          <w:tblInd w:w="676" w:type="dxa"/>
          <w:tblLayout w:type="fixed"/>
          <w:tblCellMar>
            <w:top w:w="0" w:type="dxa"/>
            <w:left w:w="0" w:type="dxa"/>
            <w:bottom w:w="0" w:type="dxa"/>
            <w:right w:w="0" w:type="dxa"/>
          </w:tblCellMar>
          <w:tblLook w:val="01E0"/>
        </w:tblPrEx>
        <w:trPr>
          <w:trHeight w:val="617"/>
          <w:jc w:val="left"/>
        </w:trPr>
        <w:tc>
          <w:tcPr>
            <w:tcW w:w="424" w:type="dxa"/>
          </w:tcPr>
          <w:p>
            <w:pPr>
              <w:pStyle w:val="TableParagraph"/>
              <w:spacing w:before="6"/>
              <w:rPr>
                <w:sz w:val="21"/>
              </w:rPr>
            </w:pPr>
          </w:p>
          <w:p>
            <w:pPr>
              <w:pStyle w:val="TableParagraph"/>
              <w:spacing w:line="322" w:lineRule="exact"/>
              <w:ind w:left="30" w:right="53"/>
              <w:jc w:val="center"/>
              <w:rPr>
                <w:sz w:val="30"/>
              </w:rPr>
            </w:pPr>
            <w:r>
              <w:rPr>
                <w:sz w:val="30"/>
              </w:rPr>
              <w:t>D.</w:t>
            </w:r>
          </w:p>
        </w:tc>
        <w:tc>
          <w:tcPr>
            <w:tcW w:w="675" w:type="dxa"/>
          </w:tcPr>
          <w:p>
            <w:pPr>
              <w:pStyle w:val="TableParagraph"/>
              <w:spacing w:before="6"/>
              <w:rPr>
                <w:sz w:val="21"/>
              </w:rPr>
            </w:pPr>
          </w:p>
          <w:p>
            <w:pPr>
              <w:pStyle w:val="TableParagraph"/>
              <w:spacing w:line="322" w:lineRule="exact"/>
              <w:ind w:left="74"/>
              <w:rPr>
                <w:sz w:val="30"/>
              </w:rPr>
            </w:pPr>
            <w:r>
              <w:rPr>
                <w:sz w:val="30"/>
              </w:rPr>
              <w:t>5%</w:t>
            </w:r>
          </w:p>
        </w:tc>
        <w:tc>
          <w:tcPr>
            <w:tcW w:w="1427" w:type="dxa"/>
          </w:tcPr>
          <w:p>
            <w:pPr>
              <w:pStyle w:val="TableParagraph"/>
              <w:spacing w:before="6"/>
              <w:rPr>
                <w:sz w:val="21"/>
              </w:rPr>
            </w:pPr>
          </w:p>
          <w:p>
            <w:pPr>
              <w:pStyle w:val="TableParagraph"/>
              <w:spacing w:line="322" w:lineRule="exact"/>
              <w:ind w:left="151"/>
              <w:rPr>
                <w:sz w:val="30"/>
              </w:rPr>
            </w:pPr>
            <w:r>
              <w:rPr>
                <w:sz w:val="30"/>
              </w:rPr>
              <w:t>12 个月</w:t>
            </w:r>
          </w:p>
        </w:tc>
        <w:tc>
          <w:tcPr>
            <w:tcW w:w="1273" w:type="dxa"/>
          </w:tcPr>
          <w:p>
            <w:pPr>
              <w:pStyle w:val="TableParagraph"/>
              <w:spacing w:before="6"/>
              <w:rPr>
                <w:sz w:val="21"/>
              </w:rPr>
            </w:pPr>
          </w:p>
          <w:p>
            <w:pPr>
              <w:pStyle w:val="TableParagraph"/>
              <w:spacing w:line="322" w:lineRule="exact"/>
              <w:ind w:left="150"/>
              <w:rPr>
                <w:sz w:val="30"/>
              </w:rPr>
            </w:pPr>
            <w:r>
              <w:rPr>
                <w:sz w:val="30"/>
              </w:rPr>
              <w:t>6 个月</w:t>
            </w:r>
          </w:p>
        </w:tc>
        <w:tc>
          <w:tcPr>
            <w:tcW w:w="899" w:type="dxa"/>
          </w:tcPr>
          <w:p>
            <w:pPr>
              <w:pStyle w:val="TableParagraph"/>
              <w:spacing w:before="6"/>
              <w:rPr>
                <w:sz w:val="21"/>
              </w:rPr>
            </w:pPr>
          </w:p>
          <w:p>
            <w:pPr>
              <w:pStyle w:val="TableParagraph"/>
              <w:spacing w:line="322" w:lineRule="exact"/>
              <w:ind w:left="148"/>
              <w:rPr>
                <w:sz w:val="30"/>
              </w:rPr>
            </w:pPr>
            <w:r>
              <w:rPr>
                <w:sz w:val="30"/>
              </w:rPr>
              <w:t>5%</w:t>
            </w:r>
          </w:p>
        </w:tc>
        <w:tc>
          <w:tcPr>
            <w:tcW w:w="1328" w:type="dxa"/>
          </w:tcPr>
          <w:p>
            <w:pPr>
              <w:pStyle w:val="TableParagraph"/>
              <w:spacing w:before="6"/>
              <w:rPr>
                <w:sz w:val="21"/>
              </w:rPr>
            </w:pPr>
          </w:p>
          <w:p>
            <w:pPr>
              <w:pStyle w:val="TableParagraph"/>
              <w:spacing w:line="322" w:lineRule="exact"/>
              <w:ind w:left="300"/>
              <w:rPr>
                <w:sz w:val="30"/>
              </w:rPr>
            </w:pPr>
            <w:r>
              <w:rPr>
                <w:sz w:val="30"/>
              </w:rPr>
              <w:t>6 个月</w:t>
            </w:r>
          </w:p>
        </w:tc>
      </w:tr>
    </w:tbl>
    <w:p>
      <w:pPr>
        <w:pStyle w:val="BodyText"/>
        <w:spacing w:before="10"/>
        <w:rPr>
          <w:sz w:val="15"/>
        </w:rPr>
      </w:pPr>
    </w:p>
    <w:p>
      <w:pPr>
        <w:pStyle w:val="ListParagraph"/>
        <w:numPr>
          <w:ilvl w:val="0"/>
          <w:numId w:val="8"/>
        </w:numPr>
        <w:tabs>
          <w:tab w:val="left" w:pos="1612"/>
        </w:tabs>
        <w:spacing w:before="57" w:after="0" w:line="292" w:lineRule="auto"/>
        <w:ind w:left="1100" w:right="187" w:hanging="540"/>
        <w:jc w:val="both"/>
        <w:rPr>
          <w:sz w:val="30"/>
        </w:rPr>
      </w:pPr>
      <w:r>
        <w:tab/>
      </w:r>
      <w:r>
        <w:rPr>
          <w:sz w:val="30"/>
        </w:rPr>
        <w:t>通过证券交易所的证券交易，投资者持有或者通过协议、其他安排与他人共同持有一个上市公司已发行的股份达到（</w:t>
      </w:r>
      <w:r>
        <w:rPr>
          <w:spacing w:val="85"/>
          <w:sz w:val="30"/>
        </w:rPr>
        <w:t xml:space="preserve"> </w:t>
      </w:r>
      <w:r>
        <w:rPr>
          <w:sz w:val="30"/>
        </w:rPr>
        <w:t>）时，应当在该事实发生之日起（</w:t>
      </w:r>
      <w:r>
        <w:rPr>
          <w:spacing w:val="38"/>
          <w:sz w:val="30"/>
        </w:rPr>
        <w:t xml:space="preserve">  </w:t>
      </w:r>
      <w:r>
        <w:rPr>
          <w:sz w:val="30"/>
        </w:rPr>
        <w:t>）日内，向国务院证券监督管</w:t>
      </w:r>
      <w:r>
        <w:rPr>
          <w:spacing w:val="-1"/>
          <w:w w:val="95"/>
          <w:sz w:val="30"/>
        </w:rPr>
        <w:t xml:space="preserve">理机构、证券交易所作出书面报告，通知该上市公司，并予公告；在上述期限内，不得再行买卖   </w:t>
      </w:r>
      <w:r>
        <w:rPr>
          <w:sz w:val="30"/>
        </w:rPr>
        <w:t>该上市公司的股票。</w:t>
      </w:r>
    </w:p>
    <w:p>
      <w:pPr>
        <w:pStyle w:val="BodyText"/>
        <w:spacing w:before="2"/>
        <w:rPr>
          <w:sz w:val="29"/>
        </w:rPr>
      </w:pPr>
    </w:p>
    <w:tbl>
      <w:tblPr>
        <w:tblStyle w:val="TableNormal1"/>
        <w:tblW w:w="0" w:type="auto"/>
        <w:jc w:val="left"/>
        <w:tblInd w:w="6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4"/>
        <w:gridCol w:w="575"/>
      </w:tblGrid>
      <w:tr>
        <w:tblPrEx>
          <w:tblW w:w="0" w:type="auto"/>
          <w:jc w:val="left"/>
          <w:tblInd w:w="6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17"/>
          <w:jc w:val="left"/>
        </w:trPr>
        <w:tc>
          <w:tcPr>
            <w:tcW w:w="1174" w:type="dxa"/>
          </w:tcPr>
          <w:p>
            <w:pPr>
              <w:pStyle w:val="TableParagraph"/>
              <w:spacing w:line="341" w:lineRule="exact"/>
              <w:ind w:left="50"/>
              <w:rPr>
                <w:sz w:val="30"/>
              </w:rPr>
            </w:pPr>
            <w:r>
              <w:rPr>
                <w:sz w:val="30"/>
              </w:rPr>
              <w:t>A. 5%</w:t>
            </w:r>
          </w:p>
        </w:tc>
        <w:tc>
          <w:tcPr>
            <w:tcW w:w="575" w:type="dxa"/>
          </w:tcPr>
          <w:p>
            <w:pPr>
              <w:pStyle w:val="TableParagraph"/>
              <w:spacing w:line="341" w:lineRule="exact"/>
              <w:ind w:right="48"/>
              <w:jc w:val="right"/>
              <w:rPr>
                <w:sz w:val="30"/>
              </w:rPr>
            </w:pPr>
            <w:r>
              <w:rPr>
                <w:w w:val="99"/>
                <w:sz w:val="30"/>
              </w:rPr>
              <w:t>7</w:t>
            </w:r>
          </w:p>
        </w:tc>
      </w:tr>
      <w:tr>
        <w:tblPrEx>
          <w:tblW w:w="0" w:type="auto"/>
          <w:jc w:val="left"/>
          <w:tblInd w:w="676" w:type="dxa"/>
          <w:tblLayout w:type="fixed"/>
          <w:tblCellMar>
            <w:top w:w="0" w:type="dxa"/>
            <w:left w:w="0" w:type="dxa"/>
            <w:bottom w:w="0" w:type="dxa"/>
            <w:right w:w="0" w:type="dxa"/>
          </w:tblCellMar>
          <w:tblLook w:val="01E0"/>
        </w:tblPrEx>
        <w:trPr>
          <w:trHeight w:val="936"/>
          <w:jc w:val="left"/>
        </w:trPr>
        <w:tc>
          <w:tcPr>
            <w:tcW w:w="1174" w:type="dxa"/>
          </w:tcPr>
          <w:p>
            <w:pPr>
              <w:pStyle w:val="TableParagraph"/>
              <w:spacing w:before="6"/>
              <w:rPr>
                <w:sz w:val="21"/>
              </w:rPr>
            </w:pPr>
          </w:p>
          <w:p>
            <w:pPr>
              <w:pStyle w:val="TableParagraph"/>
              <w:ind w:left="50"/>
              <w:rPr>
                <w:sz w:val="30"/>
              </w:rPr>
            </w:pPr>
            <w:r>
              <w:rPr>
                <w:sz w:val="30"/>
              </w:rPr>
              <w:t>B. 5%</w:t>
            </w:r>
          </w:p>
        </w:tc>
        <w:tc>
          <w:tcPr>
            <w:tcW w:w="575" w:type="dxa"/>
          </w:tcPr>
          <w:p>
            <w:pPr>
              <w:pStyle w:val="TableParagraph"/>
              <w:spacing w:before="6"/>
              <w:rPr>
                <w:sz w:val="21"/>
              </w:rPr>
            </w:pPr>
          </w:p>
          <w:p>
            <w:pPr>
              <w:pStyle w:val="TableParagraph"/>
              <w:ind w:right="48"/>
              <w:jc w:val="right"/>
              <w:rPr>
                <w:sz w:val="30"/>
              </w:rPr>
            </w:pPr>
            <w:r>
              <w:rPr>
                <w:w w:val="99"/>
                <w:sz w:val="30"/>
              </w:rPr>
              <w:t>3</w:t>
            </w:r>
          </w:p>
        </w:tc>
      </w:tr>
      <w:tr>
        <w:tblPrEx>
          <w:tblW w:w="0" w:type="auto"/>
          <w:jc w:val="left"/>
          <w:tblInd w:w="676" w:type="dxa"/>
          <w:tblLayout w:type="fixed"/>
          <w:tblCellMar>
            <w:top w:w="0" w:type="dxa"/>
            <w:left w:w="0" w:type="dxa"/>
            <w:bottom w:w="0" w:type="dxa"/>
            <w:right w:w="0" w:type="dxa"/>
          </w:tblCellMar>
          <w:tblLook w:val="01E0"/>
        </w:tblPrEx>
        <w:trPr>
          <w:trHeight w:val="935"/>
          <w:jc w:val="left"/>
        </w:trPr>
        <w:tc>
          <w:tcPr>
            <w:tcW w:w="1174" w:type="dxa"/>
          </w:tcPr>
          <w:p>
            <w:pPr>
              <w:pStyle w:val="TableParagraph"/>
              <w:spacing w:before="6"/>
              <w:rPr>
                <w:sz w:val="21"/>
              </w:rPr>
            </w:pPr>
          </w:p>
          <w:p>
            <w:pPr>
              <w:pStyle w:val="TableParagraph"/>
              <w:ind w:left="50"/>
              <w:rPr>
                <w:sz w:val="30"/>
              </w:rPr>
            </w:pPr>
            <w:r>
              <w:rPr>
                <w:sz w:val="30"/>
              </w:rPr>
              <w:t>C. 10%</w:t>
            </w:r>
          </w:p>
        </w:tc>
        <w:tc>
          <w:tcPr>
            <w:tcW w:w="575" w:type="dxa"/>
          </w:tcPr>
          <w:p>
            <w:pPr>
              <w:pStyle w:val="TableParagraph"/>
              <w:spacing w:before="6"/>
              <w:rPr>
                <w:sz w:val="21"/>
              </w:rPr>
            </w:pPr>
          </w:p>
          <w:p>
            <w:pPr>
              <w:pStyle w:val="TableParagraph"/>
              <w:ind w:left="29"/>
              <w:jc w:val="center"/>
              <w:rPr>
                <w:sz w:val="30"/>
              </w:rPr>
            </w:pPr>
            <w:r>
              <w:rPr>
                <w:w w:val="99"/>
                <w:sz w:val="30"/>
              </w:rPr>
              <w:t>3</w:t>
            </w:r>
          </w:p>
        </w:tc>
      </w:tr>
      <w:tr>
        <w:tblPrEx>
          <w:tblW w:w="0" w:type="auto"/>
          <w:jc w:val="left"/>
          <w:tblInd w:w="676" w:type="dxa"/>
          <w:tblLayout w:type="fixed"/>
          <w:tblCellMar>
            <w:top w:w="0" w:type="dxa"/>
            <w:left w:w="0" w:type="dxa"/>
            <w:bottom w:w="0" w:type="dxa"/>
            <w:right w:w="0" w:type="dxa"/>
          </w:tblCellMar>
          <w:tblLook w:val="01E0"/>
        </w:tblPrEx>
        <w:trPr>
          <w:trHeight w:val="617"/>
          <w:jc w:val="left"/>
        </w:trPr>
        <w:tc>
          <w:tcPr>
            <w:tcW w:w="1174" w:type="dxa"/>
          </w:tcPr>
          <w:p>
            <w:pPr>
              <w:pStyle w:val="TableParagraph"/>
              <w:spacing w:before="6"/>
              <w:rPr>
                <w:sz w:val="21"/>
              </w:rPr>
            </w:pPr>
          </w:p>
          <w:p>
            <w:pPr>
              <w:pStyle w:val="TableParagraph"/>
              <w:spacing w:line="322" w:lineRule="exact"/>
              <w:ind w:left="50"/>
              <w:rPr>
                <w:sz w:val="30"/>
              </w:rPr>
            </w:pPr>
            <w:r>
              <w:rPr>
                <w:sz w:val="30"/>
              </w:rPr>
              <w:t>D. 5%</w:t>
            </w:r>
          </w:p>
        </w:tc>
        <w:tc>
          <w:tcPr>
            <w:tcW w:w="575" w:type="dxa"/>
          </w:tcPr>
          <w:p>
            <w:pPr>
              <w:pStyle w:val="TableParagraph"/>
              <w:spacing w:before="6"/>
              <w:rPr>
                <w:sz w:val="21"/>
              </w:rPr>
            </w:pPr>
          </w:p>
          <w:p>
            <w:pPr>
              <w:pStyle w:val="TableParagraph"/>
              <w:spacing w:line="322" w:lineRule="exact"/>
              <w:ind w:right="48"/>
              <w:jc w:val="right"/>
              <w:rPr>
                <w:sz w:val="30"/>
              </w:rPr>
            </w:pPr>
            <w:r>
              <w:rPr>
                <w:w w:val="99"/>
                <w:sz w:val="30"/>
              </w:rPr>
              <w:t>5</w:t>
            </w:r>
          </w:p>
        </w:tc>
      </w:tr>
    </w:tbl>
    <w:p>
      <w:pPr>
        <w:pStyle w:val="BodyText"/>
        <w:spacing w:before="10"/>
        <w:rPr>
          <w:sz w:val="15"/>
        </w:rPr>
      </w:pPr>
    </w:p>
    <w:p>
      <w:pPr>
        <w:pStyle w:val="ListParagraph"/>
        <w:numPr>
          <w:ilvl w:val="0"/>
          <w:numId w:val="8"/>
        </w:numPr>
        <w:tabs>
          <w:tab w:val="left" w:pos="1611"/>
          <w:tab w:val="left" w:pos="1612"/>
          <w:tab w:val="left" w:pos="5100"/>
        </w:tabs>
        <w:spacing w:before="57" w:after="0" w:line="292" w:lineRule="auto"/>
        <w:ind w:left="1100" w:right="273" w:hanging="540"/>
        <w:jc w:val="left"/>
        <w:rPr>
          <w:sz w:val="30"/>
        </w:rPr>
      </w:pPr>
      <w:r>
        <w:tab/>
      </w:r>
      <w:r>
        <w:rPr>
          <w:w w:val="95"/>
          <w:sz w:val="30"/>
        </w:rPr>
        <w:t>为股票发行出具审计报告、资产评估报告或者法律意见书等文件的证券服务机构和人员，</w:t>
      </w:r>
      <w:r>
        <w:rPr>
          <w:spacing w:val="-17"/>
          <w:w w:val="95"/>
          <w:sz w:val="30"/>
        </w:rPr>
        <w:t xml:space="preserve">在   </w:t>
      </w:r>
      <w:r>
        <w:rPr>
          <w:sz w:val="30"/>
        </w:rPr>
        <w:t>该股票承销期内和期满后（</w:t>
        <w:tab/>
        <w:t>）内，不得买卖该种股票。</w:t>
      </w:r>
    </w:p>
    <w:p>
      <w:pPr>
        <w:pStyle w:val="BodyText"/>
        <w:spacing w:before="12"/>
        <w:rPr>
          <w:sz w:val="25"/>
        </w:rPr>
      </w:pPr>
    </w:p>
    <w:p>
      <w:pPr>
        <w:pStyle w:val="ListParagraph"/>
        <w:numPr>
          <w:ilvl w:val="1"/>
          <w:numId w:val="8"/>
        </w:numPr>
        <w:tabs>
          <w:tab w:val="left" w:pos="1173"/>
        </w:tabs>
        <w:spacing w:before="0" w:after="0" w:line="240" w:lineRule="auto"/>
        <w:ind w:left="1172" w:right="0" w:hanging="454"/>
        <w:jc w:val="left"/>
        <w:rPr>
          <w:sz w:val="30"/>
        </w:rPr>
      </w:pPr>
      <w:r>
        <w:rPr>
          <w:w w:val="95"/>
          <w:sz w:val="30"/>
        </w:rPr>
        <w:t>三个月</w:t>
      </w:r>
    </w:p>
    <w:p>
      <w:pPr>
        <w:pStyle w:val="BodyText"/>
        <w:spacing w:before="1"/>
        <w:rPr>
          <w:sz w:val="43"/>
        </w:rPr>
      </w:pPr>
    </w:p>
    <w:p>
      <w:pPr>
        <w:pStyle w:val="ListParagraph"/>
        <w:numPr>
          <w:ilvl w:val="1"/>
          <w:numId w:val="8"/>
        </w:numPr>
        <w:tabs>
          <w:tab w:val="left" w:pos="1173"/>
        </w:tabs>
        <w:spacing w:before="0" w:after="0" w:line="240" w:lineRule="auto"/>
        <w:ind w:left="1172" w:right="0" w:hanging="454"/>
        <w:jc w:val="left"/>
        <w:rPr>
          <w:sz w:val="30"/>
        </w:rPr>
      </w:pPr>
      <w:r>
        <w:rPr>
          <w:w w:val="95"/>
          <w:sz w:val="30"/>
        </w:rPr>
        <w:t>六个月</w:t>
      </w:r>
    </w:p>
    <w:p>
      <w:pPr>
        <w:pStyle w:val="BodyText"/>
        <w:spacing w:before="1"/>
        <w:rPr>
          <w:sz w:val="43"/>
        </w:rPr>
      </w:pPr>
    </w:p>
    <w:p>
      <w:pPr>
        <w:pStyle w:val="ListParagraph"/>
        <w:numPr>
          <w:ilvl w:val="1"/>
          <w:numId w:val="8"/>
        </w:numPr>
        <w:tabs>
          <w:tab w:val="left" w:pos="1173"/>
        </w:tabs>
        <w:spacing w:before="0" w:after="0" w:line="240" w:lineRule="auto"/>
        <w:ind w:left="1172" w:right="0" w:hanging="454"/>
        <w:jc w:val="left"/>
        <w:rPr>
          <w:sz w:val="30"/>
        </w:rPr>
      </w:pPr>
      <w:r>
        <w:rPr>
          <w:w w:val="95"/>
          <w:sz w:val="30"/>
        </w:rPr>
        <w:t>九个月</w:t>
      </w:r>
    </w:p>
    <w:p>
      <w:pPr>
        <w:pStyle w:val="BodyText"/>
        <w:spacing w:before="1"/>
        <w:rPr>
          <w:sz w:val="43"/>
        </w:rPr>
      </w:pPr>
    </w:p>
    <w:p>
      <w:pPr>
        <w:pStyle w:val="ListParagraph"/>
        <w:numPr>
          <w:ilvl w:val="1"/>
          <w:numId w:val="8"/>
        </w:numPr>
        <w:tabs>
          <w:tab w:val="left" w:pos="1173"/>
        </w:tabs>
        <w:spacing w:before="0" w:after="0" w:line="240" w:lineRule="auto"/>
        <w:ind w:left="1172" w:right="0" w:hanging="454"/>
        <w:jc w:val="left"/>
        <w:rPr>
          <w:sz w:val="30"/>
        </w:rPr>
      </w:pPr>
      <w:r>
        <w:rPr>
          <w:w w:val="95"/>
          <w:sz w:val="30"/>
        </w:rPr>
        <w:t>二个月</w:t>
      </w:r>
    </w:p>
    <w:p>
      <w:pPr>
        <w:pStyle w:val="ListParagraph"/>
        <w:numPr>
          <w:ilvl w:val="0"/>
          <w:numId w:val="8"/>
        </w:numPr>
        <w:tabs>
          <w:tab w:val="left" w:pos="1611"/>
          <w:tab w:val="left" w:pos="1612"/>
          <w:tab w:val="left" w:pos="7498"/>
          <w:tab w:val="left" w:pos="9299"/>
          <w:tab w:val="left" w:pos="13411"/>
        </w:tabs>
        <w:spacing w:before="217" w:after="0" w:line="292" w:lineRule="auto"/>
        <w:ind w:left="1100" w:right="127" w:hanging="540"/>
        <w:jc w:val="left"/>
        <w:rPr>
          <w:sz w:val="30"/>
        </w:rPr>
      </w:pPr>
      <w:r>
        <w:tab/>
      </w:r>
      <w:r>
        <w:rPr>
          <w:sz w:val="30"/>
        </w:rPr>
        <w:t>投资者持有或者通过协议、其他安排与他人共同持有一个上市公司已发行的股份达到（</w:t>
        <w:tab/>
      </w:r>
      <w:r>
        <w:rPr>
          <w:spacing w:val="-18"/>
          <w:sz w:val="30"/>
        </w:rPr>
        <w:t xml:space="preserve">） </w:t>
      </w:r>
      <w:r>
        <w:rPr>
          <w:sz w:val="30"/>
        </w:rPr>
        <w:t>后，其所持该上市公司已发行的股份比例每增加或者减少（</w:t>
        <w:tab/>
        <w:t>），应当依照前款规定进行报告和公告。在报告期限内和作出报告、公告后（</w:t>
        <w:tab/>
        <w:t>）日内，不得再行买卖该上市公司的股票。</w:t>
      </w:r>
    </w:p>
    <w:p>
      <w:pPr>
        <w:pStyle w:val="BodyText"/>
        <w:spacing w:before="3"/>
        <w:rPr>
          <w:sz w:val="29"/>
        </w:rPr>
      </w:pPr>
    </w:p>
    <w:tbl>
      <w:tblPr>
        <w:tblStyle w:val="TableNormal1"/>
        <w:tblW w:w="0" w:type="auto"/>
        <w:jc w:val="left"/>
        <w:tblInd w:w="6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4"/>
        <w:gridCol w:w="902"/>
        <w:gridCol w:w="450"/>
        <w:gridCol w:w="274"/>
      </w:tblGrid>
      <w:tr>
        <w:tblPrEx>
          <w:tblW w:w="0" w:type="auto"/>
          <w:jc w:val="left"/>
          <w:tblInd w:w="6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17"/>
          <w:jc w:val="left"/>
        </w:trPr>
        <w:tc>
          <w:tcPr>
            <w:tcW w:w="1174" w:type="dxa"/>
          </w:tcPr>
          <w:p>
            <w:pPr>
              <w:pStyle w:val="TableParagraph"/>
              <w:spacing w:line="341" w:lineRule="exact"/>
              <w:ind w:left="50"/>
              <w:rPr>
                <w:sz w:val="30"/>
              </w:rPr>
            </w:pPr>
            <w:r>
              <w:rPr>
                <w:sz w:val="30"/>
              </w:rPr>
              <w:t>A. 5%</w:t>
            </w:r>
          </w:p>
        </w:tc>
        <w:tc>
          <w:tcPr>
            <w:tcW w:w="902" w:type="dxa"/>
          </w:tcPr>
          <w:p>
            <w:pPr>
              <w:pStyle w:val="TableParagraph"/>
              <w:spacing w:line="341" w:lineRule="exact"/>
              <w:ind w:right="227"/>
              <w:jc w:val="right"/>
              <w:rPr>
                <w:sz w:val="30"/>
              </w:rPr>
            </w:pPr>
            <w:r>
              <w:rPr>
                <w:w w:val="95"/>
                <w:sz w:val="30"/>
              </w:rPr>
              <w:t>5%</w:t>
            </w:r>
          </w:p>
        </w:tc>
        <w:tc>
          <w:tcPr>
            <w:tcW w:w="450" w:type="dxa"/>
          </w:tcPr>
          <w:p>
            <w:pPr>
              <w:pStyle w:val="TableParagraph"/>
              <w:rPr>
                <w:rFonts w:ascii="Times New Roman"/>
                <w:sz w:val="28"/>
              </w:rPr>
            </w:pPr>
          </w:p>
        </w:tc>
        <w:tc>
          <w:tcPr>
            <w:tcW w:w="274" w:type="dxa"/>
          </w:tcPr>
          <w:p>
            <w:pPr>
              <w:pStyle w:val="TableParagraph"/>
              <w:spacing w:line="341" w:lineRule="exact"/>
              <w:ind w:right="48"/>
              <w:jc w:val="right"/>
              <w:rPr>
                <w:sz w:val="30"/>
              </w:rPr>
            </w:pPr>
            <w:r>
              <w:rPr>
                <w:w w:val="99"/>
                <w:sz w:val="30"/>
              </w:rPr>
              <w:t>3</w:t>
            </w:r>
          </w:p>
        </w:tc>
      </w:tr>
      <w:tr>
        <w:tblPrEx>
          <w:tblW w:w="0" w:type="auto"/>
          <w:jc w:val="left"/>
          <w:tblInd w:w="676" w:type="dxa"/>
          <w:tblLayout w:type="fixed"/>
          <w:tblCellMar>
            <w:top w:w="0" w:type="dxa"/>
            <w:left w:w="0" w:type="dxa"/>
            <w:bottom w:w="0" w:type="dxa"/>
            <w:right w:w="0" w:type="dxa"/>
          </w:tblCellMar>
          <w:tblLook w:val="01E0"/>
        </w:tblPrEx>
        <w:trPr>
          <w:trHeight w:val="936"/>
          <w:jc w:val="left"/>
        </w:trPr>
        <w:tc>
          <w:tcPr>
            <w:tcW w:w="1174" w:type="dxa"/>
          </w:tcPr>
          <w:p>
            <w:pPr>
              <w:pStyle w:val="TableParagraph"/>
              <w:spacing w:before="6"/>
              <w:rPr>
                <w:sz w:val="21"/>
              </w:rPr>
            </w:pPr>
          </w:p>
          <w:p>
            <w:pPr>
              <w:pStyle w:val="TableParagraph"/>
              <w:ind w:left="50"/>
              <w:rPr>
                <w:sz w:val="30"/>
              </w:rPr>
            </w:pPr>
            <w:r>
              <w:rPr>
                <w:sz w:val="30"/>
              </w:rPr>
              <w:t>B. 5%</w:t>
            </w:r>
          </w:p>
        </w:tc>
        <w:tc>
          <w:tcPr>
            <w:tcW w:w="902" w:type="dxa"/>
          </w:tcPr>
          <w:p>
            <w:pPr>
              <w:pStyle w:val="TableParagraph"/>
              <w:spacing w:before="6"/>
              <w:rPr>
                <w:sz w:val="21"/>
              </w:rPr>
            </w:pPr>
          </w:p>
          <w:p>
            <w:pPr>
              <w:pStyle w:val="TableParagraph"/>
              <w:ind w:right="227"/>
              <w:jc w:val="right"/>
              <w:rPr>
                <w:sz w:val="30"/>
              </w:rPr>
            </w:pPr>
            <w:r>
              <w:rPr>
                <w:w w:val="95"/>
                <w:sz w:val="30"/>
              </w:rPr>
              <w:t>5%</w:t>
            </w:r>
          </w:p>
        </w:tc>
        <w:tc>
          <w:tcPr>
            <w:tcW w:w="450" w:type="dxa"/>
          </w:tcPr>
          <w:p>
            <w:pPr>
              <w:pStyle w:val="TableParagraph"/>
              <w:rPr>
                <w:rFonts w:ascii="Times New Roman"/>
                <w:sz w:val="28"/>
              </w:rPr>
            </w:pPr>
          </w:p>
        </w:tc>
        <w:tc>
          <w:tcPr>
            <w:tcW w:w="274" w:type="dxa"/>
          </w:tcPr>
          <w:p>
            <w:pPr>
              <w:pStyle w:val="TableParagraph"/>
              <w:spacing w:before="6"/>
              <w:rPr>
                <w:sz w:val="21"/>
              </w:rPr>
            </w:pPr>
          </w:p>
          <w:p>
            <w:pPr>
              <w:pStyle w:val="TableParagraph"/>
              <w:ind w:right="48"/>
              <w:jc w:val="right"/>
              <w:rPr>
                <w:sz w:val="30"/>
              </w:rPr>
            </w:pPr>
            <w:r>
              <w:rPr>
                <w:w w:val="99"/>
                <w:sz w:val="30"/>
              </w:rPr>
              <w:t>2</w:t>
            </w:r>
          </w:p>
        </w:tc>
      </w:tr>
      <w:tr>
        <w:tblPrEx>
          <w:tblW w:w="0" w:type="auto"/>
          <w:jc w:val="left"/>
          <w:tblInd w:w="676" w:type="dxa"/>
          <w:tblLayout w:type="fixed"/>
          <w:tblCellMar>
            <w:top w:w="0" w:type="dxa"/>
            <w:left w:w="0" w:type="dxa"/>
            <w:bottom w:w="0" w:type="dxa"/>
            <w:right w:w="0" w:type="dxa"/>
          </w:tblCellMar>
          <w:tblLook w:val="01E0"/>
        </w:tblPrEx>
        <w:trPr>
          <w:trHeight w:val="936"/>
          <w:jc w:val="left"/>
        </w:trPr>
        <w:tc>
          <w:tcPr>
            <w:tcW w:w="1174" w:type="dxa"/>
          </w:tcPr>
          <w:p>
            <w:pPr>
              <w:pStyle w:val="TableParagraph"/>
              <w:spacing w:before="6"/>
              <w:rPr>
                <w:sz w:val="21"/>
              </w:rPr>
            </w:pPr>
          </w:p>
          <w:p>
            <w:pPr>
              <w:pStyle w:val="TableParagraph"/>
              <w:spacing w:before="1"/>
              <w:ind w:left="50"/>
              <w:rPr>
                <w:sz w:val="30"/>
              </w:rPr>
            </w:pPr>
            <w:r>
              <w:rPr>
                <w:sz w:val="30"/>
              </w:rPr>
              <w:t>C. 5%</w:t>
            </w:r>
          </w:p>
        </w:tc>
        <w:tc>
          <w:tcPr>
            <w:tcW w:w="902" w:type="dxa"/>
          </w:tcPr>
          <w:p>
            <w:pPr>
              <w:pStyle w:val="TableParagraph"/>
              <w:spacing w:before="6"/>
              <w:rPr>
                <w:sz w:val="21"/>
              </w:rPr>
            </w:pPr>
          </w:p>
          <w:p>
            <w:pPr>
              <w:pStyle w:val="TableParagraph"/>
              <w:spacing w:before="1"/>
              <w:ind w:right="227"/>
              <w:jc w:val="right"/>
              <w:rPr>
                <w:sz w:val="30"/>
              </w:rPr>
            </w:pPr>
            <w:r>
              <w:rPr>
                <w:w w:val="95"/>
                <w:sz w:val="30"/>
              </w:rPr>
              <w:t>5%</w:t>
            </w:r>
          </w:p>
        </w:tc>
        <w:tc>
          <w:tcPr>
            <w:tcW w:w="450" w:type="dxa"/>
          </w:tcPr>
          <w:p>
            <w:pPr>
              <w:pStyle w:val="TableParagraph"/>
              <w:rPr>
                <w:rFonts w:ascii="Times New Roman"/>
                <w:sz w:val="28"/>
              </w:rPr>
            </w:pPr>
          </w:p>
        </w:tc>
        <w:tc>
          <w:tcPr>
            <w:tcW w:w="274" w:type="dxa"/>
          </w:tcPr>
          <w:p>
            <w:pPr>
              <w:pStyle w:val="TableParagraph"/>
              <w:spacing w:before="6"/>
              <w:rPr>
                <w:sz w:val="21"/>
              </w:rPr>
            </w:pPr>
          </w:p>
          <w:p>
            <w:pPr>
              <w:pStyle w:val="TableParagraph"/>
              <w:spacing w:before="1"/>
              <w:ind w:right="48"/>
              <w:jc w:val="right"/>
              <w:rPr>
                <w:sz w:val="30"/>
              </w:rPr>
            </w:pPr>
            <w:r>
              <w:rPr>
                <w:w w:val="99"/>
                <w:sz w:val="30"/>
              </w:rPr>
              <w:t>5</w:t>
            </w:r>
          </w:p>
        </w:tc>
      </w:tr>
      <w:tr>
        <w:tblPrEx>
          <w:tblW w:w="0" w:type="auto"/>
          <w:jc w:val="left"/>
          <w:tblInd w:w="676" w:type="dxa"/>
          <w:tblLayout w:type="fixed"/>
          <w:tblCellMar>
            <w:top w:w="0" w:type="dxa"/>
            <w:left w:w="0" w:type="dxa"/>
            <w:bottom w:w="0" w:type="dxa"/>
            <w:right w:w="0" w:type="dxa"/>
          </w:tblCellMar>
          <w:tblLook w:val="01E0"/>
        </w:tblPrEx>
        <w:trPr>
          <w:trHeight w:val="617"/>
          <w:jc w:val="left"/>
        </w:trPr>
        <w:tc>
          <w:tcPr>
            <w:tcW w:w="1174" w:type="dxa"/>
          </w:tcPr>
          <w:p>
            <w:pPr>
              <w:pStyle w:val="TableParagraph"/>
              <w:spacing w:before="6"/>
              <w:rPr>
                <w:sz w:val="21"/>
              </w:rPr>
            </w:pPr>
          </w:p>
          <w:p>
            <w:pPr>
              <w:pStyle w:val="TableParagraph"/>
              <w:spacing w:line="322" w:lineRule="exact"/>
              <w:ind w:left="50"/>
              <w:rPr>
                <w:sz w:val="30"/>
              </w:rPr>
            </w:pPr>
            <w:r>
              <w:rPr>
                <w:sz w:val="30"/>
              </w:rPr>
              <w:t>D. 10%</w:t>
            </w:r>
          </w:p>
        </w:tc>
        <w:tc>
          <w:tcPr>
            <w:tcW w:w="902" w:type="dxa"/>
          </w:tcPr>
          <w:p>
            <w:pPr>
              <w:pStyle w:val="TableParagraph"/>
              <w:spacing w:before="6"/>
              <w:rPr>
                <w:sz w:val="21"/>
              </w:rPr>
            </w:pPr>
          </w:p>
          <w:p>
            <w:pPr>
              <w:pStyle w:val="TableParagraph"/>
              <w:spacing w:line="322" w:lineRule="exact"/>
              <w:ind w:right="224"/>
              <w:jc w:val="right"/>
              <w:rPr>
                <w:sz w:val="30"/>
              </w:rPr>
            </w:pPr>
            <w:r>
              <w:rPr>
                <w:w w:val="95"/>
                <w:sz w:val="30"/>
              </w:rPr>
              <w:t>10%</w:t>
            </w:r>
          </w:p>
        </w:tc>
        <w:tc>
          <w:tcPr>
            <w:tcW w:w="450" w:type="dxa"/>
          </w:tcPr>
          <w:p>
            <w:pPr>
              <w:pStyle w:val="TableParagraph"/>
              <w:spacing w:before="6"/>
              <w:rPr>
                <w:sz w:val="21"/>
              </w:rPr>
            </w:pPr>
          </w:p>
          <w:p>
            <w:pPr>
              <w:pStyle w:val="TableParagraph"/>
              <w:spacing w:line="322" w:lineRule="exact"/>
              <w:ind w:left="225"/>
              <w:rPr>
                <w:sz w:val="30"/>
              </w:rPr>
            </w:pPr>
            <w:r>
              <w:rPr>
                <w:w w:val="99"/>
                <w:sz w:val="30"/>
              </w:rPr>
              <w:t>2</w:t>
            </w:r>
          </w:p>
        </w:tc>
        <w:tc>
          <w:tcPr>
            <w:tcW w:w="274" w:type="dxa"/>
          </w:tcPr>
          <w:p>
            <w:pPr>
              <w:pStyle w:val="TableParagraph"/>
              <w:rPr>
                <w:rFonts w:ascii="Times New Roman"/>
                <w:sz w:val="28"/>
              </w:rPr>
            </w:pPr>
          </w:p>
        </w:tc>
      </w:tr>
    </w:tbl>
    <w:p>
      <w:pPr>
        <w:pStyle w:val="BodyText"/>
        <w:spacing w:before="10"/>
        <w:rPr>
          <w:sz w:val="15"/>
        </w:rPr>
      </w:pPr>
    </w:p>
    <w:p>
      <w:pPr>
        <w:pStyle w:val="ListParagraph"/>
        <w:numPr>
          <w:ilvl w:val="0"/>
          <w:numId w:val="8"/>
        </w:numPr>
        <w:tabs>
          <w:tab w:val="left" w:pos="1611"/>
          <w:tab w:val="left" w:pos="1612"/>
          <w:tab w:val="left" w:pos="3300"/>
        </w:tabs>
        <w:spacing w:before="57" w:after="0" w:line="292" w:lineRule="auto"/>
        <w:ind w:left="1100" w:right="273" w:hanging="540"/>
        <w:jc w:val="left"/>
        <w:rPr>
          <w:sz w:val="30"/>
        </w:rPr>
      </w:pPr>
      <w:r>
        <w:tab/>
      </w:r>
      <w:r>
        <w:rPr>
          <w:w w:val="95"/>
          <w:sz w:val="30"/>
        </w:rPr>
        <w:t>证券登记结算机构应当妥善保存登记、存管和结算的原始凭证及有关文件和资料。其保存</w:t>
      </w:r>
      <w:r>
        <w:rPr>
          <w:spacing w:val="-17"/>
          <w:w w:val="95"/>
          <w:sz w:val="30"/>
        </w:rPr>
        <w:t xml:space="preserve">期   </w:t>
      </w:r>
      <w:r>
        <w:rPr>
          <w:sz w:val="30"/>
        </w:rPr>
        <w:t>限不得少于（</w:t>
        <w:tab/>
        <w:t>）年。</w:t>
      </w:r>
    </w:p>
    <w:p>
      <w:pPr>
        <w:pStyle w:val="BodyText"/>
        <w:spacing w:before="12"/>
        <w:rPr>
          <w:sz w:val="25"/>
        </w:rPr>
      </w:pPr>
    </w:p>
    <w:p>
      <w:pPr>
        <w:pStyle w:val="ListParagraph"/>
        <w:numPr>
          <w:ilvl w:val="1"/>
          <w:numId w:val="8"/>
        </w:numPr>
        <w:tabs>
          <w:tab w:val="left" w:pos="1168"/>
        </w:tabs>
        <w:spacing w:before="0" w:after="0" w:line="240" w:lineRule="auto"/>
        <w:ind w:left="1167" w:right="0" w:hanging="449"/>
        <w:jc w:val="left"/>
        <w:rPr>
          <w:sz w:val="30"/>
        </w:rPr>
      </w:pPr>
      <w:r>
        <w:rPr>
          <w:sz w:val="30"/>
        </w:rPr>
        <w:t>10</w:t>
      </w:r>
    </w:p>
    <w:p>
      <w:pPr>
        <w:pStyle w:val="BodyText"/>
        <w:spacing w:before="1"/>
        <w:rPr>
          <w:sz w:val="43"/>
        </w:rPr>
      </w:pPr>
    </w:p>
    <w:p>
      <w:pPr>
        <w:pStyle w:val="ListParagraph"/>
        <w:numPr>
          <w:ilvl w:val="1"/>
          <w:numId w:val="8"/>
        </w:numPr>
        <w:tabs>
          <w:tab w:val="left" w:pos="1168"/>
        </w:tabs>
        <w:spacing w:before="0" w:after="0" w:line="240" w:lineRule="auto"/>
        <w:ind w:left="1167" w:right="0" w:hanging="449"/>
        <w:jc w:val="left"/>
        <w:rPr>
          <w:sz w:val="30"/>
        </w:rPr>
      </w:pPr>
      <w:r>
        <w:rPr>
          <w:sz w:val="30"/>
        </w:rPr>
        <w:t>20</w:t>
      </w:r>
    </w:p>
    <w:p>
      <w:pPr>
        <w:spacing w:after="0" w:line="240" w:lineRule="auto"/>
        <w:jc w:val="left"/>
        <w:rPr>
          <w:sz w:val="30"/>
        </w:rPr>
        <w:sectPr>
          <w:pgSz w:w="17860" w:h="25260"/>
          <w:pgMar w:top="1820" w:right="2420" w:bottom="280" w:left="1600" w:header="708" w:footer="708"/>
          <w:pgNumType w:start="8"/>
          <w:cols w:space="708"/>
        </w:sectPr>
      </w:pPr>
    </w:p>
    <w:p>
      <w:pPr>
        <w:pStyle w:val="BodyText"/>
        <w:spacing w:before="11"/>
        <w:rPr>
          <w:sz w:val="29"/>
        </w:rPr>
      </w:pPr>
    </w:p>
    <w:p>
      <w:pPr>
        <w:pStyle w:val="ListParagraph"/>
        <w:numPr>
          <w:ilvl w:val="1"/>
          <w:numId w:val="5"/>
        </w:numPr>
        <w:tabs>
          <w:tab w:val="left" w:pos="1168"/>
        </w:tabs>
        <w:spacing w:before="57" w:after="0" w:line="240" w:lineRule="auto"/>
        <w:ind w:left="1167" w:right="0" w:hanging="449"/>
        <w:jc w:val="left"/>
        <w:rPr>
          <w:sz w:val="30"/>
        </w:rPr>
      </w:pPr>
      <w:r>
        <w:pict>
          <v:group id="_x0000_s1314" style="width:681.45pt;height:1031pt;margin-top:-19.01pt;margin-left:80.59pt;mso-position-horizontal-relative:page;position:absolute;z-index:-251650048" coordorigin="1612,-380" coordsize="13629,20620">
            <v:shape id="_x0000_s1315" type="#_x0000_t75" style="width:809;height:728;left:1611;position:absolute;top:-282" stroked="f">
              <v:imagedata r:id="rId6" o:title=""/>
            </v:shape>
            <v:shape id="_x0000_s1316" type="#_x0000_t75" style="width:609;height:490;left:1711;position:absolute;top:-182" stroked="f">
              <v:imagedata r:id="rId20" o:title=""/>
            </v:shape>
            <v:shape id="_x0000_s1317" type="#_x0000_t75" style="width:809;height:728;left:1611;position:absolute;top:654" stroked="f">
              <v:imagedata r:id="rId6" o:title=""/>
            </v:shape>
            <v:shape id="_x0000_s1318" type="#_x0000_t75" style="width:609;height:490;left:1711;position:absolute;top:754" stroked="f">
              <v:imagedata r:id="rId20" o:title=""/>
            </v:shape>
            <v:shape id="_x0000_s1319" type="#_x0000_t75" style="width:809;height:728;left:1611;position:absolute;top:2526" stroked="f">
              <v:imagedata r:id="rId6" o:title=""/>
            </v:shape>
            <v:shape id="_x0000_s1320" type="#_x0000_t75" style="width:609;height:490;left:1711;position:absolute;top:2626" stroked="f">
              <v:imagedata r:id="rId20" o:title=""/>
            </v:shape>
            <v:shape id="_x0000_s1321" type="#_x0000_t75" style="width:809;height:708;left:1611;position:absolute;top:3462" stroked="f">
              <v:imagedata r:id="rId9" o:title=""/>
            </v:shape>
            <v:shape id="_x0000_s1322" type="#_x0000_t75" style="width:609;height:490;left:1711;position:absolute;top:3562" stroked="f">
              <v:imagedata r:id="rId21" o:title=""/>
            </v:shape>
            <v:shape id="_x0000_s1323" type="#_x0000_t75" style="width:809;height:728;left:1611;position:absolute;top:4398" stroked="f">
              <v:imagedata r:id="rId6" o:title=""/>
            </v:shape>
            <v:shape id="_x0000_s1324" type="#_x0000_t75" style="width:609;height:490;left:1711;position:absolute;top:4498" stroked="f">
              <v:imagedata r:id="rId20" o:title=""/>
            </v:shape>
            <v:shape id="_x0000_s1325" type="#_x0000_t75" style="width:809;height:728;left:1611;position:absolute;top:5334" stroked="f">
              <v:imagedata r:id="rId6" o:title=""/>
            </v:shape>
            <v:shape id="_x0000_s1326" type="#_x0000_t75" style="width:609;height:490;left:1711;position:absolute;top:5434" stroked="f">
              <v:imagedata r:id="rId20" o:title=""/>
            </v:shape>
            <v:shape id="_x0000_s1327" type="#_x0000_t75" style="width:809;height:728;left:1611;position:absolute;top:6738" stroked="f">
              <v:imagedata r:id="rId6" o:title=""/>
            </v:shape>
            <v:shape id="_x0000_s1328" type="#_x0000_t75" style="width:609;height:490;left:1711;position:absolute;top:6838" stroked="f">
              <v:imagedata r:id="rId20" o:title=""/>
            </v:shape>
            <v:shape id="_x0000_s1329" type="#_x0000_t75" style="width:809;height:728;left:1611;position:absolute;top:7674" stroked="f">
              <v:imagedata r:id="rId6" o:title=""/>
            </v:shape>
            <v:shape id="_x0000_s1330" type="#_x0000_t75" style="width:609;height:490;left:1711;position:absolute;top:7774" stroked="f">
              <v:imagedata r:id="rId21" o:title=""/>
            </v:shape>
            <v:shape id="_x0000_s1331" type="#_x0000_t75" style="width:809;height:728;left:1611;position:absolute;top:8610" stroked="f">
              <v:imagedata r:id="rId6" o:title=""/>
            </v:shape>
            <v:shape id="_x0000_s1332" type="#_x0000_t75" style="width:609;height:490;left:1711;position:absolute;top:8710" stroked="f">
              <v:imagedata r:id="rId20" o:title=""/>
            </v:shape>
            <v:shape id="_x0000_s1333" type="#_x0000_t75" style="width:809;height:728;left:1611;position:absolute;top:9546" stroked="f">
              <v:imagedata r:id="rId6" o:title=""/>
            </v:shape>
            <v:shape id="_x0000_s1334" type="#_x0000_t75" style="width:609;height:490;left:1711;position:absolute;top:9646" stroked="f">
              <v:imagedata r:id="rId20" o:title=""/>
            </v:shape>
            <v:shape id="_x0000_s1335" type="#_x0000_t75" style="width:809;height:728;left:1611;position:absolute;top:10950" stroked="f">
              <v:imagedata r:id="rId6" o:title=""/>
            </v:shape>
            <v:shape id="_x0000_s1336" type="#_x0000_t75" style="width:609;height:490;left:1711;position:absolute;top:11050" stroked="f">
              <v:imagedata r:id="rId20" o:title=""/>
            </v:shape>
            <v:shape id="_x0000_s1337" type="#_x0000_t75" style="width:809;height:728;left:1611;position:absolute;top:11886" stroked="f">
              <v:imagedata r:id="rId6" o:title=""/>
            </v:shape>
            <v:shape id="_x0000_s1338" type="#_x0000_t75" style="width:609;height:490;left:1711;position:absolute;top:11986" stroked="f">
              <v:imagedata r:id="rId21" o:title=""/>
            </v:shape>
            <v:shape id="_x0000_s1339" type="#_x0000_t75" style="width:809;height:708;left:1611;position:absolute;top:12822" stroked="f">
              <v:imagedata r:id="rId9" o:title=""/>
            </v:shape>
            <v:shape id="_x0000_s1340" type="#_x0000_t75" style="width:609;height:490;left:1711;position:absolute;top:12922" stroked="f">
              <v:imagedata r:id="rId20" o:title=""/>
            </v:shape>
            <v:shape id="_x0000_s1341" type="#_x0000_t75" style="width:809;height:728;left:1611;position:absolute;top:13758" stroked="f">
              <v:imagedata r:id="rId6" o:title=""/>
            </v:shape>
            <v:shape id="_x0000_s1342" type="#_x0000_t75" style="width:609;height:490;left:1711;position:absolute;top:13858" stroked="f">
              <v:imagedata r:id="rId20" o:title=""/>
            </v:shape>
            <v:shape id="_x0000_s1343" type="#_x0000_t75" style="width:809;height:728;left:1611;position:absolute;top:15630" stroked="f">
              <v:imagedata r:id="rId6" o:title=""/>
            </v:shape>
            <v:shape id="_x0000_s1344" type="#_x0000_t75" style="width:609;height:490;left:1711;position:absolute;top:15730" stroked="f">
              <v:imagedata r:id="rId20" o:title=""/>
            </v:shape>
            <v:shape id="_x0000_s1345" type="#_x0000_t75" style="width:809;height:728;left:1611;position:absolute;top:16566" stroked="f">
              <v:imagedata r:id="rId6" o:title=""/>
            </v:shape>
            <v:shape id="_x0000_s1346" type="#_x0000_t75" style="width:609;height:490;left:1711;position:absolute;top:16666" stroked="f">
              <v:imagedata r:id="rId21" o:title=""/>
            </v:shape>
            <v:shape id="_x0000_s1347" type="#_x0000_t75" style="width:809;height:708;left:1611;position:absolute;top:17502" stroked="f">
              <v:imagedata r:id="rId9" o:title=""/>
            </v:shape>
            <v:shape id="_x0000_s1348" type="#_x0000_t75" style="width:609;height:490;left:1711;position:absolute;top:17602" stroked="f">
              <v:imagedata r:id="rId20" o:title=""/>
            </v:shape>
            <v:shape id="_x0000_s1349" type="#_x0000_t75" style="width:809;height:728;left:1611;position:absolute;top:18438" stroked="f">
              <v:imagedata r:id="rId6" o:title=""/>
            </v:shape>
            <v:shape id="_x0000_s1350" type="#_x0000_t75" style="width:609;height:490;left:1711;position:absolute;top:18538" stroked="f">
              <v:imagedata r:id="rId20" o:title=""/>
            </v:shape>
            <v:shape id="_x0000_s1351" type="#_x0000_t75" style="width:13580;height:20620;left:1660;position:absolute;top:-381" stroked="f">
              <v:imagedata r:id="rId29" o:title=""/>
            </v:shape>
          </v:group>
        </w:pict>
      </w:r>
      <w:r>
        <w:rPr>
          <w:sz w:val="30"/>
        </w:rPr>
        <w:t>15</w:t>
      </w:r>
    </w:p>
    <w:p>
      <w:pPr>
        <w:pStyle w:val="BodyText"/>
        <w:rPr>
          <w:sz w:val="43"/>
        </w:rPr>
      </w:pPr>
    </w:p>
    <w:p>
      <w:pPr>
        <w:pStyle w:val="ListParagraph"/>
        <w:numPr>
          <w:ilvl w:val="1"/>
          <w:numId w:val="5"/>
        </w:numPr>
        <w:tabs>
          <w:tab w:val="left" w:pos="1168"/>
        </w:tabs>
        <w:spacing w:before="0" w:after="0" w:line="240" w:lineRule="auto"/>
        <w:ind w:left="1167" w:right="0" w:hanging="449"/>
        <w:jc w:val="left"/>
        <w:rPr>
          <w:sz w:val="30"/>
        </w:rPr>
      </w:pPr>
      <w:r>
        <w:rPr>
          <w:w w:val="99"/>
          <w:sz w:val="30"/>
        </w:rPr>
        <w:t>5</w:t>
      </w:r>
    </w:p>
    <w:p>
      <w:pPr>
        <w:pStyle w:val="ListParagraph"/>
        <w:numPr>
          <w:ilvl w:val="0"/>
          <w:numId w:val="5"/>
        </w:numPr>
        <w:tabs>
          <w:tab w:val="left" w:pos="1611"/>
          <w:tab w:val="left" w:pos="1612"/>
          <w:tab w:val="left" w:pos="5100"/>
          <w:tab w:val="left" w:pos="10602"/>
          <w:tab w:val="left" w:pos="11610"/>
        </w:tabs>
        <w:spacing w:before="217" w:after="0" w:line="292" w:lineRule="auto"/>
        <w:ind w:left="1100" w:right="434" w:hanging="540"/>
        <w:jc w:val="left"/>
        <w:rPr>
          <w:sz w:val="30"/>
        </w:rPr>
      </w:pPr>
      <w:r>
        <w:tab/>
      </w:r>
      <w:r>
        <w:rPr>
          <w:sz w:val="30"/>
        </w:rPr>
        <w:t>股份有限公司申请股票上市，公开发行的股份应当达到公司股份总数的（</w:t>
        <w:tab/>
        <w:t>）以上；公</w:t>
      </w:r>
      <w:r>
        <w:rPr>
          <w:spacing w:val="-18"/>
          <w:sz w:val="30"/>
        </w:rPr>
        <w:t>司</w:t>
      </w:r>
      <w:r>
        <w:rPr>
          <w:sz w:val="30"/>
        </w:rPr>
        <w:t>股本总额应当超过人民币（</w:t>
        <w:tab/>
        <w:t>）元的，公开发行股份的比例应当为（</w:t>
        <w:tab/>
        <w:t>）以上；</w:t>
      </w:r>
    </w:p>
    <w:p>
      <w:pPr>
        <w:pStyle w:val="BodyText"/>
        <w:spacing w:before="5"/>
        <w:rPr>
          <w:sz w:val="29"/>
        </w:rPr>
      </w:pPr>
    </w:p>
    <w:tbl>
      <w:tblPr>
        <w:tblStyle w:val="TableNormal2"/>
        <w:tblW w:w="0" w:type="auto"/>
        <w:jc w:val="left"/>
        <w:tblInd w:w="6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4"/>
        <w:gridCol w:w="979"/>
        <w:gridCol w:w="722"/>
      </w:tblGrid>
      <w:tr>
        <w:tblPrEx>
          <w:tblW w:w="0" w:type="auto"/>
          <w:jc w:val="left"/>
          <w:tblInd w:w="6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17"/>
          <w:jc w:val="left"/>
        </w:trPr>
        <w:tc>
          <w:tcPr>
            <w:tcW w:w="1174" w:type="dxa"/>
          </w:tcPr>
          <w:p>
            <w:pPr>
              <w:pStyle w:val="TableParagraph"/>
              <w:spacing w:line="341" w:lineRule="exact"/>
              <w:ind w:left="50"/>
              <w:rPr>
                <w:sz w:val="30"/>
              </w:rPr>
            </w:pPr>
            <w:r>
              <w:rPr>
                <w:sz w:val="30"/>
              </w:rPr>
              <w:t>A. 30%</w:t>
            </w:r>
          </w:p>
        </w:tc>
        <w:tc>
          <w:tcPr>
            <w:tcW w:w="979" w:type="dxa"/>
          </w:tcPr>
          <w:p>
            <w:pPr>
              <w:pStyle w:val="TableParagraph"/>
              <w:spacing w:line="341" w:lineRule="exact"/>
              <w:ind w:left="171" w:right="168"/>
              <w:jc w:val="center"/>
              <w:rPr>
                <w:sz w:val="30"/>
              </w:rPr>
            </w:pPr>
            <w:r>
              <w:rPr>
                <w:sz w:val="30"/>
              </w:rPr>
              <w:t>4 亿</w:t>
            </w:r>
          </w:p>
        </w:tc>
        <w:tc>
          <w:tcPr>
            <w:tcW w:w="722" w:type="dxa"/>
          </w:tcPr>
          <w:p>
            <w:pPr>
              <w:pStyle w:val="TableParagraph"/>
              <w:spacing w:line="341" w:lineRule="exact"/>
              <w:ind w:right="47"/>
              <w:jc w:val="right"/>
              <w:rPr>
                <w:sz w:val="30"/>
              </w:rPr>
            </w:pPr>
            <w:r>
              <w:rPr>
                <w:w w:val="95"/>
                <w:sz w:val="30"/>
              </w:rPr>
              <w:t>10%</w:t>
            </w:r>
          </w:p>
        </w:tc>
      </w:tr>
      <w:tr>
        <w:tblPrEx>
          <w:tblW w:w="0" w:type="auto"/>
          <w:jc w:val="left"/>
          <w:tblInd w:w="676" w:type="dxa"/>
          <w:tblLayout w:type="fixed"/>
          <w:tblCellMar>
            <w:top w:w="0" w:type="dxa"/>
            <w:left w:w="0" w:type="dxa"/>
            <w:bottom w:w="0" w:type="dxa"/>
            <w:right w:w="0" w:type="dxa"/>
          </w:tblCellMar>
          <w:tblLook w:val="01E0"/>
        </w:tblPrEx>
        <w:trPr>
          <w:trHeight w:val="935"/>
          <w:jc w:val="left"/>
        </w:trPr>
        <w:tc>
          <w:tcPr>
            <w:tcW w:w="1174" w:type="dxa"/>
          </w:tcPr>
          <w:p>
            <w:pPr>
              <w:pStyle w:val="TableParagraph"/>
              <w:spacing w:before="6"/>
              <w:rPr>
                <w:sz w:val="21"/>
              </w:rPr>
            </w:pPr>
          </w:p>
          <w:p>
            <w:pPr>
              <w:pStyle w:val="TableParagraph"/>
              <w:ind w:left="50"/>
              <w:rPr>
                <w:sz w:val="30"/>
              </w:rPr>
            </w:pPr>
            <w:r>
              <w:rPr>
                <w:sz w:val="30"/>
              </w:rPr>
              <w:t>B. 25%</w:t>
            </w:r>
          </w:p>
        </w:tc>
        <w:tc>
          <w:tcPr>
            <w:tcW w:w="979" w:type="dxa"/>
          </w:tcPr>
          <w:p>
            <w:pPr>
              <w:pStyle w:val="TableParagraph"/>
              <w:spacing w:before="6"/>
              <w:rPr>
                <w:sz w:val="21"/>
              </w:rPr>
            </w:pPr>
          </w:p>
          <w:p>
            <w:pPr>
              <w:pStyle w:val="TableParagraph"/>
              <w:ind w:left="171" w:right="168"/>
              <w:jc w:val="center"/>
              <w:rPr>
                <w:sz w:val="30"/>
              </w:rPr>
            </w:pPr>
            <w:r>
              <w:rPr>
                <w:sz w:val="30"/>
              </w:rPr>
              <w:t>4 亿</w:t>
            </w:r>
          </w:p>
        </w:tc>
        <w:tc>
          <w:tcPr>
            <w:tcW w:w="722" w:type="dxa"/>
          </w:tcPr>
          <w:p>
            <w:pPr>
              <w:pStyle w:val="TableParagraph"/>
              <w:spacing w:before="6"/>
              <w:rPr>
                <w:sz w:val="21"/>
              </w:rPr>
            </w:pPr>
          </w:p>
          <w:p>
            <w:pPr>
              <w:pStyle w:val="TableParagraph"/>
              <w:ind w:right="47"/>
              <w:jc w:val="right"/>
              <w:rPr>
                <w:sz w:val="30"/>
              </w:rPr>
            </w:pPr>
            <w:r>
              <w:rPr>
                <w:w w:val="95"/>
                <w:sz w:val="30"/>
              </w:rPr>
              <w:t>10%</w:t>
            </w:r>
          </w:p>
        </w:tc>
      </w:tr>
      <w:tr>
        <w:tblPrEx>
          <w:tblW w:w="0" w:type="auto"/>
          <w:jc w:val="left"/>
          <w:tblInd w:w="676" w:type="dxa"/>
          <w:tblLayout w:type="fixed"/>
          <w:tblCellMar>
            <w:top w:w="0" w:type="dxa"/>
            <w:left w:w="0" w:type="dxa"/>
            <w:bottom w:w="0" w:type="dxa"/>
            <w:right w:w="0" w:type="dxa"/>
          </w:tblCellMar>
          <w:tblLook w:val="01E0"/>
        </w:tblPrEx>
        <w:trPr>
          <w:trHeight w:val="936"/>
          <w:jc w:val="left"/>
        </w:trPr>
        <w:tc>
          <w:tcPr>
            <w:tcW w:w="1174" w:type="dxa"/>
          </w:tcPr>
          <w:p>
            <w:pPr>
              <w:pStyle w:val="TableParagraph"/>
              <w:spacing w:before="6"/>
              <w:rPr>
                <w:sz w:val="21"/>
              </w:rPr>
            </w:pPr>
          </w:p>
          <w:p>
            <w:pPr>
              <w:pStyle w:val="TableParagraph"/>
              <w:ind w:left="50"/>
              <w:rPr>
                <w:sz w:val="30"/>
              </w:rPr>
            </w:pPr>
            <w:r>
              <w:rPr>
                <w:sz w:val="30"/>
              </w:rPr>
              <w:t>C. 25%</w:t>
            </w:r>
          </w:p>
        </w:tc>
        <w:tc>
          <w:tcPr>
            <w:tcW w:w="979" w:type="dxa"/>
          </w:tcPr>
          <w:p>
            <w:pPr>
              <w:pStyle w:val="TableParagraph"/>
              <w:spacing w:before="6"/>
              <w:rPr>
                <w:sz w:val="21"/>
              </w:rPr>
            </w:pPr>
          </w:p>
          <w:p>
            <w:pPr>
              <w:pStyle w:val="TableParagraph"/>
              <w:ind w:left="171" w:right="168"/>
              <w:jc w:val="center"/>
              <w:rPr>
                <w:sz w:val="30"/>
              </w:rPr>
            </w:pPr>
            <w:r>
              <w:rPr>
                <w:sz w:val="30"/>
              </w:rPr>
              <w:t>5 亿</w:t>
            </w:r>
          </w:p>
        </w:tc>
        <w:tc>
          <w:tcPr>
            <w:tcW w:w="722" w:type="dxa"/>
          </w:tcPr>
          <w:p>
            <w:pPr>
              <w:pStyle w:val="TableParagraph"/>
              <w:spacing w:before="6"/>
              <w:rPr>
                <w:sz w:val="21"/>
              </w:rPr>
            </w:pPr>
          </w:p>
          <w:p>
            <w:pPr>
              <w:pStyle w:val="TableParagraph"/>
              <w:ind w:right="47"/>
              <w:jc w:val="right"/>
              <w:rPr>
                <w:sz w:val="30"/>
              </w:rPr>
            </w:pPr>
            <w:r>
              <w:rPr>
                <w:w w:val="95"/>
                <w:sz w:val="30"/>
              </w:rPr>
              <w:t>10%</w:t>
            </w:r>
          </w:p>
        </w:tc>
      </w:tr>
      <w:tr>
        <w:tblPrEx>
          <w:tblW w:w="0" w:type="auto"/>
          <w:jc w:val="left"/>
          <w:tblInd w:w="676" w:type="dxa"/>
          <w:tblLayout w:type="fixed"/>
          <w:tblCellMar>
            <w:top w:w="0" w:type="dxa"/>
            <w:left w:w="0" w:type="dxa"/>
            <w:bottom w:w="0" w:type="dxa"/>
            <w:right w:w="0" w:type="dxa"/>
          </w:tblCellMar>
          <w:tblLook w:val="01E0"/>
        </w:tblPrEx>
        <w:trPr>
          <w:trHeight w:val="617"/>
          <w:jc w:val="left"/>
        </w:trPr>
        <w:tc>
          <w:tcPr>
            <w:tcW w:w="1174" w:type="dxa"/>
          </w:tcPr>
          <w:p>
            <w:pPr>
              <w:pStyle w:val="TableParagraph"/>
              <w:spacing w:before="6"/>
              <w:rPr>
                <w:sz w:val="21"/>
              </w:rPr>
            </w:pPr>
          </w:p>
          <w:p>
            <w:pPr>
              <w:pStyle w:val="TableParagraph"/>
              <w:spacing w:line="322" w:lineRule="exact"/>
              <w:ind w:left="50"/>
              <w:rPr>
                <w:sz w:val="30"/>
              </w:rPr>
            </w:pPr>
            <w:r>
              <w:rPr>
                <w:sz w:val="30"/>
              </w:rPr>
              <w:t>D. 25%</w:t>
            </w:r>
          </w:p>
        </w:tc>
        <w:tc>
          <w:tcPr>
            <w:tcW w:w="979" w:type="dxa"/>
          </w:tcPr>
          <w:p>
            <w:pPr>
              <w:pStyle w:val="TableParagraph"/>
              <w:spacing w:before="6"/>
              <w:rPr>
                <w:sz w:val="21"/>
              </w:rPr>
            </w:pPr>
          </w:p>
          <w:p>
            <w:pPr>
              <w:pStyle w:val="TableParagraph"/>
              <w:spacing w:line="322" w:lineRule="exact"/>
              <w:ind w:left="171" w:right="168"/>
              <w:jc w:val="center"/>
              <w:rPr>
                <w:sz w:val="30"/>
              </w:rPr>
            </w:pPr>
            <w:r>
              <w:rPr>
                <w:sz w:val="30"/>
              </w:rPr>
              <w:t>4 亿</w:t>
            </w:r>
          </w:p>
        </w:tc>
        <w:tc>
          <w:tcPr>
            <w:tcW w:w="722" w:type="dxa"/>
          </w:tcPr>
          <w:p>
            <w:pPr>
              <w:pStyle w:val="TableParagraph"/>
              <w:spacing w:before="6"/>
              <w:rPr>
                <w:sz w:val="21"/>
              </w:rPr>
            </w:pPr>
          </w:p>
          <w:p>
            <w:pPr>
              <w:pStyle w:val="TableParagraph"/>
              <w:spacing w:line="322" w:lineRule="exact"/>
              <w:ind w:right="47"/>
              <w:jc w:val="right"/>
              <w:rPr>
                <w:sz w:val="30"/>
              </w:rPr>
            </w:pPr>
            <w:r>
              <w:rPr>
                <w:w w:val="95"/>
                <w:sz w:val="30"/>
              </w:rPr>
              <w:t>20%</w:t>
            </w:r>
          </w:p>
        </w:tc>
      </w:tr>
    </w:tbl>
    <w:p>
      <w:pPr>
        <w:pStyle w:val="BodyText"/>
        <w:spacing w:before="10"/>
        <w:rPr>
          <w:sz w:val="15"/>
        </w:rPr>
      </w:pPr>
    </w:p>
    <w:p>
      <w:pPr>
        <w:pStyle w:val="ListParagraph"/>
        <w:numPr>
          <w:ilvl w:val="0"/>
          <w:numId w:val="5"/>
        </w:numPr>
        <w:tabs>
          <w:tab w:val="left" w:pos="1611"/>
          <w:tab w:val="left" w:pos="1612"/>
          <w:tab w:val="left" w:pos="5007"/>
          <w:tab w:val="left" w:pos="10343"/>
        </w:tabs>
        <w:spacing w:before="57" w:after="0" w:line="240" w:lineRule="auto"/>
        <w:ind w:left="1611" w:right="0" w:hanging="1052"/>
        <w:jc w:val="left"/>
        <w:rPr>
          <w:sz w:val="30"/>
        </w:rPr>
      </w:pPr>
      <w:r>
        <w:rPr>
          <w:sz w:val="30"/>
        </w:rPr>
        <w:t>公开发行公司债券，（</w:t>
        <w:tab/>
        <w:t>）平均可分配利润足以支付公司债券（</w:t>
        <w:tab/>
        <w:t>）的利息；</w:t>
      </w:r>
    </w:p>
    <w:p>
      <w:pPr>
        <w:pStyle w:val="BodyText"/>
        <w:spacing w:before="8"/>
        <w:rPr>
          <w:sz w:val="32"/>
        </w:rPr>
      </w:pPr>
    </w:p>
    <w:p>
      <w:pPr>
        <w:pStyle w:val="ListParagraph"/>
        <w:numPr>
          <w:ilvl w:val="1"/>
          <w:numId w:val="5"/>
        </w:numPr>
        <w:tabs>
          <w:tab w:val="left" w:pos="1173"/>
          <w:tab w:val="left" w:pos="2819"/>
        </w:tabs>
        <w:spacing w:before="0" w:after="0" w:line="240" w:lineRule="auto"/>
        <w:ind w:left="1172" w:right="0" w:hanging="454"/>
        <w:jc w:val="left"/>
        <w:rPr>
          <w:sz w:val="30"/>
        </w:rPr>
      </w:pPr>
      <w:r>
        <w:rPr>
          <w:sz w:val="30"/>
        </w:rPr>
        <w:t>最近</w:t>
      </w:r>
      <w:r>
        <w:rPr>
          <w:spacing w:val="-76"/>
          <w:sz w:val="30"/>
        </w:rPr>
        <w:t xml:space="preserve"> </w:t>
      </w:r>
      <w:r>
        <w:rPr>
          <w:sz w:val="30"/>
        </w:rPr>
        <w:t>2</w:t>
      </w:r>
      <w:r>
        <w:rPr>
          <w:spacing w:val="-74"/>
          <w:sz w:val="30"/>
        </w:rPr>
        <w:t xml:space="preserve"> </w:t>
      </w:r>
      <w:r>
        <w:rPr>
          <w:sz w:val="30"/>
        </w:rPr>
        <w:t>年</w:t>
        <w:tab/>
        <w:t>1</w:t>
      </w:r>
      <w:r>
        <w:rPr>
          <w:spacing w:val="-73"/>
          <w:sz w:val="30"/>
        </w:rPr>
        <w:t xml:space="preserve"> </w:t>
      </w:r>
      <w:r>
        <w:rPr>
          <w:sz w:val="30"/>
        </w:rPr>
        <w:t>年</w:t>
      </w:r>
    </w:p>
    <w:p>
      <w:pPr>
        <w:pStyle w:val="BodyText"/>
        <w:spacing w:before="1"/>
        <w:rPr>
          <w:sz w:val="43"/>
        </w:rPr>
      </w:pPr>
    </w:p>
    <w:p>
      <w:pPr>
        <w:pStyle w:val="ListParagraph"/>
        <w:numPr>
          <w:ilvl w:val="1"/>
          <w:numId w:val="5"/>
        </w:numPr>
        <w:tabs>
          <w:tab w:val="left" w:pos="1173"/>
          <w:tab w:val="left" w:pos="2819"/>
        </w:tabs>
        <w:spacing w:before="0" w:after="0" w:line="240" w:lineRule="auto"/>
        <w:ind w:left="1172" w:right="0" w:hanging="454"/>
        <w:jc w:val="left"/>
        <w:rPr>
          <w:sz w:val="30"/>
        </w:rPr>
      </w:pPr>
      <w:r>
        <w:rPr>
          <w:sz w:val="30"/>
        </w:rPr>
        <w:t>最近</w:t>
      </w:r>
      <w:r>
        <w:rPr>
          <w:spacing w:val="-76"/>
          <w:sz w:val="30"/>
        </w:rPr>
        <w:t xml:space="preserve"> </w:t>
      </w:r>
      <w:r>
        <w:rPr>
          <w:sz w:val="30"/>
        </w:rPr>
        <w:t>3</w:t>
      </w:r>
      <w:r>
        <w:rPr>
          <w:spacing w:val="-74"/>
          <w:sz w:val="30"/>
        </w:rPr>
        <w:t xml:space="preserve"> </w:t>
      </w:r>
      <w:r>
        <w:rPr>
          <w:sz w:val="30"/>
        </w:rPr>
        <w:t>年</w:t>
        <w:tab/>
        <w:t>1</w:t>
      </w:r>
      <w:r>
        <w:rPr>
          <w:spacing w:val="-73"/>
          <w:sz w:val="30"/>
        </w:rPr>
        <w:t xml:space="preserve"> </w:t>
      </w:r>
      <w:r>
        <w:rPr>
          <w:sz w:val="30"/>
        </w:rPr>
        <w:t>年</w:t>
      </w:r>
    </w:p>
    <w:p>
      <w:pPr>
        <w:pStyle w:val="BodyText"/>
        <w:rPr>
          <w:sz w:val="43"/>
        </w:rPr>
      </w:pPr>
    </w:p>
    <w:p>
      <w:pPr>
        <w:pStyle w:val="ListParagraph"/>
        <w:numPr>
          <w:ilvl w:val="1"/>
          <w:numId w:val="5"/>
        </w:numPr>
        <w:tabs>
          <w:tab w:val="left" w:pos="1173"/>
          <w:tab w:val="left" w:pos="2819"/>
        </w:tabs>
        <w:spacing w:before="0" w:after="0" w:line="240" w:lineRule="auto"/>
        <w:ind w:left="1172" w:right="0" w:hanging="454"/>
        <w:jc w:val="left"/>
        <w:rPr>
          <w:sz w:val="30"/>
        </w:rPr>
      </w:pPr>
      <w:r>
        <w:rPr>
          <w:sz w:val="30"/>
        </w:rPr>
        <w:t>最近</w:t>
      </w:r>
      <w:r>
        <w:rPr>
          <w:spacing w:val="-76"/>
          <w:sz w:val="30"/>
        </w:rPr>
        <w:t xml:space="preserve"> </w:t>
      </w:r>
      <w:r>
        <w:rPr>
          <w:sz w:val="30"/>
        </w:rPr>
        <w:t>3</w:t>
      </w:r>
      <w:r>
        <w:rPr>
          <w:spacing w:val="-74"/>
          <w:sz w:val="30"/>
        </w:rPr>
        <w:t xml:space="preserve"> </w:t>
      </w:r>
      <w:r>
        <w:rPr>
          <w:sz w:val="30"/>
        </w:rPr>
        <w:t>年</w:t>
        <w:tab/>
        <w:t>2</w:t>
      </w:r>
      <w:r>
        <w:rPr>
          <w:spacing w:val="-73"/>
          <w:sz w:val="30"/>
        </w:rPr>
        <w:t xml:space="preserve"> </w:t>
      </w:r>
      <w:r>
        <w:rPr>
          <w:sz w:val="30"/>
        </w:rPr>
        <w:t>年</w:t>
      </w:r>
    </w:p>
    <w:p>
      <w:pPr>
        <w:pStyle w:val="BodyText"/>
        <w:spacing w:before="1"/>
        <w:rPr>
          <w:sz w:val="43"/>
        </w:rPr>
      </w:pPr>
    </w:p>
    <w:p>
      <w:pPr>
        <w:pStyle w:val="ListParagraph"/>
        <w:numPr>
          <w:ilvl w:val="1"/>
          <w:numId w:val="5"/>
        </w:numPr>
        <w:tabs>
          <w:tab w:val="left" w:pos="1173"/>
          <w:tab w:val="left" w:pos="2819"/>
        </w:tabs>
        <w:spacing w:before="0" w:after="0" w:line="240" w:lineRule="auto"/>
        <w:ind w:left="1172" w:right="0" w:hanging="454"/>
        <w:jc w:val="left"/>
        <w:rPr>
          <w:sz w:val="30"/>
        </w:rPr>
      </w:pPr>
      <w:r>
        <w:rPr>
          <w:sz w:val="30"/>
        </w:rPr>
        <w:t>最近</w:t>
      </w:r>
      <w:r>
        <w:rPr>
          <w:spacing w:val="-76"/>
          <w:sz w:val="30"/>
        </w:rPr>
        <w:t xml:space="preserve"> </w:t>
      </w:r>
      <w:r>
        <w:rPr>
          <w:sz w:val="30"/>
        </w:rPr>
        <w:t>1</w:t>
      </w:r>
      <w:r>
        <w:rPr>
          <w:spacing w:val="-74"/>
          <w:sz w:val="30"/>
        </w:rPr>
        <w:t xml:space="preserve"> </w:t>
      </w:r>
      <w:r>
        <w:rPr>
          <w:sz w:val="30"/>
        </w:rPr>
        <w:t>年</w:t>
        <w:tab/>
        <w:t>1</w:t>
      </w:r>
      <w:r>
        <w:rPr>
          <w:spacing w:val="-73"/>
          <w:sz w:val="30"/>
        </w:rPr>
        <w:t xml:space="preserve"> </w:t>
      </w:r>
      <w:r>
        <w:rPr>
          <w:sz w:val="30"/>
        </w:rPr>
        <w:t>年</w:t>
      </w:r>
    </w:p>
    <w:p>
      <w:pPr>
        <w:pStyle w:val="ListParagraph"/>
        <w:numPr>
          <w:ilvl w:val="0"/>
          <w:numId w:val="5"/>
        </w:numPr>
        <w:tabs>
          <w:tab w:val="left" w:pos="1611"/>
          <w:tab w:val="left" w:pos="1612"/>
          <w:tab w:val="left" w:pos="5907"/>
        </w:tabs>
        <w:spacing w:before="217" w:after="0" w:line="240" w:lineRule="auto"/>
        <w:ind w:left="1611" w:right="0" w:hanging="1052"/>
        <w:jc w:val="left"/>
        <w:rPr>
          <w:sz w:val="30"/>
        </w:rPr>
      </w:pPr>
      <w:r>
        <w:rPr>
          <w:sz w:val="30"/>
        </w:rPr>
        <w:t>公司公开发行新股，应当在（</w:t>
        <w:tab/>
        <w:t>）财务会计文件无虚假记载，无其他重大违法行为。</w:t>
      </w:r>
    </w:p>
    <w:p>
      <w:pPr>
        <w:pStyle w:val="BodyText"/>
        <w:spacing w:before="9"/>
        <w:rPr>
          <w:sz w:val="32"/>
        </w:rPr>
      </w:pPr>
    </w:p>
    <w:p>
      <w:pPr>
        <w:pStyle w:val="ListParagraph"/>
        <w:numPr>
          <w:ilvl w:val="1"/>
          <w:numId w:val="5"/>
        </w:numPr>
        <w:tabs>
          <w:tab w:val="left" w:pos="1173"/>
        </w:tabs>
        <w:spacing w:before="0" w:after="0" w:line="240" w:lineRule="auto"/>
        <w:ind w:left="1172" w:right="0" w:hanging="454"/>
        <w:jc w:val="left"/>
        <w:rPr>
          <w:sz w:val="30"/>
        </w:rPr>
      </w:pPr>
      <w:r>
        <w:rPr>
          <w:spacing w:val="-26"/>
          <w:sz w:val="30"/>
        </w:rPr>
        <w:t xml:space="preserve">最近 </w:t>
      </w:r>
      <w:r>
        <w:rPr>
          <w:sz w:val="30"/>
        </w:rPr>
        <w:t>1</w:t>
      </w:r>
      <w:r>
        <w:rPr>
          <w:spacing w:val="-38"/>
          <w:sz w:val="30"/>
        </w:rPr>
        <w:t xml:space="preserve"> 年</w:t>
      </w:r>
    </w:p>
    <w:p>
      <w:pPr>
        <w:pStyle w:val="BodyText"/>
        <w:spacing w:before="1"/>
        <w:rPr>
          <w:sz w:val="43"/>
        </w:rPr>
      </w:pPr>
    </w:p>
    <w:p>
      <w:pPr>
        <w:pStyle w:val="ListParagraph"/>
        <w:numPr>
          <w:ilvl w:val="1"/>
          <w:numId w:val="5"/>
        </w:numPr>
        <w:tabs>
          <w:tab w:val="left" w:pos="1173"/>
        </w:tabs>
        <w:spacing w:before="0" w:after="0" w:line="240" w:lineRule="auto"/>
        <w:ind w:left="1172" w:right="0" w:hanging="454"/>
        <w:jc w:val="left"/>
        <w:rPr>
          <w:sz w:val="30"/>
        </w:rPr>
      </w:pPr>
      <w:r>
        <w:rPr>
          <w:spacing w:val="-26"/>
          <w:sz w:val="30"/>
        </w:rPr>
        <w:t xml:space="preserve">最近 </w:t>
      </w:r>
      <w:r>
        <w:rPr>
          <w:sz w:val="30"/>
        </w:rPr>
        <w:t>3</w:t>
      </w:r>
      <w:r>
        <w:rPr>
          <w:spacing w:val="-38"/>
          <w:sz w:val="30"/>
        </w:rPr>
        <w:t xml:space="preserve"> 年</w:t>
      </w:r>
    </w:p>
    <w:p>
      <w:pPr>
        <w:pStyle w:val="BodyText"/>
        <w:rPr>
          <w:sz w:val="43"/>
        </w:rPr>
      </w:pPr>
    </w:p>
    <w:p>
      <w:pPr>
        <w:pStyle w:val="ListParagraph"/>
        <w:numPr>
          <w:ilvl w:val="1"/>
          <w:numId w:val="5"/>
        </w:numPr>
        <w:tabs>
          <w:tab w:val="left" w:pos="1173"/>
        </w:tabs>
        <w:spacing w:before="0" w:after="0" w:line="240" w:lineRule="auto"/>
        <w:ind w:left="1172" w:right="0" w:hanging="454"/>
        <w:jc w:val="left"/>
        <w:rPr>
          <w:sz w:val="30"/>
        </w:rPr>
      </w:pPr>
      <w:r>
        <w:rPr>
          <w:spacing w:val="-26"/>
          <w:sz w:val="30"/>
        </w:rPr>
        <w:t xml:space="preserve">最近 </w:t>
      </w:r>
      <w:r>
        <w:rPr>
          <w:sz w:val="30"/>
        </w:rPr>
        <w:t>2</w:t>
      </w:r>
      <w:r>
        <w:rPr>
          <w:spacing w:val="-38"/>
          <w:sz w:val="30"/>
        </w:rPr>
        <w:t xml:space="preserve"> 年</w:t>
      </w:r>
    </w:p>
    <w:p>
      <w:pPr>
        <w:pStyle w:val="BodyText"/>
        <w:spacing w:before="1"/>
        <w:rPr>
          <w:sz w:val="43"/>
        </w:rPr>
      </w:pPr>
    </w:p>
    <w:p>
      <w:pPr>
        <w:pStyle w:val="ListParagraph"/>
        <w:numPr>
          <w:ilvl w:val="1"/>
          <w:numId w:val="5"/>
        </w:numPr>
        <w:tabs>
          <w:tab w:val="left" w:pos="1173"/>
        </w:tabs>
        <w:spacing w:before="0" w:after="0" w:line="240" w:lineRule="auto"/>
        <w:ind w:left="1172" w:right="0" w:hanging="454"/>
        <w:jc w:val="left"/>
        <w:rPr>
          <w:sz w:val="30"/>
        </w:rPr>
      </w:pPr>
      <w:r>
        <w:rPr>
          <w:spacing w:val="-26"/>
          <w:sz w:val="30"/>
        </w:rPr>
        <w:t xml:space="preserve">最近 </w:t>
      </w:r>
      <w:r>
        <w:rPr>
          <w:sz w:val="30"/>
        </w:rPr>
        <w:t>5</w:t>
      </w:r>
      <w:r>
        <w:rPr>
          <w:spacing w:val="-38"/>
          <w:sz w:val="30"/>
        </w:rPr>
        <w:t xml:space="preserve"> 年</w:t>
      </w:r>
    </w:p>
    <w:p>
      <w:pPr>
        <w:pStyle w:val="ListParagraph"/>
        <w:numPr>
          <w:ilvl w:val="0"/>
          <w:numId w:val="5"/>
        </w:numPr>
        <w:tabs>
          <w:tab w:val="left" w:pos="1611"/>
          <w:tab w:val="left" w:pos="1612"/>
          <w:tab w:val="left" w:pos="10109"/>
        </w:tabs>
        <w:spacing w:before="217" w:after="0" w:line="292" w:lineRule="auto"/>
        <w:ind w:left="1100" w:right="441" w:hanging="540"/>
        <w:jc w:val="left"/>
        <w:rPr>
          <w:sz w:val="30"/>
        </w:rPr>
      </w:pPr>
      <w:r>
        <w:tab/>
      </w:r>
      <w:r>
        <w:rPr>
          <w:sz w:val="30"/>
        </w:rPr>
        <w:t>公司董事会不按照前款规定执行的，股东有权要求董事会在（</w:t>
        <w:tab/>
        <w:t>）日内执行。公司董事</w:t>
      </w:r>
      <w:r>
        <w:rPr>
          <w:spacing w:val="-18"/>
          <w:sz w:val="30"/>
        </w:rPr>
        <w:t>会</w:t>
      </w:r>
      <w:r>
        <w:rPr>
          <w:sz w:val="30"/>
        </w:rPr>
        <w:t>未在上述期限内执行的，股东有权为了公司的利益以自己的名义直接向人民法院提起诉讼。</w:t>
      </w:r>
    </w:p>
    <w:p>
      <w:pPr>
        <w:pStyle w:val="BodyText"/>
        <w:spacing w:before="1"/>
        <w:rPr>
          <w:sz w:val="26"/>
        </w:rPr>
      </w:pPr>
    </w:p>
    <w:p>
      <w:pPr>
        <w:pStyle w:val="ListParagraph"/>
        <w:numPr>
          <w:ilvl w:val="1"/>
          <w:numId w:val="5"/>
        </w:numPr>
        <w:tabs>
          <w:tab w:val="left" w:pos="1168"/>
        </w:tabs>
        <w:spacing w:before="0" w:after="0" w:line="240" w:lineRule="auto"/>
        <w:ind w:left="1167" w:right="0" w:hanging="449"/>
        <w:jc w:val="left"/>
        <w:rPr>
          <w:sz w:val="30"/>
        </w:rPr>
      </w:pPr>
      <w:r>
        <w:rPr>
          <w:sz w:val="30"/>
        </w:rPr>
        <w:t>10</w:t>
      </w:r>
    </w:p>
    <w:p>
      <w:pPr>
        <w:pStyle w:val="BodyText"/>
        <w:rPr>
          <w:sz w:val="43"/>
        </w:rPr>
      </w:pPr>
    </w:p>
    <w:p>
      <w:pPr>
        <w:pStyle w:val="ListParagraph"/>
        <w:numPr>
          <w:ilvl w:val="1"/>
          <w:numId w:val="5"/>
        </w:numPr>
        <w:tabs>
          <w:tab w:val="left" w:pos="1168"/>
        </w:tabs>
        <w:spacing w:before="0" w:after="0" w:line="240" w:lineRule="auto"/>
        <w:ind w:left="1167" w:right="0" w:hanging="449"/>
        <w:jc w:val="left"/>
        <w:rPr>
          <w:sz w:val="30"/>
        </w:rPr>
      </w:pPr>
      <w:r>
        <w:rPr>
          <w:sz w:val="30"/>
        </w:rPr>
        <w:t>30</w:t>
      </w:r>
    </w:p>
    <w:p>
      <w:pPr>
        <w:pStyle w:val="BodyText"/>
        <w:spacing w:before="1"/>
        <w:rPr>
          <w:sz w:val="43"/>
        </w:rPr>
      </w:pPr>
    </w:p>
    <w:p>
      <w:pPr>
        <w:pStyle w:val="ListParagraph"/>
        <w:numPr>
          <w:ilvl w:val="1"/>
          <w:numId w:val="5"/>
        </w:numPr>
        <w:tabs>
          <w:tab w:val="left" w:pos="1168"/>
        </w:tabs>
        <w:spacing w:before="0" w:after="0" w:line="240" w:lineRule="auto"/>
        <w:ind w:left="1167" w:right="0" w:hanging="449"/>
        <w:jc w:val="left"/>
        <w:rPr>
          <w:sz w:val="30"/>
        </w:rPr>
      </w:pPr>
      <w:r>
        <w:rPr>
          <w:sz w:val="30"/>
        </w:rPr>
        <w:t>60</w:t>
      </w:r>
    </w:p>
    <w:p>
      <w:pPr>
        <w:pStyle w:val="BodyText"/>
        <w:spacing w:before="1"/>
        <w:rPr>
          <w:sz w:val="43"/>
        </w:rPr>
      </w:pPr>
    </w:p>
    <w:p>
      <w:pPr>
        <w:pStyle w:val="ListParagraph"/>
        <w:numPr>
          <w:ilvl w:val="1"/>
          <w:numId w:val="5"/>
        </w:numPr>
        <w:tabs>
          <w:tab w:val="left" w:pos="1168"/>
        </w:tabs>
        <w:spacing w:before="0" w:after="0" w:line="240" w:lineRule="auto"/>
        <w:ind w:left="1167" w:right="0" w:hanging="449"/>
        <w:jc w:val="left"/>
        <w:rPr>
          <w:sz w:val="30"/>
        </w:rPr>
      </w:pPr>
      <w:r>
        <w:rPr>
          <w:sz w:val="30"/>
        </w:rPr>
        <w:t>90</w:t>
      </w:r>
    </w:p>
    <w:p>
      <w:pPr>
        <w:pStyle w:val="ListParagraph"/>
        <w:numPr>
          <w:ilvl w:val="0"/>
          <w:numId w:val="5"/>
        </w:numPr>
        <w:tabs>
          <w:tab w:val="left" w:pos="1611"/>
          <w:tab w:val="left" w:pos="1612"/>
          <w:tab w:val="left" w:pos="4802"/>
        </w:tabs>
        <w:spacing w:before="217" w:after="0" w:line="292" w:lineRule="auto"/>
        <w:ind w:left="1100" w:right="273" w:hanging="540"/>
        <w:jc w:val="left"/>
        <w:rPr>
          <w:sz w:val="30"/>
        </w:rPr>
      </w:pPr>
      <w:r>
        <w:tab/>
      </w:r>
      <w:r>
        <w:rPr>
          <w:w w:val="95"/>
          <w:sz w:val="30"/>
        </w:rPr>
        <w:t>通过证券交易所的证券交易，投资者持有或者通过协议、其他安排与他人共同持有一个上</w:t>
      </w:r>
      <w:r>
        <w:rPr>
          <w:spacing w:val="-17"/>
          <w:w w:val="95"/>
          <w:sz w:val="30"/>
        </w:rPr>
        <w:t xml:space="preserve">市   </w:t>
      </w:r>
      <w:r>
        <w:rPr>
          <w:sz w:val="30"/>
        </w:rPr>
        <w:t>公司已发行的股份达到（</w:t>
        <w:tab/>
        <w:t>）时，继续进行收购的，应当依法向该上市公司所有股东发出收购</w:t>
      </w:r>
    </w:p>
    <w:p>
      <w:pPr>
        <w:spacing w:after="0" w:line="292" w:lineRule="auto"/>
        <w:jc w:val="left"/>
        <w:rPr>
          <w:sz w:val="30"/>
        </w:rPr>
        <w:sectPr>
          <w:pgSz w:w="17860" w:h="25260"/>
          <w:pgMar w:top="1820" w:right="2420" w:bottom="280" w:left="1600" w:header="708" w:footer="708"/>
          <w:pgNumType w:start="9"/>
          <w:cols w:space="708"/>
        </w:sectPr>
      </w:pPr>
    </w:p>
    <w:p>
      <w:pPr>
        <w:pStyle w:val="BodyText"/>
        <w:spacing w:before="104"/>
        <w:ind w:left="1100"/>
      </w:pPr>
      <w:r>
        <w:pict>
          <v:group id="_x0000_s1352" style="width:681.45pt;height:1031pt;margin-top:0.11pt;margin-left:80.59pt;mso-position-horizontal-relative:page;position:absolute;z-index:-251649024" coordorigin="1612,2" coordsize="13629,20620">
            <v:shape id="_x0000_s1353" type="#_x0000_t75" style="width:809;height:708;left:1611;position:absolute;top:1505" stroked="f">
              <v:imagedata r:id="rId9" o:title=""/>
            </v:shape>
            <v:shape id="_x0000_s1354" type="#_x0000_t75" style="width:609;height:490;left:1711;position:absolute;top:1605" stroked="f">
              <v:imagedata r:id="rId24" o:title=""/>
            </v:shape>
            <v:shape id="_x0000_s1355" type="#_x0000_t75" style="width:809;height:728;left:1611;position:absolute;top:2441" stroked="f">
              <v:imagedata r:id="rId6" o:title=""/>
            </v:shape>
            <v:shape id="_x0000_s1356" type="#_x0000_t75" style="width:609;height:490;left:1711;position:absolute;top:2541" stroked="f">
              <v:imagedata r:id="rId23" o:title=""/>
            </v:shape>
            <v:shape id="_x0000_s1357" type="#_x0000_t75" style="width:809;height:728;left:1611;position:absolute;top:3377" stroked="f">
              <v:imagedata r:id="rId6" o:title=""/>
            </v:shape>
            <v:shape id="_x0000_s1358" type="#_x0000_t75" style="width:609;height:490;left:1711;position:absolute;top:3477" stroked="f">
              <v:imagedata r:id="rId24" o:title=""/>
            </v:shape>
            <v:shape id="_x0000_s1359" type="#_x0000_t75" style="width:809;height:728;left:1611;position:absolute;top:4313" stroked="f">
              <v:imagedata r:id="rId6" o:title=""/>
            </v:shape>
            <v:shape id="_x0000_s1360" type="#_x0000_t75" style="width:609;height:490;left:1711;position:absolute;top:4413" stroked="f">
              <v:imagedata r:id="rId24" o:title=""/>
            </v:shape>
            <v:shape id="_x0000_s1361" type="#_x0000_t75" style="width:809;height:708;left:1611;position:absolute;top:6185" stroked="f">
              <v:imagedata r:id="rId9" o:title=""/>
            </v:shape>
            <v:shape id="_x0000_s1362" type="#_x0000_t75" style="width:609;height:490;left:1711;position:absolute;top:6285" stroked="f">
              <v:imagedata r:id="rId24" o:title=""/>
            </v:shape>
            <v:shape id="_x0000_s1363" type="#_x0000_t75" style="width:809;height:728;left:1611;position:absolute;top:7121" stroked="f">
              <v:imagedata r:id="rId6" o:title=""/>
            </v:shape>
            <v:shape id="_x0000_s1364" type="#_x0000_t75" style="width:609;height:490;left:1711;position:absolute;top:7221" stroked="f">
              <v:imagedata r:id="rId23" o:title=""/>
            </v:shape>
            <v:shape id="_x0000_s1365" type="#_x0000_t75" style="width:809;height:728;left:1611;position:absolute;top:8057" stroked="f">
              <v:imagedata r:id="rId6" o:title=""/>
            </v:shape>
            <v:shape id="_x0000_s1366" type="#_x0000_t75" style="width:609;height:490;left:1711;position:absolute;top:8157" stroked="f">
              <v:imagedata r:id="rId24" o:title=""/>
            </v:shape>
            <v:shape id="_x0000_s1367" type="#_x0000_t75" style="width:809;height:728;left:1611;position:absolute;top:8993" stroked="f">
              <v:imagedata r:id="rId6" o:title=""/>
            </v:shape>
            <v:shape id="_x0000_s1368" type="#_x0000_t75" style="width:609;height:490;left:1711;position:absolute;top:9093" stroked="f">
              <v:imagedata r:id="rId24" o:title=""/>
            </v:shape>
            <v:shape id="_x0000_s1369" type="#_x0000_t75" style="width:809;height:708;left:1611;position:absolute;top:10865" stroked="f">
              <v:imagedata r:id="rId9" o:title=""/>
            </v:shape>
            <v:shape id="_x0000_s1370" type="#_x0000_t75" style="width:609;height:490;left:1711;position:absolute;top:10965" stroked="f">
              <v:imagedata r:id="rId24" o:title=""/>
            </v:shape>
            <v:shape id="_x0000_s1371" type="#_x0000_t75" style="width:809;height:728;left:1611;position:absolute;top:11801" stroked="f">
              <v:imagedata r:id="rId6" o:title=""/>
            </v:shape>
            <v:shape id="_x0000_s1372" type="#_x0000_t75" style="width:609;height:490;left:1711;position:absolute;top:11901" stroked="f">
              <v:imagedata r:id="rId23" o:title=""/>
            </v:shape>
            <v:shape id="_x0000_s1373" type="#_x0000_t75" style="width:809;height:728;left:1611;position:absolute;top:12737" stroked="f">
              <v:imagedata r:id="rId6" o:title=""/>
            </v:shape>
            <v:shape id="_x0000_s1374" type="#_x0000_t75" style="width:609;height:490;left:1711;position:absolute;top:12837" stroked="f">
              <v:imagedata r:id="rId24" o:title=""/>
            </v:shape>
            <v:shape id="_x0000_s1375" type="#_x0000_t75" style="width:809;height:728;left:1611;position:absolute;top:13673" stroked="f">
              <v:imagedata r:id="rId6" o:title=""/>
            </v:shape>
            <v:shape id="_x0000_s1376" type="#_x0000_t75" style="width:609;height:490;left:1711;position:absolute;top:13773" stroked="f">
              <v:imagedata r:id="rId24" o:title=""/>
            </v:shape>
            <v:shape id="_x0000_s1377" type="#_x0000_t75" style="width:809;height:708;left:1611;position:absolute;top:15545" stroked="f">
              <v:imagedata r:id="rId9" o:title=""/>
            </v:shape>
            <v:shape id="_x0000_s1378" type="#_x0000_t75" style="width:609;height:490;left:1711;position:absolute;top:15645" stroked="f">
              <v:imagedata r:id="rId24" o:title=""/>
            </v:shape>
            <v:shape id="_x0000_s1379" type="#_x0000_t75" style="width:809;height:728;left:1611;position:absolute;top:16481" stroked="f">
              <v:imagedata r:id="rId6" o:title=""/>
            </v:shape>
            <v:shape id="_x0000_s1380" type="#_x0000_t75" style="width:609;height:490;left:1711;position:absolute;top:16581" stroked="f">
              <v:imagedata r:id="rId23" o:title=""/>
            </v:shape>
            <v:shape id="_x0000_s1381" type="#_x0000_t75" style="width:809;height:728;left:1611;position:absolute;top:17417" stroked="f">
              <v:imagedata r:id="rId6" o:title=""/>
            </v:shape>
            <v:shape id="_x0000_s1382" type="#_x0000_t75" style="width:609;height:490;left:1711;position:absolute;top:17517" stroked="f">
              <v:imagedata r:id="rId24" o:title=""/>
            </v:shape>
            <v:shape id="_x0000_s1383" type="#_x0000_t75" style="width:809;height:728;left:1611;position:absolute;top:18353" stroked="f">
              <v:imagedata r:id="rId6" o:title=""/>
            </v:shape>
            <v:shape id="_x0000_s1384" type="#_x0000_t75" style="width:609;height:490;left:1711;position:absolute;top:18453" stroked="f">
              <v:imagedata r:id="rId24" o:title=""/>
            </v:shape>
            <v:shape id="_x0000_s1385" type="#_x0000_t75" style="width:13580;height:20620;left:1660;position:absolute;top:2" stroked="f">
              <v:imagedata r:id="rId30" o:title=""/>
            </v:shape>
          </v:group>
        </w:pict>
      </w:r>
      <w:r>
        <w:t>上市公司全部或者部分股份的要约。</w:t>
      </w:r>
    </w:p>
    <w:p>
      <w:pPr>
        <w:pStyle w:val="BodyText"/>
        <w:tabs>
          <w:tab w:val="left" w:pos="12601"/>
        </w:tabs>
        <w:spacing w:before="84" w:line="292" w:lineRule="auto"/>
        <w:ind w:left="1100" w:right="339"/>
      </w:pPr>
      <w:r>
        <w:t>收购上市公司部分股份的收购要约应当约定，被收购公司股东承诺出售的股份数额（</w:t>
        <w:tab/>
        <w:t>），</w:t>
      </w:r>
      <w:r>
        <w:rPr>
          <w:spacing w:val="-17"/>
        </w:rPr>
        <w:t>收</w:t>
      </w:r>
      <w:r>
        <w:t>购人按比例进行收购。</w:t>
      </w:r>
    </w:p>
    <w:p>
      <w:pPr>
        <w:pStyle w:val="BodyText"/>
        <w:rPr>
          <w:sz w:val="26"/>
        </w:rPr>
      </w:pPr>
    </w:p>
    <w:p>
      <w:pPr>
        <w:pStyle w:val="ListParagraph"/>
        <w:numPr>
          <w:ilvl w:val="1"/>
          <w:numId w:val="5"/>
        </w:numPr>
        <w:tabs>
          <w:tab w:val="left" w:pos="1168"/>
          <w:tab w:val="left" w:pos="2072"/>
        </w:tabs>
        <w:spacing w:before="0" w:after="0" w:line="240" w:lineRule="auto"/>
        <w:ind w:left="1167" w:right="0" w:hanging="449"/>
        <w:jc w:val="left"/>
        <w:rPr>
          <w:sz w:val="30"/>
        </w:rPr>
      </w:pPr>
      <w:r>
        <w:rPr>
          <w:sz w:val="30"/>
        </w:rPr>
        <w:t>30%</w:t>
        <w:tab/>
      </w:r>
      <w:r>
        <w:rPr>
          <w:w w:val="95"/>
          <w:sz w:val="30"/>
        </w:rPr>
        <w:t>不到预定收购的股份数额的</w:t>
      </w:r>
    </w:p>
    <w:p>
      <w:pPr>
        <w:pStyle w:val="BodyText"/>
        <w:rPr>
          <w:sz w:val="43"/>
        </w:rPr>
      </w:pPr>
    </w:p>
    <w:p>
      <w:pPr>
        <w:pStyle w:val="ListParagraph"/>
        <w:numPr>
          <w:ilvl w:val="1"/>
          <w:numId w:val="5"/>
        </w:numPr>
        <w:tabs>
          <w:tab w:val="left" w:pos="1168"/>
          <w:tab w:val="left" w:pos="2072"/>
        </w:tabs>
        <w:spacing w:before="1" w:after="0" w:line="240" w:lineRule="auto"/>
        <w:ind w:left="1167" w:right="0" w:hanging="449"/>
        <w:jc w:val="left"/>
        <w:rPr>
          <w:sz w:val="30"/>
        </w:rPr>
      </w:pPr>
      <w:r>
        <w:rPr>
          <w:sz w:val="30"/>
        </w:rPr>
        <w:t>30%</w:t>
        <w:tab/>
      </w:r>
      <w:r>
        <w:rPr>
          <w:w w:val="95"/>
          <w:sz w:val="30"/>
        </w:rPr>
        <w:t>超过预定收购的股份数额的</w:t>
      </w:r>
    </w:p>
    <w:p>
      <w:pPr>
        <w:pStyle w:val="BodyText"/>
        <w:rPr>
          <w:sz w:val="43"/>
        </w:rPr>
      </w:pPr>
    </w:p>
    <w:p>
      <w:pPr>
        <w:pStyle w:val="ListParagraph"/>
        <w:numPr>
          <w:ilvl w:val="1"/>
          <w:numId w:val="5"/>
        </w:numPr>
        <w:tabs>
          <w:tab w:val="left" w:pos="1168"/>
          <w:tab w:val="left" w:pos="2072"/>
        </w:tabs>
        <w:spacing w:before="0" w:after="0" w:line="240" w:lineRule="auto"/>
        <w:ind w:left="1167" w:right="0" w:hanging="449"/>
        <w:jc w:val="left"/>
        <w:rPr>
          <w:sz w:val="30"/>
        </w:rPr>
      </w:pPr>
      <w:r>
        <w:rPr>
          <w:sz w:val="30"/>
        </w:rPr>
        <w:t>30%</w:t>
        <w:tab/>
      </w:r>
      <w:r>
        <w:rPr>
          <w:w w:val="95"/>
          <w:sz w:val="30"/>
        </w:rPr>
        <w:t>不到预定收购的股份数额的</w:t>
      </w:r>
    </w:p>
    <w:p>
      <w:pPr>
        <w:pStyle w:val="BodyText"/>
        <w:spacing w:before="1"/>
        <w:rPr>
          <w:sz w:val="43"/>
        </w:rPr>
      </w:pPr>
    </w:p>
    <w:p>
      <w:pPr>
        <w:pStyle w:val="ListParagraph"/>
        <w:numPr>
          <w:ilvl w:val="1"/>
          <w:numId w:val="5"/>
        </w:numPr>
        <w:tabs>
          <w:tab w:val="left" w:pos="1168"/>
          <w:tab w:val="left" w:pos="2072"/>
        </w:tabs>
        <w:spacing w:before="0" w:after="0" w:line="240" w:lineRule="auto"/>
        <w:ind w:left="1167" w:right="0" w:hanging="449"/>
        <w:jc w:val="left"/>
        <w:rPr>
          <w:sz w:val="30"/>
        </w:rPr>
      </w:pPr>
      <w:r>
        <w:rPr>
          <w:sz w:val="30"/>
        </w:rPr>
        <w:t>20%</w:t>
        <w:tab/>
      </w:r>
      <w:r>
        <w:rPr>
          <w:w w:val="95"/>
          <w:sz w:val="30"/>
        </w:rPr>
        <w:t>超过预定收购的股份数额的</w:t>
      </w:r>
    </w:p>
    <w:p>
      <w:pPr>
        <w:pStyle w:val="ListParagraph"/>
        <w:numPr>
          <w:ilvl w:val="0"/>
          <w:numId w:val="5"/>
        </w:numPr>
        <w:tabs>
          <w:tab w:val="left" w:pos="1611"/>
          <w:tab w:val="left" w:pos="1612"/>
          <w:tab w:val="left" w:pos="3508"/>
        </w:tabs>
        <w:spacing w:before="217" w:after="0" w:line="292" w:lineRule="auto"/>
        <w:ind w:left="1100" w:right="468" w:hanging="540"/>
        <w:jc w:val="left"/>
        <w:rPr>
          <w:sz w:val="30"/>
        </w:rPr>
      </w:pPr>
      <w:r>
        <w:tab/>
      </w:r>
      <w:r>
        <w:rPr>
          <w:sz w:val="30"/>
        </w:rPr>
        <w:t>持有公司（</w:t>
        <w:tab/>
      </w:r>
      <w:r>
        <w:rPr>
          <w:w w:val="95"/>
          <w:sz w:val="30"/>
        </w:rPr>
        <w:t>）以上股份的股东及其董事、监事、高级管理人员，公司的实际控制人及</w:t>
      </w:r>
      <w:r>
        <w:rPr>
          <w:spacing w:val="-17"/>
          <w:w w:val="95"/>
          <w:sz w:val="30"/>
        </w:rPr>
        <w:t xml:space="preserve">其  </w:t>
      </w:r>
      <w:r>
        <w:rPr>
          <w:sz w:val="30"/>
        </w:rPr>
        <w:t>董事、监事、高级管理人员，是证券交易内幕信息的知情人。</w:t>
      </w:r>
    </w:p>
    <w:p>
      <w:pPr>
        <w:pStyle w:val="BodyText"/>
        <w:rPr>
          <w:sz w:val="26"/>
        </w:rPr>
      </w:pPr>
    </w:p>
    <w:p>
      <w:pPr>
        <w:pStyle w:val="ListParagraph"/>
        <w:numPr>
          <w:ilvl w:val="1"/>
          <w:numId w:val="5"/>
        </w:numPr>
        <w:tabs>
          <w:tab w:val="left" w:pos="1168"/>
        </w:tabs>
        <w:spacing w:before="0" w:after="0" w:line="240" w:lineRule="auto"/>
        <w:ind w:left="1167" w:right="0" w:hanging="449"/>
        <w:jc w:val="left"/>
        <w:rPr>
          <w:sz w:val="30"/>
        </w:rPr>
      </w:pPr>
      <w:r>
        <w:rPr>
          <w:sz w:val="30"/>
        </w:rPr>
        <w:t>2%</w:t>
      </w:r>
    </w:p>
    <w:p>
      <w:pPr>
        <w:pStyle w:val="BodyText"/>
        <w:spacing w:before="1"/>
        <w:rPr>
          <w:sz w:val="43"/>
        </w:rPr>
      </w:pPr>
    </w:p>
    <w:p>
      <w:pPr>
        <w:pStyle w:val="ListParagraph"/>
        <w:numPr>
          <w:ilvl w:val="1"/>
          <w:numId w:val="5"/>
        </w:numPr>
        <w:tabs>
          <w:tab w:val="left" w:pos="1168"/>
        </w:tabs>
        <w:spacing w:before="0" w:after="0" w:line="240" w:lineRule="auto"/>
        <w:ind w:left="1167" w:right="0" w:hanging="449"/>
        <w:jc w:val="left"/>
        <w:rPr>
          <w:sz w:val="30"/>
        </w:rPr>
      </w:pPr>
      <w:r>
        <w:rPr>
          <w:sz w:val="30"/>
        </w:rPr>
        <w:t>5%</w:t>
      </w:r>
    </w:p>
    <w:p>
      <w:pPr>
        <w:pStyle w:val="BodyText"/>
        <w:spacing w:before="1"/>
        <w:rPr>
          <w:sz w:val="43"/>
        </w:rPr>
      </w:pPr>
    </w:p>
    <w:p>
      <w:pPr>
        <w:pStyle w:val="ListParagraph"/>
        <w:numPr>
          <w:ilvl w:val="1"/>
          <w:numId w:val="5"/>
        </w:numPr>
        <w:tabs>
          <w:tab w:val="left" w:pos="1168"/>
        </w:tabs>
        <w:spacing w:before="0" w:after="0" w:line="240" w:lineRule="auto"/>
        <w:ind w:left="1167" w:right="0" w:hanging="449"/>
        <w:jc w:val="left"/>
        <w:rPr>
          <w:sz w:val="30"/>
        </w:rPr>
      </w:pPr>
      <w:r>
        <w:rPr>
          <w:sz w:val="30"/>
        </w:rPr>
        <w:t>3%</w:t>
      </w:r>
    </w:p>
    <w:p>
      <w:pPr>
        <w:pStyle w:val="BodyText"/>
        <w:rPr>
          <w:sz w:val="43"/>
        </w:rPr>
      </w:pPr>
    </w:p>
    <w:p>
      <w:pPr>
        <w:pStyle w:val="BodyText"/>
        <w:ind w:left="719"/>
      </w:pPr>
      <w:r>
        <w:t>D. 10%</w:t>
      </w:r>
    </w:p>
    <w:p>
      <w:pPr>
        <w:pStyle w:val="ListParagraph"/>
        <w:numPr>
          <w:ilvl w:val="0"/>
          <w:numId w:val="5"/>
        </w:numPr>
        <w:tabs>
          <w:tab w:val="left" w:pos="1611"/>
          <w:tab w:val="left" w:pos="1612"/>
          <w:tab w:val="left" w:pos="7199"/>
        </w:tabs>
        <w:spacing w:before="217" w:after="0" w:line="292" w:lineRule="auto"/>
        <w:ind w:left="1100" w:right="273" w:hanging="540"/>
        <w:jc w:val="left"/>
        <w:rPr>
          <w:sz w:val="30"/>
        </w:rPr>
      </w:pPr>
      <w:r>
        <w:tab/>
      </w:r>
      <w:r>
        <w:rPr>
          <w:w w:val="95"/>
          <w:sz w:val="30"/>
        </w:rPr>
        <w:t>公开发行证券，必须符合法律、行政法规规定的条件，并依法报经国务院证券监督管理机</w:t>
      </w:r>
      <w:r>
        <w:rPr>
          <w:spacing w:val="-17"/>
          <w:w w:val="95"/>
          <w:sz w:val="30"/>
        </w:rPr>
        <w:t xml:space="preserve">构   </w:t>
      </w:r>
      <w:r>
        <w:rPr>
          <w:sz w:val="30"/>
        </w:rPr>
        <w:t>或者国务院授权的部门核准。向累计超过（</w:t>
        <w:tab/>
        <w:t>）人的特定对象发行证券的，为公开发行。</w:t>
      </w:r>
    </w:p>
    <w:p>
      <w:pPr>
        <w:pStyle w:val="BodyText"/>
        <w:spacing w:before="1"/>
        <w:rPr>
          <w:sz w:val="26"/>
        </w:rPr>
      </w:pPr>
    </w:p>
    <w:p>
      <w:pPr>
        <w:pStyle w:val="BodyText"/>
        <w:ind w:left="719"/>
      </w:pPr>
      <w:r>
        <w:t>A.</w:t>
      </w:r>
      <w:r>
        <w:rPr>
          <w:spacing w:val="-4"/>
        </w:rPr>
        <w:t xml:space="preserve"> </w:t>
      </w:r>
      <w:r>
        <w:t>100</w:t>
      </w:r>
    </w:p>
    <w:p>
      <w:pPr>
        <w:pStyle w:val="BodyText"/>
        <w:rPr>
          <w:sz w:val="43"/>
        </w:rPr>
      </w:pPr>
    </w:p>
    <w:p>
      <w:pPr>
        <w:pStyle w:val="BodyText"/>
        <w:ind w:left="719"/>
      </w:pPr>
      <w:r>
        <w:t>B.</w:t>
      </w:r>
      <w:r>
        <w:rPr>
          <w:spacing w:val="-4"/>
        </w:rPr>
        <w:t xml:space="preserve"> </w:t>
      </w:r>
      <w:r>
        <w:t>200</w:t>
      </w:r>
    </w:p>
    <w:p>
      <w:pPr>
        <w:pStyle w:val="BodyText"/>
        <w:spacing w:before="1"/>
        <w:rPr>
          <w:sz w:val="43"/>
        </w:rPr>
      </w:pPr>
    </w:p>
    <w:p>
      <w:pPr>
        <w:pStyle w:val="BodyText"/>
        <w:ind w:left="719"/>
      </w:pPr>
      <w:r>
        <w:t>C. 50</w:t>
      </w:r>
    </w:p>
    <w:p>
      <w:pPr>
        <w:pStyle w:val="BodyText"/>
        <w:spacing w:before="1"/>
        <w:rPr>
          <w:sz w:val="43"/>
        </w:rPr>
      </w:pPr>
    </w:p>
    <w:p>
      <w:pPr>
        <w:pStyle w:val="BodyText"/>
        <w:ind w:left="719"/>
      </w:pPr>
      <w:r>
        <w:t>D. 250</w:t>
      </w:r>
    </w:p>
    <w:p>
      <w:pPr>
        <w:pStyle w:val="ListParagraph"/>
        <w:numPr>
          <w:ilvl w:val="0"/>
          <w:numId w:val="5"/>
        </w:numPr>
        <w:tabs>
          <w:tab w:val="left" w:pos="1611"/>
          <w:tab w:val="left" w:pos="1612"/>
          <w:tab w:val="left" w:pos="9598"/>
        </w:tabs>
        <w:spacing w:before="217" w:after="0" w:line="292" w:lineRule="auto"/>
        <w:ind w:left="1100" w:right="273" w:hanging="540"/>
        <w:jc w:val="left"/>
        <w:rPr>
          <w:sz w:val="30"/>
        </w:rPr>
      </w:pPr>
      <w:r>
        <w:tab/>
      </w:r>
      <w:r>
        <w:rPr>
          <w:w w:val="95"/>
          <w:sz w:val="30"/>
        </w:rPr>
        <w:t>除前款规定外，为上市公司出具审计报告、资产评估报告或者法律意见书等文件的证券服</w:t>
      </w:r>
      <w:r>
        <w:rPr>
          <w:spacing w:val="-17"/>
          <w:w w:val="95"/>
          <w:sz w:val="30"/>
        </w:rPr>
        <w:t xml:space="preserve">务   </w:t>
      </w:r>
      <w:r>
        <w:rPr>
          <w:sz w:val="30"/>
        </w:rPr>
        <w:t>机构和人员，自接受上市公司委托之日起至上述文件公开后（</w:t>
        <w:tab/>
        <w:t>）日内，不得买卖该种股票。</w:t>
      </w:r>
    </w:p>
    <w:p>
      <w:pPr>
        <w:pStyle w:val="BodyText"/>
        <w:spacing w:before="12"/>
        <w:rPr>
          <w:sz w:val="25"/>
        </w:rPr>
      </w:pPr>
    </w:p>
    <w:p>
      <w:pPr>
        <w:pStyle w:val="ListParagraph"/>
        <w:numPr>
          <w:ilvl w:val="1"/>
          <w:numId w:val="5"/>
        </w:numPr>
        <w:tabs>
          <w:tab w:val="left" w:pos="1168"/>
        </w:tabs>
        <w:spacing w:before="0" w:after="0" w:line="240" w:lineRule="auto"/>
        <w:ind w:left="1167" w:right="0" w:hanging="449"/>
        <w:jc w:val="left"/>
        <w:rPr>
          <w:sz w:val="30"/>
        </w:rPr>
      </w:pPr>
      <w:r>
        <w:rPr>
          <w:w w:val="99"/>
          <w:sz w:val="30"/>
        </w:rPr>
        <w:t>3</w:t>
      </w:r>
    </w:p>
    <w:p>
      <w:pPr>
        <w:pStyle w:val="BodyText"/>
        <w:spacing w:before="2"/>
        <w:rPr>
          <w:sz w:val="43"/>
        </w:rPr>
      </w:pPr>
    </w:p>
    <w:p>
      <w:pPr>
        <w:pStyle w:val="ListParagraph"/>
        <w:numPr>
          <w:ilvl w:val="1"/>
          <w:numId w:val="5"/>
        </w:numPr>
        <w:tabs>
          <w:tab w:val="left" w:pos="1168"/>
        </w:tabs>
        <w:spacing w:before="0" w:after="0" w:line="240" w:lineRule="auto"/>
        <w:ind w:left="1167" w:right="0" w:hanging="449"/>
        <w:jc w:val="left"/>
        <w:rPr>
          <w:sz w:val="30"/>
        </w:rPr>
      </w:pPr>
      <w:r>
        <w:rPr>
          <w:w w:val="99"/>
          <w:sz w:val="30"/>
        </w:rPr>
        <w:t>5</w:t>
      </w:r>
    </w:p>
    <w:p>
      <w:pPr>
        <w:pStyle w:val="BodyText"/>
        <w:rPr>
          <w:sz w:val="43"/>
        </w:rPr>
      </w:pPr>
    </w:p>
    <w:p>
      <w:pPr>
        <w:pStyle w:val="ListParagraph"/>
        <w:numPr>
          <w:ilvl w:val="1"/>
          <w:numId w:val="5"/>
        </w:numPr>
        <w:tabs>
          <w:tab w:val="left" w:pos="1168"/>
        </w:tabs>
        <w:spacing w:before="1" w:after="0" w:line="240" w:lineRule="auto"/>
        <w:ind w:left="1167" w:right="0" w:hanging="449"/>
        <w:jc w:val="left"/>
        <w:rPr>
          <w:sz w:val="30"/>
        </w:rPr>
      </w:pPr>
      <w:r>
        <w:rPr>
          <w:sz w:val="30"/>
        </w:rPr>
        <w:t>10</w:t>
      </w:r>
    </w:p>
    <w:p>
      <w:pPr>
        <w:pStyle w:val="BodyText"/>
        <w:rPr>
          <w:sz w:val="43"/>
        </w:rPr>
      </w:pPr>
    </w:p>
    <w:p>
      <w:pPr>
        <w:pStyle w:val="ListParagraph"/>
        <w:numPr>
          <w:ilvl w:val="1"/>
          <w:numId w:val="5"/>
        </w:numPr>
        <w:tabs>
          <w:tab w:val="left" w:pos="1168"/>
        </w:tabs>
        <w:spacing w:before="0" w:after="0" w:line="240" w:lineRule="auto"/>
        <w:ind w:left="1167" w:right="0" w:hanging="449"/>
        <w:jc w:val="left"/>
        <w:rPr>
          <w:sz w:val="30"/>
        </w:rPr>
      </w:pPr>
      <w:r>
        <w:rPr>
          <w:sz w:val="30"/>
        </w:rPr>
        <w:t>15</w:t>
      </w:r>
    </w:p>
    <w:p>
      <w:pPr>
        <w:pStyle w:val="ListParagraph"/>
        <w:numPr>
          <w:ilvl w:val="0"/>
          <w:numId w:val="5"/>
        </w:numPr>
        <w:tabs>
          <w:tab w:val="left" w:pos="1611"/>
          <w:tab w:val="left" w:pos="1612"/>
          <w:tab w:val="left" w:pos="2097"/>
          <w:tab w:val="left" w:pos="2997"/>
        </w:tabs>
        <w:spacing w:before="217" w:after="0" w:line="292" w:lineRule="auto"/>
        <w:ind w:left="1100" w:right="273" w:hanging="540"/>
        <w:jc w:val="left"/>
        <w:rPr>
          <w:sz w:val="30"/>
        </w:rPr>
      </w:pPr>
      <w:r>
        <w:tab/>
      </w:r>
      <w:r>
        <w:rPr>
          <w:w w:val="95"/>
          <w:sz w:val="30"/>
        </w:rPr>
        <w:t>国务院证券监督管理机构依法履行职责，进行监督检查或者调查，其监督检查、调查的人</w:t>
      </w:r>
      <w:r>
        <w:rPr>
          <w:spacing w:val="-17"/>
          <w:w w:val="95"/>
          <w:sz w:val="30"/>
        </w:rPr>
        <w:t xml:space="preserve">员   </w:t>
      </w:r>
      <w:r>
        <w:rPr>
          <w:sz w:val="30"/>
        </w:rPr>
        <w:t>不得少于（</w:t>
        <w:tab/>
        <w:t>）人，并应当出示合法证件和监督检查、调查通知书。监督检查、调查的人员少于（</w:t>
        <w:tab/>
        <w:t>）人或者未出示合法证件和监督检查、调查通知书的，被检查、调查的单位有权拒绝。</w:t>
      </w:r>
    </w:p>
    <w:p>
      <w:pPr>
        <w:spacing w:after="0" w:line="292" w:lineRule="auto"/>
        <w:jc w:val="left"/>
        <w:rPr>
          <w:sz w:val="30"/>
        </w:rPr>
      </w:pPr>
      <w:r>
        <w:rPr>
          <w:sz w:val="30"/>
        </w:rPr>
        <w:br/>
      </w:r>
      <w:r>
        <w:rPr>
          <w:sz w:val="30"/>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1" w:history="1">
        <w:r>
          <w:rPr>
            <w:rFonts w:ascii="SimSun" w:eastAsia="SimSun" w:hAnsi="SimSun" w:cs="SimSun"/>
            <w:b/>
            <w:bCs/>
            <w:color w:val="0000EE"/>
            <w:sz w:val="30"/>
            <w:szCs w:val="30"/>
            <w:u w:val="single" w:color="0000EE"/>
          </w:rPr>
          <w:t>https://d.book118.com/938137053024006024</w:t>
        </w:r>
      </w:hyperlink>
    </w:p>
    <w:p>
      <w:pPr>
        <w:spacing w:after="0" w:line="292" w:lineRule="auto"/>
        <w:jc w:val="left"/>
        <w:rPr>
          <w:sz w:val="30"/>
        </w:rPr>
      </w:pPr>
    </w:p>
    <w:sectPr>
      <w:pgSz w:w="17860" w:h="25260"/>
      <w:pgMar w:top="1820" w:right="2420" w:bottom="280" w:left="1600" w:header="708" w:footer="708"/>
      <w:pgNumType w:start="1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DF0201"/>
    <w:multiLevelType w:val="hybridMultilevel"/>
    <w:tmpl w:val="00000000"/>
    <w:lvl w:ilvl="0">
      <w:start w:val="1"/>
      <w:numFmt w:val="upperLetter"/>
      <w:lvlText w:val="%1."/>
      <w:lvlJc w:val="left"/>
      <w:pPr>
        <w:ind w:left="1172" w:hanging="454"/>
        <w:jc w:val="left"/>
      </w:pPr>
      <w:rPr>
        <w:rFonts w:ascii="宋体" w:eastAsia="宋体" w:hAnsi="宋体" w:cs="宋体" w:hint="default"/>
        <w:w w:val="99"/>
        <w:sz w:val="30"/>
        <w:szCs w:val="30"/>
      </w:rPr>
    </w:lvl>
    <w:lvl w:ilvl="1">
      <w:start w:val="0"/>
      <w:numFmt w:val="bullet"/>
      <w:lvlText w:val="•"/>
      <w:lvlJc w:val="left"/>
      <w:pPr>
        <w:ind w:left="2445" w:hanging="454"/>
      </w:pPr>
      <w:rPr>
        <w:rFonts w:hint="default"/>
      </w:rPr>
    </w:lvl>
    <w:lvl w:ilvl="2">
      <w:start w:val="0"/>
      <w:numFmt w:val="bullet"/>
      <w:lvlText w:val="•"/>
      <w:lvlJc w:val="left"/>
      <w:pPr>
        <w:ind w:left="3711" w:hanging="454"/>
      </w:pPr>
      <w:rPr>
        <w:rFonts w:hint="default"/>
      </w:rPr>
    </w:lvl>
    <w:lvl w:ilvl="3">
      <w:start w:val="0"/>
      <w:numFmt w:val="bullet"/>
      <w:lvlText w:val="•"/>
      <w:lvlJc w:val="left"/>
      <w:pPr>
        <w:ind w:left="4977" w:hanging="454"/>
      </w:pPr>
      <w:rPr>
        <w:rFonts w:hint="default"/>
      </w:rPr>
    </w:lvl>
    <w:lvl w:ilvl="4">
      <w:start w:val="0"/>
      <w:numFmt w:val="bullet"/>
      <w:lvlText w:val="•"/>
      <w:lvlJc w:val="left"/>
      <w:pPr>
        <w:ind w:left="6243" w:hanging="454"/>
      </w:pPr>
      <w:rPr>
        <w:rFonts w:hint="default"/>
      </w:rPr>
    </w:lvl>
    <w:lvl w:ilvl="5">
      <w:start w:val="0"/>
      <w:numFmt w:val="bullet"/>
      <w:lvlText w:val="•"/>
      <w:lvlJc w:val="left"/>
      <w:pPr>
        <w:ind w:left="7509" w:hanging="454"/>
      </w:pPr>
      <w:rPr>
        <w:rFonts w:hint="default"/>
      </w:rPr>
    </w:lvl>
    <w:lvl w:ilvl="6">
      <w:start w:val="0"/>
      <w:numFmt w:val="bullet"/>
      <w:lvlText w:val="•"/>
      <w:lvlJc w:val="left"/>
      <w:pPr>
        <w:ind w:left="8775" w:hanging="454"/>
      </w:pPr>
      <w:rPr>
        <w:rFonts w:hint="default"/>
      </w:rPr>
    </w:lvl>
    <w:lvl w:ilvl="7">
      <w:start w:val="0"/>
      <w:numFmt w:val="bullet"/>
      <w:lvlText w:val="•"/>
      <w:lvlJc w:val="left"/>
      <w:pPr>
        <w:ind w:left="10041" w:hanging="454"/>
      </w:pPr>
      <w:rPr>
        <w:rFonts w:hint="default"/>
      </w:rPr>
    </w:lvl>
    <w:lvl w:ilvl="8">
      <w:start w:val="0"/>
      <w:numFmt w:val="bullet"/>
      <w:lvlText w:val="•"/>
      <w:lvlJc w:val="left"/>
      <w:pPr>
        <w:ind w:left="11307" w:hanging="454"/>
      </w:pPr>
      <w:rPr>
        <w:rFonts w:hint="default"/>
      </w:rPr>
    </w:lvl>
  </w:abstractNum>
  <w:abstractNum w:abstractNumId="1">
    <w:nsid w:val="1751ED0E"/>
    <w:multiLevelType w:val="hybridMultilevel"/>
    <w:tmpl w:val="00000000"/>
    <w:lvl w:ilvl="0">
      <w:start w:val="4"/>
      <w:numFmt w:val="decimal"/>
      <w:lvlText w:val="%1."/>
      <w:lvlJc w:val="left"/>
      <w:pPr>
        <w:ind w:left="1100" w:hanging="900"/>
        <w:jc w:val="left"/>
      </w:pPr>
      <w:rPr>
        <w:rFonts w:ascii="宋体" w:eastAsia="宋体" w:hAnsi="宋体" w:cs="宋体" w:hint="default"/>
        <w:w w:val="99"/>
        <w:sz w:val="30"/>
        <w:szCs w:val="30"/>
      </w:rPr>
    </w:lvl>
    <w:lvl w:ilvl="1">
      <w:start w:val="1"/>
      <w:numFmt w:val="upperLetter"/>
      <w:lvlText w:val="%2."/>
      <w:lvlJc w:val="left"/>
      <w:pPr>
        <w:ind w:left="1172" w:hanging="454"/>
        <w:jc w:val="left"/>
      </w:pPr>
      <w:rPr>
        <w:rFonts w:ascii="宋体" w:eastAsia="宋体" w:hAnsi="宋体" w:cs="宋体" w:hint="default"/>
        <w:w w:val="99"/>
        <w:sz w:val="30"/>
        <w:szCs w:val="30"/>
      </w:rPr>
    </w:lvl>
    <w:lvl w:ilvl="2">
      <w:start w:val="0"/>
      <w:numFmt w:val="bullet"/>
      <w:lvlText w:val="•"/>
      <w:lvlJc w:val="left"/>
      <w:pPr>
        <w:ind w:left="1180" w:hanging="454"/>
      </w:pPr>
      <w:rPr>
        <w:rFonts w:hint="default"/>
      </w:rPr>
    </w:lvl>
    <w:lvl w:ilvl="3">
      <w:start w:val="0"/>
      <w:numFmt w:val="bullet"/>
      <w:lvlText w:val="•"/>
      <w:lvlJc w:val="left"/>
      <w:pPr>
        <w:ind w:left="2762" w:hanging="454"/>
      </w:pPr>
      <w:rPr>
        <w:rFonts w:hint="default"/>
      </w:rPr>
    </w:lvl>
    <w:lvl w:ilvl="4">
      <w:start w:val="0"/>
      <w:numFmt w:val="bullet"/>
      <w:lvlText w:val="•"/>
      <w:lvlJc w:val="left"/>
      <w:pPr>
        <w:ind w:left="4344" w:hanging="454"/>
      </w:pPr>
      <w:rPr>
        <w:rFonts w:hint="default"/>
      </w:rPr>
    </w:lvl>
    <w:lvl w:ilvl="5">
      <w:start w:val="0"/>
      <w:numFmt w:val="bullet"/>
      <w:lvlText w:val="•"/>
      <w:lvlJc w:val="left"/>
      <w:pPr>
        <w:ind w:left="5927" w:hanging="454"/>
      </w:pPr>
      <w:rPr>
        <w:rFonts w:hint="default"/>
      </w:rPr>
    </w:lvl>
    <w:lvl w:ilvl="6">
      <w:start w:val="0"/>
      <w:numFmt w:val="bullet"/>
      <w:lvlText w:val="•"/>
      <w:lvlJc w:val="left"/>
      <w:pPr>
        <w:ind w:left="7509" w:hanging="454"/>
      </w:pPr>
      <w:rPr>
        <w:rFonts w:hint="default"/>
      </w:rPr>
    </w:lvl>
    <w:lvl w:ilvl="7">
      <w:start w:val="0"/>
      <w:numFmt w:val="bullet"/>
      <w:lvlText w:val="•"/>
      <w:lvlJc w:val="left"/>
      <w:pPr>
        <w:ind w:left="9092" w:hanging="454"/>
      </w:pPr>
      <w:rPr>
        <w:rFonts w:hint="default"/>
      </w:rPr>
    </w:lvl>
    <w:lvl w:ilvl="8">
      <w:start w:val="0"/>
      <w:numFmt w:val="bullet"/>
      <w:lvlText w:val="•"/>
      <w:lvlJc w:val="left"/>
      <w:pPr>
        <w:ind w:left="10674" w:hanging="454"/>
      </w:pPr>
      <w:rPr>
        <w:rFonts w:hint="default"/>
      </w:rPr>
    </w:lvl>
  </w:abstractNum>
  <w:abstractNum w:abstractNumId="2">
    <w:nsid w:val="2451A61E"/>
    <w:multiLevelType w:val="hybridMultilevel"/>
    <w:tmpl w:val="00000000"/>
    <w:lvl w:ilvl="0">
      <w:start w:val="4"/>
      <w:numFmt w:val="decimal"/>
      <w:lvlText w:val="%1."/>
      <w:lvlJc w:val="left"/>
      <w:pPr>
        <w:ind w:left="1100" w:hanging="900"/>
        <w:jc w:val="left"/>
      </w:pPr>
      <w:rPr>
        <w:rFonts w:ascii="宋体" w:eastAsia="宋体" w:hAnsi="宋体" w:cs="宋体" w:hint="default"/>
        <w:w w:val="99"/>
        <w:sz w:val="30"/>
        <w:szCs w:val="30"/>
      </w:rPr>
    </w:lvl>
    <w:lvl w:ilvl="1">
      <w:start w:val="1"/>
      <w:numFmt w:val="upperLetter"/>
      <w:lvlText w:val="%2."/>
      <w:lvlJc w:val="left"/>
      <w:pPr>
        <w:ind w:left="1172" w:hanging="454"/>
        <w:jc w:val="left"/>
      </w:pPr>
      <w:rPr>
        <w:rFonts w:ascii="宋体" w:eastAsia="宋体" w:hAnsi="宋体" w:cs="宋体" w:hint="default"/>
        <w:w w:val="99"/>
        <w:sz w:val="30"/>
        <w:szCs w:val="30"/>
      </w:rPr>
    </w:lvl>
    <w:lvl w:ilvl="2">
      <w:start w:val="0"/>
      <w:numFmt w:val="bullet"/>
      <w:lvlText w:val="•"/>
      <w:lvlJc w:val="left"/>
      <w:pPr>
        <w:ind w:left="1180" w:hanging="454"/>
      </w:pPr>
      <w:rPr>
        <w:rFonts w:hint="default"/>
      </w:rPr>
    </w:lvl>
    <w:lvl w:ilvl="3">
      <w:start w:val="0"/>
      <w:numFmt w:val="bullet"/>
      <w:lvlText w:val="•"/>
      <w:lvlJc w:val="left"/>
      <w:pPr>
        <w:ind w:left="2762" w:hanging="454"/>
      </w:pPr>
      <w:rPr>
        <w:rFonts w:hint="default"/>
      </w:rPr>
    </w:lvl>
    <w:lvl w:ilvl="4">
      <w:start w:val="0"/>
      <w:numFmt w:val="bullet"/>
      <w:lvlText w:val="•"/>
      <w:lvlJc w:val="left"/>
      <w:pPr>
        <w:ind w:left="4344" w:hanging="454"/>
      </w:pPr>
      <w:rPr>
        <w:rFonts w:hint="default"/>
      </w:rPr>
    </w:lvl>
    <w:lvl w:ilvl="5">
      <w:start w:val="0"/>
      <w:numFmt w:val="bullet"/>
      <w:lvlText w:val="•"/>
      <w:lvlJc w:val="left"/>
      <w:pPr>
        <w:ind w:left="5927" w:hanging="454"/>
      </w:pPr>
      <w:rPr>
        <w:rFonts w:hint="default"/>
      </w:rPr>
    </w:lvl>
    <w:lvl w:ilvl="6">
      <w:start w:val="0"/>
      <w:numFmt w:val="bullet"/>
      <w:lvlText w:val="•"/>
      <w:lvlJc w:val="left"/>
      <w:pPr>
        <w:ind w:left="7509" w:hanging="454"/>
      </w:pPr>
      <w:rPr>
        <w:rFonts w:hint="default"/>
      </w:rPr>
    </w:lvl>
    <w:lvl w:ilvl="7">
      <w:start w:val="0"/>
      <w:numFmt w:val="bullet"/>
      <w:lvlText w:val="•"/>
      <w:lvlJc w:val="left"/>
      <w:pPr>
        <w:ind w:left="9092" w:hanging="454"/>
      </w:pPr>
      <w:rPr>
        <w:rFonts w:hint="default"/>
      </w:rPr>
    </w:lvl>
    <w:lvl w:ilvl="8">
      <w:start w:val="0"/>
      <w:numFmt w:val="bullet"/>
      <w:lvlText w:val="•"/>
      <w:lvlJc w:val="left"/>
      <w:pPr>
        <w:ind w:left="10674" w:hanging="454"/>
      </w:pPr>
      <w:rPr>
        <w:rFonts w:hint="default"/>
      </w:rPr>
    </w:lvl>
  </w:abstractNum>
  <w:abstractNum w:abstractNumId="3">
    <w:nsid w:val="30A0CE79"/>
    <w:multiLevelType w:val="hybridMultilevel"/>
    <w:tmpl w:val="00000000"/>
    <w:lvl w:ilvl="0">
      <w:start w:val="1"/>
      <w:numFmt w:val="decimal"/>
      <w:lvlText w:val="%1."/>
      <w:lvlJc w:val="left"/>
      <w:pPr>
        <w:ind w:left="1100" w:hanging="900"/>
        <w:jc w:val="left"/>
      </w:pPr>
      <w:rPr>
        <w:rFonts w:ascii="宋体" w:eastAsia="宋体" w:hAnsi="宋体" w:cs="宋体" w:hint="default"/>
        <w:w w:val="99"/>
        <w:sz w:val="30"/>
        <w:szCs w:val="30"/>
      </w:rPr>
    </w:lvl>
    <w:lvl w:ilvl="1">
      <w:start w:val="1"/>
      <w:numFmt w:val="upperLetter"/>
      <w:lvlText w:val="%2."/>
      <w:lvlJc w:val="left"/>
      <w:pPr>
        <w:ind w:left="1172" w:hanging="454"/>
        <w:jc w:val="left"/>
      </w:pPr>
      <w:rPr>
        <w:rFonts w:ascii="宋体" w:eastAsia="宋体" w:hAnsi="宋体" w:cs="宋体" w:hint="default"/>
        <w:w w:val="99"/>
        <w:sz w:val="30"/>
        <w:szCs w:val="30"/>
      </w:rPr>
    </w:lvl>
    <w:lvl w:ilvl="2">
      <w:start w:val="0"/>
      <w:numFmt w:val="bullet"/>
      <w:lvlText w:val="•"/>
      <w:lvlJc w:val="left"/>
      <w:pPr>
        <w:ind w:left="2586" w:hanging="454"/>
      </w:pPr>
      <w:rPr>
        <w:rFonts w:hint="default"/>
      </w:rPr>
    </w:lvl>
    <w:lvl w:ilvl="3">
      <w:start w:val="0"/>
      <w:numFmt w:val="bullet"/>
      <w:lvlText w:val="•"/>
      <w:lvlJc w:val="left"/>
      <w:pPr>
        <w:ind w:left="3993" w:hanging="454"/>
      </w:pPr>
      <w:rPr>
        <w:rFonts w:hint="default"/>
      </w:rPr>
    </w:lvl>
    <w:lvl w:ilvl="4">
      <w:start w:val="0"/>
      <w:numFmt w:val="bullet"/>
      <w:lvlText w:val="•"/>
      <w:lvlJc w:val="left"/>
      <w:pPr>
        <w:ind w:left="5399" w:hanging="454"/>
      </w:pPr>
      <w:rPr>
        <w:rFonts w:hint="default"/>
      </w:rPr>
    </w:lvl>
    <w:lvl w:ilvl="5">
      <w:start w:val="0"/>
      <w:numFmt w:val="bullet"/>
      <w:lvlText w:val="•"/>
      <w:lvlJc w:val="left"/>
      <w:pPr>
        <w:ind w:left="6806" w:hanging="454"/>
      </w:pPr>
      <w:rPr>
        <w:rFonts w:hint="default"/>
      </w:rPr>
    </w:lvl>
    <w:lvl w:ilvl="6">
      <w:start w:val="0"/>
      <w:numFmt w:val="bullet"/>
      <w:lvlText w:val="•"/>
      <w:lvlJc w:val="left"/>
      <w:pPr>
        <w:ind w:left="8213" w:hanging="454"/>
      </w:pPr>
      <w:rPr>
        <w:rFonts w:hint="default"/>
      </w:rPr>
    </w:lvl>
    <w:lvl w:ilvl="7">
      <w:start w:val="0"/>
      <w:numFmt w:val="bullet"/>
      <w:lvlText w:val="•"/>
      <w:lvlJc w:val="left"/>
      <w:pPr>
        <w:ind w:left="9619" w:hanging="454"/>
      </w:pPr>
      <w:rPr>
        <w:rFonts w:hint="default"/>
      </w:rPr>
    </w:lvl>
    <w:lvl w:ilvl="8">
      <w:start w:val="0"/>
      <w:numFmt w:val="bullet"/>
      <w:lvlText w:val="•"/>
      <w:lvlJc w:val="left"/>
      <w:pPr>
        <w:ind w:left="11026" w:hanging="454"/>
      </w:pPr>
      <w:rPr>
        <w:rFonts w:hint="default"/>
      </w:rPr>
    </w:lvl>
  </w:abstractNum>
  <w:abstractNum w:abstractNumId="4">
    <w:nsid w:val="3B25E2D4"/>
    <w:multiLevelType w:val="hybridMultilevel"/>
    <w:tmpl w:val="00000000"/>
    <w:lvl w:ilvl="0">
      <w:start w:val="3"/>
      <w:numFmt w:val="decimal"/>
      <w:lvlText w:val="%1."/>
      <w:lvlJc w:val="left"/>
      <w:pPr>
        <w:ind w:left="1100" w:hanging="900"/>
        <w:jc w:val="left"/>
      </w:pPr>
      <w:rPr>
        <w:rFonts w:ascii="宋体" w:eastAsia="宋体" w:hAnsi="宋体" w:cs="宋体" w:hint="default"/>
        <w:w w:val="99"/>
        <w:sz w:val="30"/>
        <w:szCs w:val="30"/>
      </w:rPr>
    </w:lvl>
    <w:lvl w:ilvl="1">
      <w:start w:val="1"/>
      <w:numFmt w:val="upperLetter"/>
      <w:lvlText w:val="%2."/>
      <w:lvlJc w:val="left"/>
      <w:pPr>
        <w:ind w:left="1172" w:hanging="454"/>
        <w:jc w:val="left"/>
      </w:pPr>
      <w:rPr>
        <w:rFonts w:ascii="宋体" w:eastAsia="宋体" w:hAnsi="宋体" w:cs="宋体" w:hint="default"/>
        <w:w w:val="99"/>
        <w:sz w:val="30"/>
        <w:szCs w:val="30"/>
      </w:rPr>
    </w:lvl>
    <w:lvl w:ilvl="2">
      <w:start w:val="0"/>
      <w:numFmt w:val="bullet"/>
      <w:lvlText w:val="•"/>
      <w:lvlJc w:val="left"/>
      <w:pPr>
        <w:ind w:left="2586" w:hanging="454"/>
      </w:pPr>
      <w:rPr>
        <w:rFonts w:hint="default"/>
      </w:rPr>
    </w:lvl>
    <w:lvl w:ilvl="3">
      <w:start w:val="0"/>
      <w:numFmt w:val="bullet"/>
      <w:lvlText w:val="•"/>
      <w:lvlJc w:val="left"/>
      <w:pPr>
        <w:ind w:left="3993" w:hanging="454"/>
      </w:pPr>
      <w:rPr>
        <w:rFonts w:hint="default"/>
      </w:rPr>
    </w:lvl>
    <w:lvl w:ilvl="4">
      <w:start w:val="0"/>
      <w:numFmt w:val="bullet"/>
      <w:lvlText w:val="•"/>
      <w:lvlJc w:val="left"/>
      <w:pPr>
        <w:ind w:left="5399" w:hanging="454"/>
      </w:pPr>
      <w:rPr>
        <w:rFonts w:hint="default"/>
      </w:rPr>
    </w:lvl>
    <w:lvl w:ilvl="5">
      <w:start w:val="0"/>
      <w:numFmt w:val="bullet"/>
      <w:lvlText w:val="•"/>
      <w:lvlJc w:val="left"/>
      <w:pPr>
        <w:ind w:left="6806" w:hanging="454"/>
      </w:pPr>
      <w:rPr>
        <w:rFonts w:hint="default"/>
      </w:rPr>
    </w:lvl>
    <w:lvl w:ilvl="6">
      <w:start w:val="0"/>
      <w:numFmt w:val="bullet"/>
      <w:lvlText w:val="•"/>
      <w:lvlJc w:val="left"/>
      <w:pPr>
        <w:ind w:left="8213" w:hanging="454"/>
      </w:pPr>
      <w:rPr>
        <w:rFonts w:hint="default"/>
      </w:rPr>
    </w:lvl>
    <w:lvl w:ilvl="7">
      <w:start w:val="0"/>
      <w:numFmt w:val="bullet"/>
      <w:lvlText w:val="•"/>
      <w:lvlJc w:val="left"/>
      <w:pPr>
        <w:ind w:left="9619" w:hanging="454"/>
      </w:pPr>
      <w:rPr>
        <w:rFonts w:hint="default"/>
      </w:rPr>
    </w:lvl>
    <w:lvl w:ilvl="8">
      <w:start w:val="0"/>
      <w:numFmt w:val="bullet"/>
      <w:lvlText w:val="•"/>
      <w:lvlJc w:val="left"/>
      <w:pPr>
        <w:ind w:left="11026" w:hanging="454"/>
      </w:pPr>
      <w:rPr>
        <w:rFonts w:hint="default"/>
      </w:rPr>
    </w:lvl>
  </w:abstractNum>
  <w:abstractNum w:abstractNumId="5">
    <w:nsid w:val="5DC04BE4"/>
    <w:multiLevelType w:val="hybridMultilevel"/>
    <w:tmpl w:val="00000000"/>
    <w:lvl w:ilvl="0">
      <w:start w:val="1"/>
      <w:numFmt w:val="decimal"/>
      <w:lvlText w:val="%1."/>
      <w:lvlJc w:val="left"/>
      <w:pPr>
        <w:ind w:left="1100" w:hanging="900"/>
        <w:jc w:val="left"/>
      </w:pPr>
      <w:rPr>
        <w:rFonts w:ascii="宋体" w:eastAsia="宋体" w:hAnsi="宋体" w:cs="宋体" w:hint="default"/>
        <w:w w:val="99"/>
        <w:sz w:val="30"/>
        <w:szCs w:val="30"/>
      </w:rPr>
    </w:lvl>
    <w:lvl w:ilvl="1">
      <w:start w:val="1"/>
      <w:numFmt w:val="upperLetter"/>
      <w:lvlText w:val="%2."/>
      <w:lvlJc w:val="left"/>
      <w:pPr>
        <w:ind w:left="1172" w:hanging="454"/>
        <w:jc w:val="left"/>
      </w:pPr>
      <w:rPr>
        <w:rFonts w:ascii="宋体" w:eastAsia="宋体" w:hAnsi="宋体" w:cs="宋体" w:hint="default"/>
        <w:w w:val="99"/>
        <w:sz w:val="30"/>
        <w:szCs w:val="30"/>
      </w:rPr>
    </w:lvl>
    <w:lvl w:ilvl="2">
      <w:start w:val="0"/>
      <w:numFmt w:val="bullet"/>
      <w:lvlText w:val="•"/>
      <w:lvlJc w:val="left"/>
      <w:pPr>
        <w:ind w:left="2586" w:hanging="454"/>
      </w:pPr>
      <w:rPr>
        <w:rFonts w:hint="default"/>
      </w:rPr>
    </w:lvl>
    <w:lvl w:ilvl="3">
      <w:start w:val="0"/>
      <w:numFmt w:val="bullet"/>
      <w:lvlText w:val="•"/>
      <w:lvlJc w:val="left"/>
      <w:pPr>
        <w:ind w:left="3993" w:hanging="454"/>
      </w:pPr>
      <w:rPr>
        <w:rFonts w:hint="default"/>
      </w:rPr>
    </w:lvl>
    <w:lvl w:ilvl="4">
      <w:start w:val="0"/>
      <w:numFmt w:val="bullet"/>
      <w:lvlText w:val="•"/>
      <w:lvlJc w:val="left"/>
      <w:pPr>
        <w:ind w:left="5399" w:hanging="454"/>
      </w:pPr>
      <w:rPr>
        <w:rFonts w:hint="default"/>
      </w:rPr>
    </w:lvl>
    <w:lvl w:ilvl="5">
      <w:start w:val="0"/>
      <w:numFmt w:val="bullet"/>
      <w:lvlText w:val="•"/>
      <w:lvlJc w:val="left"/>
      <w:pPr>
        <w:ind w:left="6806" w:hanging="454"/>
      </w:pPr>
      <w:rPr>
        <w:rFonts w:hint="default"/>
      </w:rPr>
    </w:lvl>
    <w:lvl w:ilvl="6">
      <w:start w:val="0"/>
      <w:numFmt w:val="bullet"/>
      <w:lvlText w:val="•"/>
      <w:lvlJc w:val="left"/>
      <w:pPr>
        <w:ind w:left="8213" w:hanging="454"/>
      </w:pPr>
      <w:rPr>
        <w:rFonts w:hint="default"/>
      </w:rPr>
    </w:lvl>
    <w:lvl w:ilvl="7">
      <w:start w:val="0"/>
      <w:numFmt w:val="bullet"/>
      <w:lvlText w:val="•"/>
      <w:lvlJc w:val="left"/>
      <w:pPr>
        <w:ind w:left="9619" w:hanging="454"/>
      </w:pPr>
      <w:rPr>
        <w:rFonts w:hint="default"/>
      </w:rPr>
    </w:lvl>
    <w:lvl w:ilvl="8">
      <w:start w:val="0"/>
      <w:numFmt w:val="bullet"/>
      <w:lvlText w:val="•"/>
      <w:lvlJc w:val="left"/>
      <w:pPr>
        <w:ind w:left="11026" w:hanging="454"/>
      </w:pPr>
      <w:rPr>
        <w:rFonts w:hint="default"/>
      </w:rPr>
    </w:lvl>
  </w:abstractNum>
  <w:abstractNum w:abstractNumId="6">
    <w:nsid w:val="62536191"/>
    <w:multiLevelType w:val="hybridMultilevel"/>
    <w:tmpl w:val="00000000"/>
    <w:lvl w:ilvl="0">
      <w:start w:val="1"/>
      <w:numFmt w:val="decimal"/>
      <w:lvlText w:val="%1."/>
      <w:lvlJc w:val="left"/>
      <w:pPr>
        <w:ind w:left="1100" w:hanging="900"/>
        <w:jc w:val="left"/>
      </w:pPr>
      <w:rPr>
        <w:rFonts w:ascii="宋体" w:eastAsia="宋体" w:hAnsi="宋体" w:cs="宋体" w:hint="default"/>
        <w:w w:val="99"/>
        <w:sz w:val="30"/>
        <w:szCs w:val="30"/>
      </w:rPr>
    </w:lvl>
    <w:lvl w:ilvl="1">
      <w:start w:val="1"/>
      <w:numFmt w:val="upperLetter"/>
      <w:lvlText w:val="%2."/>
      <w:lvlJc w:val="left"/>
      <w:pPr>
        <w:ind w:left="1172" w:hanging="454"/>
        <w:jc w:val="left"/>
      </w:pPr>
      <w:rPr>
        <w:rFonts w:ascii="宋体" w:eastAsia="宋体" w:hAnsi="宋体" w:cs="宋体" w:hint="default"/>
        <w:w w:val="99"/>
        <w:sz w:val="30"/>
        <w:szCs w:val="30"/>
      </w:rPr>
    </w:lvl>
    <w:lvl w:ilvl="2">
      <w:start w:val="0"/>
      <w:numFmt w:val="bullet"/>
      <w:lvlText w:val="•"/>
      <w:lvlJc w:val="left"/>
      <w:pPr>
        <w:ind w:left="2586" w:hanging="454"/>
      </w:pPr>
      <w:rPr>
        <w:rFonts w:hint="default"/>
      </w:rPr>
    </w:lvl>
    <w:lvl w:ilvl="3">
      <w:start w:val="0"/>
      <w:numFmt w:val="bullet"/>
      <w:lvlText w:val="•"/>
      <w:lvlJc w:val="left"/>
      <w:pPr>
        <w:ind w:left="3993" w:hanging="454"/>
      </w:pPr>
      <w:rPr>
        <w:rFonts w:hint="default"/>
      </w:rPr>
    </w:lvl>
    <w:lvl w:ilvl="4">
      <w:start w:val="0"/>
      <w:numFmt w:val="bullet"/>
      <w:lvlText w:val="•"/>
      <w:lvlJc w:val="left"/>
      <w:pPr>
        <w:ind w:left="5399" w:hanging="454"/>
      </w:pPr>
      <w:rPr>
        <w:rFonts w:hint="default"/>
      </w:rPr>
    </w:lvl>
    <w:lvl w:ilvl="5">
      <w:start w:val="0"/>
      <w:numFmt w:val="bullet"/>
      <w:lvlText w:val="•"/>
      <w:lvlJc w:val="left"/>
      <w:pPr>
        <w:ind w:left="6806" w:hanging="454"/>
      </w:pPr>
      <w:rPr>
        <w:rFonts w:hint="default"/>
      </w:rPr>
    </w:lvl>
    <w:lvl w:ilvl="6">
      <w:start w:val="0"/>
      <w:numFmt w:val="bullet"/>
      <w:lvlText w:val="•"/>
      <w:lvlJc w:val="left"/>
      <w:pPr>
        <w:ind w:left="8213" w:hanging="454"/>
      </w:pPr>
      <w:rPr>
        <w:rFonts w:hint="default"/>
      </w:rPr>
    </w:lvl>
    <w:lvl w:ilvl="7">
      <w:start w:val="0"/>
      <w:numFmt w:val="bullet"/>
      <w:lvlText w:val="•"/>
      <w:lvlJc w:val="left"/>
      <w:pPr>
        <w:ind w:left="9619" w:hanging="454"/>
      </w:pPr>
      <w:rPr>
        <w:rFonts w:hint="default"/>
      </w:rPr>
    </w:lvl>
    <w:lvl w:ilvl="8">
      <w:start w:val="0"/>
      <w:numFmt w:val="bullet"/>
      <w:lvlText w:val="•"/>
      <w:lvlJc w:val="left"/>
      <w:pPr>
        <w:ind w:left="11026" w:hanging="454"/>
      </w:pPr>
      <w:rPr>
        <w:rFonts w:hint="default"/>
      </w:rPr>
    </w:lvl>
  </w:abstractNum>
  <w:abstractNum w:abstractNumId="7">
    <w:nsid w:val="6FF2775B"/>
    <w:multiLevelType w:val="hybridMultilevel"/>
    <w:tmpl w:val="00000000"/>
    <w:lvl w:ilvl="0">
      <w:start w:val="1"/>
      <w:numFmt w:val="decimal"/>
      <w:lvlText w:val="%1."/>
      <w:lvlJc w:val="left"/>
      <w:pPr>
        <w:ind w:left="1100" w:hanging="900"/>
        <w:jc w:val="left"/>
      </w:pPr>
      <w:rPr>
        <w:rFonts w:ascii="宋体" w:eastAsia="宋体" w:hAnsi="宋体" w:cs="宋体" w:hint="default"/>
        <w:w w:val="99"/>
        <w:sz w:val="30"/>
        <w:szCs w:val="30"/>
      </w:rPr>
    </w:lvl>
    <w:lvl w:ilvl="1">
      <w:start w:val="1"/>
      <w:numFmt w:val="upperLetter"/>
      <w:lvlText w:val="%2."/>
      <w:lvlJc w:val="left"/>
      <w:pPr>
        <w:ind w:left="1172" w:hanging="454"/>
        <w:jc w:val="left"/>
      </w:pPr>
      <w:rPr>
        <w:rFonts w:ascii="宋体" w:eastAsia="宋体" w:hAnsi="宋体" w:cs="宋体" w:hint="default"/>
        <w:w w:val="99"/>
        <w:sz w:val="30"/>
        <w:szCs w:val="30"/>
      </w:rPr>
    </w:lvl>
    <w:lvl w:ilvl="2">
      <w:start w:val="0"/>
      <w:numFmt w:val="bullet"/>
      <w:lvlText w:val="•"/>
      <w:lvlJc w:val="left"/>
      <w:pPr>
        <w:ind w:left="2586" w:hanging="454"/>
      </w:pPr>
      <w:rPr>
        <w:rFonts w:hint="default"/>
      </w:rPr>
    </w:lvl>
    <w:lvl w:ilvl="3">
      <w:start w:val="0"/>
      <w:numFmt w:val="bullet"/>
      <w:lvlText w:val="•"/>
      <w:lvlJc w:val="left"/>
      <w:pPr>
        <w:ind w:left="3993" w:hanging="454"/>
      </w:pPr>
      <w:rPr>
        <w:rFonts w:hint="default"/>
      </w:rPr>
    </w:lvl>
    <w:lvl w:ilvl="4">
      <w:start w:val="0"/>
      <w:numFmt w:val="bullet"/>
      <w:lvlText w:val="•"/>
      <w:lvlJc w:val="left"/>
      <w:pPr>
        <w:ind w:left="5399" w:hanging="454"/>
      </w:pPr>
      <w:rPr>
        <w:rFonts w:hint="default"/>
      </w:rPr>
    </w:lvl>
    <w:lvl w:ilvl="5">
      <w:start w:val="0"/>
      <w:numFmt w:val="bullet"/>
      <w:lvlText w:val="•"/>
      <w:lvlJc w:val="left"/>
      <w:pPr>
        <w:ind w:left="6806" w:hanging="454"/>
      </w:pPr>
      <w:rPr>
        <w:rFonts w:hint="default"/>
      </w:rPr>
    </w:lvl>
    <w:lvl w:ilvl="6">
      <w:start w:val="0"/>
      <w:numFmt w:val="bullet"/>
      <w:lvlText w:val="•"/>
      <w:lvlJc w:val="left"/>
      <w:pPr>
        <w:ind w:left="8213" w:hanging="454"/>
      </w:pPr>
      <w:rPr>
        <w:rFonts w:hint="default"/>
      </w:rPr>
    </w:lvl>
    <w:lvl w:ilvl="7">
      <w:start w:val="0"/>
      <w:numFmt w:val="bullet"/>
      <w:lvlText w:val="•"/>
      <w:lvlJc w:val="left"/>
      <w:pPr>
        <w:ind w:left="9619" w:hanging="454"/>
      </w:pPr>
      <w:rPr>
        <w:rFonts w:hint="default"/>
      </w:rPr>
    </w:lvl>
    <w:lvl w:ilvl="8">
      <w:start w:val="0"/>
      <w:numFmt w:val="bullet"/>
      <w:lvlText w:val="•"/>
      <w:lvlJc w:val="left"/>
      <w:pPr>
        <w:ind w:left="11026" w:hanging="454"/>
      </w:pPr>
      <w:rPr>
        <w:rFonts w:hint="default"/>
      </w:rPr>
    </w:lvl>
  </w:abstractNum>
  <w:num w:numId="1">
    <w:abstractNumId w:val="4"/>
  </w:num>
  <w:num w:numId="2">
    <w:abstractNumId w:val="0"/>
  </w:num>
  <w:num w:numId="3">
    <w:abstractNumId w:val="3"/>
  </w:num>
  <w:num w:numId="4">
    <w:abstractNumId w:val="5"/>
  </w:num>
  <w:num w:numId="5">
    <w:abstractNumId w:val="2"/>
  </w:num>
  <w:num w:numId="6">
    <w:abstractNumId w:val="7"/>
  </w:num>
  <w:num w:numId="7">
    <w:abstractNumId w:val="6"/>
  </w:num>
  <w:num w:numId="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89"/>
      <w:ind w:left="1100"/>
      <w:outlineLvl w:val="0"/>
    </w:pPr>
    <w:rPr>
      <w:rFonts w:ascii="宋体" w:eastAsia="宋体" w:hAnsi="宋体" w:cs="宋体"/>
      <w:b/>
      <w:bCs/>
      <w:sz w:val="30"/>
      <w:szCs w:val="30"/>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0"/>
      <w:szCs w:val="30"/>
    </w:rPr>
  </w:style>
  <w:style w:type="paragraph" w:styleId="Title">
    <w:name w:val="Title"/>
    <w:basedOn w:val="Normal"/>
    <w:uiPriority w:val="1"/>
    <w:qFormat/>
    <w:pPr>
      <w:spacing w:before="113"/>
      <w:ind w:left="4948" w:right="4127"/>
      <w:jc w:val="center"/>
    </w:pPr>
    <w:rPr>
      <w:rFonts w:ascii="黑体" w:eastAsia="黑体" w:hAnsi="黑体" w:cs="黑体"/>
      <w:sz w:val="45"/>
      <w:szCs w:val="45"/>
    </w:rPr>
  </w:style>
  <w:style w:type="paragraph" w:styleId="ListParagraph">
    <w:name w:val="List Paragraph"/>
    <w:basedOn w:val="Normal"/>
    <w:uiPriority w:val="1"/>
    <w:qFormat/>
    <w:pPr>
      <w:ind w:left="1172" w:hanging="454"/>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hyperlink" Target="https://d.book118.com/938137053024006024" TargetMode="External" /><Relationship Id="rId32" Type="http://schemas.openxmlformats.org/officeDocument/2006/relationships/theme" Target="theme/theme1.xml" /><Relationship Id="rId33" Type="http://schemas.openxmlformats.org/officeDocument/2006/relationships/numbering" Target="numbering.xml" /><Relationship Id="rId34"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2023-12-10T16:24:28Z</dcterms:created>
  <dcterms:modified xsi:type="dcterms:W3CDTF">2023-12-10T16:24:28Z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2022-10-22T00:00:00Z</vt:filetime>
  </property>
  <property fmtid="{D5CDD505-2E9C-101B-9397-08002B2CF9AE}" pid="3" name="LastSaved">
    <vt:filetime>2023-12-10T00:00:00Z</vt:filetime>
  </property>
</Properties>
</file>