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jc w:val="center"/>
        <w:rPr>
          <w:rFonts w:ascii="微软雅黑" w:eastAsia="微软雅黑" w:hAnsi="微软雅黑" w:hint="eastAsia"/>
          <w:b/>
          <w:color w:val="000000"/>
          <w:sz w:val="48"/>
          <w:szCs w:val="48"/>
        </w:rPr>
      </w:pPr>
      <w:bookmarkStart w:id="0" w:name="_GoBack"/>
      <w:bookmarkEnd w:id="0"/>
      <w:r>
        <w:rPr>
          <w:rFonts w:ascii="微软雅黑" w:eastAsia="微软雅黑" w:hAnsi="微软雅黑" w:hint="eastAsia"/>
          <w:b/>
          <w:color w:val="000000"/>
          <w:sz w:val="48"/>
          <w:szCs w:val="48"/>
        </w:rPr>
        <w:t>住宅建设项目</w:t>
      </w:r>
    </w:p>
    <w:p>
      <w:pPr>
        <w:ind w:firstLine="2340" w:firstLineChars="450"/>
        <w:rPr>
          <w:rFonts w:ascii="微软雅黑" w:eastAsia="微软雅黑" w:hAnsi="微软雅黑" w:hint="eastAsia"/>
          <w:b/>
          <w:color w:val="000000"/>
          <w:sz w:val="52"/>
          <w:szCs w:val="72"/>
        </w:rPr>
      </w:pPr>
      <w:r>
        <w:rPr>
          <w:rFonts w:ascii="微软雅黑" w:eastAsia="微软雅黑" w:hAnsi="微软雅黑" w:hint="eastAsia"/>
          <w:b/>
          <w:color w:val="000000"/>
          <w:sz w:val="52"/>
          <w:szCs w:val="72"/>
        </w:rPr>
        <w:t>可行性研究报告</w:t>
      </w:r>
    </w:p>
    <w:p>
      <w:pPr>
        <w:ind w:firstLine="527"/>
        <w:rPr>
          <w:rFonts w:ascii="宋体" w:hAnsi="宋体" w:hint="eastAsia"/>
          <w:b/>
          <w:bCs/>
          <w:color w:val="000000"/>
        </w:rPr>
      </w:pPr>
    </w:p>
    <w:p>
      <w:pPr>
        <w:numPr>
          <w:ilvl w:val="0"/>
          <w:numId w:val="1"/>
        </w:numPr>
        <w:ind w:firstLine="800"/>
        <w:rPr>
          <w:rFonts w:ascii="微软雅黑" w:eastAsia="微软雅黑" w:hAnsi="微软雅黑" w:hint="eastAsia"/>
          <w:b/>
          <w:bCs/>
          <w:color w:val="000000"/>
          <w:sz w:val="32"/>
          <w:szCs w:val="32"/>
        </w:rPr>
      </w:pPr>
      <w:r>
        <w:rPr>
          <w:rFonts w:ascii="微软雅黑" w:eastAsia="微软雅黑" w:hAnsi="微软雅黑" w:hint="eastAsia"/>
          <w:b/>
          <w:bCs/>
          <w:color w:val="000000"/>
          <w:sz w:val="32"/>
          <w:szCs w:val="32"/>
        </w:rPr>
        <w:t xml:space="preserve">   项目总论</w:t>
      </w:r>
    </w:p>
    <w:p>
      <w:pPr>
        <w:spacing w:line="560" w:lineRule="exact"/>
        <w:ind w:firstLine="703"/>
        <w:rPr>
          <w:rFonts w:ascii="宋体" w:hAnsi="宋体" w:hint="eastAsia"/>
          <w:b/>
          <w:color w:val="000000"/>
          <w:sz w:val="28"/>
          <w:szCs w:val="28"/>
        </w:rPr>
      </w:pPr>
      <w:r>
        <w:rPr>
          <w:rFonts w:ascii="宋体" w:hAnsi="宋体" w:hint="eastAsia"/>
          <w:b/>
          <w:color w:val="000000"/>
          <w:sz w:val="28"/>
          <w:szCs w:val="28"/>
        </w:rPr>
        <w:t>1.1 项目</w:t>
      </w:r>
      <w:r>
        <w:rPr>
          <w:rFonts w:ascii="宋体" w:hAnsi="宋体" w:hint="eastAsia"/>
          <w:b/>
          <w:bCs/>
          <w:color w:val="000000"/>
          <w:sz w:val="28"/>
          <w:szCs w:val="28"/>
        </w:rPr>
        <w:t>简介</w:t>
      </w:r>
    </w:p>
    <w:p>
      <w:pPr>
        <w:spacing w:line="560" w:lineRule="exact"/>
        <w:ind w:firstLine="600" w:firstLineChars="250"/>
        <w:rPr>
          <w:rFonts w:ascii="宋体" w:hAnsi="宋体"/>
          <w:bCs/>
          <w:color w:val="000000"/>
          <w:sz w:val="24"/>
        </w:rPr>
      </w:pPr>
      <w:r>
        <w:rPr>
          <w:rFonts w:ascii="宋体" w:hAnsi="宋体"/>
          <w:bCs/>
          <w:color w:val="000000"/>
          <w:sz w:val="24"/>
        </w:rPr>
        <w:t>当前我国正进入城市化快速增长时期</w:t>
      </w:r>
      <w:r>
        <w:rPr>
          <w:rFonts w:ascii="宋体" w:hAnsi="宋体" w:hint="eastAsia"/>
          <w:bCs/>
          <w:color w:val="000000"/>
          <w:sz w:val="24"/>
        </w:rPr>
        <w:t>。城市化发展是区域发展的核心，城市化发展是城市化的主题。</w:t>
      </w:r>
      <w:r>
        <w:rPr>
          <w:rFonts w:ascii="宋体" w:hAnsi="宋体"/>
          <w:bCs/>
          <w:color w:val="000000"/>
          <w:sz w:val="24"/>
        </w:rPr>
        <w:t>住房难题困扰着</w:t>
      </w:r>
      <w:r>
        <w:rPr>
          <w:rFonts w:ascii="宋体" w:hAnsi="宋体" w:hint="eastAsia"/>
          <w:bCs/>
          <w:color w:val="000000"/>
          <w:sz w:val="24"/>
        </w:rPr>
        <w:t>城市发展，</w:t>
      </w:r>
      <w:r>
        <w:rPr>
          <w:rFonts w:ascii="宋体" w:hAnsi="宋体"/>
          <w:bCs/>
          <w:color w:val="000000"/>
          <w:sz w:val="24"/>
        </w:rPr>
        <w:t>新区开发</w:t>
      </w:r>
      <w:r>
        <w:rPr>
          <w:rFonts w:ascii="宋体" w:hAnsi="宋体" w:hint="eastAsia"/>
          <w:bCs/>
          <w:color w:val="000000"/>
          <w:sz w:val="24"/>
        </w:rPr>
        <w:t>，</w:t>
      </w:r>
      <w:r>
        <w:rPr>
          <w:rFonts w:ascii="宋体" w:hAnsi="宋体"/>
          <w:bCs/>
          <w:color w:val="000000"/>
          <w:sz w:val="24"/>
        </w:rPr>
        <w:t>小区建设是解决城镇化建设中平民百姓住房难的主要途径</w:t>
      </w:r>
      <w:r>
        <w:rPr>
          <w:rFonts w:ascii="宋体" w:hAnsi="宋体" w:hint="eastAsia"/>
          <w:bCs/>
          <w:color w:val="000000"/>
          <w:sz w:val="24"/>
        </w:rPr>
        <w:t>，不断加大住宅小区建设是城市化发展的需求，是解决人民群众住房难的需求，是优化人居化境、提升城市品味的需求，对加快城市化进程起着重要作用。</w:t>
      </w:r>
    </w:p>
    <w:p>
      <w:pPr>
        <w:spacing w:line="520" w:lineRule="exact"/>
        <w:ind w:firstLine="560" w:firstLineChars="200"/>
        <w:rPr>
          <w:rFonts w:ascii="宋体" w:hAnsi="宋体" w:hint="eastAsia"/>
          <w:b/>
          <w:color w:val="000000"/>
          <w:sz w:val="28"/>
          <w:szCs w:val="28"/>
        </w:rPr>
      </w:pPr>
      <w:r>
        <w:rPr>
          <w:rFonts w:ascii="宋体" w:hAnsi="宋体" w:hint="eastAsia"/>
          <w:b/>
          <w:color w:val="000000"/>
          <w:sz w:val="28"/>
          <w:szCs w:val="28"/>
        </w:rPr>
        <w:t>1.2  项目</w:t>
      </w:r>
      <w:r>
        <w:rPr>
          <w:rFonts w:ascii="宋体" w:hAnsi="宋体" w:hint="eastAsia"/>
          <w:b/>
          <w:bCs/>
          <w:color w:val="000000"/>
          <w:sz w:val="28"/>
          <w:szCs w:val="28"/>
        </w:rPr>
        <w:t>主要内容</w:t>
      </w:r>
    </w:p>
    <w:p>
      <w:pPr>
        <w:spacing w:line="520" w:lineRule="exact"/>
        <w:ind w:firstLine="480" w:firstLineChars="200"/>
        <w:rPr>
          <w:rFonts w:ascii="宋体" w:hAnsi="宋体" w:hint="eastAsia"/>
          <w:color w:val="000000"/>
          <w:sz w:val="24"/>
        </w:rPr>
      </w:pPr>
      <w:r>
        <w:rPr>
          <w:rFonts w:ascii="宋体" w:hAnsi="宋体" w:hint="eastAsia"/>
          <w:color w:val="000000"/>
          <w:sz w:val="24"/>
        </w:rPr>
        <w:t>资金来源：企业自筹，实现销售后回收资金；</w:t>
      </w:r>
    </w:p>
    <w:p>
      <w:pPr>
        <w:spacing w:line="520" w:lineRule="exact"/>
        <w:ind w:firstLine="560" w:firstLineChars="200"/>
        <w:rPr>
          <w:rFonts w:ascii="宋体" w:hAnsi="宋体" w:hint="eastAsia"/>
          <w:b/>
          <w:color w:val="000000"/>
          <w:sz w:val="28"/>
          <w:szCs w:val="28"/>
        </w:rPr>
      </w:pPr>
      <w:r>
        <w:rPr>
          <w:rFonts w:ascii="宋体" w:hAnsi="宋体" w:hint="eastAsia"/>
          <w:b/>
          <w:color w:val="000000"/>
          <w:sz w:val="28"/>
          <w:szCs w:val="28"/>
        </w:rPr>
        <w:t>1.3  可行性研究报告编制目的、依据、范围、原则</w:t>
      </w:r>
    </w:p>
    <w:p>
      <w:pPr>
        <w:spacing w:line="520" w:lineRule="exact"/>
        <w:ind w:firstLine="600"/>
        <w:rPr>
          <w:rFonts w:ascii="宋体" w:hAnsi="宋体" w:hint="eastAsia"/>
          <w:color w:val="000000"/>
          <w:sz w:val="24"/>
        </w:rPr>
      </w:pPr>
      <w:r>
        <w:rPr>
          <w:rFonts w:ascii="宋体" w:hAnsi="宋体" w:hint="eastAsia"/>
          <w:color w:val="000000"/>
          <w:sz w:val="24"/>
        </w:rPr>
        <w:t>1.3.1</w:t>
      </w:r>
      <w:r>
        <w:rPr>
          <w:rFonts w:ascii="宋体" w:hAnsi="宋体" w:hint="eastAsia"/>
          <w:b/>
          <w:color w:val="000000"/>
          <w:sz w:val="24"/>
        </w:rPr>
        <w:t>可研报告编制目的</w:t>
      </w:r>
    </w:p>
    <w:p>
      <w:pPr>
        <w:spacing w:line="520" w:lineRule="exact"/>
        <w:ind w:firstLine="480" w:firstLineChars="200"/>
        <w:rPr>
          <w:rFonts w:ascii="宋体" w:hAnsi="宋体" w:hint="eastAsia"/>
          <w:color w:val="000000"/>
          <w:sz w:val="24"/>
        </w:rPr>
      </w:pPr>
      <w:r>
        <w:rPr>
          <w:rFonts w:ascii="宋体" w:hAnsi="宋体" w:hint="eastAsia"/>
          <w:color w:val="000000"/>
          <w:sz w:val="24"/>
        </w:rPr>
        <w:t>在进行必要的现场勘察、进行充分的市场调研与科学分析、评价、预测的基础上，论证</w:t>
      </w:r>
      <w:r>
        <w:rPr>
          <w:rFonts w:ascii="宋体" w:hAnsi="宋体" w:hint="eastAsia"/>
          <w:color w:val="000000"/>
          <w:sz w:val="24"/>
          <w:lang w:eastAsia="zh-CN"/>
        </w:rPr>
        <w:t>xxxxxxxxxxxx</w:t>
      </w:r>
      <w:r>
        <w:rPr>
          <w:rFonts w:ascii="宋体" w:hAnsi="宋体" w:hint="eastAsia"/>
          <w:color w:val="000000"/>
          <w:sz w:val="24"/>
        </w:rPr>
        <w:t>有限责任公司的《</w:t>
      </w:r>
      <w:r>
        <w:rPr>
          <w:rFonts w:ascii="宋体" w:hAnsi="宋体" w:hint="eastAsia"/>
          <w:color w:val="000000"/>
          <w:sz w:val="24"/>
          <w:lang w:eastAsia="zh-CN"/>
        </w:rPr>
        <w:t>xxxxxx</w:t>
      </w:r>
      <w:r>
        <w:rPr>
          <w:rFonts w:ascii="宋体" w:hAnsi="宋体" w:hint="eastAsia"/>
          <w:color w:val="000000"/>
          <w:sz w:val="24"/>
        </w:rPr>
        <w:t>住宅建设项目》建设的必要性、技术可行性、运行模式、经济合理性以及社会发展、优惠政策等方面影响。</w:t>
      </w:r>
    </w:p>
    <w:p>
      <w:pPr>
        <w:spacing w:line="520" w:lineRule="exact"/>
        <w:ind w:firstLine="600"/>
        <w:rPr>
          <w:rFonts w:ascii="宋体" w:hAnsi="宋体" w:hint="eastAsia"/>
          <w:color w:val="000000"/>
          <w:sz w:val="24"/>
        </w:rPr>
      </w:pPr>
      <w:r>
        <w:rPr>
          <w:rFonts w:ascii="宋体" w:hAnsi="宋体" w:hint="eastAsia"/>
          <w:color w:val="000000"/>
          <w:sz w:val="24"/>
        </w:rPr>
        <w:t>1.3.2</w:t>
      </w:r>
      <w:r>
        <w:rPr>
          <w:rFonts w:ascii="宋体" w:hAnsi="宋体" w:hint="eastAsia"/>
          <w:b/>
          <w:color w:val="000000"/>
          <w:sz w:val="24"/>
        </w:rPr>
        <w:t>可研报告编制依据</w:t>
      </w:r>
    </w:p>
    <w:p>
      <w:pPr>
        <w:spacing w:line="520" w:lineRule="exact"/>
        <w:ind w:firstLine="600"/>
        <w:rPr>
          <w:rFonts w:ascii="宋体" w:hAnsi="宋体" w:hint="eastAsia"/>
          <w:color w:val="000000"/>
          <w:sz w:val="24"/>
        </w:rPr>
      </w:pPr>
      <w:r>
        <w:rPr>
          <w:rFonts w:ascii="宋体" w:hAnsi="宋体" w:hint="eastAsia"/>
          <w:color w:val="000000"/>
          <w:sz w:val="24"/>
        </w:rPr>
        <w:t>1.3.3</w:t>
      </w:r>
      <w:r>
        <w:rPr>
          <w:rFonts w:ascii="宋体" w:hAnsi="宋体" w:hint="eastAsia"/>
          <w:b/>
          <w:color w:val="000000"/>
          <w:sz w:val="24"/>
        </w:rPr>
        <w:t>可研报告编制范围</w:t>
      </w:r>
    </w:p>
    <w:p>
      <w:pPr>
        <w:spacing w:line="520" w:lineRule="exact"/>
        <w:ind w:firstLine="600"/>
        <w:rPr>
          <w:rFonts w:ascii="宋体" w:hAnsi="宋体" w:hint="eastAsia"/>
          <w:color w:val="000000"/>
          <w:sz w:val="24"/>
        </w:rPr>
      </w:pPr>
      <w:r>
        <w:rPr>
          <w:rFonts w:ascii="宋体" w:hAnsi="宋体" w:hint="eastAsia"/>
          <w:color w:val="000000"/>
          <w:sz w:val="24"/>
        </w:rPr>
        <w:t>1.3.4</w:t>
      </w:r>
      <w:r>
        <w:rPr>
          <w:rFonts w:ascii="宋体" w:hAnsi="宋体" w:hint="eastAsia"/>
          <w:b/>
          <w:color w:val="000000"/>
          <w:sz w:val="24"/>
        </w:rPr>
        <w:t>可研报告编制原则</w:t>
      </w:r>
    </w:p>
    <w:p>
      <w:pPr>
        <w:spacing w:line="520" w:lineRule="exact"/>
        <w:ind w:left="239" w:firstLine="360" w:leftChars="114" w:firstLineChars="150"/>
        <w:rPr>
          <w:rFonts w:ascii="宋体" w:hAnsi="宋体" w:hint="eastAsia"/>
          <w:color w:val="000000"/>
          <w:sz w:val="24"/>
        </w:rPr>
      </w:pPr>
      <w:r>
        <w:rPr>
          <w:rFonts w:ascii="宋体" w:hAnsi="宋体" w:hint="eastAsia"/>
          <w:color w:val="000000"/>
          <w:sz w:val="24"/>
        </w:rPr>
        <w:t>1）贯彻执行国家有关政策、法规和规范标准。贯彻执行</w:t>
      </w:r>
      <w:r>
        <w:rPr>
          <w:rFonts w:ascii="宋体" w:hAnsi="宋体" w:hint="eastAsia"/>
          <w:color w:val="000000"/>
          <w:sz w:val="24"/>
          <w:lang w:eastAsia="zh-CN"/>
        </w:rPr>
        <w:t>xxx</w:t>
      </w:r>
      <w:r>
        <w:rPr>
          <w:rFonts w:ascii="宋体" w:hAnsi="宋体" w:hint="eastAsia"/>
          <w:color w:val="000000"/>
          <w:sz w:val="24"/>
        </w:rPr>
        <w:t>省和</w:t>
      </w:r>
      <w:r>
        <w:rPr>
          <w:rFonts w:ascii="宋体" w:hAnsi="宋体" w:hint="eastAsia"/>
          <w:color w:val="000000"/>
          <w:sz w:val="24"/>
          <w:lang w:eastAsia="zh-CN"/>
        </w:rPr>
        <w:t>xxx</w:t>
      </w:r>
      <w:r>
        <w:rPr>
          <w:rFonts w:ascii="宋体" w:hAnsi="宋体" w:hint="eastAsia"/>
          <w:color w:val="000000"/>
          <w:sz w:val="24"/>
        </w:rPr>
        <w:t>、</w:t>
      </w:r>
      <w:r>
        <w:rPr>
          <w:rFonts w:ascii="宋体" w:hAnsi="宋体" w:hint="eastAsia"/>
          <w:color w:val="000000"/>
          <w:sz w:val="24"/>
          <w:lang w:eastAsia="zh-CN"/>
        </w:rPr>
        <w:t>xxx</w:t>
      </w:r>
      <w:r>
        <w:rPr>
          <w:rFonts w:ascii="宋体" w:hAnsi="宋体" w:hint="eastAsia"/>
          <w:color w:val="000000"/>
          <w:sz w:val="24"/>
        </w:rPr>
        <w:t>相关地方政府有关政策、法规、规范标准和优惠政策。</w:t>
      </w:r>
    </w:p>
    <w:p>
      <w:pPr>
        <w:spacing w:line="520" w:lineRule="exact"/>
        <w:ind w:firstLine="600" w:firstLineChars="250"/>
        <w:rPr>
          <w:rFonts w:ascii="宋体" w:hAnsi="宋体" w:hint="eastAsia"/>
          <w:color w:val="000000"/>
          <w:sz w:val="24"/>
        </w:rPr>
        <w:sectPr>
          <w:footerReference w:type="default" r:id="rId5"/>
          <w:pgSz w:w="11906" w:h="16838"/>
          <w:pgMar w:top="1440" w:right="1287" w:bottom="1559" w:left="1797" w:header="851" w:footer="992" w:gutter="0"/>
          <w:pgNumType w:start="1"/>
          <w:cols w:num="1" w:space="720"/>
          <w:docGrid w:type="linesAndChars" w:linePitch="312" w:charSpace="0"/>
        </w:sectPr>
      </w:pPr>
      <w:r>
        <w:rPr>
          <w:rFonts w:ascii="宋体" w:hAnsi="宋体" w:hint="eastAsia"/>
          <w:color w:val="000000"/>
          <w:sz w:val="24"/>
        </w:rPr>
        <w:t>2）全面规划、分步实施、遵循市场化和商业化运作原则，最大限度发挥项目的社会效益。</w:t>
      </w:r>
    </w:p>
    <w:p>
      <w:pPr>
        <w:spacing w:line="520" w:lineRule="exact"/>
        <w:ind w:firstLine="600" w:firstLineChars="250"/>
        <w:rPr>
          <w:rFonts w:ascii="宋体" w:hAnsi="宋体" w:hint="eastAsia"/>
          <w:color w:val="000000"/>
          <w:sz w:val="24"/>
        </w:rPr>
      </w:pPr>
      <w:r>
        <w:rPr>
          <w:rFonts w:ascii="宋体" w:hAnsi="宋体" w:hint="eastAsia"/>
          <w:color w:val="000000"/>
          <w:sz w:val="24"/>
        </w:rPr>
        <w:t>3）充分考虑</w:t>
      </w:r>
      <w:r>
        <w:rPr>
          <w:rFonts w:ascii="宋体" w:hAnsi="宋体" w:hint="eastAsia"/>
          <w:color w:val="000000"/>
          <w:sz w:val="24"/>
          <w:lang w:eastAsia="zh-CN"/>
        </w:rPr>
        <w:t>xxx</w:t>
      </w:r>
      <w:r>
        <w:rPr>
          <w:rFonts w:ascii="宋体" w:hAnsi="宋体" w:hint="eastAsia"/>
          <w:color w:val="000000"/>
          <w:sz w:val="24"/>
        </w:rPr>
        <w:t>省和</w:t>
      </w:r>
      <w:r>
        <w:rPr>
          <w:rFonts w:ascii="宋体" w:hAnsi="宋体" w:hint="eastAsia"/>
          <w:color w:val="000000"/>
          <w:sz w:val="24"/>
          <w:lang w:eastAsia="zh-CN"/>
        </w:rPr>
        <w:t>xxx</w:t>
      </w:r>
      <w:r>
        <w:rPr>
          <w:rFonts w:ascii="宋体" w:hAnsi="宋体" w:hint="eastAsia"/>
          <w:color w:val="000000"/>
          <w:sz w:val="24"/>
        </w:rPr>
        <w:t>及</w:t>
      </w:r>
      <w:r>
        <w:rPr>
          <w:rFonts w:ascii="宋体" w:hAnsi="宋体" w:hint="eastAsia"/>
          <w:color w:val="000000"/>
          <w:sz w:val="24"/>
          <w:lang w:eastAsia="zh-CN"/>
        </w:rPr>
        <w:t>xxx</w:t>
      </w:r>
      <w:r>
        <w:rPr>
          <w:rFonts w:ascii="宋体" w:hAnsi="宋体" w:hint="eastAsia"/>
          <w:color w:val="000000"/>
          <w:sz w:val="24"/>
        </w:rPr>
        <w:t>当地的实际情况，借鉴其它地区的成功经验和运行模式，提高项目运行效率和经济效益。</w:t>
      </w:r>
    </w:p>
    <w:p>
      <w:pPr>
        <w:spacing w:line="520" w:lineRule="exact"/>
        <w:ind w:firstLine="600" w:firstLineChars="250"/>
        <w:rPr>
          <w:rFonts w:ascii="宋体" w:hAnsi="宋体" w:hint="eastAsia"/>
          <w:color w:val="000000"/>
          <w:sz w:val="24"/>
        </w:rPr>
      </w:pPr>
      <w:r>
        <w:rPr>
          <w:rFonts w:ascii="宋体" w:hAnsi="宋体" w:hint="eastAsia"/>
          <w:color w:val="000000"/>
          <w:sz w:val="24"/>
        </w:rPr>
        <w:t>4）为了便于连贯阅读和浏览我们尽量把图形和表格插在主文档中。</w:t>
      </w:r>
    </w:p>
    <w:p>
      <w:pPr>
        <w:spacing w:line="520" w:lineRule="exact"/>
        <w:ind w:firstLine="703"/>
        <w:rPr>
          <w:rFonts w:ascii="宋体" w:hAnsi="宋体" w:hint="eastAsia"/>
          <w:b/>
          <w:color w:val="000000"/>
          <w:sz w:val="28"/>
          <w:szCs w:val="28"/>
        </w:rPr>
      </w:pPr>
      <w:r>
        <w:rPr>
          <w:rFonts w:ascii="宋体" w:hAnsi="宋体" w:hint="eastAsia"/>
          <w:b/>
          <w:color w:val="000000"/>
          <w:sz w:val="28"/>
          <w:szCs w:val="28"/>
        </w:rPr>
        <w:t>1.4 可研报告编制单位及主要人员</w:t>
      </w:r>
    </w:p>
    <w:p>
      <w:pPr>
        <w:spacing w:line="520" w:lineRule="exact"/>
        <w:ind w:firstLine="600" w:firstLineChars="250"/>
        <w:rPr>
          <w:rFonts w:ascii="宋体" w:hAnsi="宋体" w:hint="eastAsia"/>
          <w:color w:val="000000"/>
          <w:sz w:val="24"/>
        </w:rPr>
      </w:pPr>
      <w:r>
        <w:rPr>
          <w:rFonts w:ascii="宋体" w:hAnsi="宋体" w:hint="eastAsia"/>
          <w:color w:val="000000"/>
          <w:sz w:val="24"/>
          <w:lang w:eastAsia="zh-CN"/>
        </w:rPr>
        <w:t>xxxxxxxxxxxx</w:t>
      </w:r>
      <w:r>
        <w:rPr>
          <w:rFonts w:ascii="宋体" w:hAnsi="宋体" w:hint="eastAsia"/>
          <w:color w:val="000000"/>
          <w:sz w:val="24"/>
        </w:rPr>
        <w:t>有限责任公司</w:t>
      </w:r>
    </w:p>
    <w:p>
      <w:pPr>
        <w:spacing w:line="500" w:lineRule="exact"/>
        <w:ind w:firstLine="703"/>
        <w:rPr>
          <w:rFonts w:ascii="宋体" w:hAnsi="宋体" w:hint="eastAsia"/>
          <w:b/>
          <w:color w:val="000000"/>
          <w:sz w:val="28"/>
          <w:szCs w:val="28"/>
        </w:rPr>
      </w:pPr>
      <w:r>
        <w:rPr>
          <w:rFonts w:ascii="宋体" w:hAnsi="宋体" w:hint="eastAsia"/>
          <w:b/>
          <w:color w:val="000000"/>
          <w:sz w:val="28"/>
          <w:szCs w:val="28"/>
        </w:rPr>
        <w:t>1.5可行性研究报告结论及参数</w:t>
      </w:r>
    </w:p>
    <w:p>
      <w:pPr>
        <w:spacing w:line="500" w:lineRule="exact"/>
        <w:ind w:firstLine="840" w:firstLineChars="350"/>
        <w:rPr>
          <w:rFonts w:ascii="宋体" w:hAnsi="宋体" w:hint="eastAsia"/>
          <w:color w:val="000000"/>
          <w:sz w:val="24"/>
        </w:rPr>
      </w:pPr>
      <w:r>
        <w:rPr>
          <w:rFonts w:ascii="宋体" w:hAnsi="宋体" w:hint="eastAsia"/>
          <w:color w:val="000000"/>
          <w:sz w:val="24"/>
        </w:rPr>
        <w:t>1.5.1</w:t>
      </w:r>
      <w:r>
        <w:rPr>
          <w:rFonts w:ascii="宋体" w:hAnsi="宋体" w:hint="eastAsia"/>
          <w:b/>
          <w:color w:val="000000"/>
          <w:sz w:val="24"/>
        </w:rPr>
        <w:t>可行性研究结论</w:t>
      </w:r>
    </w:p>
    <w:p>
      <w:pPr>
        <w:spacing w:line="560" w:lineRule="exact"/>
        <w:ind w:firstLine="840" w:firstLineChars="350"/>
        <w:rPr>
          <w:rFonts w:ascii="宋体" w:hAnsi="宋体" w:hint="eastAsia"/>
          <w:color w:val="000000"/>
          <w:sz w:val="24"/>
        </w:rPr>
      </w:pPr>
      <w:r>
        <w:rPr>
          <w:rFonts w:ascii="宋体" w:hAnsi="宋体" w:hint="eastAsia"/>
          <w:color w:val="000000"/>
          <w:sz w:val="24"/>
        </w:rPr>
        <w:t>本项目符合</w:t>
      </w:r>
      <w:r>
        <w:rPr>
          <w:rFonts w:ascii="宋体" w:hAnsi="宋体" w:hint="eastAsia"/>
          <w:color w:val="000000"/>
          <w:sz w:val="24"/>
          <w:lang w:eastAsia="zh-CN"/>
        </w:rPr>
        <w:t>xxx</w:t>
      </w:r>
      <w:r>
        <w:rPr>
          <w:rFonts w:ascii="宋体" w:hAnsi="宋体" w:hint="eastAsia"/>
          <w:color w:val="000000"/>
          <w:sz w:val="24"/>
        </w:rPr>
        <w:t>产业政策和经济发展方向。</w:t>
      </w:r>
      <w:r>
        <w:rPr>
          <w:rFonts w:ascii="宋体" w:hAnsi="宋体" w:hint="eastAsia"/>
          <w:color w:val="000000"/>
          <w:kern w:val="0"/>
          <w:sz w:val="24"/>
        </w:rPr>
        <w:t>着重解决</w:t>
      </w:r>
      <w:r>
        <w:rPr>
          <w:rFonts w:ascii="宋体" w:hAnsi="宋体" w:hint="eastAsia"/>
          <w:color w:val="000000"/>
          <w:sz w:val="24"/>
          <w:lang w:eastAsia="zh-CN"/>
        </w:rPr>
        <w:t>xxx</w:t>
      </w:r>
      <w:r>
        <w:rPr>
          <w:rFonts w:ascii="宋体" w:hAnsi="宋体" w:hint="eastAsia"/>
          <w:color w:val="000000"/>
          <w:sz w:val="24"/>
        </w:rPr>
        <w:t>住房问题，缓解住房供需矛盾，逐步实现人人享有住房的社会目标。本项目是</w:t>
      </w:r>
      <w:r>
        <w:rPr>
          <w:rFonts w:ascii="宋体" w:hAnsi="宋体" w:hint="eastAsia"/>
          <w:color w:val="000000"/>
          <w:sz w:val="24"/>
          <w:lang w:eastAsia="zh-CN"/>
        </w:rPr>
        <w:t>xxx</w:t>
      </w:r>
      <w:r>
        <w:rPr>
          <w:rFonts w:ascii="宋体" w:hAnsi="宋体" w:hint="eastAsia"/>
          <w:color w:val="000000"/>
          <w:sz w:val="24"/>
        </w:rPr>
        <w:t>高铁小镇总体规划的重要组成部分，是</w:t>
      </w:r>
      <w:r>
        <w:rPr>
          <w:rFonts w:ascii="宋体" w:hAnsi="宋体" w:hint="eastAsia"/>
          <w:color w:val="000000"/>
          <w:sz w:val="24"/>
          <w:lang w:eastAsia="zh-CN"/>
        </w:rPr>
        <w:t>xxx</w:t>
      </w:r>
      <w:r>
        <w:rPr>
          <w:rFonts w:ascii="宋体" w:hAnsi="宋体" w:hint="eastAsia"/>
          <w:color w:val="000000"/>
          <w:sz w:val="24"/>
        </w:rPr>
        <w:t>建设西部国内旅游业快速发展的需要，更是优化完善</w:t>
      </w:r>
      <w:r>
        <w:rPr>
          <w:rFonts w:ascii="宋体" w:hAnsi="宋体" w:hint="eastAsia"/>
          <w:color w:val="000000"/>
          <w:sz w:val="24"/>
          <w:lang w:eastAsia="zh-CN"/>
        </w:rPr>
        <w:t>xxx</w:t>
      </w:r>
      <w:r>
        <w:rPr>
          <w:rFonts w:ascii="宋体" w:hAnsi="宋体" w:hint="eastAsia"/>
          <w:color w:val="000000"/>
          <w:sz w:val="24"/>
        </w:rPr>
        <w:t>投资环境的需要，项目的建设实施将更有利于扩大内需、拉动经济增长、维护了社会和谐发展，有利于促进社会稳定、政治安定、人民安居乐业。更有利于促进</w:t>
      </w:r>
      <w:r>
        <w:rPr>
          <w:rFonts w:ascii="宋体" w:hAnsi="宋体" w:hint="eastAsia"/>
          <w:color w:val="000000"/>
          <w:sz w:val="24"/>
          <w:lang w:eastAsia="zh-CN"/>
        </w:rPr>
        <w:t>xxx</w:t>
      </w:r>
      <w:r>
        <w:rPr>
          <w:rFonts w:ascii="宋体" w:hAnsi="宋体" w:hint="eastAsia"/>
          <w:color w:val="000000"/>
          <w:sz w:val="24"/>
        </w:rPr>
        <w:t>、</w:t>
      </w:r>
      <w:r>
        <w:rPr>
          <w:rFonts w:ascii="宋体" w:hAnsi="宋体" w:hint="eastAsia"/>
          <w:color w:val="000000"/>
          <w:sz w:val="24"/>
          <w:lang w:eastAsia="zh-CN"/>
        </w:rPr>
        <w:t>xxx</w:t>
      </w:r>
      <w:r>
        <w:rPr>
          <w:rFonts w:ascii="宋体" w:hAnsi="宋体" w:hint="eastAsia"/>
          <w:color w:val="000000"/>
          <w:sz w:val="24"/>
        </w:rPr>
        <w:t>经济建设和社会发展。项目定位为改善性住房，有利于改善我县住房条件，提升城市品味，升级换代和住宅建设由低档走向高档的发展趋势，根据</w:t>
      </w:r>
      <w:r>
        <w:rPr>
          <w:rFonts w:ascii="宋体" w:hAnsi="宋体" w:hint="eastAsia"/>
          <w:color w:val="000000"/>
          <w:sz w:val="24"/>
          <w:lang w:eastAsia="zh-CN"/>
        </w:rPr>
        <w:t>xxx</w:t>
      </w:r>
      <w:r>
        <w:rPr>
          <w:rFonts w:ascii="宋体" w:hAnsi="宋体" w:hint="eastAsia"/>
          <w:color w:val="000000"/>
          <w:sz w:val="24"/>
        </w:rPr>
        <w:t>房地产销售市场分析，项目开发有市场销路。财务分析结果，有明显的社会效益和经济效益。对</w:t>
      </w:r>
      <w:r>
        <w:rPr>
          <w:rFonts w:ascii="宋体" w:hAnsi="宋体" w:hint="eastAsia"/>
          <w:color w:val="000000"/>
          <w:sz w:val="24"/>
          <w:lang w:eastAsia="zh-CN"/>
        </w:rPr>
        <w:t>xxx</w:t>
      </w:r>
      <w:r>
        <w:rPr>
          <w:rFonts w:ascii="宋体" w:hAnsi="宋体" w:hint="eastAsia"/>
          <w:color w:val="000000"/>
          <w:sz w:val="24"/>
        </w:rPr>
        <w:t>的经济社会的可持续发展都是十分迫切和必要的。开发用地已取得，项目规划手续已陆续在办理，建设资金自筹已准备完成，现场条件具备。总之，项目是完全必要的、合理的、可行的。</w:t>
      </w:r>
    </w:p>
    <w:p>
      <w:pPr>
        <w:spacing w:line="500" w:lineRule="exact"/>
        <w:ind w:firstLine="600"/>
        <w:rPr>
          <w:rFonts w:ascii="宋体" w:hAnsi="宋体" w:hint="eastAsia"/>
          <w:color w:val="000000"/>
          <w:sz w:val="24"/>
        </w:rPr>
      </w:pPr>
      <w:r>
        <w:rPr>
          <w:rFonts w:ascii="宋体" w:hAnsi="宋体" w:hint="eastAsia"/>
          <w:color w:val="000000"/>
          <w:sz w:val="24"/>
        </w:rPr>
        <w:t>1.5.2</w:t>
      </w:r>
      <w:r>
        <w:rPr>
          <w:rFonts w:ascii="宋体" w:hAnsi="宋体" w:hint="eastAsia"/>
          <w:b/>
          <w:color w:val="000000"/>
          <w:sz w:val="24"/>
        </w:rPr>
        <w:t xml:space="preserve">综合指标参数表 </w:t>
      </w:r>
    </w:p>
    <w:p>
      <w:pPr>
        <w:spacing w:line="480" w:lineRule="exact"/>
        <w:ind w:firstLine="1200" w:firstLineChars="500"/>
        <w:rPr>
          <w:rFonts w:ascii="宋体" w:hAnsi="宋体" w:hint="eastAsia"/>
          <w:b/>
          <w:color w:val="000000"/>
          <w:sz w:val="24"/>
          <w:szCs w:val="28"/>
        </w:rPr>
      </w:pPr>
      <w:r>
        <w:rPr>
          <w:rFonts w:ascii="宋体" w:hAnsi="宋体" w:hint="eastAsia"/>
          <w:b/>
          <w:color w:val="000000"/>
          <w:sz w:val="24"/>
        </w:rPr>
        <w:t>住宅建设项</w:t>
      </w:r>
      <w:r>
        <w:rPr>
          <w:rFonts w:ascii="宋体" w:hAnsi="宋体" w:hint="eastAsia"/>
          <w:b/>
          <w:color w:val="000000"/>
          <w:sz w:val="24"/>
          <w:szCs w:val="28"/>
        </w:rPr>
        <w:t>项目</w:t>
      </w:r>
      <w:r>
        <w:rPr>
          <w:rFonts w:ascii="宋体" w:hAnsi="宋体" w:hint="eastAsia"/>
          <w:b/>
          <w:color w:val="000000"/>
          <w:sz w:val="24"/>
        </w:rPr>
        <w:t>综合指标表</w:t>
      </w:r>
      <w:r>
        <w:rPr>
          <w:b/>
          <w:bCs/>
          <w:color w:val="000000"/>
          <w:sz w:val="24"/>
        </w:rPr>
        <w:t xml:space="preserve"> </w:t>
      </w:r>
      <w:r>
        <w:rPr>
          <w:rFonts w:hint="eastAsia"/>
          <w:b/>
          <w:bCs/>
          <w:color w:val="000000"/>
          <w:sz w:val="18"/>
          <w:szCs w:val="18"/>
        </w:rPr>
        <w:t xml:space="preserve">                </w:t>
      </w:r>
      <w:r>
        <w:rPr>
          <w:rFonts w:hint="eastAsia"/>
          <w:color w:val="000000"/>
          <w:sz w:val="18"/>
          <w:szCs w:val="18"/>
        </w:rPr>
        <w:t>表—1</w:t>
      </w:r>
    </w:p>
    <w:tbl>
      <w:tblPr>
        <w:tblStyle w:val="TableNormal"/>
        <w:tblW w:w="9111" w:type="dxa"/>
        <w:tblInd w:w="-72" w:type="dxa"/>
        <w:tblBorders>
          <w:top w:val="single" w:sz="4" w:space="0" w:color="000000"/>
          <w:left w:val="single" w:sz="4" w:space="0" w:color="000000"/>
          <w:bottom w:val="single" w:sz="4" w:space="0" w:color="000000"/>
          <w:right w:val="single" w:sz="4" w:space="0" w:color="000000"/>
          <w:insideH w:val="nil"/>
          <w:insideV w:val="nil"/>
        </w:tblBorders>
        <w:tblLayout w:type="fixed"/>
        <w:tblCellMar>
          <w:top w:w="0" w:type="dxa"/>
          <w:left w:w="108" w:type="dxa"/>
          <w:bottom w:w="0" w:type="dxa"/>
          <w:right w:w="108" w:type="dxa"/>
        </w:tblCellMar>
      </w:tblPr>
      <w:tblGrid>
        <w:gridCol w:w="889"/>
        <w:gridCol w:w="2171"/>
        <w:gridCol w:w="1940"/>
        <w:gridCol w:w="4111"/>
      </w:tblGrid>
      <w:tr>
        <w:tblPrEx>
          <w:tblW w:w="9111" w:type="dxa"/>
          <w:tblInd w:w="-72" w:type="dxa"/>
          <w:tblBorders>
            <w:top w:val="single" w:sz="4" w:space="0" w:color="000000"/>
            <w:left w:val="single" w:sz="4" w:space="0" w:color="000000"/>
            <w:bottom w:val="single" w:sz="4" w:space="0" w:color="000000"/>
            <w:right w:val="single" w:sz="4" w:space="0" w:color="000000"/>
            <w:insideH w:val="nil"/>
            <w:insideV w:val="nil"/>
          </w:tblBorders>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
                <w:bCs/>
                <w:color w:val="000000"/>
                <w:szCs w:val="21"/>
              </w:rPr>
            </w:pPr>
            <w:r>
              <w:rPr>
                <w:rFonts w:ascii="宋体" w:hAnsi="宋体" w:hint="eastAsia"/>
                <w:b/>
                <w:bCs/>
                <w:color w:val="000000"/>
                <w:szCs w:val="21"/>
              </w:rPr>
              <w:t>序号</w:t>
            </w:r>
          </w:p>
        </w:tc>
        <w:tc>
          <w:tcPr>
            <w:tcW w:w="2171"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
                <w:bCs/>
                <w:color w:val="000000"/>
                <w:szCs w:val="21"/>
              </w:rPr>
            </w:pPr>
            <w:r>
              <w:rPr>
                <w:rFonts w:ascii="宋体" w:hAnsi="宋体" w:hint="eastAsia"/>
                <w:b/>
                <w:bCs/>
                <w:color w:val="000000"/>
                <w:szCs w:val="21"/>
              </w:rPr>
              <w:t>综合指标分项名称</w:t>
            </w:r>
          </w:p>
        </w:tc>
        <w:tc>
          <w:tcPr>
            <w:tcW w:w="1940"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
                <w:bCs/>
                <w:color w:val="000000"/>
                <w:szCs w:val="21"/>
              </w:rPr>
            </w:pPr>
            <w:r>
              <w:rPr>
                <w:rFonts w:ascii="宋体" w:hAnsi="宋体" w:hint="eastAsia"/>
                <w:b/>
                <w:bCs/>
                <w:color w:val="000000"/>
                <w:szCs w:val="21"/>
              </w:rPr>
              <w:t>项目规划设计指标</w:t>
            </w:r>
          </w:p>
        </w:tc>
        <w:tc>
          <w:tcPr>
            <w:tcW w:w="4111" w:type="dxa"/>
            <w:tcBorders>
              <w:top w:val="single" w:sz="4" w:space="0" w:color="000000"/>
              <w:left w:val="single" w:sz="4" w:space="0" w:color="000000"/>
              <w:bottom w:val="single" w:sz="4" w:space="0" w:color="000000"/>
              <w:right w:val="single" w:sz="4" w:space="0" w:color="000000"/>
            </w:tcBorders>
            <w:vAlign w:val="top"/>
          </w:tcPr>
          <w:p>
            <w:pPr>
              <w:ind w:firstLine="1029" w:firstLineChars="490"/>
              <w:rPr>
                <w:rFonts w:ascii="宋体" w:hAnsi="宋体" w:hint="eastAsia"/>
                <w:b/>
                <w:bCs/>
                <w:color w:val="000000"/>
                <w:szCs w:val="21"/>
              </w:rPr>
            </w:pPr>
            <w:r>
              <w:rPr>
                <w:rFonts w:ascii="宋体" w:hAnsi="宋体" w:hint="eastAsia"/>
                <w:b/>
                <w:bCs/>
                <w:color w:val="000000"/>
                <w:szCs w:val="21"/>
              </w:rPr>
              <w:t>备注及指标说明</w:t>
            </w: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
                <w:bCs/>
                <w:color w:val="000000"/>
                <w:szCs w:val="21"/>
              </w:rPr>
            </w:pPr>
            <w:r>
              <w:rPr>
                <w:rFonts w:ascii="宋体" w:hAnsi="宋体" w:hint="eastAsia"/>
                <w:b/>
                <w:bCs/>
                <w:color w:val="000000"/>
                <w:szCs w:val="21"/>
              </w:rPr>
              <w:t>1</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7"/>
              <w:rPr>
                <w:rFonts w:ascii="宋体" w:hAnsi="宋体" w:hint="eastAsia"/>
                <w:b/>
                <w:bCs/>
                <w:color w:val="000000"/>
                <w:szCs w:val="21"/>
              </w:rPr>
            </w:pPr>
            <w:r>
              <w:rPr>
                <w:rFonts w:ascii="宋体" w:hAnsi="宋体" w:hint="eastAsia"/>
                <w:b/>
                <w:bCs/>
                <w:color w:val="000000"/>
                <w:szCs w:val="21"/>
              </w:rPr>
              <w:t>用地指标</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7"/>
              <w:jc w:val="center"/>
              <w:rPr>
                <w:rFonts w:ascii="宋体" w:hAnsi="宋体" w:hint="eastAsia"/>
                <w:b/>
                <w:bCs/>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ind w:firstLine="206" w:firstLineChars="98"/>
              <w:rPr>
                <w:rFonts w:ascii="宋体" w:hAnsi="宋体" w:hint="eastAsia"/>
                <w:b/>
                <w:bCs/>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1.1</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bCs/>
                <w:color w:val="000000"/>
                <w:szCs w:val="21"/>
              </w:rPr>
            </w:pPr>
            <w:r>
              <w:rPr>
                <w:rFonts w:ascii="宋体" w:hAnsi="宋体" w:hint="eastAsia"/>
                <w:bCs/>
                <w:color w:val="000000"/>
                <w:szCs w:val="21"/>
              </w:rPr>
              <w:t>占地</w:t>
            </w:r>
            <w:r>
              <w:rPr>
                <w:rFonts w:ascii="宋体" w:hAnsi="宋体" w:hint="eastAsia"/>
                <w:color w:val="000000"/>
                <w:szCs w:val="21"/>
              </w:rPr>
              <w:t>面积</w:t>
            </w:r>
          </w:p>
        </w:tc>
        <w:tc>
          <w:tcPr>
            <w:tcW w:w="1940"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Cs/>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bCs/>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1.2</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净用地面积</w:t>
            </w:r>
          </w:p>
        </w:tc>
        <w:tc>
          <w:tcPr>
            <w:tcW w:w="1940"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Cs/>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ind w:firstLine="527"/>
              <w:rPr>
                <w:rFonts w:ascii="宋体" w:hAnsi="宋体" w:hint="eastAsia"/>
                <w:b/>
                <w:bCs/>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
                <w:color w:val="000000"/>
                <w:szCs w:val="21"/>
              </w:rPr>
            </w:pPr>
            <w:r>
              <w:rPr>
                <w:rFonts w:ascii="宋体" w:hAnsi="宋体" w:hint="eastAsia"/>
                <w:b/>
                <w:color w:val="000000"/>
                <w:szCs w:val="21"/>
              </w:rPr>
              <w:t>2</w:t>
            </w:r>
          </w:p>
        </w:tc>
        <w:tc>
          <w:tcPr>
            <w:tcW w:w="2171"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
                <w:color w:val="000000"/>
                <w:szCs w:val="21"/>
              </w:rPr>
            </w:pPr>
            <w:r>
              <w:rPr>
                <w:rFonts w:ascii="宋体" w:hAnsi="宋体" w:hint="eastAsia"/>
                <w:b/>
                <w:color w:val="000000"/>
                <w:szCs w:val="21"/>
              </w:rPr>
              <w:t>建设总指标</w:t>
            </w:r>
            <w:r>
              <w:rPr>
                <w:rFonts w:ascii="宋体" w:hAnsi="宋体" w:hint="eastAsia"/>
                <w:b/>
                <w:bCs/>
                <w:color w:val="000000"/>
                <w:szCs w:val="21"/>
              </w:rPr>
              <w:t>要求</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7"/>
              <w:jc w:val="center"/>
              <w:rPr>
                <w:rFonts w:ascii="宋体" w:hAnsi="宋体" w:hint="eastAsia"/>
                <w:b/>
                <w:bCs/>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ind w:firstLine="527"/>
              <w:rPr>
                <w:rFonts w:ascii="宋体" w:hAnsi="宋体" w:hint="eastAsia"/>
                <w:b/>
                <w:bCs/>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2.</w:t>
            </w:r>
            <w:r>
              <w:rPr>
                <w:rFonts w:ascii="宋体" w:hAnsi="宋体"/>
                <w:color w:val="000000"/>
                <w:szCs w:val="21"/>
              </w:rPr>
              <w:t>1</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投资强度</w:t>
            </w:r>
          </w:p>
        </w:tc>
        <w:tc>
          <w:tcPr>
            <w:tcW w:w="1940"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Cs/>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2.2</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容积率</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2.3</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建筑密度</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2.</w:t>
            </w:r>
            <w:r>
              <w:rPr>
                <w:rFonts w:ascii="宋体" w:hAnsi="宋体"/>
                <w:color w:val="000000"/>
                <w:szCs w:val="21"/>
              </w:rPr>
              <w:t>4</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绿地率</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Ansi="宋体" w:hint="eastAsia"/>
                <w:color w:val="000000"/>
                <w:szCs w:val="21"/>
              </w:rPr>
            </w:pPr>
          </w:p>
        </w:tc>
      </w:tr>
    </w:tbl>
    <w:p>
      <w:pPr>
        <w:sectPr>
          <w:footerReference w:type="default" r:id="rId6"/>
          <w:type w:val="nextPage"/>
          <w:pgSz w:w="11906" w:h="16838"/>
          <w:pgMar w:top="1440" w:right="1287" w:bottom="1559" w:left="1797" w:header="851" w:footer="992" w:gutter="0"/>
          <w:pgNumType w:start="2"/>
          <w:cols w:num="1" w:space="720"/>
          <w:titlePg w:val="0"/>
          <w:docGrid w:type="linesAndChars" w:linePitch="312" w:charSpace="0"/>
        </w:sectPr>
      </w:pPr>
    </w:p>
    <w:tbl>
      <w:tblPr>
        <w:tblStyle w:val="TableNormal"/>
        <w:tblW w:w="9111" w:type="dxa"/>
        <w:tblInd w:w="-72" w:type="dxa"/>
        <w:tblBorders>
          <w:top w:val="single" w:sz="4" w:space="0" w:color="000000"/>
          <w:left w:val="single" w:sz="4" w:space="0" w:color="000000"/>
          <w:bottom w:val="single" w:sz="4" w:space="0" w:color="000000"/>
          <w:right w:val="single" w:sz="4" w:space="0" w:color="000000"/>
          <w:insideH w:val="nil"/>
          <w:insideV w:val="nil"/>
        </w:tblBorders>
        <w:tblLayout w:type="fixed"/>
        <w:tblCellMar>
          <w:top w:w="0" w:type="dxa"/>
          <w:left w:w="108" w:type="dxa"/>
          <w:bottom w:w="0" w:type="dxa"/>
          <w:right w:w="108" w:type="dxa"/>
        </w:tblCellMar>
      </w:tblPr>
      <w:tblGrid>
        <w:gridCol w:w="889"/>
        <w:gridCol w:w="2171"/>
        <w:gridCol w:w="1940"/>
        <w:gridCol w:w="4111"/>
      </w:tblGrid>
      <w:tr>
        <w:tblPrEx>
          <w:tblW w:w="9111" w:type="dxa"/>
          <w:tblInd w:w="-72" w:type="dxa"/>
          <w:tblBorders>
            <w:top w:val="single" w:sz="4" w:space="0" w:color="000000"/>
            <w:left w:val="single" w:sz="4" w:space="0" w:color="000000"/>
            <w:bottom w:val="single" w:sz="4" w:space="0" w:color="000000"/>
            <w:right w:val="single" w:sz="4" w:space="0" w:color="000000"/>
            <w:insideH w:val="nil"/>
            <w:insideV w:val="nil"/>
          </w:tblBorders>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2.5</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居住户数</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Ansi="宋体" w:hint="eastAsia"/>
                <w:color w:val="000000"/>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2.6</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居住人数</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ind w:firstLine="525"/>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2.7</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机动车停车</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2.8</w:t>
            </w:r>
          </w:p>
        </w:tc>
        <w:tc>
          <w:tcPr>
            <w:tcW w:w="2171"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非机动车停车位</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
                <w:color w:val="000000"/>
                <w:szCs w:val="21"/>
              </w:rPr>
            </w:pPr>
            <w:r>
              <w:rPr>
                <w:rFonts w:ascii="宋体" w:hAnsi="宋体" w:hint="eastAsia"/>
                <w:b/>
                <w:color w:val="000000"/>
                <w:szCs w:val="21"/>
              </w:rPr>
              <w:t>3</w:t>
            </w:r>
          </w:p>
        </w:tc>
        <w:tc>
          <w:tcPr>
            <w:tcW w:w="2171"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
                <w:color w:val="000000"/>
                <w:szCs w:val="21"/>
              </w:rPr>
            </w:pPr>
            <w:r>
              <w:rPr>
                <w:rFonts w:ascii="宋体" w:hAnsi="宋体" w:hint="eastAsia"/>
                <w:b/>
                <w:color w:val="000000"/>
                <w:szCs w:val="21"/>
              </w:rPr>
              <w:t>建筑面积指标参数</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jc w:val="center"/>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ind w:firstLine="525"/>
              <w:jc w:val="both"/>
              <w:rPr>
                <w:rFonts w:ascii="宋体" w:hAnsi="宋体"/>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3.1</w:t>
            </w:r>
          </w:p>
        </w:tc>
        <w:tc>
          <w:tcPr>
            <w:tcW w:w="2171"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总建筑建筑面积</w:t>
            </w:r>
          </w:p>
        </w:tc>
        <w:tc>
          <w:tcPr>
            <w:tcW w:w="1940" w:type="dxa"/>
            <w:tcBorders>
              <w:top w:val="single" w:sz="4" w:space="0" w:color="000000"/>
              <w:left w:val="single" w:sz="4" w:space="0" w:color="000000"/>
              <w:bottom w:val="single" w:sz="4" w:space="0" w:color="000000"/>
              <w:right w:val="single" w:sz="4" w:space="0" w:color="000000"/>
            </w:tcBorders>
            <w:vAlign w:val="top"/>
          </w:tcPr>
          <w:p>
            <w:pPr>
              <w:jc w:val="center"/>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3.2</w:t>
            </w:r>
          </w:p>
        </w:tc>
        <w:tc>
          <w:tcPr>
            <w:tcW w:w="2171"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高层住宅建筑面积</w:t>
            </w:r>
          </w:p>
        </w:tc>
        <w:tc>
          <w:tcPr>
            <w:tcW w:w="1940" w:type="dxa"/>
            <w:tcBorders>
              <w:top w:val="single" w:sz="4" w:space="0" w:color="000000"/>
              <w:left w:val="single" w:sz="4" w:space="0" w:color="000000"/>
              <w:bottom w:val="single" w:sz="4" w:space="0" w:color="000000"/>
              <w:right w:val="single" w:sz="4" w:space="0" w:color="000000"/>
            </w:tcBorders>
            <w:vAlign w:val="top"/>
          </w:tcPr>
          <w:p>
            <w:pPr>
              <w:jc w:val="center"/>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ind w:firstLine="210" w:firstLineChars="100"/>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3.3</w:t>
            </w:r>
          </w:p>
        </w:tc>
        <w:tc>
          <w:tcPr>
            <w:tcW w:w="2171"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公共配套建筑面积</w:t>
            </w:r>
          </w:p>
        </w:tc>
        <w:tc>
          <w:tcPr>
            <w:tcW w:w="1940" w:type="dxa"/>
            <w:tcBorders>
              <w:top w:val="single" w:sz="4" w:space="0" w:color="000000"/>
              <w:left w:val="single" w:sz="4" w:space="0" w:color="000000"/>
              <w:bottom w:val="single" w:sz="4" w:space="0" w:color="000000"/>
              <w:right w:val="single" w:sz="4" w:space="0" w:color="000000"/>
            </w:tcBorders>
            <w:vAlign w:val="top"/>
          </w:tcPr>
          <w:p>
            <w:pPr>
              <w:jc w:val="center"/>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Height w:val="361"/>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3.4</w:t>
            </w:r>
          </w:p>
        </w:tc>
        <w:tc>
          <w:tcPr>
            <w:tcW w:w="2171"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地下人防面积</w:t>
            </w:r>
          </w:p>
        </w:tc>
        <w:tc>
          <w:tcPr>
            <w:tcW w:w="1940" w:type="dxa"/>
            <w:tcBorders>
              <w:top w:val="single" w:sz="4" w:space="0" w:color="000000"/>
              <w:left w:val="single" w:sz="4" w:space="0" w:color="000000"/>
              <w:bottom w:val="single" w:sz="4" w:space="0" w:color="000000"/>
              <w:right w:val="single" w:sz="4" w:space="0" w:color="000000"/>
            </w:tcBorders>
            <w:vAlign w:val="top"/>
          </w:tcPr>
          <w:p>
            <w:pPr>
              <w:jc w:val="center"/>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3.5</w:t>
            </w:r>
          </w:p>
        </w:tc>
        <w:tc>
          <w:tcPr>
            <w:tcW w:w="2171"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地下车库及设备面积</w:t>
            </w:r>
          </w:p>
        </w:tc>
        <w:tc>
          <w:tcPr>
            <w:tcW w:w="1940" w:type="dxa"/>
            <w:tcBorders>
              <w:top w:val="single" w:sz="4" w:space="0" w:color="000000"/>
              <w:left w:val="single" w:sz="4" w:space="0" w:color="000000"/>
              <w:bottom w:val="single" w:sz="4" w:space="0" w:color="000000"/>
              <w:right w:val="single" w:sz="4" w:space="0" w:color="000000"/>
            </w:tcBorders>
            <w:vAlign w:val="top"/>
          </w:tcPr>
          <w:p>
            <w:pPr>
              <w:jc w:val="center"/>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ind w:firstLine="525"/>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
                <w:color w:val="000000"/>
                <w:szCs w:val="21"/>
              </w:rPr>
            </w:pPr>
            <w:r>
              <w:rPr>
                <w:rFonts w:ascii="宋体" w:hAnsi="宋体" w:hint="eastAsia"/>
                <w:b/>
                <w:color w:val="000000"/>
                <w:szCs w:val="21"/>
              </w:rPr>
              <w:t>4</w:t>
            </w:r>
          </w:p>
        </w:tc>
        <w:tc>
          <w:tcPr>
            <w:tcW w:w="2171"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
                <w:color w:val="000000"/>
                <w:szCs w:val="21"/>
              </w:rPr>
            </w:pPr>
            <w:r>
              <w:rPr>
                <w:rFonts w:ascii="宋体" w:hAnsi="宋体" w:hint="eastAsia"/>
                <w:b/>
                <w:color w:val="000000"/>
                <w:szCs w:val="21"/>
              </w:rPr>
              <w:t>财务指标</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jc w:val="center"/>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ind w:firstLine="525"/>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4.1</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总投资</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4.2.</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购地成本</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int="eastAsia"/>
                <w:color w:val="000000"/>
                <w:kern w:val="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4.3.</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建设费投资</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int="eastAsia"/>
                <w:color w:val="000000"/>
                <w:kern w:val="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4.4.</w:t>
            </w:r>
          </w:p>
        </w:tc>
        <w:tc>
          <w:tcPr>
            <w:tcW w:w="2171"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配套及基础设施</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ind w:firstLine="525"/>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4.5.</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其他费用投资</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ind w:firstLine="525"/>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
                <w:color w:val="000000"/>
                <w:szCs w:val="21"/>
              </w:rPr>
            </w:pPr>
            <w:r>
              <w:rPr>
                <w:rFonts w:ascii="宋体" w:hAnsi="宋体" w:hint="eastAsia"/>
                <w:b/>
                <w:color w:val="000000"/>
                <w:szCs w:val="21"/>
              </w:rPr>
              <w:t>5</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jc w:val="center"/>
              <w:rPr>
                <w:rFonts w:ascii="宋体" w:hAnsi="宋体" w:hint="eastAsia"/>
                <w:b/>
                <w:color w:val="000000"/>
                <w:szCs w:val="21"/>
              </w:rPr>
            </w:pPr>
            <w:r>
              <w:rPr>
                <w:rFonts w:ascii="宋体" w:hAnsi="宋体" w:hint="eastAsia"/>
                <w:b/>
                <w:color w:val="000000"/>
                <w:szCs w:val="21"/>
              </w:rPr>
              <w:t>经济社会效益</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ind w:firstLine="525"/>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5.1</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销售收入</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Ansi="宋体" w:hint="eastAsia"/>
                <w:color w:val="00000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5.2</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总税金</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int="eastAsia"/>
                <w:color w:val="000000"/>
                <w:kern w:val="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5.3</w:t>
            </w:r>
          </w:p>
        </w:tc>
        <w:tc>
          <w:tcPr>
            <w:tcW w:w="2171"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投资回报率</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int="eastAsia"/>
                <w:color w:val="000000"/>
                <w:kern w:val="0"/>
                <w:szCs w:val="21"/>
              </w:rPr>
            </w:pPr>
          </w:p>
        </w:tc>
      </w:tr>
      <w:tr>
        <w:tblPrEx>
          <w:tblW w:w="9111" w:type="dxa"/>
          <w:tblInd w:w="-72" w:type="dxa"/>
          <w:tblLayout w:type="fixed"/>
          <w:tblCellMar>
            <w:top w:w="0" w:type="dxa"/>
            <w:left w:w="108" w:type="dxa"/>
            <w:bottom w:w="0" w:type="dxa"/>
            <w:right w:w="108" w:type="dxa"/>
          </w:tblCellMar>
        </w:tblPrEx>
        <w:trPr>
          <w:cantSplit/>
        </w:trPr>
        <w:tc>
          <w:tcPr>
            <w:tcW w:w="889"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5.4</w:t>
            </w:r>
          </w:p>
        </w:tc>
        <w:tc>
          <w:tcPr>
            <w:tcW w:w="2171"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耗能指标（</w:t>
            </w:r>
            <w:r>
              <w:rPr>
                <w:rFonts w:ascii="宋体" w:hint="eastAsia"/>
                <w:color w:val="000000"/>
                <w:kern w:val="0"/>
                <w:szCs w:val="21"/>
              </w:rPr>
              <w:t>吨标煤</w:t>
            </w:r>
            <w:r>
              <w:rPr>
                <w:rFonts w:ascii="宋体" w:hAnsi="宋体" w:hint="eastAsia"/>
                <w:color w:val="000000"/>
                <w:szCs w:val="21"/>
              </w:rPr>
              <w:t>）</w:t>
            </w:r>
          </w:p>
        </w:tc>
        <w:tc>
          <w:tcPr>
            <w:tcW w:w="1940"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int="eastAsia"/>
                <w:color w:val="000000"/>
                <w:kern w:val="0"/>
                <w:szCs w:val="21"/>
              </w:rPr>
            </w:pPr>
          </w:p>
        </w:tc>
        <w:tc>
          <w:tcPr>
            <w:tcW w:w="4111" w:type="dxa"/>
            <w:tcBorders>
              <w:top w:val="single" w:sz="4" w:space="0" w:color="000000"/>
              <w:left w:val="single" w:sz="4" w:space="0" w:color="000000"/>
              <w:bottom w:val="single" w:sz="4" w:space="0" w:color="000000"/>
              <w:right w:val="single" w:sz="4" w:space="0" w:color="000000"/>
            </w:tcBorders>
            <w:vAlign w:val="top"/>
          </w:tcPr>
          <w:p>
            <w:pPr>
              <w:jc w:val="both"/>
              <w:rPr>
                <w:rFonts w:ascii="宋体" w:hint="eastAsia"/>
                <w:color w:val="000000"/>
                <w:kern w:val="0"/>
                <w:szCs w:val="21"/>
              </w:rPr>
            </w:pPr>
          </w:p>
        </w:tc>
      </w:tr>
    </w:tbl>
    <w:p>
      <w:pPr>
        <w:spacing w:line="540" w:lineRule="exact"/>
        <w:ind w:firstLine="2064" w:firstLineChars="645"/>
        <w:rPr>
          <w:rFonts w:ascii="微软雅黑" w:eastAsia="微软雅黑" w:hAnsi="微软雅黑" w:hint="eastAsia"/>
          <w:b/>
          <w:bCs/>
          <w:color w:val="000000"/>
          <w:sz w:val="32"/>
          <w:szCs w:val="32"/>
        </w:rPr>
      </w:pPr>
      <w:r>
        <w:rPr>
          <w:rFonts w:ascii="微软雅黑" w:eastAsia="微软雅黑" w:hAnsi="微软雅黑" w:hint="eastAsia"/>
          <w:b/>
          <w:bCs/>
          <w:color w:val="000000"/>
          <w:sz w:val="32"/>
          <w:szCs w:val="32"/>
        </w:rPr>
        <w:t>第三章    项目建设用地及经济指标</w:t>
      </w:r>
    </w:p>
    <w:p>
      <w:pPr>
        <w:spacing w:line="540" w:lineRule="exact"/>
        <w:ind w:firstLine="560" w:firstLineChars="200"/>
        <w:rPr>
          <w:rFonts w:ascii="宋体" w:hAnsi="宋体" w:hint="eastAsia"/>
          <w:b/>
          <w:color w:val="000000"/>
          <w:sz w:val="28"/>
          <w:szCs w:val="28"/>
        </w:rPr>
      </w:pPr>
      <w:r>
        <w:rPr>
          <w:rFonts w:ascii="宋体" w:hAnsi="宋体" w:hint="eastAsia"/>
          <w:b/>
          <w:color w:val="000000"/>
          <w:sz w:val="28"/>
          <w:szCs w:val="28"/>
        </w:rPr>
        <w:t>3.1 项目建设用地方案</w:t>
      </w:r>
    </w:p>
    <w:p>
      <w:pPr>
        <w:spacing w:line="540" w:lineRule="exact"/>
        <w:ind w:firstLine="600"/>
        <w:rPr>
          <w:rFonts w:ascii="宋体" w:hAnsi="宋体" w:hint="eastAsia"/>
          <w:color w:val="000000"/>
          <w:sz w:val="24"/>
        </w:rPr>
      </w:pPr>
      <w:r>
        <w:rPr>
          <w:rFonts w:ascii="宋体" w:hAnsi="宋体" w:hint="eastAsia"/>
          <w:color w:val="000000"/>
          <w:sz w:val="24"/>
        </w:rPr>
        <w:t>3.1.1</w:t>
      </w:r>
      <w:r>
        <w:rPr>
          <w:rFonts w:ascii="宋体" w:hAnsi="宋体" w:hint="eastAsia"/>
          <w:b/>
          <w:color w:val="000000"/>
          <w:sz w:val="24"/>
        </w:rPr>
        <w:t>项目选址</w:t>
      </w:r>
    </w:p>
    <w:p>
      <w:pPr>
        <w:spacing w:line="540" w:lineRule="exact"/>
        <w:ind w:firstLine="600"/>
        <w:rPr>
          <w:rFonts w:ascii="宋体" w:hAnsi="宋体" w:hint="eastAsia"/>
          <w:color w:val="000000"/>
          <w:sz w:val="24"/>
        </w:rPr>
      </w:pPr>
      <w:r>
        <w:rPr>
          <w:rFonts w:ascii="宋体" w:hAnsi="宋体" w:hint="eastAsia"/>
          <w:color w:val="000000"/>
          <w:sz w:val="24"/>
        </w:rPr>
        <w:t>3.1.3</w:t>
      </w:r>
      <w:r>
        <w:rPr>
          <w:rFonts w:ascii="宋体" w:hAnsi="宋体" w:hint="eastAsia"/>
          <w:b/>
          <w:color w:val="000000"/>
          <w:sz w:val="24"/>
        </w:rPr>
        <w:t>交通位置</w:t>
      </w:r>
    </w:p>
    <w:p>
      <w:pPr>
        <w:spacing w:line="540" w:lineRule="exact"/>
        <w:ind w:firstLine="600" w:firstLineChars="250"/>
        <w:rPr>
          <w:rFonts w:ascii="宋体" w:hAnsi="宋体" w:hint="eastAsia"/>
          <w:color w:val="000000"/>
          <w:sz w:val="24"/>
        </w:rPr>
      </w:pPr>
      <w:r>
        <w:rPr>
          <w:rFonts w:ascii="宋体" w:hAnsi="宋体" w:hint="eastAsia"/>
          <w:color w:val="000000"/>
          <w:sz w:val="24"/>
        </w:rPr>
        <w:t>项目北邻思源路，西邻车站大道，小区主大门位于小区西侧，通过车站大道直接与312国道相通。北门直通思源路，交通十分便捷，区位及交通优势非常明显。</w:t>
      </w:r>
    </w:p>
    <w:p>
      <w:pPr>
        <w:spacing w:line="540" w:lineRule="exact"/>
        <w:ind w:firstLine="602"/>
        <w:rPr>
          <w:rFonts w:ascii="宋体" w:hAnsi="宋体" w:hint="eastAsia"/>
          <w:b/>
          <w:color w:val="000000"/>
          <w:sz w:val="24"/>
        </w:rPr>
      </w:pPr>
      <w:r>
        <w:rPr>
          <w:rFonts w:ascii="宋体" w:hAnsi="宋体" w:hint="eastAsia"/>
          <w:b/>
          <w:color w:val="000000"/>
          <w:sz w:val="24"/>
        </w:rPr>
        <w:t>3.2项目拟投资建设允许用地指标说明</w:t>
      </w:r>
    </w:p>
    <w:p>
      <w:pPr>
        <w:spacing w:line="540" w:lineRule="exact"/>
        <w:ind w:firstLine="480" w:firstLineChars="200"/>
        <w:rPr>
          <w:rFonts w:ascii="宋体" w:hAnsi="宋体" w:hint="eastAsia"/>
          <w:b/>
          <w:color w:val="000000"/>
          <w:sz w:val="24"/>
        </w:rPr>
      </w:pPr>
      <w:r>
        <w:rPr>
          <w:rFonts w:ascii="宋体" w:hAnsi="宋体" w:hint="eastAsia"/>
          <w:b/>
          <w:color w:val="000000"/>
          <w:sz w:val="24"/>
        </w:rPr>
        <w:t xml:space="preserve"> </w:t>
      </w:r>
      <w:r>
        <w:rPr>
          <w:rFonts w:ascii="宋体" w:hAnsi="宋体" w:hint="eastAsia"/>
          <w:color w:val="000000"/>
          <w:sz w:val="24"/>
        </w:rPr>
        <w:t>按照国土资发[2008]24号《工业项目建设用地控制指标（试行）》的通知和陕政办发（2008）25号文件附本《</w:t>
      </w:r>
      <w:r>
        <w:rPr>
          <w:rFonts w:ascii="宋体" w:hAnsi="宋体" w:hint="eastAsia"/>
          <w:color w:val="000000"/>
          <w:sz w:val="24"/>
          <w:lang w:eastAsia="zh-CN"/>
        </w:rPr>
        <w:t>xxx</w:t>
      </w:r>
      <w:r>
        <w:rPr>
          <w:rFonts w:ascii="宋体" w:hAnsi="宋体" w:hint="eastAsia"/>
          <w:color w:val="000000"/>
          <w:sz w:val="24"/>
        </w:rPr>
        <w:t>省建设用地指标》、即《</w:t>
      </w:r>
      <w:r>
        <w:rPr>
          <w:rFonts w:ascii="宋体" w:hAnsi="宋体" w:hint="eastAsia"/>
          <w:color w:val="000000"/>
          <w:sz w:val="24"/>
          <w:lang w:eastAsia="zh-CN"/>
        </w:rPr>
        <w:t>xxx</w:t>
      </w:r>
      <w:r>
        <w:rPr>
          <w:rFonts w:ascii="宋体" w:hAnsi="宋体" w:hint="eastAsia"/>
          <w:color w:val="000000"/>
          <w:sz w:val="24"/>
        </w:rPr>
        <w:t>省居住建设用地指标》（P145页、150-151、175页）规定：本《</w:t>
      </w:r>
      <w:r>
        <w:rPr>
          <w:rFonts w:ascii="宋体" w:hAnsi="宋体" w:hint="eastAsia"/>
          <w:color w:val="000000"/>
          <w:sz w:val="24"/>
          <w:lang w:eastAsia="zh-CN"/>
        </w:rPr>
        <w:t>xxx</w:t>
      </w:r>
      <w:r>
        <w:rPr>
          <w:rFonts w:ascii="宋体" w:hAnsi="宋体" w:hint="eastAsia"/>
          <w:color w:val="000000"/>
          <w:sz w:val="24"/>
        </w:rPr>
        <w:t>住宅建设项目》用地审批指标有两类：</w:t>
      </w:r>
    </w:p>
    <w:p>
      <w:pPr>
        <w:spacing w:line="540" w:lineRule="exact"/>
        <w:ind w:firstLine="602"/>
        <w:rPr>
          <w:rFonts w:ascii="宋体" w:hAnsi="宋体" w:hint="eastAsia"/>
          <w:color w:val="000000"/>
          <w:sz w:val="24"/>
        </w:rPr>
        <w:sectPr>
          <w:footerReference w:type="default" r:id="rId7"/>
          <w:type w:val="nextPage"/>
          <w:pgSz w:w="11906" w:h="16838"/>
          <w:pgMar w:top="1440" w:right="1287" w:bottom="1559" w:left="1797" w:header="851" w:footer="992" w:gutter="0"/>
          <w:pgNumType w:start="3"/>
          <w:cols w:num="1" w:space="720"/>
          <w:titlePg w:val="0"/>
          <w:docGrid w:type="linesAndChars" w:linePitch="312" w:charSpace="0"/>
        </w:sectPr>
      </w:pPr>
      <w:r>
        <w:rPr>
          <w:rFonts w:ascii="宋体" w:hAnsi="宋体" w:hint="eastAsia"/>
          <w:color w:val="000000"/>
          <w:sz w:val="24"/>
        </w:rPr>
        <w:t>第一类是用地投资强度要求</w:t>
      </w:r>
    </w:p>
    <w:p>
      <w:pPr>
        <w:spacing w:line="540" w:lineRule="exact"/>
        <w:ind w:firstLine="600"/>
        <w:rPr>
          <w:rFonts w:ascii="宋体" w:hAnsi="宋体" w:hint="eastAsia"/>
          <w:color w:val="000000"/>
          <w:sz w:val="24"/>
        </w:rPr>
      </w:pPr>
      <w:r>
        <w:rPr>
          <w:rFonts w:ascii="宋体" w:hAnsi="宋体" w:hint="eastAsia"/>
          <w:color w:val="000000"/>
          <w:sz w:val="24"/>
        </w:rPr>
        <w:t>第二类是居住建设指标要求</w:t>
      </w:r>
    </w:p>
    <w:p>
      <w:pPr>
        <w:spacing w:line="540" w:lineRule="exact"/>
        <w:ind w:firstLine="600"/>
        <w:rPr>
          <w:rFonts w:ascii="宋体" w:hAnsi="宋体" w:hint="eastAsia"/>
          <w:color w:val="000000"/>
          <w:sz w:val="24"/>
        </w:rPr>
      </w:pPr>
      <w:r>
        <w:rPr>
          <w:rFonts w:ascii="宋体" w:hAnsi="宋体" w:hint="eastAsia"/>
          <w:color w:val="000000"/>
          <w:sz w:val="24"/>
        </w:rPr>
        <w:t>第三类是单位建设用地指标要求</w:t>
      </w:r>
    </w:p>
    <w:p>
      <w:pPr>
        <w:spacing w:line="540" w:lineRule="exact"/>
        <w:ind w:firstLine="600"/>
        <w:rPr>
          <w:rFonts w:ascii="宋体" w:hAnsi="宋体" w:hint="eastAsia"/>
          <w:color w:val="000000"/>
          <w:sz w:val="24"/>
        </w:rPr>
      </w:pPr>
      <w:r>
        <w:rPr>
          <w:rFonts w:ascii="宋体" w:hAnsi="宋体" w:hint="eastAsia"/>
          <w:color w:val="000000"/>
          <w:sz w:val="24"/>
        </w:rPr>
        <w:t>三类指标具体说明如下：</w:t>
      </w:r>
    </w:p>
    <w:p>
      <w:pPr>
        <w:spacing w:line="540" w:lineRule="exact"/>
        <w:ind w:firstLine="600"/>
        <w:rPr>
          <w:rFonts w:ascii="宋体" w:hAnsi="宋体" w:hint="eastAsia"/>
          <w:color w:val="000000"/>
          <w:sz w:val="24"/>
        </w:rPr>
      </w:pPr>
      <w:r>
        <w:rPr>
          <w:rFonts w:ascii="宋体" w:hAnsi="宋体" w:hint="eastAsia"/>
          <w:color w:val="000000"/>
          <w:sz w:val="24"/>
        </w:rPr>
        <w:t>1）第一类是用地投资强度指标即：本项目土地登记类别为四类14等用地，按《</w:t>
      </w:r>
      <w:r>
        <w:rPr>
          <w:rFonts w:ascii="宋体" w:hAnsi="宋体" w:hint="eastAsia"/>
          <w:color w:val="000000"/>
          <w:sz w:val="24"/>
          <w:lang w:eastAsia="zh-CN"/>
        </w:rPr>
        <w:t>xxx</w:t>
      </w:r>
      <w:r>
        <w:rPr>
          <w:rFonts w:ascii="宋体" w:hAnsi="宋体" w:hint="eastAsia"/>
          <w:color w:val="000000"/>
          <w:sz w:val="24"/>
        </w:rPr>
        <w:t>省居住建设用地指标》（P145页、150-151、175页）规定要求、本项目用地投资强度要求</w:t>
      </w:r>
      <w:r>
        <w:rPr>
          <w:rFonts w:ascii="宋体" w:hAnsi="宋体" w:hint="eastAsia"/>
          <w:bCs/>
          <w:color w:val="000000"/>
          <w:sz w:val="24"/>
        </w:rPr>
        <w:t>≥602万元/公顷。</w:t>
      </w:r>
    </w:p>
    <w:p>
      <w:pPr>
        <w:spacing w:line="540" w:lineRule="exact"/>
        <w:ind w:firstLine="600"/>
        <w:rPr>
          <w:rFonts w:ascii="宋体" w:hAnsi="宋体" w:hint="eastAsia"/>
          <w:bCs/>
          <w:color w:val="000000"/>
          <w:sz w:val="24"/>
        </w:rPr>
      </w:pPr>
      <w:r>
        <w:rPr>
          <w:rFonts w:ascii="宋体" w:hAnsi="宋体" w:hint="eastAsia"/>
          <w:bCs/>
          <w:color w:val="000000"/>
          <w:sz w:val="24"/>
        </w:rPr>
        <w:t>2）第二类，按</w:t>
      </w:r>
      <w:r>
        <w:rPr>
          <w:rFonts w:ascii="宋体" w:hAnsi="宋体" w:hint="eastAsia"/>
          <w:color w:val="000000"/>
          <w:sz w:val="24"/>
        </w:rPr>
        <w:t>《</w:t>
      </w:r>
      <w:r>
        <w:rPr>
          <w:rFonts w:ascii="宋体" w:hAnsi="宋体" w:hint="eastAsia"/>
          <w:color w:val="000000"/>
          <w:sz w:val="24"/>
          <w:lang w:eastAsia="zh-CN"/>
        </w:rPr>
        <w:t>xxx</w:t>
      </w:r>
      <w:r>
        <w:rPr>
          <w:rFonts w:ascii="宋体" w:hAnsi="宋体" w:hint="eastAsia"/>
          <w:color w:val="000000"/>
          <w:sz w:val="24"/>
        </w:rPr>
        <w:t>省居住建设用地指标》（P145页、150-151、175页）规定要求：分五个小项即：项目建设规模、单位用地指标（人均建筑面积）、建设容积率、建筑密度、绿地率。即建设规模（人数）≤3000人之间、容积率</w:t>
      </w:r>
      <w:r>
        <w:rPr>
          <w:rFonts w:ascii="宋体" w:hAnsi="宋体" w:hint="eastAsia"/>
          <w:bCs/>
          <w:color w:val="000000"/>
          <w:sz w:val="24"/>
        </w:rPr>
        <w:t>≥1.27、人均建筑面积</w:t>
      </w:r>
      <w:r>
        <w:rPr>
          <w:rFonts w:ascii="宋体" w:hAnsi="宋体" w:hint="eastAsia"/>
          <w:color w:val="000000"/>
          <w:sz w:val="24"/>
        </w:rPr>
        <w:t>≤23㎡/人、建筑密度</w:t>
      </w:r>
      <w:r>
        <w:rPr>
          <w:rFonts w:ascii="宋体" w:hAnsi="宋体" w:hint="eastAsia"/>
          <w:bCs/>
          <w:color w:val="000000"/>
          <w:sz w:val="24"/>
        </w:rPr>
        <w:t>≥53%、绿地率在32%-36%之间。</w:t>
      </w:r>
    </w:p>
    <w:p>
      <w:pPr>
        <w:spacing w:line="540" w:lineRule="exact"/>
        <w:ind w:firstLine="600"/>
        <w:rPr>
          <w:rFonts w:ascii="宋体" w:hAnsi="宋体" w:hint="eastAsia"/>
          <w:bCs/>
          <w:color w:val="000000"/>
          <w:sz w:val="24"/>
        </w:rPr>
      </w:pPr>
      <w:r>
        <w:rPr>
          <w:rFonts w:ascii="宋体" w:hAnsi="宋体" w:hint="eastAsia"/>
          <w:bCs/>
          <w:color w:val="000000"/>
          <w:sz w:val="24"/>
        </w:rPr>
        <w:t>3）第三类，人均建筑面积</w:t>
      </w:r>
      <w:r>
        <w:rPr>
          <w:rFonts w:ascii="宋体" w:hAnsi="宋体" w:hint="eastAsia"/>
          <w:color w:val="000000"/>
          <w:sz w:val="24"/>
        </w:rPr>
        <w:t>≤40平方米（</w:t>
      </w:r>
      <w:r>
        <w:rPr>
          <w:rFonts w:ascii="宋体" w:hAnsi="宋体" w:hint="eastAsia"/>
          <w:color w:val="000000"/>
          <w:sz w:val="24"/>
          <w:lang w:eastAsia="zh-CN"/>
        </w:rPr>
        <w:t>xxx</w:t>
      </w:r>
      <w:r>
        <w:rPr>
          <w:rFonts w:ascii="宋体" w:hAnsi="宋体" w:hint="eastAsia"/>
          <w:color w:val="000000"/>
          <w:sz w:val="24"/>
        </w:rPr>
        <w:t>省要求）、参考设计指标：停车位：机动车0.8车位/100㎡、非机动车位要求2车位/100㎡。</w:t>
      </w:r>
    </w:p>
    <w:p>
      <w:pPr>
        <w:spacing w:line="540" w:lineRule="exact"/>
        <w:ind w:firstLine="600"/>
        <w:rPr>
          <w:rFonts w:ascii="宋体" w:hAnsi="宋体" w:hint="eastAsia"/>
          <w:color w:val="000000"/>
          <w:sz w:val="24"/>
        </w:rPr>
      </w:pPr>
      <w:r>
        <w:rPr>
          <w:rFonts w:ascii="宋体" w:hAnsi="宋体" w:hint="eastAsia"/>
          <w:color w:val="000000"/>
          <w:sz w:val="24"/>
        </w:rPr>
        <w:t>所以，本项目用地审批指标和建设指标共有7项，陕政办发（2008）25号文件附本《</w:t>
      </w:r>
      <w:r>
        <w:rPr>
          <w:rFonts w:ascii="宋体" w:hAnsi="宋体" w:hint="eastAsia"/>
          <w:color w:val="000000"/>
          <w:sz w:val="24"/>
          <w:lang w:eastAsia="zh-CN"/>
        </w:rPr>
        <w:t>xxx</w:t>
      </w:r>
      <w:r>
        <w:rPr>
          <w:rFonts w:ascii="宋体" w:hAnsi="宋体" w:hint="eastAsia"/>
          <w:color w:val="000000"/>
          <w:sz w:val="24"/>
        </w:rPr>
        <w:t>省建设用地指标》对</w:t>
      </w:r>
      <w:r>
        <w:rPr>
          <w:rFonts w:ascii="宋体" w:hAnsi="宋体" w:hint="eastAsia"/>
          <w:color w:val="000000"/>
          <w:sz w:val="24"/>
          <w:lang w:eastAsia="zh-CN"/>
        </w:rPr>
        <w:t>xxx</w:t>
      </w:r>
      <w:r>
        <w:rPr>
          <w:rFonts w:ascii="宋体" w:hAnsi="宋体" w:hint="eastAsia"/>
          <w:color w:val="000000"/>
          <w:sz w:val="24"/>
        </w:rPr>
        <w:t>.宸院住宅建设项目地块规划条件要求如下:</w:t>
      </w:r>
    </w:p>
    <w:p>
      <w:pPr>
        <w:numPr>
          <w:ilvl w:val="0"/>
          <w:numId w:val="5"/>
        </w:numPr>
        <w:spacing w:line="540" w:lineRule="exact"/>
        <w:ind w:firstLine="600"/>
        <w:rPr>
          <w:rFonts w:ascii="宋体" w:hAnsi="宋体" w:hint="eastAsia"/>
          <w:color w:val="000000"/>
          <w:sz w:val="24"/>
        </w:rPr>
      </w:pPr>
      <w:r>
        <w:rPr>
          <w:rFonts w:ascii="宋体" w:hAnsi="宋体" w:hint="eastAsia"/>
          <w:color w:val="000000"/>
          <w:sz w:val="24"/>
        </w:rPr>
        <w:t xml:space="preserve">投资强度：  </w:t>
      </w:r>
      <w:r>
        <w:rPr>
          <w:rFonts w:ascii="宋体" w:hAnsi="宋体" w:hint="eastAsia"/>
          <w:bCs/>
          <w:color w:val="000000"/>
          <w:sz w:val="24"/>
        </w:rPr>
        <w:t>≥602万元/公顷</w:t>
      </w:r>
    </w:p>
    <w:p>
      <w:pPr>
        <w:numPr>
          <w:ilvl w:val="0"/>
          <w:numId w:val="5"/>
        </w:numPr>
        <w:spacing w:line="540" w:lineRule="exact"/>
        <w:ind w:firstLine="600"/>
        <w:rPr>
          <w:rFonts w:ascii="宋体" w:hAnsi="宋体" w:hint="eastAsia"/>
          <w:bCs/>
          <w:color w:val="000000"/>
          <w:sz w:val="24"/>
        </w:rPr>
      </w:pPr>
      <w:r>
        <w:rPr>
          <w:rFonts w:ascii="宋体" w:hAnsi="宋体" w:hint="eastAsia"/>
          <w:bCs/>
          <w:color w:val="000000"/>
          <w:sz w:val="24"/>
        </w:rPr>
        <w:t>建筑容积率：≥1.2；</w:t>
      </w:r>
      <w:r>
        <w:rPr>
          <w:rFonts w:ascii="宋体" w:hAnsi="宋体" w:hint="eastAsia"/>
          <w:color w:val="000000"/>
          <w:sz w:val="24"/>
        </w:rPr>
        <w:t>≤2.9</w:t>
      </w:r>
    </w:p>
    <w:p>
      <w:pPr>
        <w:numPr>
          <w:ilvl w:val="0"/>
          <w:numId w:val="5"/>
        </w:numPr>
        <w:spacing w:line="540" w:lineRule="exact"/>
        <w:ind w:firstLine="600"/>
        <w:rPr>
          <w:rFonts w:ascii="宋体" w:hAnsi="宋体" w:hint="eastAsia"/>
          <w:color w:val="000000"/>
          <w:sz w:val="24"/>
        </w:rPr>
      </w:pPr>
      <w:r>
        <w:rPr>
          <w:rFonts w:ascii="宋体" w:hAnsi="宋体" w:hint="eastAsia"/>
          <w:color w:val="000000"/>
          <w:sz w:val="24"/>
        </w:rPr>
        <w:t>建筑密度：  ≤20%</w:t>
      </w:r>
    </w:p>
    <w:p>
      <w:pPr>
        <w:numPr>
          <w:ilvl w:val="0"/>
          <w:numId w:val="5"/>
        </w:numPr>
        <w:spacing w:line="540" w:lineRule="exact"/>
        <w:ind w:firstLine="600"/>
        <w:rPr>
          <w:rFonts w:ascii="宋体" w:hAnsi="宋体" w:hint="eastAsia"/>
          <w:color w:val="000000"/>
          <w:sz w:val="24"/>
        </w:rPr>
      </w:pPr>
      <w:r>
        <w:rPr>
          <w:rFonts w:ascii="宋体" w:hAnsi="宋体" w:hint="eastAsia"/>
          <w:color w:val="000000"/>
          <w:sz w:val="24"/>
        </w:rPr>
        <w:t xml:space="preserve">绿地率：    </w:t>
      </w:r>
      <w:r>
        <w:rPr>
          <w:rFonts w:ascii="宋体" w:hAnsi="宋体" w:hint="eastAsia"/>
          <w:bCs/>
          <w:color w:val="000000"/>
          <w:sz w:val="24"/>
        </w:rPr>
        <w:t>≥35%</w:t>
      </w:r>
    </w:p>
    <w:p>
      <w:pPr>
        <w:numPr>
          <w:ilvl w:val="0"/>
          <w:numId w:val="5"/>
        </w:numPr>
        <w:spacing w:line="540" w:lineRule="exact"/>
        <w:ind w:firstLine="600"/>
        <w:rPr>
          <w:rFonts w:ascii="宋体" w:hAnsi="宋体" w:hint="eastAsia"/>
          <w:bCs/>
          <w:color w:val="000000"/>
          <w:sz w:val="24"/>
        </w:rPr>
      </w:pPr>
      <w:r>
        <w:rPr>
          <w:rFonts w:ascii="宋体" w:hAnsi="宋体" w:hint="eastAsia"/>
          <w:bCs/>
          <w:color w:val="000000"/>
          <w:sz w:val="24"/>
        </w:rPr>
        <w:t xml:space="preserve">建设规模：  </w:t>
      </w:r>
      <w:r>
        <w:rPr>
          <w:rFonts w:ascii="宋体" w:hAnsi="宋体" w:hint="eastAsia"/>
          <w:color w:val="000000"/>
          <w:sz w:val="24"/>
        </w:rPr>
        <w:t>≤3000人</w:t>
      </w:r>
    </w:p>
    <w:p>
      <w:pPr>
        <w:numPr>
          <w:ilvl w:val="0"/>
          <w:numId w:val="5"/>
        </w:numPr>
        <w:spacing w:line="540" w:lineRule="exact"/>
        <w:ind w:firstLine="600"/>
        <w:rPr>
          <w:rFonts w:ascii="宋体" w:hAnsi="宋体" w:hint="eastAsia"/>
          <w:color w:val="000000"/>
          <w:sz w:val="24"/>
        </w:rPr>
      </w:pPr>
      <w:r>
        <w:rPr>
          <w:rFonts w:ascii="宋体" w:hAnsi="宋体" w:hint="eastAsia"/>
          <w:color w:val="000000"/>
          <w:sz w:val="24"/>
        </w:rPr>
        <w:t>停车位：机动车1车位/100㎡、非机动车位要求2车位/100㎡</w:t>
      </w:r>
    </w:p>
    <w:p>
      <w:pPr>
        <w:numPr>
          <w:ilvl w:val="0"/>
          <w:numId w:val="5"/>
        </w:numPr>
        <w:spacing w:line="540" w:lineRule="exact"/>
        <w:ind w:firstLine="600"/>
        <w:rPr>
          <w:rFonts w:ascii="宋体" w:hAnsi="宋体" w:hint="eastAsia"/>
          <w:color w:val="000000"/>
          <w:sz w:val="24"/>
        </w:rPr>
      </w:pPr>
      <w:r>
        <w:rPr>
          <w:rFonts w:ascii="宋体" w:hAnsi="宋体" w:hint="eastAsia"/>
          <w:color w:val="000000"/>
          <w:sz w:val="24"/>
        </w:rPr>
        <w:t>高层层高： ≤65米。</w:t>
      </w:r>
    </w:p>
    <w:p>
      <w:pPr>
        <w:spacing w:line="540" w:lineRule="exact"/>
        <w:ind w:firstLine="602"/>
        <w:rPr>
          <w:rFonts w:ascii="宋体" w:hAnsi="宋体" w:hint="eastAsia"/>
          <w:b/>
          <w:color w:val="000000"/>
          <w:sz w:val="24"/>
        </w:rPr>
      </w:pPr>
      <w:r>
        <w:rPr>
          <w:rFonts w:ascii="宋体" w:hAnsi="宋体" w:hint="eastAsia"/>
          <w:b/>
          <w:color w:val="000000"/>
          <w:sz w:val="24"/>
        </w:rPr>
        <w:t>3.3  项目投资建设允许用地指标计算</w:t>
      </w:r>
    </w:p>
    <w:p>
      <w:pPr>
        <w:spacing w:line="540" w:lineRule="exact"/>
        <w:ind w:firstLine="480" w:firstLineChars="200"/>
        <w:rPr>
          <w:rFonts w:ascii="宋体" w:hAnsi="宋体" w:hint="eastAsia"/>
          <w:b/>
          <w:color w:val="000000"/>
          <w:sz w:val="24"/>
        </w:rPr>
        <w:sectPr>
          <w:footerReference w:type="default" r:id="rId8"/>
          <w:type w:val="nextPage"/>
          <w:pgSz w:w="11906" w:h="16838"/>
          <w:pgMar w:top="1440" w:right="1287" w:bottom="1559" w:left="1797" w:header="851" w:footer="992" w:gutter="0"/>
          <w:pgNumType w:start="4"/>
          <w:cols w:num="1" w:space="720"/>
          <w:titlePg w:val="0"/>
          <w:docGrid w:type="linesAndChars" w:linePitch="312" w:charSpace="0"/>
        </w:sectPr>
      </w:pPr>
      <w:r>
        <w:rPr>
          <w:rFonts w:ascii="宋体" w:hAnsi="宋体" w:hint="eastAsia"/>
          <w:b/>
          <w:color w:val="000000"/>
          <w:sz w:val="24"/>
        </w:rPr>
        <w:t xml:space="preserve"> </w:t>
      </w:r>
      <w:r>
        <w:rPr>
          <w:rFonts w:ascii="宋体" w:hAnsi="宋体" w:hint="eastAsia"/>
          <w:color w:val="000000"/>
          <w:sz w:val="24"/>
        </w:rPr>
        <w:t>照国土资发[2008]24号《工业项目建设用地控制指标（试行）》的通知和陕政办发（2008）25号文件附本《</w:t>
      </w:r>
      <w:r>
        <w:rPr>
          <w:rFonts w:ascii="宋体" w:hAnsi="宋体" w:hint="eastAsia"/>
          <w:color w:val="000000"/>
          <w:sz w:val="24"/>
          <w:lang w:eastAsia="zh-CN"/>
        </w:rPr>
        <w:t>xxx</w:t>
      </w:r>
      <w:r>
        <w:rPr>
          <w:rFonts w:ascii="宋体" w:hAnsi="宋体" w:hint="eastAsia"/>
          <w:color w:val="000000"/>
          <w:sz w:val="24"/>
        </w:rPr>
        <w:t>省建设用地指标》、即《</w:t>
      </w:r>
      <w:r>
        <w:rPr>
          <w:rFonts w:ascii="宋体" w:hAnsi="宋体" w:hint="eastAsia"/>
          <w:color w:val="000000"/>
          <w:sz w:val="24"/>
          <w:lang w:eastAsia="zh-CN"/>
        </w:rPr>
        <w:t>xxx</w:t>
      </w:r>
    </w:p>
    <w:p>
      <w:pPr>
        <w:spacing w:line="540" w:lineRule="exact"/>
        <w:ind w:firstLine="480" w:firstLineChars="200"/>
        <w:rPr>
          <w:rFonts w:ascii="宋体" w:hAnsi="宋体" w:hint="eastAsia"/>
          <w:b/>
          <w:color w:val="000000"/>
          <w:sz w:val="24"/>
        </w:rPr>
      </w:pPr>
      <w:r>
        <w:rPr>
          <w:rFonts w:ascii="宋体" w:hAnsi="宋体" w:hint="eastAsia"/>
          <w:color w:val="000000"/>
          <w:sz w:val="24"/>
        </w:rPr>
        <w:t>省居住建设用地指标》（P145页、150-151、175页）规定：</w:t>
      </w:r>
      <w:r>
        <w:rPr>
          <w:rFonts w:ascii="宋体" w:hAnsi="宋体" w:hint="eastAsia"/>
          <w:color w:val="000000"/>
          <w:sz w:val="24"/>
          <w:lang w:eastAsia="zh-CN"/>
        </w:rPr>
        <w:t>xxxxxxxxxxxx</w:t>
      </w:r>
      <w:r>
        <w:rPr>
          <w:rFonts w:ascii="宋体" w:hAnsi="宋体" w:hint="eastAsia"/>
          <w:color w:val="000000"/>
          <w:sz w:val="24"/>
        </w:rPr>
        <w:t>有限责任公司拟建设的《</w:t>
      </w:r>
      <w:r>
        <w:rPr>
          <w:rFonts w:ascii="宋体" w:hAnsi="宋体" w:hint="eastAsia"/>
          <w:color w:val="000000"/>
          <w:sz w:val="24"/>
          <w:lang w:eastAsia="zh-CN"/>
        </w:rPr>
        <w:t>xxxxxx</w:t>
      </w:r>
      <w:r>
        <w:rPr>
          <w:rFonts w:ascii="宋体" w:hAnsi="宋体" w:hint="eastAsia"/>
          <w:color w:val="000000"/>
          <w:sz w:val="24"/>
        </w:rPr>
        <w:t>住宅建设项目》用地，土地等别为四类14等用地，项目用地控制标准如下：</w:t>
      </w:r>
    </w:p>
    <w:p>
      <w:pPr>
        <w:spacing w:line="540" w:lineRule="exact"/>
        <w:ind w:firstLine="480" w:firstLineChars="200"/>
        <w:rPr>
          <w:rFonts w:ascii="宋体" w:hAnsi="宋体" w:hint="eastAsia"/>
          <w:color w:val="000000"/>
          <w:sz w:val="24"/>
        </w:rPr>
      </w:pPr>
      <w:r>
        <w:rPr>
          <w:rFonts w:ascii="宋体" w:hAnsi="宋体" w:hint="eastAsia"/>
          <w:color w:val="000000"/>
          <w:sz w:val="24"/>
        </w:rPr>
        <w:t xml:space="preserve">  1）项目投资强度：</w:t>
      </w:r>
      <w:r>
        <w:rPr>
          <w:rFonts w:ascii="宋体" w:hAnsi="宋体" w:hint="eastAsia"/>
          <w:bCs/>
          <w:color w:val="000000"/>
          <w:sz w:val="24"/>
        </w:rPr>
        <w:t>≥602万元</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投资强度=799万元÷1.326公顷=602万元/公顷</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w:t>
      </w:r>
      <w:r>
        <w:rPr>
          <w:rFonts w:ascii="宋体" w:hAnsi="宋体" w:hint="eastAsia"/>
          <w:b/>
          <w:bCs/>
          <w:color w:val="000000"/>
          <w:sz w:val="24"/>
        </w:rPr>
        <w:t>计算知最少投资额：799万</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2)项目容积率：总建筑面积÷净用地面积</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容积率=38400㎡÷13261㎡=2.9</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w:t>
      </w:r>
      <w:r>
        <w:rPr>
          <w:rFonts w:ascii="宋体" w:hAnsi="宋体" w:hint="eastAsia"/>
          <w:b/>
          <w:bCs/>
          <w:color w:val="000000"/>
          <w:sz w:val="24"/>
        </w:rPr>
        <w:t>计算知最大建筑面积：38400㎡</w:t>
      </w:r>
    </w:p>
    <w:p>
      <w:pPr>
        <w:spacing w:line="540" w:lineRule="exact"/>
        <w:ind w:firstLine="602"/>
        <w:rPr>
          <w:rFonts w:ascii="宋体" w:hAnsi="宋体" w:hint="eastAsia"/>
          <w:bCs/>
          <w:color w:val="000000"/>
          <w:sz w:val="24"/>
        </w:rPr>
      </w:pPr>
      <w:r>
        <w:rPr>
          <w:rFonts w:ascii="宋体" w:hAnsi="宋体" w:hint="eastAsia"/>
          <w:bCs/>
          <w:color w:val="000000"/>
          <w:sz w:val="24"/>
        </w:rPr>
        <w:t xml:space="preserve"> 3）建筑密度：</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(建筑屋面积+构筑物面积+堆场面积)÷项目总用地面积*100%</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建筑密度=1585㎡÷13261㎡*100%=20%</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w:t>
      </w:r>
      <w:r>
        <w:rPr>
          <w:rFonts w:ascii="宋体" w:hAnsi="宋体" w:hint="eastAsia"/>
          <w:b/>
          <w:bCs/>
          <w:color w:val="000000"/>
          <w:sz w:val="24"/>
        </w:rPr>
        <w:t>计算出最大建筑基地面积：1585平方米</w:t>
      </w:r>
    </w:p>
    <w:p>
      <w:pPr>
        <w:spacing w:line="540" w:lineRule="exact"/>
        <w:ind w:firstLine="602"/>
        <w:rPr>
          <w:rFonts w:ascii="宋体" w:hAnsi="宋体" w:hint="eastAsia"/>
          <w:b/>
          <w:bCs/>
          <w:color w:val="000000"/>
          <w:sz w:val="24"/>
        </w:rPr>
      </w:pPr>
      <w:r>
        <w:rPr>
          <w:rFonts w:ascii="宋体" w:hAnsi="宋体" w:hint="eastAsia"/>
          <w:b/>
          <w:bCs/>
          <w:color w:val="000000"/>
          <w:sz w:val="24"/>
        </w:rPr>
        <w:t xml:space="preserve"> </w:t>
      </w:r>
      <w:r>
        <w:rPr>
          <w:rFonts w:ascii="宋体" w:hAnsi="宋体" w:hint="eastAsia"/>
          <w:bCs/>
          <w:color w:val="000000"/>
          <w:sz w:val="24"/>
        </w:rPr>
        <w:t>4）绿地率：用地范围内各类绿地面积总和÷项目用地面积*1000%</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最小绿地率=4641㎡÷13261㎡*100%=35%</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w:t>
      </w:r>
      <w:r>
        <w:rPr>
          <w:rFonts w:ascii="宋体" w:hAnsi="宋体" w:hint="eastAsia"/>
          <w:b/>
          <w:bCs/>
          <w:color w:val="000000"/>
          <w:sz w:val="24"/>
        </w:rPr>
        <w:t>计算知绿地率最小面积：4641㎡</w:t>
      </w:r>
    </w:p>
    <w:p>
      <w:pPr>
        <w:spacing w:line="540" w:lineRule="exact"/>
        <w:ind w:firstLine="602"/>
        <w:rPr>
          <w:rFonts w:ascii="宋体" w:hAnsi="宋体" w:hint="eastAsia"/>
          <w:b/>
          <w:bCs/>
          <w:color w:val="000000"/>
          <w:sz w:val="24"/>
        </w:rPr>
      </w:pPr>
      <w:r>
        <w:rPr>
          <w:rFonts w:ascii="宋体" w:hAnsi="宋体" w:hint="eastAsia"/>
          <w:b/>
          <w:bCs/>
          <w:color w:val="000000"/>
          <w:sz w:val="24"/>
        </w:rPr>
        <w:t xml:space="preserve"> </w:t>
      </w:r>
      <w:r>
        <w:rPr>
          <w:rFonts w:ascii="宋体" w:hAnsi="宋体" w:hint="eastAsia"/>
          <w:bCs/>
          <w:color w:val="000000"/>
          <w:sz w:val="24"/>
        </w:rPr>
        <w:t>5）建设规模（人数）</w:t>
      </w:r>
      <w:r>
        <w:rPr>
          <w:rFonts w:ascii="宋体" w:hAnsi="宋体" w:hint="eastAsia"/>
          <w:color w:val="000000"/>
          <w:sz w:val="24"/>
        </w:rPr>
        <w:t>≤3000人</w:t>
      </w:r>
    </w:p>
    <w:p>
      <w:pPr>
        <w:spacing w:line="540" w:lineRule="exact"/>
        <w:ind w:firstLine="600"/>
        <w:rPr>
          <w:rFonts w:ascii="宋体" w:hAnsi="宋体" w:hint="eastAsia"/>
          <w:color w:val="000000"/>
          <w:sz w:val="24"/>
        </w:rPr>
      </w:pPr>
      <w:r>
        <w:rPr>
          <w:rFonts w:ascii="宋体" w:hAnsi="宋体" w:hint="eastAsia"/>
          <w:color w:val="000000"/>
          <w:sz w:val="24"/>
        </w:rPr>
        <w:t xml:space="preserve"> 6）停车车位</w:t>
      </w:r>
    </w:p>
    <w:p>
      <w:pPr>
        <w:spacing w:line="540" w:lineRule="exact"/>
        <w:ind w:firstLine="600"/>
        <w:rPr>
          <w:rFonts w:ascii="宋体" w:hAnsi="宋体" w:hint="eastAsia"/>
          <w:color w:val="000000"/>
          <w:sz w:val="24"/>
        </w:rPr>
      </w:pPr>
      <w:r>
        <w:rPr>
          <w:rFonts w:ascii="宋体" w:hAnsi="宋体" w:hint="eastAsia"/>
          <w:color w:val="000000"/>
          <w:sz w:val="24"/>
        </w:rPr>
        <w:t xml:space="preserve">      机动车车位=38400㎡÷100㎡=384个车位</w:t>
      </w:r>
    </w:p>
    <w:p>
      <w:pPr>
        <w:spacing w:line="540" w:lineRule="exact"/>
        <w:ind w:firstLine="600"/>
        <w:rPr>
          <w:rFonts w:ascii="宋体" w:hAnsi="宋体" w:hint="eastAsia"/>
          <w:color w:val="000000"/>
          <w:sz w:val="24"/>
        </w:rPr>
      </w:pPr>
      <w:r>
        <w:rPr>
          <w:rFonts w:ascii="宋体" w:hAnsi="宋体" w:hint="eastAsia"/>
          <w:color w:val="000000"/>
          <w:sz w:val="24"/>
        </w:rPr>
        <w:t xml:space="preserve">      非经动车车位=38400㎡÷100㎡*2个车位=768个</w:t>
      </w:r>
    </w:p>
    <w:p>
      <w:pPr>
        <w:spacing w:line="540" w:lineRule="exact"/>
        <w:ind w:firstLine="600"/>
        <w:rPr>
          <w:rFonts w:ascii="宋体" w:hAnsi="宋体" w:hint="eastAsia"/>
          <w:color w:val="000000"/>
          <w:sz w:val="24"/>
        </w:rPr>
      </w:pPr>
      <w:r>
        <w:rPr>
          <w:rFonts w:ascii="宋体" w:hAnsi="宋体" w:hint="eastAsia"/>
          <w:color w:val="000000"/>
          <w:sz w:val="24"/>
        </w:rPr>
        <w:t xml:space="preserve">     </w:t>
      </w:r>
      <w:r>
        <w:rPr>
          <w:rFonts w:ascii="宋体" w:hAnsi="宋体" w:hint="eastAsia"/>
          <w:b/>
          <w:color w:val="000000"/>
          <w:sz w:val="24"/>
        </w:rPr>
        <w:t>计算知机动车车位最少384个，非机动车车位最少768个。</w:t>
      </w:r>
    </w:p>
    <w:p>
      <w:pPr>
        <w:spacing w:line="540" w:lineRule="exact"/>
        <w:ind w:firstLine="240" w:firstLineChars="100"/>
        <w:rPr>
          <w:rFonts w:ascii="宋体" w:hAnsi="宋体" w:hint="eastAsia"/>
          <w:b/>
          <w:bCs/>
          <w:color w:val="000000"/>
          <w:sz w:val="24"/>
        </w:rPr>
      </w:pPr>
      <w:r>
        <w:rPr>
          <w:rFonts w:ascii="宋体" w:hAnsi="宋体" w:hint="eastAsia"/>
          <w:b/>
          <w:bCs/>
          <w:color w:val="000000"/>
          <w:sz w:val="24"/>
        </w:rPr>
        <w:t xml:space="preserve">  3.4   项目投资实际计算建设用地指标计算</w:t>
      </w:r>
    </w:p>
    <w:p>
      <w:pPr>
        <w:spacing w:line="540" w:lineRule="exact"/>
        <w:ind w:firstLine="480" w:firstLineChars="200"/>
        <w:rPr>
          <w:rFonts w:ascii="宋体" w:hAnsi="宋体" w:hint="eastAsia"/>
          <w:bCs/>
          <w:color w:val="000000"/>
          <w:sz w:val="24"/>
        </w:rPr>
      </w:pPr>
      <w:r>
        <w:rPr>
          <w:rFonts w:ascii="宋体" w:hAnsi="宋体" w:hint="eastAsia"/>
          <w:bCs/>
          <w:color w:val="000000"/>
          <w:sz w:val="24"/>
        </w:rPr>
        <w:t>项目总征地面积：总用地面积19.89亩，净用地13250㎡。根据规划设计布局的实际情况计算：项目投资强度、容积率、建筑密度、绿地率指标如下：</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1）投资强度：（项目固定资产投资+土地投资）÷项目用地面积</w:t>
      </w:r>
    </w:p>
    <w:p>
      <w:pPr>
        <w:spacing w:line="540" w:lineRule="exact"/>
        <w:ind w:firstLine="600"/>
        <w:rPr>
          <w:rFonts w:ascii="宋体" w:hAnsi="宋体" w:hint="eastAsia"/>
          <w:bCs/>
          <w:color w:val="000000"/>
          <w:sz w:val="24"/>
        </w:rPr>
        <w:sectPr>
          <w:footerReference w:type="default" r:id="rId9"/>
          <w:type w:val="nextPage"/>
          <w:pgSz w:w="11906" w:h="16838"/>
          <w:pgMar w:top="1440" w:right="1287" w:bottom="1559" w:left="1797" w:header="851" w:footer="992" w:gutter="0"/>
          <w:pgNumType w:start="5"/>
          <w:cols w:num="1" w:space="720"/>
          <w:titlePg w:val="0"/>
          <w:docGrid w:type="linesAndChars" w:linePitch="312" w:charSpace="0"/>
        </w:sectPr>
      </w:pPr>
      <w:r>
        <w:rPr>
          <w:rFonts w:ascii="宋体" w:hAnsi="宋体" w:hint="eastAsia"/>
          <w:bCs/>
          <w:color w:val="000000"/>
          <w:sz w:val="24"/>
        </w:rPr>
        <w:t xml:space="preserve">       投资强度=15694万元÷1.326公顷=11835万元 /公顷   </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2）项目建设容积率：总建筑面积÷净用地面积</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容积率=38385.133㎡÷13250平方米=2.9</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3）建筑密度： </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（建筑物面积+购置物面积+堆场面积）÷项目总用地面积*1000%</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建筑密度=174767.5㎡÷13250㎡*100%=13.19%</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4)绿地率：用地范围内所有绿地面积总和÷项目用地总面积*100%</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绿地率=4714㎡÷13250㎡*100%=35.6%</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5）总人数及户数:</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总户数：307户</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总人数：982人</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6）停车车位：</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机动车车位：380两</w:t>
      </w:r>
    </w:p>
    <w:p>
      <w:pPr>
        <w:spacing w:line="540" w:lineRule="exact"/>
        <w:ind w:firstLine="600"/>
        <w:rPr>
          <w:rFonts w:ascii="宋体" w:hAnsi="宋体" w:hint="eastAsia"/>
          <w:bCs/>
          <w:color w:val="000000"/>
          <w:sz w:val="24"/>
        </w:rPr>
      </w:pPr>
      <w:r>
        <w:rPr>
          <w:rFonts w:ascii="宋体" w:hAnsi="宋体" w:hint="eastAsia"/>
          <w:bCs/>
          <w:color w:val="000000"/>
          <w:sz w:val="24"/>
        </w:rPr>
        <w:t xml:space="preserve">        非机动车车位：764两</w:t>
      </w:r>
    </w:p>
    <w:p>
      <w:pPr>
        <w:spacing w:line="540" w:lineRule="exact"/>
        <w:ind w:firstLine="602"/>
        <w:rPr>
          <w:rFonts w:ascii="宋体" w:hAnsi="宋体" w:hint="eastAsia"/>
          <w:b/>
          <w:bCs/>
          <w:color w:val="000000"/>
          <w:sz w:val="24"/>
        </w:rPr>
      </w:pPr>
      <w:r>
        <w:rPr>
          <w:rFonts w:ascii="宋体" w:hAnsi="宋体" w:hint="eastAsia"/>
          <w:b/>
          <w:bCs/>
          <w:color w:val="000000"/>
          <w:sz w:val="24"/>
        </w:rPr>
        <w:t>3.5   项目标准用地指标与实际用地指标对比</w:t>
      </w:r>
    </w:p>
    <w:p>
      <w:pPr>
        <w:spacing w:line="540" w:lineRule="exact"/>
        <w:ind w:firstLine="602"/>
        <w:rPr>
          <w:rFonts w:ascii="宋体" w:hAnsi="宋体" w:hint="eastAsia"/>
          <w:b/>
          <w:bCs/>
          <w:color w:val="000000"/>
          <w:sz w:val="24"/>
        </w:rPr>
      </w:pPr>
      <w:r>
        <w:rPr>
          <w:rFonts w:ascii="宋体" w:hAnsi="宋体" w:hint="eastAsia"/>
          <w:b/>
          <w:bCs/>
          <w:color w:val="000000"/>
          <w:sz w:val="24"/>
        </w:rPr>
        <w:t>3.5.1  项目用地控制指标对比</w:t>
      </w:r>
    </w:p>
    <w:p>
      <w:pPr>
        <w:spacing w:line="560" w:lineRule="exact"/>
        <w:ind w:firstLine="602"/>
        <w:rPr>
          <w:rFonts w:ascii="宋体" w:hAnsi="宋体" w:hint="eastAsia"/>
          <w:b/>
          <w:color w:val="000000"/>
          <w:sz w:val="24"/>
        </w:rPr>
      </w:pPr>
      <w:r>
        <w:rPr>
          <w:rFonts w:ascii="宋体" w:hAnsi="宋体" w:hint="eastAsia"/>
          <w:b/>
          <w:color w:val="000000"/>
          <w:sz w:val="24"/>
        </w:rPr>
        <w:t xml:space="preserve">            </w:t>
      </w:r>
      <w:r>
        <w:rPr>
          <w:rFonts w:ascii="宋体" w:hAnsi="宋体" w:hint="eastAsia"/>
          <w:b/>
          <w:color w:val="000000"/>
          <w:sz w:val="24"/>
          <w:szCs w:val="28"/>
          <w:lang w:eastAsia="zh-CN"/>
        </w:rPr>
        <w:t>xxxxxx</w:t>
      </w:r>
      <w:r>
        <w:rPr>
          <w:rFonts w:ascii="宋体" w:hAnsi="宋体" w:hint="eastAsia"/>
          <w:b/>
          <w:color w:val="000000"/>
          <w:sz w:val="24"/>
          <w:szCs w:val="28"/>
        </w:rPr>
        <w:t>设项目</w:t>
      </w:r>
      <w:r>
        <w:rPr>
          <w:rFonts w:ascii="宋体" w:hAnsi="宋体" w:hint="eastAsia"/>
          <w:b/>
          <w:color w:val="000000"/>
          <w:sz w:val="24"/>
        </w:rPr>
        <w:t>用地控制指标对比</w:t>
      </w:r>
      <w:r>
        <w:rPr>
          <w:rFonts w:ascii="宋体" w:hAnsi="宋体" w:hint="eastAsia"/>
          <w:b/>
          <w:bCs/>
          <w:color w:val="000000"/>
          <w:sz w:val="24"/>
        </w:rPr>
        <w:t xml:space="preserve">表 </w:t>
      </w:r>
      <w:r>
        <w:rPr>
          <w:rFonts w:ascii="宋体" w:hAnsi="宋体" w:hint="eastAsia"/>
          <w:b/>
          <w:bCs/>
          <w:color w:val="000000"/>
          <w:sz w:val="18"/>
          <w:szCs w:val="18"/>
        </w:rPr>
        <w:t xml:space="preserve">             </w:t>
      </w:r>
      <w:r>
        <w:rPr>
          <w:rFonts w:ascii="宋体" w:hAnsi="宋体" w:hint="eastAsia"/>
          <w:color w:val="000000"/>
          <w:sz w:val="18"/>
          <w:szCs w:val="18"/>
        </w:rPr>
        <w:t>表</w:t>
      </w:r>
      <w:r>
        <w:rPr>
          <w:rFonts w:ascii="宋体" w:hAnsi="宋体"/>
          <w:color w:val="000000"/>
          <w:sz w:val="18"/>
          <w:szCs w:val="18"/>
        </w:rPr>
        <w:t>—</w:t>
      </w:r>
      <w:r>
        <w:rPr>
          <w:rFonts w:ascii="宋体" w:hAnsi="宋体" w:hint="eastAsia"/>
          <w:color w:val="000000"/>
          <w:sz w:val="18"/>
          <w:szCs w:val="18"/>
        </w:rPr>
        <w:t>2</w:t>
      </w:r>
    </w:p>
    <w:tbl>
      <w:tblPr>
        <w:tblStyle w:val="TableNormal"/>
        <w:tblW w:w="0" w:type="auto"/>
        <w:tblInd w:w="-72" w:type="dxa"/>
        <w:tblBorders>
          <w:top w:val="single" w:sz="4" w:space="0" w:color="000000"/>
          <w:left w:val="single" w:sz="4" w:space="0" w:color="000000"/>
          <w:bottom w:val="single" w:sz="4" w:space="0" w:color="000000"/>
          <w:right w:val="single" w:sz="4" w:space="0" w:color="000000"/>
          <w:insideH w:val="nil"/>
          <w:insideV w:val="nil"/>
        </w:tblBorders>
        <w:tblLayout w:type="fixed"/>
        <w:tblCellMar>
          <w:top w:w="0" w:type="dxa"/>
          <w:left w:w="108" w:type="dxa"/>
          <w:bottom w:w="0" w:type="dxa"/>
          <w:right w:w="108" w:type="dxa"/>
        </w:tblCellMar>
      </w:tblPr>
      <w:tblGrid>
        <w:gridCol w:w="714"/>
        <w:gridCol w:w="2706"/>
        <w:gridCol w:w="1980"/>
        <w:gridCol w:w="2083"/>
        <w:gridCol w:w="1517"/>
      </w:tblGrid>
      <w:tr>
        <w:tblPrEx>
          <w:tblW w:w="0" w:type="auto"/>
          <w:tblInd w:w="-72" w:type="dxa"/>
          <w:tblBorders>
            <w:top w:val="single" w:sz="4" w:space="0" w:color="000000"/>
            <w:left w:val="single" w:sz="4" w:space="0" w:color="000000"/>
            <w:bottom w:val="single" w:sz="4" w:space="0" w:color="000000"/>
            <w:right w:val="single" w:sz="4" w:space="0" w:color="000000"/>
            <w:insideH w:val="nil"/>
            <w:insideV w:val="nil"/>
          </w:tblBorders>
          <w:tblLayout w:type="fixed"/>
          <w:tblCellMar>
            <w:top w:w="0" w:type="dxa"/>
            <w:left w:w="108" w:type="dxa"/>
            <w:bottom w:w="0" w:type="dxa"/>
            <w:right w:w="108" w:type="dxa"/>
          </w:tblCellMar>
        </w:tblPrEx>
        <w:trPr>
          <w:cantSplit/>
        </w:trPr>
        <w:tc>
          <w:tcPr>
            <w:tcW w:w="714"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
                <w:bCs/>
                <w:color w:val="000000"/>
                <w:szCs w:val="21"/>
              </w:rPr>
            </w:pPr>
            <w:r>
              <w:rPr>
                <w:rFonts w:ascii="宋体" w:hAnsi="宋体" w:hint="eastAsia"/>
                <w:b/>
                <w:bCs/>
                <w:color w:val="000000"/>
                <w:szCs w:val="21"/>
              </w:rPr>
              <w:t>序号</w:t>
            </w:r>
          </w:p>
        </w:tc>
        <w:tc>
          <w:tcPr>
            <w:tcW w:w="2706" w:type="dxa"/>
            <w:tcBorders>
              <w:top w:val="single" w:sz="4" w:space="0" w:color="000000"/>
              <w:left w:val="single" w:sz="4" w:space="0" w:color="000000"/>
              <w:bottom w:val="single" w:sz="4" w:space="0" w:color="000000"/>
              <w:right w:val="single" w:sz="4" w:space="0" w:color="000000"/>
            </w:tcBorders>
            <w:vAlign w:val="top"/>
          </w:tcPr>
          <w:p>
            <w:pPr>
              <w:ind w:firstLine="527"/>
              <w:jc w:val="center"/>
              <w:rPr>
                <w:rFonts w:ascii="宋体" w:hAnsi="宋体" w:hint="eastAsia"/>
                <w:b/>
                <w:bCs/>
                <w:color w:val="000000"/>
                <w:szCs w:val="21"/>
              </w:rPr>
            </w:pPr>
            <w:r>
              <w:rPr>
                <w:rFonts w:ascii="宋体" w:hAnsi="宋体" w:hint="eastAsia"/>
                <w:b/>
                <w:bCs/>
                <w:color w:val="000000"/>
                <w:szCs w:val="21"/>
              </w:rPr>
              <w:t>控制指标名称</w:t>
            </w:r>
          </w:p>
        </w:tc>
        <w:tc>
          <w:tcPr>
            <w:tcW w:w="1980"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
                <w:bCs/>
                <w:color w:val="000000"/>
                <w:szCs w:val="21"/>
              </w:rPr>
            </w:pPr>
            <w:r>
              <w:rPr>
                <w:rFonts w:ascii="宋体" w:hAnsi="宋体" w:hint="eastAsia"/>
                <w:b/>
                <w:bCs/>
                <w:color w:val="000000"/>
                <w:szCs w:val="21"/>
              </w:rPr>
              <w:t>控制指标名称要求</w:t>
            </w:r>
          </w:p>
        </w:tc>
        <w:tc>
          <w:tcPr>
            <w:tcW w:w="2083"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
                <w:bCs/>
                <w:color w:val="000000"/>
                <w:szCs w:val="21"/>
              </w:rPr>
            </w:pPr>
            <w:r>
              <w:rPr>
                <w:rFonts w:ascii="宋体" w:hAnsi="宋体" w:hint="eastAsia"/>
                <w:b/>
                <w:bCs/>
                <w:color w:val="000000"/>
                <w:szCs w:val="21"/>
              </w:rPr>
              <w:t>项目实际用地指标</w:t>
            </w:r>
          </w:p>
        </w:tc>
        <w:tc>
          <w:tcPr>
            <w:tcW w:w="1517"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
                <w:bCs/>
                <w:color w:val="000000"/>
                <w:szCs w:val="21"/>
              </w:rPr>
            </w:pPr>
            <w:r>
              <w:rPr>
                <w:rFonts w:ascii="宋体" w:hAnsi="宋体" w:hint="eastAsia"/>
                <w:b/>
                <w:bCs/>
                <w:color w:val="000000"/>
                <w:szCs w:val="21"/>
              </w:rPr>
              <w:t>比较结论</w:t>
            </w:r>
          </w:p>
        </w:tc>
      </w:tr>
      <w:tr>
        <w:tblPrEx>
          <w:tblW w:w="0" w:type="auto"/>
          <w:tblInd w:w="-72" w:type="dxa"/>
          <w:tblLayout w:type="fixed"/>
          <w:tblCellMar>
            <w:top w:w="0" w:type="dxa"/>
            <w:left w:w="108" w:type="dxa"/>
            <w:bottom w:w="0" w:type="dxa"/>
            <w:right w:w="108" w:type="dxa"/>
          </w:tblCellMar>
        </w:tblPrEx>
        <w:trPr>
          <w:cantSplit/>
        </w:trPr>
        <w:tc>
          <w:tcPr>
            <w:tcW w:w="714" w:type="dxa"/>
            <w:tcBorders>
              <w:top w:val="single" w:sz="4" w:space="0" w:color="000000"/>
              <w:left w:val="single" w:sz="4" w:space="0" w:color="000000"/>
              <w:bottom w:val="single" w:sz="4" w:space="0" w:color="000000"/>
              <w:right w:val="single" w:sz="4" w:space="0" w:color="000000"/>
            </w:tcBorders>
            <w:vAlign w:val="top"/>
          </w:tcPr>
          <w:p>
            <w:pPr>
              <w:jc w:val="center"/>
              <w:rPr>
                <w:rFonts w:ascii="宋体" w:hAnsi="宋体"/>
                <w:color w:val="000000"/>
                <w:szCs w:val="21"/>
              </w:rPr>
            </w:pPr>
            <w:r>
              <w:rPr>
                <w:rFonts w:ascii="宋体" w:hAnsi="宋体"/>
                <w:color w:val="000000"/>
                <w:szCs w:val="21"/>
              </w:rPr>
              <w:t>1</w:t>
            </w:r>
          </w:p>
        </w:tc>
        <w:tc>
          <w:tcPr>
            <w:tcW w:w="2706"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投资强度</w:t>
            </w:r>
          </w:p>
        </w:tc>
        <w:tc>
          <w:tcPr>
            <w:tcW w:w="1980"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Cs/>
                <w:color w:val="000000"/>
                <w:szCs w:val="21"/>
              </w:rPr>
            </w:pPr>
            <w:r>
              <w:rPr>
                <w:rFonts w:ascii="宋体" w:hAnsi="宋体" w:hint="eastAsia"/>
                <w:bCs/>
                <w:color w:val="000000"/>
                <w:szCs w:val="21"/>
              </w:rPr>
              <w:t>≥602</w:t>
            </w:r>
            <w:r>
              <w:rPr>
                <w:rFonts w:ascii="宋体" w:hAnsi="宋体"/>
                <w:bCs/>
                <w:color w:val="000000"/>
                <w:szCs w:val="21"/>
              </w:rPr>
              <w:t>万元/公顷</w:t>
            </w:r>
          </w:p>
        </w:tc>
        <w:tc>
          <w:tcPr>
            <w:tcW w:w="2083"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bCs/>
                <w:color w:val="000000"/>
                <w:szCs w:val="21"/>
              </w:rPr>
            </w:pPr>
            <w:r>
              <w:rPr>
                <w:rFonts w:ascii="宋体" w:hAnsi="宋体" w:hint="eastAsia"/>
                <w:bCs/>
                <w:color w:val="000000"/>
                <w:szCs w:val="21"/>
              </w:rPr>
              <w:t xml:space="preserve">11835万元/公顷 </w:t>
            </w:r>
          </w:p>
        </w:tc>
        <w:tc>
          <w:tcPr>
            <w:tcW w:w="1517"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符合</w:t>
            </w:r>
          </w:p>
        </w:tc>
      </w:tr>
      <w:tr>
        <w:tblPrEx>
          <w:tblW w:w="0" w:type="auto"/>
          <w:tblInd w:w="-72" w:type="dxa"/>
          <w:tblLayout w:type="fixed"/>
          <w:tblCellMar>
            <w:top w:w="0" w:type="dxa"/>
            <w:left w:w="108" w:type="dxa"/>
            <w:bottom w:w="0" w:type="dxa"/>
            <w:right w:w="108" w:type="dxa"/>
          </w:tblCellMar>
        </w:tblPrEx>
        <w:trPr>
          <w:cantSplit/>
        </w:trPr>
        <w:tc>
          <w:tcPr>
            <w:tcW w:w="714" w:type="dxa"/>
            <w:tcBorders>
              <w:top w:val="single" w:sz="4" w:space="0" w:color="000000"/>
              <w:left w:val="single" w:sz="4" w:space="0" w:color="000000"/>
              <w:bottom w:val="single" w:sz="4" w:space="0" w:color="000000"/>
              <w:right w:val="single" w:sz="4" w:space="0" w:color="000000"/>
            </w:tcBorders>
            <w:vAlign w:val="top"/>
          </w:tcPr>
          <w:p>
            <w:pPr>
              <w:jc w:val="center"/>
              <w:rPr>
                <w:rFonts w:ascii="宋体" w:hAnsi="宋体" w:hint="eastAsia"/>
                <w:color w:val="000000"/>
                <w:szCs w:val="21"/>
              </w:rPr>
            </w:pPr>
            <w:r>
              <w:rPr>
                <w:rFonts w:ascii="宋体" w:hAnsi="宋体" w:hint="eastAsia"/>
                <w:color w:val="000000"/>
                <w:szCs w:val="21"/>
              </w:rPr>
              <w:t>2</w:t>
            </w:r>
          </w:p>
        </w:tc>
        <w:tc>
          <w:tcPr>
            <w:tcW w:w="2706"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容积率</w:t>
            </w:r>
          </w:p>
        </w:tc>
        <w:tc>
          <w:tcPr>
            <w:tcW w:w="1980" w:type="dxa"/>
            <w:tcBorders>
              <w:top w:val="single" w:sz="4" w:space="0" w:color="000000"/>
              <w:left w:val="single" w:sz="4" w:space="0" w:color="000000"/>
              <w:bottom w:val="single" w:sz="4" w:space="0" w:color="000000"/>
              <w:right w:val="single" w:sz="4" w:space="0" w:color="000000"/>
            </w:tcBorders>
            <w:vAlign w:val="top"/>
          </w:tcPr>
          <w:p>
            <w:pPr>
              <w:ind w:firstLine="420" w:firstLineChars="200"/>
              <w:rPr>
                <w:rFonts w:ascii="宋体" w:hAnsi="宋体" w:hint="eastAsia"/>
                <w:bCs/>
                <w:color w:val="000000"/>
                <w:szCs w:val="21"/>
              </w:rPr>
            </w:pPr>
            <w:r>
              <w:rPr>
                <w:rFonts w:ascii="宋体" w:hAnsi="宋体" w:hint="eastAsia"/>
                <w:bCs/>
                <w:color w:val="000000"/>
                <w:szCs w:val="21"/>
              </w:rPr>
              <w:t>≥</w:t>
            </w:r>
            <w:r>
              <w:rPr>
                <w:rFonts w:ascii="宋体" w:hAnsi="宋体" w:hint="eastAsia"/>
                <w:color w:val="000000"/>
                <w:szCs w:val="21"/>
              </w:rPr>
              <w:t>2.9</w:t>
            </w:r>
          </w:p>
        </w:tc>
        <w:tc>
          <w:tcPr>
            <w:tcW w:w="2083" w:type="dxa"/>
            <w:tcBorders>
              <w:top w:val="single" w:sz="4" w:space="0" w:color="000000"/>
              <w:left w:val="single" w:sz="4" w:space="0" w:color="000000"/>
              <w:bottom w:val="single" w:sz="4" w:space="0" w:color="000000"/>
              <w:right w:val="single" w:sz="4" w:space="0" w:color="000000"/>
            </w:tcBorders>
            <w:vAlign w:val="top"/>
          </w:tcPr>
          <w:p>
            <w:pPr>
              <w:ind w:firstLine="420" w:firstLineChars="200"/>
              <w:rPr>
                <w:rFonts w:ascii="宋体" w:hAnsi="宋体" w:hint="eastAsia"/>
                <w:color w:val="000000"/>
                <w:szCs w:val="21"/>
              </w:rPr>
            </w:pPr>
            <w:r>
              <w:rPr>
                <w:rFonts w:ascii="宋体" w:hAnsi="宋体" w:hint="eastAsia"/>
                <w:color w:val="000000"/>
                <w:szCs w:val="21"/>
              </w:rPr>
              <w:t xml:space="preserve">2.89 </w:t>
            </w:r>
          </w:p>
        </w:tc>
        <w:tc>
          <w:tcPr>
            <w:tcW w:w="1517"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符合</w:t>
            </w:r>
          </w:p>
        </w:tc>
      </w:tr>
      <w:tr>
        <w:tblPrEx>
          <w:tblW w:w="0" w:type="auto"/>
          <w:tblInd w:w="-72" w:type="dxa"/>
          <w:tblLayout w:type="fixed"/>
          <w:tblCellMar>
            <w:top w:w="0" w:type="dxa"/>
            <w:left w:w="108" w:type="dxa"/>
            <w:bottom w:w="0" w:type="dxa"/>
            <w:right w:w="108" w:type="dxa"/>
          </w:tblCellMar>
        </w:tblPrEx>
        <w:trPr>
          <w:cantSplit/>
        </w:trPr>
        <w:tc>
          <w:tcPr>
            <w:tcW w:w="714" w:type="dxa"/>
            <w:tcBorders>
              <w:top w:val="single" w:sz="4" w:space="0" w:color="000000"/>
              <w:left w:val="single" w:sz="4" w:space="0" w:color="000000"/>
              <w:bottom w:val="single" w:sz="4" w:space="0" w:color="000000"/>
              <w:right w:val="single" w:sz="4" w:space="0" w:color="000000"/>
            </w:tcBorders>
            <w:vAlign w:val="top"/>
          </w:tcPr>
          <w:p>
            <w:pPr>
              <w:jc w:val="center"/>
              <w:rPr>
                <w:rFonts w:ascii="宋体" w:hAnsi="宋体" w:hint="eastAsia"/>
                <w:color w:val="000000"/>
                <w:szCs w:val="21"/>
              </w:rPr>
            </w:pPr>
            <w:r>
              <w:rPr>
                <w:rFonts w:ascii="宋体" w:hAnsi="宋体" w:hint="eastAsia"/>
                <w:color w:val="000000"/>
                <w:szCs w:val="21"/>
              </w:rPr>
              <w:t>3</w:t>
            </w:r>
          </w:p>
        </w:tc>
        <w:tc>
          <w:tcPr>
            <w:tcW w:w="2706"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建筑密度</w:t>
            </w:r>
          </w:p>
        </w:tc>
        <w:tc>
          <w:tcPr>
            <w:tcW w:w="1980" w:type="dxa"/>
            <w:tcBorders>
              <w:top w:val="single" w:sz="4" w:space="0" w:color="000000"/>
              <w:left w:val="single" w:sz="4" w:space="0" w:color="000000"/>
              <w:bottom w:val="single" w:sz="4" w:space="0" w:color="000000"/>
              <w:right w:val="single" w:sz="4" w:space="0" w:color="000000"/>
            </w:tcBorders>
            <w:vAlign w:val="top"/>
          </w:tcPr>
          <w:p>
            <w:pPr>
              <w:ind w:firstLine="420" w:firstLineChars="200"/>
              <w:rPr>
                <w:rFonts w:ascii="宋体" w:hAnsi="宋体" w:hint="eastAsia"/>
                <w:bCs/>
                <w:color w:val="000000"/>
                <w:szCs w:val="21"/>
              </w:rPr>
            </w:pPr>
            <w:r>
              <w:rPr>
                <w:rFonts w:ascii="宋体" w:hAnsi="宋体" w:hint="eastAsia"/>
                <w:bCs/>
                <w:color w:val="000000"/>
                <w:szCs w:val="21"/>
              </w:rPr>
              <w:t>≥</w:t>
            </w:r>
            <w:r>
              <w:rPr>
                <w:rFonts w:ascii="宋体" w:hAnsi="宋体" w:hint="eastAsia"/>
                <w:color w:val="000000"/>
                <w:szCs w:val="21"/>
              </w:rPr>
              <w:t>20%</w:t>
            </w:r>
          </w:p>
        </w:tc>
        <w:tc>
          <w:tcPr>
            <w:tcW w:w="2083" w:type="dxa"/>
            <w:tcBorders>
              <w:top w:val="single" w:sz="4" w:space="0" w:color="000000"/>
              <w:left w:val="single" w:sz="4" w:space="0" w:color="000000"/>
              <w:bottom w:val="single" w:sz="4" w:space="0" w:color="000000"/>
              <w:right w:val="single" w:sz="4" w:space="0" w:color="000000"/>
            </w:tcBorders>
            <w:vAlign w:val="top"/>
          </w:tcPr>
          <w:p>
            <w:pPr>
              <w:ind w:firstLine="420" w:firstLineChars="200"/>
              <w:rPr>
                <w:rFonts w:ascii="宋体" w:hAnsi="宋体" w:hint="eastAsia"/>
                <w:color w:val="000000"/>
                <w:szCs w:val="21"/>
              </w:rPr>
            </w:pPr>
            <w:r>
              <w:rPr>
                <w:rFonts w:ascii="宋体" w:hAnsi="宋体" w:hint="eastAsia"/>
                <w:color w:val="000000"/>
                <w:szCs w:val="21"/>
              </w:rPr>
              <w:t xml:space="preserve">13.19% </w:t>
            </w:r>
          </w:p>
        </w:tc>
        <w:tc>
          <w:tcPr>
            <w:tcW w:w="1517" w:type="dxa"/>
            <w:tcBorders>
              <w:top w:val="single" w:sz="4" w:space="0" w:color="000000"/>
              <w:left w:val="single" w:sz="4" w:space="0" w:color="000000"/>
              <w:bottom w:val="single" w:sz="4" w:space="0" w:color="000000"/>
              <w:right w:val="single" w:sz="4" w:space="0" w:color="000000"/>
            </w:tcBorders>
            <w:vAlign w:val="top"/>
          </w:tcPr>
          <w:p>
            <w:pPr>
              <w:ind w:firstLine="210" w:firstLineChars="100"/>
              <w:rPr>
                <w:rFonts w:ascii="宋体" w:hAnsi="宋体" w:hint="eastAsia"/>
                <w:color w:val="000000"/>
                <w:szCs w:val="21"/>
              </w:rPr>
            </w:pPr>
            <w:r>
              <w:rPr>
                <w:rFonts w:ascii="宋体" w:hAnsi="宋体" w:hint="eastAsia"/>
                <w:color w:val="000000"/>
                <w:szCs w:val="21"/>
              </w:rPr>
              <w:t>基本符合</w:t>
            </w:r>
          </w:p>
        </w:tc>
      </w:tr>
      <w:tr>
        <w:tblPrEx>
          <w:tblW w:w="0" w:type="auto"/>
          <w:tblInd w:w="-72" w:type="dxa"/>
          <w:tblLayout w:type="fixed"/>
          <w:tblCellMar>
            <w:top w:w="0" w:type="dxa"/>
            <w:left w:w="108" w:type="dxa"/>
            <w:bottom w:w="0" w:type="dxa"/>
            <w:right w:w="108" w:type="dxa"/>
          </w:tblCellMar>
        </w:tblPrEx>
        <w:trPr>
          <w:cantSplit/>
        </w:trPr>
        <w:tc>
          <w:tcPr>
            <w:tcW w:w="714" w:type="dxa"/>
            <w:tcBorders>
              <w:top w:val="single" w:sz="4" w:space="0" w:color="000000"/>
              <w:left w:val="single" w:sz="4" w:space="0" w:color="000000"/>
              <w:bottom w:val="single" w:sz="4" w:space="0" w:color="000000"/>
              <w:right w:val="single" w:sz="4" w:space="0" w:color="000000"/>
            </w:tcBorders>
            <w:vAlign w:val="top"/>
          </w:tcPr>
          <w:p>
            <w:pPr>
              <w:jc w:val="center"/>
              <w:rPr>
                <w:rFonts w:ascii="宋体" w:hAnsi="宋体"/>
                <w:color w:val="000000"/>
                <w:szCs w:val="21"/>
              </w:rPr>
            </w:pPr>
            <w:r>
              <w:rPr>
                <w:rFonts w:ascii="宋体" w:hAnsi="宋体"/>
                <w:color w:val="000000"/>
                <w:szCs w:val="21"/>
              </w:rPr>
              <w:t>4</w:t>
            </w:r>
          </w:p>
        </w:tc>
        <w:tc>
          <w:tcPr>
            <w:tcW w:w="2706"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绿地率</w:t>
            </w:r>
          </w:p>
        </w:tc>
        <w:tc>
          <w:tcPr>
            <w:tcW w:w="1980" w:type="dxa"/>
            <w:tcBorders>
              <w:top w:val="single" w:sz="4" w:space="0" w:color="000000"/>
              <w:left w:val="single" w:sz="4" w:space="0" w:color="000000"/>
              <w:bottom w:val="single" w:sz="4" w:space="0" w:color="000000"/>
              <w:right w:val="single" w:sz="4" w:space="0" w:color="000000"/>
            </w:tcBorders>
            <w:vAlign w:val="top"/>
          </w:tcPr>
          <w:p>
            <w:pPr>
              <w:ind w:firstLine="420" w:firstLineChars="200"/>
              <w:rPr>
                <w:rFonts w:ascii="宋体" w:hAnsi="宋体" w:hint="eastAsia"/>
                <w:color w:val="000000"/>
                <w:szCs w:val="21"/>
              </w:rPr>
            </w:pPr>
            <w:r>
              <w:rPr>
                <w:rFonts w:ascii="宋体" w:hAnsi="宋体" w:hint="eastAsia"/>
                <w:color w:val="000000"/>
                <w:szCs w:val="21"/>
              </w:rPr>
              <w:t>≤35%</w:t>
            </w:r>
          </w:p>
        </w:tc>
        <w:tc>
          <w:tcPr>
            <w:tcW w:w="2083" w:type="dxa"/>
            <w:tcBorders>
              <w:top w:val="single" w:sz="4" w:space="0" w:color="000000"/>
              <w:left w:val="single" w:sz="4" w:space="0" w:color="000000"/>
              <w:bottom w:val="single" w:sz="4" w:space="0" w:color="000000"/>
              <w:right w:val="single" w:sz="4" w:space="0" w:color="000000"/>
            </w:tcBorders>
            <w:vAlign w:val="top"/>
          </w:tcPr>
          <w:p>
            <w:pPr>
              <w:ind w:firstLine="420" w:firstLineChars="200"/>
              <w:rPr>
                <w:rFonts w:ascii="宋体" w:hAnsi="宋体" w:hint="eastAsia"/>
                <w:color w:val="000000"/>
                <w:szCs w:val="21"/>
              </w:rPr>
            </w:pPr>
            <w:r>
              <w:rPr>
                <w:rFonts w:ascii="宋体" w:hAnsi="宋体" w:hint="eastAsia"/>
                <w:color w:val="000000"/>
                <w:szCs w:val="21"/>
              </w:rPr>
              <w:t xml:space="preserve">35.6% </w:t>
            </w:r>
          </w:p>
        </w:tc>
        <w:tc>
          <w:tcPr>
            <w:tcW w:w="1517"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符合</w:t>
            </w:r>
          </w:p>
        </w:tc>
      </w:tr>
      <w:tr>
        <w:tblPrEx>
          <w:tblW w:w="0" w:type="auto"/>
          <w:tblInd w:w="-72" w:type="dxa"/>
          <w:tblLayout w:type="fixed"/>
          <w:tblCellMar>
            <w:top w:w="0" w:type="dxa"/>
            <w:left w:w="108" w:type="dxa"/>
            <w:bottom w:w="0" w:type="dxa"/>
            <w:right w:w="108" w:type="dxa"/>
          </w:tblCellMar>
        </w:tblPrEx>
        <w:trPr>
          <w:cantSplit/>
          <w:trHeight w:val="275"/>
        </w:trPr>
        <w:tc>
          <w:tcPr>
            <w:tcW w:w="714" w:type="dxa"/>
            <w:tcBorders>
              <w:top w:val="single" w:sz="4" w:space="0" w:color="000000"/>
              <w:left w:val="single" w:sz="4" w:space="0" w:color="000000"/>
              <w:bottom w:val="single" w:sz="4" w:space="0" w:color="000000"/>
              <w:right w:val="single" w:sz="4" w:space="0" w:color="000000"/>
            </w:tcBorders>
            <w:vAlign w:val="top"/>
          </w:tcPr>
          <w:p>
            <w:pPr>
              <w:jc w:val="center"/>
              <w:rPr>
                <w:rFonts w:ascii="宋体" w:hAnsi="宋体" w:hint="eastAsia"/>
                <w:color w:val="000000"/>
                <w:szCs w:val="21"/>
              </w:rPr>
            </w:pPr>
            <w:r>
              <w:rPr>
                <w:rFonts w:ascii="宋体" w:hAnsi="宋体" w:hint="eastAsia"/>
                <w:color w:val="000000"/>
                <w:szCs w:val="21"/>
              </w:rPr>
              <w:t>5</w:t>
            </w:r>
          </w:p>
        </w:tc>
        <w:tc>
          <w:tcPr>
            <w:tcW w:w="2706" w:type="dxa"/>
            <w:tcBorders>
              <w:top w:val="single" w:sz="4" w:space="0" w:color="000000"/>
              <w:left w:val="single" w:sz="4" w:space="0" w:color="000000"/>
              <w:bottom w:val="single" w:sz="4" w:space="0" w:color="000000"/>
              <w:right w:val="single" w:sz="4" w:space="0" w:color="000000"/>
            </w:tcBorders>
            <w:vAlign w:val="top"/>
          </w:tcPr>
          <w:p>
            <w:pPr>
              <w:rPr>
                <w:rFonts w:ascii="宋体" w:hAnsi="宋体" w:hint="eastAsia"/>
                <w:color w:val="000000"/>
                <w:szCs w:val="21"/>
              </w:rPr>
            </w:pPr>
            <w:r>
              <w:rPr>
                <w:rFonts w:ascii="宋体" w:hAnsi="宋体" w:hint="eastAsia"/>
                <w:color w:val="000000"/>
                <w:szCs w:val="21"/>
              </w:rPr>
              <w:t>建设规模或类型（人数）</w:t>
            </w:r>
          </w:p>
        </w:tc>
        <w:tc>
          <w:tcPr>
            <w:tcW w:w="1980" w:type="dxa"/>
            <w:tcBorders>
              <w:top w:val="single" w:sz="4" w:space="0" w:color="000000"/>
              <w:left w:val="single" w:sz="4" w:space="0" w:color="000000"/>
              <w:bottom w:val="single" w:sz="4" w:space="0" w:color="000000"/>
              <w:right w:val="single" w:sz="4" w:space="0" w:color="000000"/>
            </w:tcBorders>
            <w:vAlign w:val="top"/>
          </w:tcPr>
          <w:p>
            <w:pPr>
              <w:ind w:firstLine="420" w:firstLineChars="200"/>
              <w:rPr>
                <w:rFonts w:ascii="宋体" w:hAnsi="宋体" w:hint="eastAsia"/>
                <w:color w:val="000000"/>
                <w:szCs w:val="21"/>
              </w:rPr>
            </w:pPr>
            <w:r>
              <w:rPr>
                <w:rFonts w:ascii="宋体" w:hAnsi="宋体" w:hint="eastAsia"/>
                <w:color w:val="000000"/>
                <w:szCs w:val="21"/>
              </w:rPr>
              <w:t>≤3000人</w:t>
            </w:r>
          </w:p>
        </w:tc>
        <w:tc>
          <w:tcPr>
            <w:tcW w:w="2083" w:type="dxa"/>
            <w:tcBorders>
              <w:top w:val="single" w:sz="4" w:space="0" w:color="000000"/>
              <w:left w:val="single" w:sz="4" w:space="0" w:color="000000"/>
              <w:bottom w:val="single" w:sz="4" w:space="0" w:color="000000"/>
              <w:right w:val="single" w:sz="4" w:space="0" w:color="000000"/>
            </w:tcBorders>
            <w:vAlign w:val="top"/>
          </w:tcPr>
          <w:p>
            <w:pPr>
              <w:ind w:firstLine="420" w:firstLineChars="200"/>
              <w:rPr>
                <w:rFonts w:ascii="宋体" w:hAnsi="宋体" w:hint="eastAsia"/>
                <w:color w:val="000000"/>
                <w:szCs w:val="21"/>
              </w:rPr>
            </w:pPr>
            <w:r>
              <w:rPr>
                <w:rFonts w:ascii="宋体" w:hAnsi="宋体" w:hint="eastAsia"/>
                <w:color w:val="000000"/>
                <w:szCs w:val="21"/>
              </w:rPr>
              <w:t xml:space="preserve">982 </w:t>
            </w:r>
          </w:p>
        </w:tc>
        <w:tc>
          <w:tcPr>
            <w:tcW w:w="1517"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符合</w:t>
            </w:r>
          </w:p>
        </w:tc>
      </w:tr>
      <w:tr>
        <w:tblPrEx>
          <w:tblW w:w="0" w:type="auto"/>
          <w:tblInd w:w="-72" w:type="dxa"/>
          <w:tblLayout w:type="fixed"/>
          <w:tblCellMar>
            <w:top w:w="0" w:type="dxa"/>
            <w:left w:w="108" w:type="dxa"/>
            <w:bottom w:w="0" w:type="dxa"/>
            <w:right w:w="108" w:type="dxa"/>
          </w:tblCellMar>
        </w:tblPrEx>
        <w:trPr>
          <w:cantSplit/>
        </w:trPr>
        <w:tc>
          <w:tcPr>
            <w:tcW w:w="714" w:type="dxa"/>
            <w:tcBorders>
              <w:top w:val="single" w:sz="4" w:space="0" w:color="000000"/>
              <w:left w:val="single" w:sz="4" w:space="0" w:color="000000"/>
              <w:bottom w:val="single" w:sz="4" w:space="0" w:color="000000"/>
              <w:right w:val="single" w:sz="4" w:space="0" w:color="000000"/>
            </w:tcBorders>
            <w:vAlign w:val="top"/>
          </w:tcPr>
          <w:p>
            <w:pPr>
              <w:jc w:val="center"/>
              <w:rPr>
                <w:rFonts w:ascii="宋体" w:hAnsi="宋体" w:hint="eastAsia"/>
                <w:color w:val="000000"/>
                <w:szCs w:val="21"/>
              </w:rPr>
            </w:pPr>
            <w:r>
              <w:rPr>
                <w:rFonts w:ascii="宋体" w:hAnsi="宋体" w:hint="eastAsia"/>
                <w:color w:val="000000"/>
                <w:szCs w:val="21"/>
              </w:rPr>
              <w:t>6</w:t>
            </w:r>
          </w:p>
        </w:tc>
        <w:tc>
          <w:tcPr>
            <w:tcW w:w="2706"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机动车停车数</w:t>
            </w:r>
          </w:p>
        </w:tc>
        <w:tc>
          <w:tcPr>
            <w:tcW w:w="1980" w:type="dxa"/>
            <w:tcBorders>
              <w:top w:val="single" w:sz="4" w:space="0" w:color="000000"/>
              <w:left w:val="single" w:sz="4" w:space="0" w:color="000000"/>
              <w:bottom w:val="single" w:sz="4" w:space="0" w:color="000000"/>
              <w:right w:val="single" w:sz="4" w:space="0" w:color="000000"/>
            </w:tcBorders>
            <w:vAlign w:val="top"/>
          </w:tcPr>
          <w:p>
            <w:pPr>
              <w:ind w:firstLine="420" w:firstLineChars="200"/>
              <w:rPr>
                <w:rFonts w:ascii="宋体" w:hAnsi="宋体" w:hint="eastAsia"/>
                <w:bCs/>
                <w:color w:val="000000"/>
                <w:szCs w:val="21"/>
              </w:rPr>
            </w:pPr>
            <w:r>
              <w:rPr>
                <w:rFonts w:ascii="宋体" w:hAnsi="宋体" w:hint="eastAsia"/>
                <w:bCs/>
                <w:color w:val="000000"/>
                <w:szCs w:val="21"/>
              </w:rPr>
              <w:t>≥</w:t>
            </w:r>
            <w:r>
              <w:rPr>
                <w:rFonts w:ascii="宋体" w:hAnsi="宋体" w:hint="eastAsia"/>
                <w:color w:val="000000"/>
                <w:szCs w:val="21"/>
              </w:rPr>
              <w:t>379</w:t>
            </w:r>
          </w:p>
        </w:tc>
        <w:tc>
          <w:tcPr>
            <w:tcW w:w="2083" w:type="dxa"/>
            <w:tcBorders>
              <w:top w:val="single" w:sz="4" w:space="0" w:color="000000"/>
              <w:left w:val="single" w:sz="4" w:space="0" w:color="000000"/>
              <w:bottom w:val="single" w:sz="4" w:space="0" w:color="000000"/>
              <w:right w:val="single" w:sz="4" w:space="0" w:color="000000"/>
            </w:tcBorders>
            <w:vAlign w:val="top"/>
          </w:tcPr>
          <w:p>
            <w:pPr>
              <w:ind w:firstLine="420" w:firstLineChars="200"/>
              <w:rPr>
                <w:rFonts w:ascii="宋体" w:hAnsi="宋体" w:hint="eastAsia"/>
                <w:color w:val="000000"/>
                <w:szCs w:val="21"/>
              </w:rPr>
            </w:pPr>
            <w:r>
              <w:rPr>
                <w:rFonts w:ascii="宋体" w:hAnsi="宋体" w:hint="eastAsia"/>
                <w:color w:val="000000"/>
                <w:szCs w:val="21"/>
              </w:rPr>
              <w:t xml:space="preserve">380两 </w:t>
            </w:r>
          </w:p>
        </w:tc>
        <w:tc>
          <w:tcPr>
            <w:tcW w:w="1517"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符合</w:t>
            </w:r>
          </w:p>
        </w:tc>
      </w:tr>
      <w:tr>
        <w:tblPrEx>
          <w:tblW w:w="0" w:type="auto"/>
          <w:tblInd w:w="-72" w:type="dxa"/>
          <w:tblLayout w:type="fixed"/>
          <w:tblCellMar>
            <w:top w:w="0" w:type="dxa"/>
            <w:left w:w="108" w:type="dxa"/>
            <w:bottom w:w="0" w:type="dxa"/>
            <w:right w:w="108" w:type="dxa"/>
          </w:tblCellMar>
        </w:tblPrEx>
        <w:trPr>
          <w:cantSplit/>
        </w:trPr>
        <w:tc>
          <w:tcPr>
            <w:tcW w:w="714" w:type="dxa"/>
            <w:tcBorders>
              <w:top w:val="single" w:sz="4" w:space="0" w:color="000000"/>
              <w:left w:val="single" w:sz="4" w:space="0" w:color="000000"/>
              <w:bottom w:val="single" w:sz="4" w:space="0" w:color="000000"/>
              <w:right w:val="single" w:sz="4" w:space="0" w:color="000000"/>
            </w:tcBorders>
            <w:vAlign w:val="top"/>
          </w:tcPr>
          <w:p>
            <w:pPr>
              <w:jc w:val="center"/>
              <w:rPr>
                <w:rFonts w:ascii="宋体" w:hAnsi="宋体" w:hint="eastAsia"/>
                <w:color w:val="000000"/>
                <w:szCs w:val="21"/>
              </w:rPr>
            </w:pPr>
            <w:r>
              <w:rPr>
                <w:rFonts w:ascii="宋体" w:hAnsi="宋体" w:hint="eastAsia"/>
                <w:color w:val="000000"/>
                <w:szCs w:val="21"/>
              </w:rPr>
              <w:t>7</w:t>
            </w:r>
          </w:p>
        </w:tc>
        <w:tc>
          <w:tcPr>
            <w:tcW w:w="2706"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非机动车停车数</w:t>
            </w:r>
          </w:p>
        </w:tc>
        <w:tc>
          <w:tcPr>
            <w:tcW w:w="1980" w:type="dxa"/>
            <w:tcBorders>
              <w:top w:val="single" w:sz="4" w:space="0" w:color="000000"/>
              <w:left w:val="single" w:sz="4" w:space="0" w:color="000000"/>
              <w:bottom w:val="single" w:sz="4" w:space="0" w:color="000000"/>
              <w:right w:val="single" w:sz="4" w:space="0" w:color="000000"/>
            </w:tcBorders>
            <w:vAlign w:val="top"/>
          </w:tcPr>
          <w:p>
            <w:pPr>
              <w:ind w:firstLine="420" w:firstLineChars="200"/>
              <w:rPr>
                <w:rFonts w:ascii="宋体" w:hAnsi="宋体" w:hint="eastAsia"/>
                <w:bCs/>
                <w:color w:val="000000"/>
                <w:szCs w:val="21"/>
              </w:rPr>
            </w:pPr>
            <w:r>
              <w:rPr>
                <w:rFonts w:ascii="宋体" w:hAnsi="宋体" w:hint="eastAsia"/>
                <w:bCs/>
                <w:color w:val="000000"/>
                <w:szCs w:val="21"/>
              </w:rPr>
              <w:t>≥</w:t>
            </w:r>
            <w:r>
              <w:rPr>
                <w:rFonts w:ascii="宋体" w:hAnsi="宋体" w:hint="eastAsia"/>
                <w:color w:val="000000"/>
                <w:szCs w:val="21"/>
              </w:rPr>
              <w:t>758</w:t>
            </w:r>
          </w:p>
        </w:tc>
        <w:tc>
          <w:tcPr>
            <w:tcW w:w="2083" w:type="dxa"/>
            <w:tcBorders>
              <w:top w:val="single" w:sz="4" w:space="0" w:color="000000"/>
              <w:left w:val="single" w:sz="4" w:space="0" w:color="000000"/>
              <w:bottom w:val="single" w:sz="4" w:space="0" w:color="000000"/>
              <w:right w:val="single" w:sz="4" w:space="0" w:color="000000"/>
            </w:tcBorders>
            <w:vAlign w:val="top"/>
          </w:tcPr>
          <w:p>
            <w:pPr>
              <w:ind w:firstLine="630" w:firstLineChars="300"/>
              <w:rPr>
                <w:rFonts w:ascii="宋体" w:hAnsi="宋体" w:hint="eastAsia"/>
                <w:color w:val="000000"/>
                <w:szCs w:val="21"/>
              </w:rPr>
            </w:pPr>
            <w:r>
              <w:rPr>
                <w:rFonts w:ascii="宋体" w:hAnsi="宋体" w:hint="eastAsia"/>
                <w:color w:val="000000"/>
                <w:szCs w:val="21"/>
              </w:rPr>
              <w:t xml:space="preserve">764 </w:t>
            </w:r>
          </w:p>
        </w:tc>
        <w:tc>
          <w:tcPr>
            <w:tcW w:w="1517" w:type="dxa"/>
            <w:tcBorders>
              <w:top w:val="single" w:sz="4" w:space="0" w:color="000000"/>
              <w:left w:val="single" w:sz="4" w:space="0" w:color="000000"/>
              <w:bottom w:val="single" w:sz="4" w:space="0" w:color="000000"/>
              <w:right w:val="single" w:sz="4" w:space="0" w:color="000000"/>
            </w:tcBorders>
            <w:vAlign w:val="top"/>
          </w:tcPr>
          <w:p>
            <w:pPr>
              <w:ind w:firstLine="525"/>
              <w:rPr>
                <w:rFonts w:ascii="宋体" w:hAnsi="宋体" w:hint="eastAsia"/>
                <w:color w:val="000000"/>
                <w:szCs w:val="21"/>
              </w:rPr>
            </w:pPr>
            <w:r>
              <w:rPr>
                <w:rFonts w:ascii="宋体" w:hAnsi="宋体" w:hint="eastAsia"/>
                <w:color w:val="000000"/>
                <w:szCs w:val="21"/>
              </w:rPr>
              <w:t>符合</w:t>
            </w:r>
          </w:p>
        </w:tc>
      </w:tr>
    </w:tbl>
    <w:p>
      <w:pPr>
        <w:spacing w:line="540" w:lineRule="exact"/>
        <w:ind w:firstLine="600" w:firstLineChars="250"/>
        <w:rPr>
          <w:rFonts w:ascii="宋体" w:hAnsi="宋体" w:hint="eastAsia"/>
          <w:color w:val="000000"/>
          <w:sz w:val="24"/>
        </w:rPr>
      </w:pPr>
      <w:r>
        <w:rPr>
          <w:rFonts w:ascii="宋体" w:hAnsi="宋体" w:hint="eastAsia"/>
          <w:color w:val="000000"/>
          <w:sz w:val="24"/>
        </w:rPr>
        <w:t>上述指标满足陕政办发[2008]25号文件附本《</w:t>
      </w:r>
      <w:r>
        <w:rPr>
          <w:rFonts w:ascii="宋体" w:hAnsi="宋体" w:hint="eastAsia"/>
          <w:color w:val="000000"/>
          <w:sz w:val="24"/>
          <w:lang w:eastAsia="zh-CN"/>
        </w:rPr>
        <w:t>xxx</w:t>
      </w:r>
      <w:r>
        <w:rPr>
          <w:rFonts w:ascii="宋体" w:hAnsi="宋体" w:hint="eastAsia"/>
          <w:color w:val="000000"/>
          <w:sz w:val="24"/>
        </w:rPr>
        <w:t>省建设用地指标》（2007年版）145页、150-151、175页（</w:t>
      </w:r>
      <w:r>
        <w:rPr>
          <w:rFonts w:ascii="宋体" w:hAnsi="宋体" w:hint="eastAsia"/>
          <w:color w:val="000000"/>
          <w:sz w:val="24"/>
          <w:lang w:eastAsia="zh-CN"/>
        </w:rPr>
        <w:t>xxx</w:t>
      </w:r>
      <w:r>
        <w:rPr>
          <w:rFonts w:ascii="宋体" w:hAnsi="宋体" w:hint="eastAsia"/>
          <w:color w:val="000000"/>
          <w:sz w:val="24"/>
        </w:rPr>
        <w:t>省居住建筑建设用地指标）各项要求。</w:t>
      </w:r>
    </w:p>
    <w:p>
      <w:pPr>
        <w:spacing w:line="560" w:lineRule="exact"/>
        <w:ind w:firstLine="600" w:firstLineChars="250"/>
        <w:rPr>
          <w:rFonts w:ascii="宋体" w:hAnsi="宋体" w:hint="eastAsia"/>
          <w:color w:val="000000"/>
          <w:sz w:val="24"/>
        </w:rPr>
        <w:sectPr>
          <w:footerReference w:type="default" r:id="rId10"/>
          <w:type w:val="nextPage"/>
          <w:pgSz w:w="11906" w:h="16838"/>
          <w:pgMar w:top="1440" w:right="1287" w:bottom="1559" w:left="1797" w:header="851" w:footer="992" w:gutter="0"/>
          <w:pgNumType w:start="6"/>
          <w:cols w:num="1" w:space="720"/>
          <w:titlePg w:val="0"/>
          <w:docGrid w:type="linesAndChars" w:linePitch="312" w:charSpace="0"/>
        </w:sectPr>
      </w:pPr>
      <w:r>
        <w:rPr>
          <w:rFonts w:ascii="宋体" w:hAnsi="宋体" w:hint="eastAsia"/>
          <w:color w:val="000000"/>
          <w:sz w:val="24"/>
        </w:rPr>
        <w:t>对应本项目：</w:t>
      </w:r>
      <w:r>
        <w:rPr>
          <w:rFonts w:ascii="宋体" w:hAnsi="宋体"/>
          <w:color w:val="000000"/>
          <w:sz w:val="24"/>
        </w:rPr>
        <w:t>项目投资强度</w:t>
      </w:r>
      <w:r>
        <w:rPr>
          <w:rFonts w:ascii="宋体" w:hAnsi="宋体" w:hint="eastAsia"/>
          <w:color w:val="000000"/>
          <w:sz w:val="24"/>
        </w:rPr>
        <w:t>≥602万元/公倾、建设规模（人数）小于3000人之间、人均建筑面积≤35㎡/人、容积率≥1.32、建筑密度≥20%、</w:t>
      </w:r>
      <w:r>
        <w:rPr>
          <w:rFonts w:ascii="宋体" w:hAnsi="宋体"/>
          <w:color w:val="000000"/>
          <w:sz w:val="24"/>
        </w:rPr>
        <w:t>绿</w:t>
      </w:r>
      <w:r>
        <w:rPr>
          <w:rFonts w:ascii="宋体" w:hAnsi="宋体" w:hint="eastAsia"/>
          <w:color w:val="000000"/>
          <w:sz w:val="24"/>
        </w:rPr>
        <w:t>地</w:t>
      </w:r>
      <w:r>
        <w:rPr>
          <w:rFonts w:ascii="宋体" w:hAnsi="宋体"/>
          <w:color w:val="000000"/>
          <w:sz w:val="24"/>
        </w:rPr>
        <w:t>率</w:t>
      </w:r>
    </w:p>
    <w:p>
      <w:pPr>
        <w:spacing w:line="560" w:lineRule="exact"/>
        <w:ind w:firstLine="600" w:firstLineChars="250"/>
        <w:rPr>
          <w:rFonts w:ascii="宋体" w:hAnsi="宋体" w:hint="eastAsia"/>
          <w:color w:val="000000"/>
          <w:sz w:val="24"/>
        </w:rPr>
      </w:pPr>
      <w:r>
        <w:rPr>
          <w:rFonts w:ascii="宋体" w:hAnsi="宋体" w:hint="eastAsia"/>
          <w:color w:val="000000"/>
          <w:sz w:val="24"/>
        </w:rPr>
        <w:t>在32%-36%之间。完全符合（</w:t>
      </w:r>
      <w:r>
        <w:rPr>
          <w:rFonts w:ascii="宋体" w:hAnsi="宋体" w:hint="eastAsia"/>
          <w:color w:val="000000"/>
          <w:sz w:val="24"/>
          <w:lang w:eastAsia="zh-CN"/>
        </w:rPr>
        <w:t>xxx</w:t>
      </w:r>
      <w:r>
        <w:rPr>
          <w:rFonts w:ascii="宋体" w:hAnsi="宋体" w:hint="eastAsia"/>
          <w:color w:val="000000"/>
          <w:sz w:val="24"/>
        </w:rPr>
        <w:t>省居住建筑建设用地指标）及市县政府规划管理部门确定的出让宗地规划要求。</w:t>
      </w:r>
    </w:p>
    <w:p>
      <w:pPr>
        <w:spacing w:line="560" w:lineRule="exact"/>
        <w:ind w:firstLine="703"/>
        <w:rPr>
          <w:rFonts w:ascii="宋体" w:hAnsi="宋体" w:hint="eastAsia"/>
          <w:b/>
          <w:color w:val="000000"/>
          <w:sz w:val="28"/>
          <w:szCs w:val="28"/>
        </w:rPr>
      </w:pPr>
      <w:r>
        <w:rPr>
          <w:rFonts w:ascii="宋体" w:hAnsi="宋体" w:hint="eastAsia"/>
          <w:b/>
          <w:color w:val="000000"/>
          <w:sz w:val="28"/>
          <w:szCs w:val="28"/>
        </w:rPr>
        <w:t>3.5.2 项目实际设计参数</w:t>
      </w:r>
    </w:p>
    <w:p>
      <w:pPr>
        <w:spacing w:line="560" w:lineRule="exact"/>
        <w:ind w:firstLine="602"/>
        <w:rPr>
          <w:rFonts w:ascii="宋体" w:hAnsi="宋体" w:hint="eastAsia"/>
          <w:b/>
          <w:color w:val="000000"/>
          <w:sz w:val="24"/>
        </w:rPr>
      </w:pPr>
      <w:r>
        <w:rPr>
          <w:rFonts w:ascii="宋体" w:hAnsi="宋体" w:hint="eastAsia"/>
          <w:b/>
          <w:color w:val="000000"/>
          <w:sz w:val="24"/>
        </w:rPr>
        <w:t xml:space="preserve">              </w:t>
      </w:r>
      <w:r>
        <w:rPr>
          <w:rFonts w:ascii="宋体" w:hAnsi="宋体" w:hint="eastAsia"/>
          <w:b/>
          <w:color w:val="000000"/>
          <w:sz w:val="24"/>
          <w:szCs w:val="28"/>
          <w:lang w:eastAsia="zh-CN"/>
        </w:rPr>
        <w:t>xxxxxx</w:t>
      </w:r>
      <w:r>
        <w:rPr>
          <w:rFonts w:ascii="宋体" w:hAnsi="宋体" w:hint="eastAsia"/>
          <w:b/>
          <w:color w:val="000000"/>
          <w:sz w:val="24"/>
          <w:szCs w:val="28"/>
        </w:rPr>
        <w:t>住宅建设项目</w:t>
      </w:r>
      <w:r>
        <w:rPr>
          <w:rFonts w:ascii="宋体" w:hAnsi="宋体" w:hint="eastAsia"/>
          <w:b/>
          <w:color w:val="000000"/>
          <w:sz w:val="24"/>
        </w:rPr>
        <w:t>设计参数</w:t>
      </w:r>
      <w:r>
        <w:rPr>
          <w:rFonts w:ascii="宋体" w:hAnsi="宋体" w:hint="eastAsia"/>
          <w:b/>
          <w:bCs/>
          <w:color w:val="000000"/>
          <w:sz w:val="24"/>
        </w:rPr>
        <w:t xml:space="preserve">           </w:t>
      </w:r>
      <w:r>
        <w:rPr>
          <w:rFonts w:ascii="宋体" w:hAnsi="宋体" w:hint="eastAsia"/>
          <w:b/>
          <w:bCs/>
          <w:color w:val="000000"/>
          <w:sz w:val="18"/>
        </w:rPr>
        <w:t xml:space="preserve">   </w:t>
      </w:r>
      <w:r>
        <w:rPr>
          <w:rFonts w:ascii="宋体" w:hAnsi="宋体" w:hint="eastAsia"/>
          <w:color w:val="000000"/>
          <w:sz w:val="18"/>
          <w:szCs w:val="21"/>
        </w:rPr>
        <w:t>表—3</w:t>
      </w: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709"/>
        <w:gridCol w:w="447"/>
        <w:gridCol w:w="1963"/>
        <w:gridCol w:w="1559"/>
        <w:gridCol w:w="4142"/>
      </w:tblGrid>
      <w:tr>
        <w:tblPrEx>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c>
          <w:tcPr>
            <w:tcW w:w="709" w:type="dxa"/>
            <w:vAlign w:val="top"/>
          </w:tcPr>
          <w:p>
            <w:pPr>
              <w:rPr>
                <w:rFonts w:ascii="宋体" w:hAnsi="宋体" w:hint="eastAsia"/>
                <w:b/>
                <w:color w:val="000000"/>
                <w:szCs w:val="21"/>
              </w:rPr>
            </w:pPr>
            <w:r>
              <w:rPr>
                <w:rFonts w:ascii="宋体" w:hAnsi="宋体" w:hint="eastAsia"/>
                <w:b/>
                <w:color w:val="000000"/>
                <w:szCs w:val="21"/>
              </w:rPr>
              <w:t>序号</w:t>
            </w:r>
          </w:p>
        </w:tc>
        <w:tc>
          <w:tcPr>
            <w:tcW w:w="2410" w:type="dxa"/>
            <w:gridSpan w:val="2"/>
            <w:vAlign w:val="top"/>
          </w:tcPr>
          <w:p>
            <w:pPr>
              <w:rPr>
                <w:rFonts w:ascii="宋体" w:hAnsi="宋体" w:hint="eastAsia"/>
                <w:b/>
                <w:color w:val="000000"/>
                <w:szCs w:val="21"/>
              </w:rPr>
            </w:pPr>
            <w:r>
              <w:rPr>
                <w:rFonts w:ascii="宋体" w:hAnsi="宋体" w:hint="eastAsia"/>
                <w:b/>
                <w:color w:val="000000"/>
                <w:szCs w:val="21"/>
              </w:rPr>
              <w:t>主要技术经济指标名称</w:t>
            </w:r>
          </w:p>
        </w:tc>
        <w:tc>
          <w:tcPr>
            <w:tcW w:w="1559" w:type="dxa"/>
            <w:vAlign w:val="top"/>
          </w:tcPr>
          <w:p>
            <w:pPr>
              <w:rPr>
                <w:rFonts w:ascii="宋体" w:hAnsi="宋体" w:hint="eastAsia"/>
                <w:b/>
                <w:color w:val="000000"/>
                <w:szCs w:val="21"/>
              </w:rPr>
            </w:pPr>
            <w:r>
              <w:rPr>
                <w:rFonts w:ascii="宋体" w:hAnsi="宋体" w:hint="eastAsia"/>
                <w:b/>
                <w:color w:val="000000"/>
                <w:szCs w:val="21"/>
              </w:rPr>
              <w:t>技术经济指标</w:t>
            </w:r>
          </w:p>
        </w:tc>
        <w:tc>
          <w:tcPr>
            <w:tcW w:w="4142" w:type="dxa"/>
            <w:vAlign w:val="top"/>
          </w:tcPr>
          <w:p>
            <w:pPr>
              <w:ind w:firstLine="210" w:firstLineChars="100"/>
              <w:jc w:val="center"/>
              <w:rPr>
                <w:rFonts w:ascii="宋体" w:hAnsi="宋体" w:hint="eastAsia"/>
                <w:b/>
                <w:color w:val="000000"/>
                <w:szCs w:val="21"/>
              </w:rPr>
            </w:pPr>
            <w:r>
              <w:rPr>
                <w:rFonts w:ascii="宋体" w:hAnsi="宋体" w:hint="eastAsia"/>
                <w:b/>
                <w:color w:val="000000"/>
                <w:szCs w:val="21"/>
              </w:rPr>
              <w:t>备   注</w:t>
            </w: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1</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规划用地面积</w:t>
            </w:r>
          </w:p>
        </w:tc>
        <w:tc>
          <w:tcPr>
            <w:tcW w:w="1559" w:type="dxa"/>
            <w:vAlign w:val="top"/>
          </w:tcPr>
          <w:p>
            <w:pPr>
              <w:rPr>
                <w:rFonts w:ascii="宋体" w:hAnsi="宋体" w:hint="eastAsia"/>
                <w:color w:val="000000"/>
                <w:szCs w:val="21"/>
              </w:rPr>
            </w:pPr>
            <w:r>
              <w:rPr>
                <w:rFonts w:ascii="宋体" w:hAnsi="宋体" w:hint="eastAsia"/>
                <w:color w:val="000000"/>
                <w:szCs w:val="21"/>
              </w:rPr>
              <w:t>19.89亩</w:t>
            </w:r>
          </w:p>
        </w:tc>
        <w:tc>
          <w:tcPr>
            <w:tcW w:w="4142" w:type="dxa"/>
            <w:vAlign w:val="top"/>
          </w:tcPr>
          <w:p>
            <w:pPr>
              <w:ind w:firstLine="525"/>
              <w:rPr>
                <w:rFonts w:ascii="宋体" w:hAnsi="宋体" w:hint="eastAsia"/>
                <w:color w:val="000000"/>
                <w:szCs w:val="21"/>
              </w:rPr>
            </w:pPr>
            <w:r>
              <w:rPr>
                <w:rFonts w:ascii="宋体" w:hAnsi="宋体" w:hint="eastAsia"/>
                <w:color w:val="000000"/>
                <w:szCs w:val="21"/>
              </w:rPr>
              <w:t>1.326公顷</w:t>
            </w: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2</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规划净用地面积</w:t>
            </w:r>
          </w:p>
        </w:tc>
        <w:tc>
          <w:tcPr>
            <w:tcW w:w="1559" w:type="dxa"/>
            <w:vAlign w:val="top"/>
          </w:tcPr>
          <w:p>
            <w:pPr>
              <w:rPr>
                <w:rFonts w:ascii="宋体" w:hAnsi="宋体" w:hint="eastAsia"/>
                <w:color w:val="000000"/>
                <w:szCs w:val="21"/>
              </w:rPr>
            </w:pPr>
            <w:r>
              <w:rPr>
                <w:rFonts w:ascii="宋体" w:hAnsi="宋体" w:hint="eastAsia"/>
                <w:color w:val="000000"/>
                <w:szCs w:val="21"/>
              </w:rPr>
              <w:t>13250平方米</w:t>
            </w:r>
          </w:p>
        </w:tc>
        <w:tc>
          <w:tcPr>
            <w:tcW w:w="4142" w:type="dxa"/>
            <w:vAlign w:val="top"/>
          </w:tcPr>
          <w:p>
            <w:pPr>
              <w:ind w:firstLine="525"/>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3</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总建筑面积</w:t>
            </w:r>
          </w:p>
        </w:tc>
        <w:tc>
          <w:tcPr>
            <w:tcW w:w="1559" w:type="dxa"/>
            <w:vAlign w:val="top"/>
          </w:tcPr>
          <w:p>
            <w:pPr>
              <w:rPr>
                <w:rFonts w:ascii="宋体" w:hAnsi="宋体" w:hint="eastAsia"/>
                <w:color w:val="000000"/>
                <w:szCs w:val="21"/>
              </w:rPr>
            </w:pPr>
            <w:r>
              <w:rPr>
                <w:rFonts w:ascii="宋体" w:hAnsi="宋体" w:hint="eastAsia"/>
                <w:color w:val="000000"/>
                <w:szCs w:val="21"/>
              </w:rPr>
              <w:t>46750.57 ㎡</w:t>
            </w:r>
          </w:p>
        </w:tc>
        <w:tc>
          <w:tcPr>
            <w:tcW w:w="4142" w:type="dxa"/>
            <w:vAlign w:val="top"/>
          </w:tcPr>
          <w:p>
            <w:pPr>
              <w:ind w:firstLine="525"/>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rPr>
          <w:cantSplit/>
        </w:trPr>
        <w:tc>
          <w:tcPr>
            <w:tcW w:w="709" w:type="dxa"/>
            <w:vMerge w:val="restart"/>
            <w:vAlign w:val="top"/>
          </w:tcPr>
          <w:p>
            <w:pPr>
              <w:ind w:firstLine="525"/>
              <w:jc w:val="center"/>
              <w:rPr>
                <w:rFonts w:ascii="宋体" w:hAnsi="宋体" w:hint="eastAsia"/>
                <w:color w:val="000000"/>
                <w:szCs w:val="21"/>
              </w:rPr>
            </w:pPr>
          </w:p>
        </w:tc>
        <w:tc>
          <w:tcPr>
            <w:tcW w:w="447" w:type="dxa"/>
            <w:vMerge w:val="restart"/>
            <w:vAlign w:val="top"/>
          </w:tcPr>
          <w:p>
            <w:pPr>
              <w:ind w:firstLine="525"/>
              <w:rPr>
                <w:rFonts w:ascii="宋体" w:hAnsi="宋体" w:hint="eastAsia"/>
                <w:color w:val="000000"/>
                <w:szCs w:val="21"/>
              </w:rPr>
            </w:pPr>
            <w:r>
              <w:rPr>
                <w:rFonts w:ascii="宋体" w:hAnsi="宋体" w:hint="eastAsia"/>
                <w:color w:val="000000"/>
                <w:szCs w:val="21"/>
              </w:rPr>
              <w:t>其</w:t>
            </w:r>
          </w:p>
          <w:p>
            <w:pPr>
              <w:ind w:firstLine="525"/>
              <w:rPr>
                <w:rFonts w:ascii="宋体" w:hAnsi="宋体" w:hint="eastAsia"/>
                <w:color w:val="000000"/>
                <w:szCs w:val="21"/>
              </w:rPr>
            </w:pPr>
          </w:p>
          <w:p>
            <w:pPr>
              <w:ind w:firstLine="525"/>
              <w:rPr>
                <w:rFonts w:ascii="宋体" w:hAnsi="宋体" w:hint="eastAsia"/>
                <w:color w:val="000000"/>
                <w:szCs w:val="21"/>
              </w:rPr>
            </w:pPr>
            <w:r>
              <w:rPr>
                <w:rFonts w:ascii="宋体" w:hAnsi="宋体" w:hint="eastAsia"/>
                <w:color w:val="000000"/>
                <w:szCs w:val="21"/>
              </w:rPr>
              <w:t>中</w:t>
            </w:r>
          </w:p>
        </w:tc>
        <w:tc>
          <w:tcPr>
            <w:tcW w:w="1963" w:type="dxa"/>
            <w:vAlign w:val="top"/>
          </w:tcPr>
          <w:p>
            <w:pPr>
              <w:rPr>
                <w:rFonts w:ascii="宋体" w:hAnsi="宋体" w:hint="eastAsia"/>
                <w:color w:val="000000"/>
                <w:szCs w:val="21"/>
              </w:rPr>
            </w:pPr>
            <w:r>
              <w:rPr>
                <w:rFonts w:ascii="宋体" w:hAnsi="宋体" w:hint="eastAsia"/>
                <w:color w:val="000000"/>
                <w:szCs w:val="21"/>
              </w:rPr>
              <w:t>高层房住面积</w:t>
            </w:r>
          </w:p>
        </w:tc>
        <w:tc>
          <w:tcPr>
            <w:tcW w:w="1559" w:type="dxa"/>
            <w:vAlign w:val="top"/>
          </w:tcPr>
          <w:p>
            <w:pPr>
              <w:rPr>
                <w:rFonts w:ascii="宋体" w:hAnsi="宋体" w:hint="eastAsia"/>
                <w:color w:val="000000"/>
                <w:szCs w:val="21"/>
              </w:rPr>
            </w:pPr>
            <w:r>
              <w:rPr>
                <w:rFonts w:ascii="宋体" w:hAnsi="宋体" w:hint="eastAsia"/>
                <w:color w:val="000000"/>
                <w:szCs w:val="21"/>
              </w:rPr>
              <w:t>37965.13 ㎡</w:t>
            </w:r>
          </w:p>
        </w:tc>
        <w:tc>
          <w:tcPr>
            <w:tcW w:w="4142" w:type="dxa"/>
            <w:vAlign w:val="top"/>
          </w:tcPr>
          <w:p>
            <w:pPr>
              <w:ind w:firstLine="525"/>
              <w:rPr>
                <w:rFonts w:ascii="宋体" w:hAnsi="宋体" w:hint="eastAsia"/>
                <w:color w:val="000000"/>
                <w:szCs w:val="21"/>
              </w:rPr>
            </w:pPr>
            <w:r>
              <w:rPr>
                <w:rFonts w:ascii="宋体" w:hAnsi="宋体" w:hint="eastAsia"/>
                <w:color w:val="000000"/>
                <w:szCs w:val="21"/>
              </w:rPr>
              <w:t xml:space="preserve"> </w:t>
            </w:r>
          </w:p>
        </w:tc>
      </w:tr>
      <w:tr>
        <w:tblPrEx>
          <w:tblW w:w="0" w:type="auto"/>
          <w:tblInd w:w="108" w:type="dxa"/>
          <w:tblLayout w:type="fixed"/>
          <w:tblCellMar>
            <w:top w:w="0" w:type="dxa"/>
            <w:left w:w="108" w:type="dxa"/>
            <w:bottom w:w="0" w:type="dxa"/>
            <w:right w:w="108" w:type="dxa"/>
          </w:tblCellMar>
        </w:tblPrEx>
        <w:trPr>
          <w:cantSplit/>
        </w:trPr>
        <w:tc>
          <w:tcPr>
            <w:tcW w:w="709" w:type="dxa"/>
            <w:vMerge/>
            <w:vAlign w:val="top"/>
          </w:tcPr>
          <w:p>
            <w:pPr>
              <w:ind w:firstLine="525"/>
              <w:jc w:val="center"/>
              <w:rPr>
                <w:rFonts w:ascii="宋体" w:hAnsi="宋体" w:hint="eastAsia"/>
                <w:color w:val="000000"/>
                <w:szCs w:val="21"/>
              </w:rPr>
            </w:pPr>
          </w:p>
        </w:tc>
        <w:tc>
          <w:tcPr>
            <w:tcW w:w="447" w:type="dxa"/>
            <w:vMerge/>
            <w:vAlign w:val="top"/>
          </w:tcPr>
          <w:p>
            <w:pPr>
              <w:ind w:firstLine="525"/>
              <w:rPr>
                <w:rFonts w:ascii="宋体" w:hAnsi="宋体" w:hint="eastAsia"/>
                <w:color w:val="000000"/>
                <w:szCs w:val="21"/>
              </w:rPr>
            </w:pPr>
          </w:p>
        </w:tc>
        <w:tc>
          <w:tcPr>
            <w:tcW w:w="1963" w:type="dxa"/>
            <w:vAlign w:val="top"/>
          </w:tcPr>
          <w:p>
            <w:pPr>
              <w:rPr>
                <w:rFonts w:ascii="宋体" w:hAnsi="宋体" w:hint="eastAsia"/>
                <w:color w:val="000000"/>
                <w:szCs w:val="21"/>
              </w:rPr>
            </w:pPr>
            <w:r>
              <w:rPr>
                <w:rFonts w:ascii="宋体" w:hAnsi="宋体" w:hint="eastAsia"/>
                <w:color w:val="000000"/>
                <w:szCs w:val="21"/>
              </w:rPr>
              <w:t>配套用房面积</w:t>
            </w:r>
          </w:p>
        </w:tc>
        <w:tc>
          <w:tcPr>
            <w:tcW w:w="1559" w:type="dxa"/>
            <w:vAlign w:val="top"/>
          </w:tcPr>
          <w:p>
            <w:pPr>
              <w:rPr>
                <w:rFonts w:ascii="宋体" w:hAnsi="宋体" w:hint="eastAsia"/>
                <w:color w:val="000000"/>
                <w:szCs w:val="21"/>
              </w:rPr>
            </w:pPr>
            <w:r>
              <w:rPr>
                <w:rFonts w:ascii="宋体" w:hAnsi="宋体" w:hint="eastAsia"/>
                <w:color w:val="000000"/>
                <w:szCs w:val="21"/>
              </w:rPr>
              <w:t xml:space="preserve">420㎡ </w:t>
            </w:r>
          </w:p>
        </w:tc>
        <w:tc>
          <w:tcPr>
            <w:tcW w:w="4142" w:type="dxa"/>
            <w:vAlign w:val="top"/>
          </w:tcPr>
          <w:p>
            <w:pPr>
              <w:ind w:firstLine="525"/>
              <w:rPr>
                <w:rFonts w:ascii="宋体" w:hAnsi="宋体" w:hint="eastAsia"/>
                <w:color w:val="000000"/>
                <w:szCs w:val="21"/>
              </w:rPr>
            </w:pPr>
            <w:r>
              <w:rPr>
                <w:rFonts w:ascii="宋体" w:hAnsi="宋体" w:hint="eastAsia"/>
                <w:color w:val="000000"/>
                <w:szCs w:val="21"/>
              </w:rPr>
              <w:t xml:space="preserve"> </w:t>
            </w:r>
          </w:p>
        </w:tc>
      </w:tr>
      <w:tr>
        <w:tblPrEx>
          <w:tblW w:w="0" w:type="auto"/>
          <w:tblInd w:w="108" w:type="dxa"/>
          <w:tblLayout w:type="fixed"/>
          <w:tblCellMar>
            <w:top w:w="0" w:type="dxa"/>
            <w:left w:w="108" w:type="dxa"/>
            <w:bottom w:w="0" w:type="dxa"/>
            <w:right w:w="108" w:type="dxa"/>
          </w:tblCellMar>
        </w:tblPrEx>
        <w:trPr>
          <w:cantSplit/>
        </w:trPr>
        <w:tc>
          <w:tcPr>
            <w:tcW w:w="709" w:type="dxa"/>
            <w:vMerge/>
            <w:vAlign w:val="top"/>
          </w:tcPr>
          <w:p>
            <w:pPr>
              <w:ind w:firstLine="525"/>
              <w:jc w:val="center"/>
              <w:rPr>
                <w:rFonts w:ascii="宋体" w:hAnsi="宋体" w:hint="eastAsia"/>
                <w:color w:val="000000"/>
                <w:szCs w:val="21"/>
              </w:rPr>
            </w:pPr>
          </w:p>
        </w:tc>
        <w:tc>
          <w:tcPr>
            <w:tcW w:w="447" w:type="dxa"/>
            <w:vMerge/>
            <w:vAlign w:val="top"/>
          </w:tcPr>
          <w:p>
            <w:pPr>
              <w:ind w:firstLine="525"/>
              <w:rPr>
                <w:rFonts w:ascii="宋体" w:hAnsi="宋体" w:hint="eastAsia"/>
                <w:color w:val="000000"/>
                <w:szCs w:val="21"/>
              </w:rPr>
            </w:pPr>
          </w:p>
        </w:tc>
        <w:tc>
          <w:tcPr>
            <w:tcW w:w="1963" w:type="dxa"/>
            <w:vAlign w:val="top"/>
          </w:tcPr>
          <w:p>
            <w:pPr>
              <w:rPr>
                <w:rFonts w:ascii="宋体" w:hAnsi="宋体" w:hint="eastAsia"/>
                <w:color w:val="000000"/>
                <w:szCs w:val="21"/>
              </w:rPr>
            </w:pPr>
            <w:r>
              <w:rPr>
                <w:rFonts w:ascii="宋体" w:hAnsi="宋体" w:hint="eastAsia"/>
                <w:color w:val="000000"/>
                <w:szCs w:val="21"/>
              </w:rPr>
              <w:t>地下室建筑面积</w:t>
            </w:r>
          </w:p>
        </w:tc>
        <w:tc>
          <w:tcPr>
            <w:tcW w:w="1559" w:type="dxa"/>
            <w:vAlign w:val="top"/>
          </w:tcPr>
          <w:p>
            <w:pPr>
              <w:rPr>
                <w:rFonts w:ascii="宋体" w:hAnsi="宋体" w:hint="eastAsia"/>
                <w:color w:val="000000"/>
                <w:szCs w:val="21"/>
              </w:rPr>
            </w:pPr>
            <w:r>
              <w:rPr>
                <w:rFonts w:ascii="宋体" w:hAnsi="宋体" w:hint="eastAsia"/>
                <w:color w:val="000000"/>
                <w:szCs w:val="21"/>
              </w:rPr>
              <w:t>8365.44 ㎡</w:t>
            </w:r>
          </w:p>
        </w:tc>
        <w:tc>
          <w:tcPr>
            <w:tcW w:w="4142" w:type="dxa"/>
            <w:vAlign w:val="top"/>
          </w:tcPr>
          <w:p>
            <w:pPr>
              <w:ind w:firstLine="525"/>
              <w:rPr>
                <w:rFonts w:ascii="宋体" w:hAnsi="宋体" w:hint="eastAsia"/>
                <w:color w:val="000000"/>
                <w:szCs w:val="21"/>
              </w:rPr>
            </w:pPr>
            <w:r>
              <w:rPr>
                <w:rFonts w:ascii="宋体" w:hAnsi="宋体" w:hint="eastAsia"/>
                <w:color w:val="000000"/>
                <w:szCs w:val="21"/>
              </w:rPr>
              <w:t>地下1层</w:t>
            </w: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4</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住宅总户数</w:t>
            </w:r>
          </w:p>
        </w:tc>
        <w:tc>
          <w:tcPr>
            <w:tcW w:w="1559" w:type="dxa"/>
            <w:vAlign w:val="top"/>
          </w:tcPr>
          <w:p>
            <w:pPr>
              <w:rPr>
                <w:rFonts w:ascii="宋体" w:hAnsi="宋体" w:hint="eastAsia"/>
                <w:color w:val="000000"/>
                <w:szCs w:val="21"/>
              </w:rPr>
            </w:pPr>
            <w:r>
              <w:rPr>
                <w:rFonts w:ascii="宋体" w:hAnsi="宋体" w:hint="eastAsia"/>
                <w:color w:val="000000"/>
                <w:szCs w:val="21"/>
              </w:rPr>
              <w:t>307  户</w:t>
            </w:r>
          </w:p>
        </w:tc>
        <w:tc>
          <w:tcPr>
            <w:tcW w:w="4142" w:type="dxa"/>
            <w:vAlign w:val="top"/>
          </w:tcPr>
          <w:p>
            <w:pPr>
              <w:ind w:firstLine="525"/>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5</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容积率</w:t>
            </w:r>
          </w:p>
        </w:tc>
        <w:tc>
          <w:tcPr>
            <w:tcW w:w="1559" w:type="dxa"/>
            <w:vAlign w:val="top"/>
          </w:tcPr>
          <w:p>
            <w:pPr>
              <w:rPr>
                <w:rFonts w:ascii="宋体" w:hAnsi="宋体" w:hint="eastAsia"/>
                <w:color w:val="000000"/>
                <w:szCs w:val="21"/>
              </w:rPr>
            </w:pPr>
            <w:r>
              <w:rPr>
                <w:rFonts w:ascii="宋体" w:hAnsi="宋体" w:hint="eastAsia"/>
                <w:color w:val="000000"/>
                <w:szCs w:val="21"/>
              </w:rPr>
              <w:t xml:space="preserve">2.89 </w:t>
            </w:r>
          </w:p>
        </w:tc>
        <w:tc>
          <w:tcPr>
            <w:tcW w:w="4142" w:type="dxa"/>
            <w:vAlign w:val="top"/>
          </w:tcPr>
          <w:p>
            <w:pPr>
              <w:ind w:firstLine="525"/>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6</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建筑密度</w:t>
            </w:r>
          </w:p>
        </w:tc>
        <w:tc>
          <w:tcPr>
            <w:tcW w:w="1559" w:type="dxa"/>
            <w:vAlign w:val="top"/>
          </w:tcPr>
          <w:p>
            <w:pPr>
              <w:rPr>
                <w:rFonts w:ascii="宋体" w:hAnsi="宋体" w:hint="eastAsia"/>
                <w:color w:val="000000"/>
                <w:szCs w:val="21"/>
              </w:rPr>
            </w:pPr>
            <w:r>
              <w:rPr>
                <w:rFonts w:ascii="宋体" w:hAnsi="宋体" w:hint="eastAsia"/>
                <w:color w:val="000000"/>
                <w:szCs w:val="21"/>
              </w:rPr>
              <w:t xml:space="preserve">13.19 </w:t>
            </w:r>
          </w:p>
        </w:tc>
        <w:tc>
          <w:tcPr>
            <w:tcW w:w="4142" w:type="dxa"/>
            <w:vAlign w:val="top"/>
          </w:tcPr>
          <w:p>
            <w:pPr>
              <w:ind w:firstLine="525"/>
              <w:rPr>
                <w:rFonts w:ascii="宋体" w:hAnsi="宋体" w:hint="eastAsia"/>
                <w:color w:val="000000"/>
                <w:szCs w:val="21"/>
              </w:rPr>
            </w:pPr>
            <w:r>
              <w:rPr>
                <w:rFonts w:ascii="宋体" w:hAnsi="宋体" w:hint="eastAsia"/>
                <w:color w:val="000000"/>
                <w:szCs w:val="21"/>
              </w:rPr>
              <w:t>基低面积1749.5㎡</w:t>
            </w: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7</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绿地率</w:t>
            </w:r>
          </w:p>
        </w:tc>
        <w:tc>
          <w:tcPr>
            <w:tcW w:w="1559" w:type="dxa"/>
            <w:vAlign w:val="top"/>
          </w:tcPr>
          <w:p>
            <w:pPr>
              <w:rPr>
                <w:rFonts w:ascii="宋体" w:hAnsi="宋体" w:hint="eastAsia"/>
                <w:color w:val="000000"/>
                <w:szCs w:val="21"/>
              </w:rPr>
            </w:pPr>
            <w:r>
              <w:rPr>
                <w:rFonts w:ascii="宋体" w:hAnsi="宋体" w:hint="eastAsia"/>
                <w:color w:val="000000"/>
                <w:szCs w:val="21"/>
              </w:rPr>
              <w:t>35.6 %</w:t>
            </w:r>
          </w:p>
        </w:tc>
        <w:tc>
          <w:tcPr>
            <w:tcW w:w="4142" w:type="dxa"/>
            <w:vAlign w:val="top"/>
          </w:tcPr>
          <w:p>
            <w:pPr>
              <w:ind w:firstLine="525"/>
              <w:rPr>
                <w:rFonts w:ascii="宋体" w:hAnsi="宋体" w:hint="eastAsia"/>
                <w:color w:val="000000"/>
                <w:szCs w:val="21"/>
              </w:rPr>
            </w:pPr>
            <w:r>
              <w:rPr>
                <w:rFonts w:ascii="宋体" w:hAnsi="宋体" w:hint="eastAsia"/>
                <w:color w:val="000000"/>
                <w:szCs w:val="21"/>
              </w:rPr>
              <w:t>绿地面积4723㎡</w:t>
            </w: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8</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建筑高度</w:t>
            </w:r>
          </w:p>
        </w:tc>
        <w:tc>
          <w:tcPr>
            <w:tcW w:w="1559" w:type="dxa"/>
            <w:vAlign w:val="top"/>
          </w:tcPr>
          <w:p>
            <w:pPr>
              <w:rPr>
                <w:rFonts w:ascii="宋体" w:hAnsi="宋体" w:hint="eastAsia"/>
                <w:color w:val="000000"/>
                <w:szCs w:val="21"/>
              </w:rPr>
            </w:pPr>
            <w:r>
              <w:rPr>
                <w:rFonts w:ascii="宋体" w:hAnsi="宋体" w:hint="eastAsia"/>
                <w:color w:val="000000"/>
                <w:szCs w:val="21"/>
              </w:rPr>
              <w:t xml:space="preserve">16F-25F   </w:t>
            </w:r>
          </w:p>
        </w:tc>
        <w:tc>
          <w:tcPr>
            <w:tcW w:w="4142" w:type="dxa"/>
            <w:vAlign w:val="top"/>
          </w:tcPr>
          <w:p>
            <w:pPr>
              <w:ind w:firstLine="525"/>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9</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机动车停车数</w:t>
            </w:r>
          </w:p>
        </w:tc>
        <w:tc>
          <w:tcPr>
            <w:tcW w:w="1559" w:type="dxa"/>
            <w:vAlign w:val="top"/>
          </w:tcPr>
          <w:p>
            <w:pPr>
              <w:ind w:firstLine="525"/>
              <w:rPr>
                <w:rFonts w:ascii="宋体" w:hAnsi="宋体" w:hint="eastAsia"/>
                <w:color w:val="000000"/>
                <w:szCs w:val="21"/>
              </w:rPr>
            </w:pPr>
            <w:r>
              <w:rPr>
                <w:rFonts w:ascii="宋体" w:hAnsi="宋体" w:hint="eastAsia"/>
                <w:color w:val="000000"/>
                <w:szCs w:val="21"/>
              </w:rPr>
              <w:t>辆</w:t>
            </w:r>
          </w:p>
        </w:tc>
        <w:tc>
          <w:tcPr>
            <w:tcW w:w="4142" w:type="dxa"/>
            <w:vAlign w:val="top"/>
          </w:tcPr>
          <w:p>
            <w:pPr>
              <w:ind w:firstLine="525"/>
              <w:rPr>
                <w:rFonts w:ascii="宋体" w:hAnsi="宋体" w:hint="eastAsia"/>
                <w:color w:val="000000"/>
                <w:szCs w:val="21"/>
              </w:rPr>
            </w:pPr>
            <w:r>
              <w:rPr>
                <w:rFonts w:ascii="宋体" w:hAnsi="宋体" w:hint="eastAsia"/>
                <w:color w:val="000000"/>
                <w:szCs w:val="21"/>
              </w:rPr>
              <w:t>按</w:t>
            </w:r>
            <w:r>
              <w:rPr>
                <w:rFonts w:ascii="宋体" w:hAnsi="宋体" w:hint="eastAsia"/>
                <w:color w:val="000000"/>
                <w:szCs w:val="21"/>
                <w:lang w:eastAsia="zh-CN"/>
              </w:rPr>
              <w:t>xxx</w:t>
            </w:r>
            <w:r>
              <w:rPr>
                <w:rFonts w:ascii="宋体" w:hAnsi="宋体" w:hint="eastAsia"/>
                <w:color w:val="000000"/>
                <w:szCs w:val="21"/>
              </w:rPr>
              <w:t>标准</w:t>
            </w: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10</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非机动车停车位</w:t>
            </w:r>
          </w:p>
        </w:tc>
        <w:tc>
          <w:tcPr>
            <w:tcW w:w="1559" w:type="dxa"/>
            <w:vAlign w:val="top"/>
          </w:tcPr>
          <w:p>
            <w:pPr>
              <w:ind w:firstLine="525"/>
              <w:rPr>
                <w:rFonts w:ascii="宋体" w:hAnsi="宋体" w:hint="eastAsia"/>
                <w:color w:val="000000"/>
                <w:szCs w:val="21"/>
              </w:rPr>
            </w:pPr>
            <w:r>
              <w:rPr>
                <w:rFonts w:ascii="宋体" w:hAnsi="宋体" w:hint="eastAsia"/>
                <w:color w:val="000000"/>
                <w:szCs w:val="21"/>
              </w:rPr>
              <w:t>辆</w:t>
            </w:r>
          </w:p>
        </w:tc>
        <w:tc>
          <w:tcPr>
            <w:tcW w:w="4142" w:type="dxa"/>
            <w:vAlign w:val="top"/>
          </w:tcPr>
          <w:p>
            <w:pPr>
              <w:ind w:firstLine="525"/>
              <w:rPr>
                <w:rFonts w:ascii="宋体" w:hAnsi="宋体" w:hint="eastAsia"/>
                <w:color w:val="000000"/>
                <w:szCs w:val="21"/>
              </w:rPr>
            </w:pPr>
            <w:r>
              <w:rPr>
                <w:rFonts w:ascii="宋体" w:hAnsi="宋体" w:hint="eastAsia"/>
                <w:color w:val="000000"/>
                <w:szCs w:val="21"/>
              </w:rPr>
              <w:t>按</w:t>
            </w:r>
            <w:r>
              <w:rPr>
                <w:rFonts w:ascii="宋体" w:hAnsi="宋体" w:hint="eastAsia"/>
                <w:color w:val="000000"/>
                <w:szCs w:val="21"/>
                <w:lang w:eastAsia="zh-CN"/>
              </w:rPr>
              <w:t>xxx</w:t>
            </w:r>
            <w:r>
              <w:rPr>
                <w:rFonts w:ascii="宋体" w:hAnsi="宋体" w:hint="eastAsia"/>
                <w:color w:val="000000"/>
                <w:szCs w:val="21"/>
              </w:rPr>
              <w:t>标准</w:t>
            </w:r>
          </w:p>
        </w:tc>
      </w:tr>
    </w:tbl>
    <w:p>
      <w:pPr>
        <w:spacing w:line="560" w:lineRule="exact"/>
        <w:ind w:firstLine="600"/>
        <w:rPr>
          <w:rFonts w:ascii="宋体" w:hAnsi="宋体" w:hint="eastAsia"/>
          <w:color w:val="000000"/>
          <w:sz w:val="24"/>
        </w:rPr>
      </w:pPr>
    </w:p>
    <w:p>
      <w:pPr>
        <w:ind w:firstLine="1264" w:firstLineChars="395"/>
        <w:rPr>
          <w:rFonts w:ascii="微软雅黑" w:eastAsia="微软雅黑" w:hAnsi="微软雅黑" w:hint="eastAsia"/>
          <w:b/>
          <w:bCs/>
          <w:color w:val="000000"/>
          <w:sz w:val="32"/>
          <w:szCs w:val="32"/>
        </w:rPr>
      </w:pPr>
      <w:r>
        <w:rPr>
          <w:rFonts w:ascii="微软雅黑" w:eastAsia="微软雅黑" w:hAnsi="微软雅黑" w:hint="eastAsia"/>
          <w:b/>
          <w:bCs/>
          <w:color w:val="000000"/>
          <w:sz w:val="32"/>
          <w:szCs w:val="32"/>
        </w:rPr>
        <w:t>第四章   市场需求预测及开发定位</w:t>
      </w:r>
    </w:p>
    <w:p>
      <w:pPr>
        <w:spacing w:line="500" w:lineRule="exact"/>
        <w:ind w:firstLine="600" w:firstLineChars="250"/>
        <w:rPr>
          <w:rFonts w:ascii="宋体" w:hAnsi="宋体" w:hint="eastAsia"/>
          <w:bCs/>
          <w:color w:val="000000"/>
          <w:sz w:val="24"/>
        </w:rPr>
      </w:pPr>
      <w:r>
        <w:rPr>
          <w:rFonts w:ascii="宋体" w:hAnsi="宋体" w:hint="eastAsia"/>
          <w:bCs/>
          <w:color w:val="000000"/>
          <w:sz w:val="24"/>
        </w:rPr>
        <w:t>从2008年开始，伴随着城市经济的发展，在西咸一体化发展战略的带动下，</w:t>
      </w:r>
      <w:r>
        <w:rPr>
          <w:rFonts w:ascii="宋体" w:hAnsi="宋体" w:hint="eastAsia"/>
          <w:bCs/>
          <w:color w:val="000000"/>
          <w:sz w:val="24"/>
          <w:lang w:eastAsia="zh-CN"/>
        </w:rPr>
        <w:t>xxx</w:t>
      </w:r>
      <w:r>
        <w:rPr>
          <w:rFonts w:ascii="宋体" w:hAnsi="宋体" w:hint="eastAsia"/>
          <w:bCs/>
          <w:color w:val="000000"/>
          <w:sz w:val="24"/>
        </w:rPr>
        <w:t>房地产市场快速起步并深入运行，尤其是2013年以后市场发展迅速，整体市场呈现出供销两旺的格局。2015年后市场有点疲软，2018年后</w:t>
      </w:r>
      <w:r>
        <w:rPr>
          <w:rFonts w:ascii="宋体" w:hAnsi="宋体" w:hint="eastAsia"/>
          <w:bCs/>
          <w:color w:val="000000"/>
          <w:sz w:val="24"/>
          <w:lang w:eastAsia="zh-CN"/>
        </w:rPr>
        <w:t>xxx</w:t>
      </w:r>
      <w:r>
        <w:rPr>
          <w:rFonts w:ascii="宋体" w:hAnsi="宋体" w:hint="eastAsia"/>
          <w:bCs/>
          <w:color w:val="000000"/>
          <w:sz w:val="24"/>
        </w:rPr>
        <w:t>房地产市场快速发展。据县房地产信息网研究中心基于对</w:t>
      </w:r>
      <w:r>
        <w:rPr>
          <w:rFonts w:ascii="宋体" w:hAnsi="宋体" w:hint="eastAsia"/>
          <w:bCs/>
          <w:color w:val="000000"/>
          <w:sz w:val="24"/>
          <w:lang w:eastAsia="zh-CN"/>
        </w:rPr>
        <w:t>xxx</w:t>
      </w:r>
      <w:r>
        <w:rPr>
          <w:rFonts w:ascii="宋体" w:hAnsi="宋体" w:hint="eastAsia"/>
          <w:bCs/>
          <w:color w:val="000000"/>
          <w:sz w:val="24"/>
        </w:rPr>
        <w:t>发展历程的梳理与总结，结合目前市场运行情况，对</w:t>
      </w:r>
      <w:r>
        <w:rPr>
          <w:rFonts w:ascii="宋体" w:hAnsi="宋体" w:hint="eastAsia"/>
          <w:bCs/>
          <w:color w:val="000000"/>
          <w:sz w:val="24"/>
          <w:lang w:eastAsia="zh-CN"/>
        </w:rPr>
        <w:t>xxx</w:t>
      </w:r>
      <w:r>
        <w:rPr>
          <w:rFonts w:ascii="宋体" w:hAnsi="宋体" w:hint="eastAsia"/>
          <w:bCs/>
          <w:color w:val="000000"/>
          <w:sz w:val="24"/>
        </w:rPr>
        <w:t>房地产市场发展特征总结如下：</w:t>
      </w:r>
    </w:p>
    <w:p>
      <w:pPr>
        <w:spacing w:line="560" w:lineRule="exact"/>
        <w:ind w:firstLine="703"/>
        <w:rPr>
          <w:rFonts w:ascii="宋体" w:hAnsi="宋体" w:hint="eastAsia"/>
          <w:b/>
          <w:color w:val="000000"/>
          <w:sz w:val="28"/>
          <w:szCs w:val="28"/>
        </w:rPr>
      </w:pPr>
      <w:r>
        <w:rPr>
          <w:rFonts w:ascii="宋体" w:hAnsi="宋体" w:hint="eastAsia"/>
          <w:b/>
          <w:color w:val="000000"/>
          <w:sz w:val="28"/>
          <w:szCs w:val="28"/>
        </w:rPr>
        <w:t xml:space="preserve">4.1  </w:t>
      </w:r>
      <w:r>
        <w:rPr>
          <w:rFonts w:ascii="宋体" w:hAnsi="宋体" w:hint="eastAsia"/>
          <w:b/>
          <w:color w:val="000000"/>
          <w:sz w:val="28"/>
          <w:szCs w:val="28"/>
          <w:lang w:eastAsia="zh-CN"/>
        </w:rPr>
        <w:t>xxx</w:t>
      </w:r>
      <w:r>
        <w:rPr>
          <w:rFonts w:ascii="宋体" w:hAnsi="宋体" w:hint="eastAsia"/>
          <w:b/>
          <w:color w:val="000000"/>
          <w:sz w:val="28"/>
          <w:szCs w:val="28"/>
        </w:rPr>
        <w:t>房地产</w:t>
      </w:r>
      <w:r>
        <w:rPr>
          <w:rFonts w:ascii="宋体" w:hAnsi="宋体" w:hint="eastAsia"/>
          <w:b/>
          <w:bCs/>
          <w:color w:val="000000"/>
          <w:sz w:val="28"/>
          <w:szCs w:val="28"/>
        </w:rPr>
        <w:t>整体市场特征</w:t>
      </w:r>
    </w:p>
    <w:p>
      <w:pPr>
        <w:spacing w:line="540" w:lineRule="exact"/>
        <w:ind w:firstLine="600"/>
        <w:rPr>
          <w:rFonts w:ascii="宋体" w:hAnsi="宋体" w:hint="eastAsia"/>
          <w:color w:val="000000"/>
          <w:sz w:val="24"/>
        </w:rPr>
      </w:pPr>
      <w:r>
        <w:rPr>
          <w:rFonts w:ascii="宋体" w:hAnsi="宋体" w:hint="eastAsia"/>
          <w:color w:val="000000"/>
          <w:sz w:val="24"/>
        </w:rPr>
        <w:t>4.1.1</w:t>
      </w:r>
      <w:r>
        <w:rPr>
          <w:rStyle w:val="13"/>
          <w:rFonts w:ascii="宋体" w:hAnsi="宋体" w:hint="eastAsia"/>
          <w:color w:val="000000"/>
          <w:sz w:val="24"/>
        </w:rPr>
        <w:t>宏观经济持续向好，带动房地产业快速发展</w:t>
      </w:r>
    </w:p>
    <w:p>
      <w:pPr>
        <w:spacing w:line="540" w:lineRule="exact"/>
        <w:ind w:firstLine="480" w:firstLineChars="200"/>
        <w:rPr>
          <w:rFonts w:ascii="宋体" w:hAnsi="宋体"/>
          <w:color w:val="000000"/>
          <w:sz w:val="24"/>
        </w:rPr>
        <w:sectPr>
          <w:footerReference w:type="default" r:id="rId11"/>
          <w:type w:val="nextPage"/>
          <w:pgSz w:w="11906" w:h="16838"/>
          <w:pgMar w:top="1440" w:right="1287" w:bottom="1559" w:left="1797" w:header="851" w:footer="992" w:gutter="0"/>
          <w:pgNumType w:start="7"/>
          <w:cols w:num="1" w:space="720"/>
          <w:titlePg w:val="0"/>
          <w:docGrid w:type="linesAndChars" w:linePitch="312" w:charSpace="0"/>
        </w:sectPr>
      </w:pPr>
      <w:r>
        <w:rPr>
          <w:rFonts w:ascii="宋体" w:hAnsi="宋体"/>
          <w:color w:val="000000"/>
          <w:sz w:val="24"/>
        </w:rPr>
        <w:t>过去的20</w:t>
      </w:r>
      <w:r>
        <w:rPr>
          <w:rFonts w:ascii="宋体" w:hAnsi="宋体" w:hint="eastAsia"/>
          <w:color w:val="000000"/>
          <w:sz w:val="24"/>
        </w:rPr>
        <w:t>20</w:t>
      </w:r>
      <w:r>
        <w:rPr>
          <w:rFonts w:ascii="宋体" w:hAnsi="宋体"/>
          <w:color w:val="000000"/>
          <w:sz w:val="24"/>
        </w:rPr>
        <w:t>年，经济社会发展取得新成绩</w:t>
      </w:r>
      <w:r>
        <w:rPr>
          <w:rFonts w:ascii="宋体" w:hAnsi="宋体" w:hint="eastAsia"/>
          <w:color w:val="000000"/>
          <w:sz w:val="24"/>
        </w:rPr>
        <w:t>，</w:t>
      </w:r>
      <w:r>
        <w:rPr>
          <w:rFonts w:ascii="宋体" w:hAnsi="宋体"/>
          <w:color w:val="000000"/>
          <w:sz w:val="24"/>
        </w:rPr>
        <w:t>生产总值增长</w:t>
      </w:r>
      <w:r>
        <w:rPr>
          <w:rFonts w:ascii="宋体" w:hAnsi="宋体" w:hint="eastAsia"/>
          <w:color w:val="000000"/>
          <w:sz w:val="24"/>
        </w:rPr>
        <w:t>0.7%；一般公共预算收入同比增长6.8%；城乡居民人均可支配收入分别增长5%和8.2%。项目建设掀起新高潮，把扩大投资和项目建设作为经济工作的重中之重，全力以赴争资金、招项目。</w:t>
      </w:r>
      <w:r>
        <w:rPr>
          <w:rFonts w:ascii="宋体" w:hAnsi="宋体"/>
          <w:color w:val="000000"/>
          <w:sz w:val="24"/>
        </w:rPr>
        <w:t>第一、二、三产业增加值占国内生产总值的比重</w:t>
      </w:r>
      <w:r>
        <w:rPr>
          <w:rFonts w:ascii="宋体" w:hAnsi="宋体"/>
          <w:color w:val="000000"/>
          <w:kern w:val="0"/>
          <w:sz w:val="24"/>
        </w:rPr>
        <w:t>依次为36.6：28.8：34.6。</w:t>
      </w:r>
      <w:r>
        <w:rPr>
          <w:rFonts w:ascii="宋体" w:hAnsi="宋体" w:hint="eastAsia"/>
          <w:color w:val="000000"/>
          <w:sz w:val="24"/>
          <w:lang w:eastAsia="zh-CN"/>
        </w:rPr>
        <w:t>xxx</w:t>
      </w:r>
    </w:p>
    <w:p>
      <w:pPr>
        <w:spacing w:line="540" w:lineRule="exact"/>
        <w:ind w:firstLine="480" w:firstLineChars="200"/>
        <w:rPr>
          <w:rFonts w:ascii="宋体" w:hAnsi="宋体"/>
          <w:color w:val="000000"/>
          <w:sz w:val="24"/>
        </w:rPr>
      </w:pPr>
      <w:r>
        <w:rPr>
          <w:rFonts w:ascii="宋体" w:hAnsi="宋体" w:hint="eastAsia"/>
          <w:color w:val="000000"/>
          <w:sz w:val="24"/>
        </w:rPr>
        <w:t>城市发展进程逐步加快，从市政、交通、城市改造方面逐步进行，经济及城市配套的完善带动房地产市场的快速发展。</w:t>
      </w:r>
    </w:p>
    <w:p>
      <w:pPr>
        <w:spacing w:line="540" w:lineRule="exact"/>
        <w:ind w:firstLine="600"/>
        <w:rPr>
          <w:rFonts w:ascii="宋体" w:hAnsi="宋体" w:hint="eastAsia"/>
          <w:color w:val="000000"/>
          <w:sz w:val="24"/>
        </w:rPr>
      </w:pPr>
      <w:r>
        <w:rPr>
          <w:rFonts w:ascii="宋体" w:hAnsi="宋体" w:hint="eastAsia"/>
          <w:color w:val="000000"/>
          <w:sz w:val="24"/>
        </w:rPr>
        <w:t>4.1.2</w:t>
      </w:r>
      <w:r>
        <w:rPr>
          <w:rStyle w:val="13"/>
          <w:rFonts w:ascii="宋体" w:hAnsi="宋体" w:hint="eastAsia"/>
          <w:color w:val="000000"/>
          <w:sz w:val="24"/>
        </w:rPr>
        <w:t>房地产市场供需两旺，价格稳升</w:t>
      </w:r>
    </w:p>
    <w:p>
      <w:pPr>
        <w:spacing w:line="560" w:lineRule="exact"/>
        <w:ind w:firstLine="600" w:firstLineChars="250"/>
        <w:rPr>
          <w:rFonts w:ascii="宋体" w:hAnsi="宋体" w:hint="eastAsia"/>
          <w:color w:val="000000"/>
          <w:sz w:val="24"/>
        </w:rPr>
      </w:pPr>
      <w:r>
        <w:rPr>
          <w:rFonts w:ascii="宋体" w:hAnsi="宋体" w:hint="eastAsia"/>
          <w:color w:val="000000"/>
          <w:sz w:val="24"/>
          <w:lang w:eastAsia="zh-CN"/>
        </w:rPr>
        <w:t>xxx</w:t>
      </w:r>
      <w:r>
        <w:rPr>
          <w:rFonts w:ascii="宋体" w:hAnsi="宋体" w:hint="eastAsia"/>
          <w:color w:val="000000"/>
          <w:sz w:val="24"/>
        </w:rPr>
        <w:t>商品房市场07年08年销售连续两年突破10万平方米，2009 年上半年，受政府的救市政策影响，刚性需求充分释放，需求量大幅增加，整体市场成交火爆，整体市场在售项目达10个左右，整体呈现供销两旺的发展格局。2007 年下半年以来</w:t>
      </w:r>
      <w:r>
        <w:rPr>
          <w:rFonts w:ascii="宋体" w:hAnsi="宋体" w:hint="eastAsia"/>
          <w:color w:val="000000"/>
          <w:sz w:val="24"/>
          <w:lang w:eastAsia="zh-CN"/>
        </w:rPr>
        <w:t>xxx</w:t>
      </w:r>
      <w:r>
        <w:rPr>
          <w:rFonts w:ascii="宋体" w:hAnsi="宋体" w:hint="eastAsia"/>
          <w:color w:val="000000"/>
          <w:sz w:val="24"/>
        </w:rPr>
        <w:t>住宅价格有明显上扬，2008年以来整体市场价格呈现稳中有升的发展态势，2009年</w:t>
      </w:r>
      <w:r>
        <w:rPr>
          <w:rFonts w:ascii="宋体" w:hAnsi="宋体" w:hint="eastAsia"/>
          <w:color w:val="000000"/>
          <w:sz w:val="24"/>
          <w:lang w:eastAsia="zh-CN"/>
        </w:rPr>
        <w:t>xxx</w:t>
      </w:r>
      <w:r>
        <w:rPr>
          <w:rFonts w:ascii="宋体" w:hAnsi="宋体" w:hint="eastAsia"/>
          <w:color w:val="000000"/>
          <w:sz w:val="24"/>
        </w:rPr>
        <w:t>商品住宅均价已达2900元/平方米。2017年</w:t>
      </w:r>
      <w:r>
        <w:rPr>
          <w:rFonts w:ascii="宋体" w:hAnsi="宋体" w:hint="eastAsia"/>
          <w:color w:val="000000"/>
          <w:sz w:val="24"/>
          <w:lang w:eastAsia="zh-CN"/>
        </w:rPr>
        <w:t>xxx</w:t>
      </w:r>
      <w:r>
        <w:rPr>
          <w:rFonts w:ascii="宋体" w:hAnsi="宋体" w:hint="eastAsia"/>
          <w:color w:val="000000"/>
          <w:sz w:val="24"/>
        </w:rPr>
        <w:t>商品住宅均价已达3200元/ 平方米左右，2020年</w:t>
      </w:r>
      <w:r>
        <w:rPr>
          <w:rFonts w:ascii="宋体" w:hAnsi="宋体" w:hint="eastAsia"/>
          <w:color w:val="000000"/>
          <w:sz w:val="24"/>
          <w:lang w:eastAsia="zh-CN"/>
        </w:rPr>
        <w:t>xxx</w:t>
      </w:r>
      <w:r>
        <w:rPr>
          <w:rFonts w:ascii="宋体" w:hAnsi="宋体" w:hint="eastAsia"/>
          <w:color w:val="000000"/>
          <w:sz w:val="24"/>
        </w:rPr>
        <w:t>房地产价格涨幅较大，均价突破5000元/平方米大关。</w:t>
      </w:r>
    </w:p>
    <w:p>
      <w:pPr>
        <w:spacing w:line="560" w:lineRule="exact"/>
        <w:ind w:firstLine="600"/>
        <w:rPr>
          <w:rFonts w:ascii="宋体" w:hAnsi="宋体" w:hint="eastAsia"/>
          <w:color w:val="000000"/>
          <w:sz w:val="24"/>
        </w:rPr>
      </w:pPr>
      <w:r>
        <w:rPr>
          <w:rFonts w:ascii="宋体" w:hAnsi="宋体" w:hint="eastAsia"/>
          <w:color w:val="000000"/>
          <w:sz w:val="24"/>
        </w:rPr>
        <w:t>4.1.3</w:t>
      </w:r>
      <w:r>
        <w:rPr>
          <w:rStyle w:val="13"/>
          <w:rFonts w:ascii="宋体" w:hAnsi="宋体" w:hint="eastAsia"/>
          <w:color w:val="000000"/>
          <w:sz w:val="24"/>
        </w:rPr>
        <w:t>房地产市场趋于纵深化发展</w:t>
      </w:r>
    </w:p>
    <w:p>
      <w:pPr>
        <w:spacing w:line="560" w:lineRule="exact"/>
        <w:ind w:firstLine="480" w:firstLineChars="200"/>
        <w:rPr>
          <w:rFonts w:ascii="宋体" w:hAnsi="宋体" w:hint="eastAsia"/>
          <w:color w:val="000000"/>
          <w:sz w:val="24"/>
        </w:rPr>
      </w:pPr>
      <w:r>
        <w:rPr>
          <w:rFonts w:ascii="宋体" w:hAnsi="宋体" w:hint="eastAsia"/>
          <w:color w:val="000000"/>
          <w:sz w:val="24"/>
        </w:rPr>
        <w:t xml:space="preserve"> 随着房地产市场规模的迅速扩大，本土开发企业逐步走强，外来品牌开发企业强势进入，竞争的激烈带动了</w:t>
      </w:r>
      <w:r>
        <w:rPr>
          <w:rFonts w:ascii="宋体" w:hAnsi="宋体" w:hint="eastAsia"/>
          <w:color w:val="000000"/>
          <w:sz w:val="24"/>
          <w:lang w:eastAsia="zh-CN"/>
        </w:rPr>
        <w:t>xxx</w:t>
      </w:r>
      <w:r>
        <w:rPr>
          <w:rFonts w:ascii="宋体" w:hAnsi="宋体" w:hint="eastAsia"/>
          <w:color w:val="000000"/>
          <w:sz w:val="24"/>
        </w:rPr>
        <w:t>商品房市场的整体发展水平，房地产市场趋于纵深化发展。作为一个新兴的工业城市，</w:t>
      </w:r>
      <w:r>
        <w:rPr>
          <w:rFonts w:ascii="宋体" w:hAnsi="宋体" w:hint="eastAsia"/>
          <w:color w:val="000000"/>
          <w:sz w:val="24"/>
          <w:lang w:eastAsia="zh-CN"/>
        </w:rPr>
        <w:t>xxx</w:t>
      </w:r>
      <w:r>
        <w:rPr>
          <w:rFonts w:ascii="宋体" w:hAnsi="宋体" w:hint="eastAsia"/>
          <w:color w:val="000000"/>
          <w:sz w:val="24"/>
        </w:rPr>
        <w:t>由农业经济为主向工业化、城市化过渡较晚，整体置业人群消费理念相对滞后，也在很大程度上抑制了</w:t>
      </w:r>
      <w:r>
        <w:rPr>
          <w:rFonts w:ascii="宋体" w:hAnsi="宋体" w:hint="eastAsia"/>
          <w:color w:val="000000"/>
          <w:sz w:val="24"/>
          <w:lang w:eastAsia="zh-CN"/>
        </w:rPr>
        <w:t>xxx</w:t>
      </w:r>
      <w:r>
        <w:rPr>
          <w:rFonts w:ascii="宋体" w:hAnsi="宋体" w:hint="eastAsia"/>
          <w:color w:val="000000"/>
          <w:sz w:val="24"/>
        </w:rPr>
        <w:t>商品房供应市场的产品创新，消费层次及开发层次未能充分拉开差距，目前</w:t>
      </w:r>
      <w:r>
        <w:rPr>
          <w:rFonts w:ascii="宋体" w:hAnsi="宋体" w:hint="eastAsia"/>
          <w:color w:val="000000"/>
          <w:sz w:val="24"/>
          <w:lang w:eastAsia="zh-CN"/>
        </w:rPr>
        <w:t>xxx</w:t>
      </w:r>
      <w:r>
        <w:rPr>
          <w:rFonts w:ascii="宋体" w:hAnsi="宋体" w:hint="eastAsia"/>
          <w:color w:val="000000"/>
          <w:sz w:val="24"/>
        </w:rPr>
        <w:t>市场尚无纯粹的别墅项目，复式、跃式等产品几乎没有；仅从市场住宅售价未能充分拉开差距，高价产品与低价产品差距仅数百元，即可看出这一特征，整体产品市场呈现扁平化发展特征。</w:t>
      </w:r>
    </w:p>
    <w:p>
      <w:pPr>
        <w:spacing w:line="560" w:lineRule="exact"/>
        <w:ind w:firstLine="703"/>
        <w:rPr>
          <w:rFonts w:ascii="宋体" w:hAnsi="宋体" w:hint="eastAsia"/>
          <w:b/>
          <w:color w:val="000000"/>
          <w:sz w:val="28"/>
          <w:szCs w:val="28"/>
        </w:rPr>
      </w:pPr>
      <w:r>
        <w:rPr>
          <w:rFonts w:ascii="宋体" w:hAnsi="宋体" w:hint="eastAsia"/>
          <w:b/>
          <w:color w:val="000000"/>
          <w:sz w:val="28"/>
          <w:szCs w:val="28"/>
        </w:rPr>
        <w:t>4</w:t>
      </w:r>
      <w:r>
        <w:rPr>
          <w:rFonts w:ascii="宋体" w:hAnsi="宋体"/>
          <w:b/>
          <w:color w:val="000000"/>
          <w:sz w:val="28"/>
          <w:szCs w:val="28"/>
        </w:rPr>
        <w:t>.</w:t>
      </w:r>
      <w:r>
        <w:rPr>
          <w:rFonts w:ascii="宋体" w:hAnsi="宋体" w:hint="eastAsia"/>
          <w:b/>
          <w:color w:val="000000"/>
          <w:sz w:val="28"/>
          <w:szCs w:val="28"/>
        </w:rPr>
        <w:t xml:space="preserve">2  </w:t>
      </w:r>
      <w:r>
        <w:rPr>
          <w:rFonts w:ascii="宋体" w:hAnsi="宋体" w:hint="eastAsia"/>
          <w:b/>
          <w:bCs/>
          <w:color w:val="000000"/>
          <w:sz w:val="28"/>
          <w:szCs w:val="28"/>
        </w:rPr>
        <w:t>项目开发目标定位</w:t>
      </w:r>
    </w:p>
    <w:p>
      <w:pPr>
        <w:spacing w:line="560" w:lineRule="exact"/>
        <w:ind w:firstLine="600"/>
        <w:rPr>
          <w:rFonts w:ascii="宋体" w:hAnsi="宋体" w:hint="eastAsia"/>
          <w:color w:val="000000"/>
          <w:sz w:val="24"/>
        </w:rPr>
      </w:pPr>
      <w:r>
        <w:rPr>
          <w:rFonts w:ascii="宋体" w:hAnsi="宋体" w:hint="eastAsia"/>
          <w:color w:val="000000"/>
          <w:sz w:val="24"/>
        </w:rPr>
        <w:t>4</w:t>
      </w:r>
      <w:r>
        <w:rPr>
          <w:rFonts w:ascii="宋体" w:hAnsi="宋体"/>
          <w:color w:val="000000"/>
          <w:sz w:val="24"/>
        </w:rPr>
        <w:t>.</w:t>
      </w:r>
      <w:r>
        <w:rPr>
          <w:rFonts w:ascii="宋体" w:hAnsi="宋体" w:hint="eastAsia"/>
          <w:color w:val="000000"/>
          <w:sz w:val="24"/>
        </w:rPr>
        <w:t>2</w:t>
      </w:r>
      <w:r>
        <w:rPr>
          <w:rFonts w:ascii="宋体" w:hAnsi="宋体"/>
          <w:color w:val="000000"/>
          <w:sz w:val="24"/>
        </w:rPr>
        <w:t>.</w:t>
      </w:r>
      <w:r>
        <w:rPr>
          <w:rFonts w:ascii="宋体" w:hAnsi="宋体" w:hint="eastAsia"/>
          <w:color w:val="000000"/>
          <w:sz w:val="24"/>
        </w:rPr>
        <w:t>1</w:t>
      </w:r>
      <w:r>
        <w:rPr>
          <w:rFonts w:ascii="宋体" w:hAnsi="宋体" w:hint="eastAsia"/>
          <w:b/>
          <w:color w:val="000000"/>
          <w:sz w:val="24"/>
        </w:rPr>
        <w:t>建设、开发理念：和谐、健康、文化</w:t>
      </w:r>
    </w:p>
    <w:p>
      <w:pPr>
        <w:spacing w:line="560" w:lineRule="exact"/>
        <w:ind w:firstLine="720" w:firstLineChars="300"/>
        <w:rPr>
          <w:rFonts w:ascii="宋体" w:hAnsi="宋体" w:hint="eastAsia"/>
          <w:color w:val="000000"/>
          <w:sz w:val="24"/>
        </w:rPr>
      </w:pPr>
      <w:r>
        <w:rPr>
          <w:rFonts w:ascii="宋体" w:hAnsi="宋体" w:hint="eastAsia"/>
          <w:color w:val="000000"/>
          <w:sz w:val="24"/>
        </w:rPr>
        <w:t>以人为本做到建筑与环境的融合给业主一个安静、温馨和谐的家；将提倡健康教育、设置运动场地、配置锻炼运动器械引入小区，倡导健康、休闲、娱乐的小区生活；通过景观、建筑小品等，展现</w:t>
      </w:r>
      <w:r>
        <w:rPr>
          <w:rFonts w:ascii="宋体" w:hAnsi="宋体" w:hint="eastAsia"/>
          <w:color w:val="000000"/>
          <w:sz w:val="24"/>
          <w:lang w:eastAsia="zh-CN"/>
        </w:rPr>
        <w:t>xxx</w:t>
      </w:r>
      <w:r>
        <w:rPr>
          <w:rFonts w:ascii="宋体" w:hAnsi="宋体" w:hint="eastAsia"/>
          <w:color w:val="000000"/>
          <w:sz w:val="24"/>
        </w:rPr>
        <w:t>及</w:t>
      </w:r>
      <w:r>
        <w:rPr>
          <w:rFonts w:ascii="宋体" w:hAnsi="宋体" w:hint="eastAsia"/>
          <w:color w:val="000000"/>
          <w:sz w:val="24"/>
          <w:lang w:eastAsia="zh-CN"/>
        </w:rPr>
        <w:t>xxx</w:t>
      </w:r>
      <w:r>
        <w:rPr>
          <w:rFonts w:ascii="宋体" w:hAnsi="宋体" w:hint="eastAsia"/>
          <w:color w:val="000000"/>
          <w:sz w:val="24"/>
        </w:rPr>
        <w:t>地区的历史文化的沉积。</w:t>
      </w:r>
    </w:p>
    <w:p>
      <w:pPr>
        <w:spacing w:line="560" w:lineRule="exact"/>
        <w:ind w:firstLine="600"/>
        <w:rPr>
          <w:rFonts w:ascii="宋体" w:hAnsi="宋体" w:hint="eastAsia"/>
          <w:color w:val="000000"/>
          <w:sz w:val="24"/>
        </w:rPr>
        <w:sectPr>
          <w:footerReference w:type="default" r:id="rId12"/>
          <w:type w:val="nextPage"/>
          <w:pgSz w:w="11906" w:h="16838"/>
          <w:pgMar w:top="1440" w:right="1287" w:bottom="1559" w:left="1797" w:header="851" w:footer="992" w:gutter="0"/>
          <w:pgNumType w:start="8"/>
          <w:cols w:num="1" w:space="720"/>
          <w:titlePg w:val="0"/>
          <w:docGrid w:type="linesAndChars" w:linePitch="312" w:charSpace="0"/>
        </w:sectPr>
      </w:pPr>
      <w:r>
        <w:rPr>
          <w:rFonts w:ascii="宋体" w:hAnsi="宋体" w:hint="eastAsia"/>
          <w:color w:val="000000"/>
          <w:sz w:val="24"/>
        </w:rPr>
        <w:t>4</w:t>
      </w:r>
      <w:r>
        <w:rPr>
          <w:rFonts w:ascii="宋体" w:hAnsi="宋体"/>
          <w:color w:val="000000"/>
          <w:sz w:val="24"/>
        </w:rPr>
        <w:t>.</w:t>
      </w:r>
      <w:r>
        <w:rPr>
          <w:rFonts w:ascii="宋体" w:hAnsi="宋体" w:hint="eastAsia"/>
          <w:color w:val="000000"/>
          <w:sz w:val="24"/>
        </w:rPr>
        <w:t>2</w:t>
      </w:r>
      <w:r>
        <w:rPr>
          <w:rFonts w:ascii="宋体" w:hAnsi="宋体"/>
          <w:color w:val="000000"/>
          <w:sz w:val="24"/>
        </w:rPr>
        <w:t>.</w:t>
      </w:r>
      <w:r>
        <w:rPr>
          <w:rFonts w:ascii="宋体" w:hAnsi="宋体" w:hint="eastAsia"/>
          <w:color w:val="000000"/>
          <w:sz w:val="24"/>
        </w:rPr>
        <w:t>2</w:t>
      </w:r>
      <w:r>
        <w:rPr>
          <w:rFonts w:ascii="宋体" w:hAnsi="宋体" w:hint="eastAsia"/>
          <w:b/>
          <w:color w:val="000000"/>
          <w:sz w:val="24"/>
        </w:rPr>
        <w:t>项目名称：</w:t>
      </w:r>
      <w:r>
        <w:rPr>
          <w:rFonts w:ascii="宋体" w:hAnsi="宋体" w:hint="eastAsia"/>
          <w:color w:val="000000"/>
          <w:sz w:val="24"/>
        </w:rPr>
        <w:t>项目拟定名称为“</w:t>
      </w:r>
      <w:r>
        <w:rPr>
          <w:rFonts w:ascii="宋体" w:hAnsi="宋体" w:hint="eastAsia"/>
          <w:color w:val="000000"/>
          <w:sz w:val="24"/>
          <w:lang w:eastAsia="zh-CN"/>
        </w:rPr>
        <w:t>xxxxxx</w:t>
      </w:r>
      <w:r>
        <w:rPr>
          <w:rFonts w:ascii="宋体" w:hAnsi="宋体" w:hint="eastAsia"/>
          <w:color w:val="000000"/>
          <w:sz w:val="24"/>
        </w:rPr>
        <w:t>住宅建设项目”</w:t>
      </w:r>
    </w:p>
    <w:p>
      <w:pPr>
        <w:spacing w:line="560" w:lineRule="exact"/>
        <w:ind w:left="120" w:firstLine="480" w:leftChars="57" w:firstLineChars="200"/>
        <w:rPr>
          <w:rFonts w:ascii="宋体" w:hAnsi="宋体" w:hint="eastAsia"/>
          <w:color w:val="000000"/>
          <w:sz w:val="24"/>
        </w:rPr>
      </w:pPr>
      <w:r>
        <w:rPr>
          <w:rFonts w:ascii="宋体" w:hAnsi="宋体" w:hint="eastAsia"/>
          <w:color w:val="000000"/>
          <w:sz w:val="24"/>
        </w:rPr>
        <w:t>4</w:t>
      </w:r>
      <w:r>
        <w:rPr>
          <w:rFonts w:ascii="宋体" w:hAnsi="宋体"/>
          <w:color w:val="000000"/>
          <w:sz w:val="24"/>
        </w:rPr>
        <w:t>.</w:t>
      </w:r>
      <w:r>
        <w:rPr>
          <w:rFonts w:ascii="宋体" w:hAnsi="宋体" w:hint="eastAsia"/>
          <w:color w:val="000000"/>
          <w:sz w:val="24"/>
        </w:rPr>
        <w:t>2</w:t>
      </w:r>
      <w:r>
        <w:rPr>
          <w:rFonts w:ascii="宋体" w:hAnsi="宋体"/>
          <w:color w:val="000000"/>
          <w:sz w:val="24"/>
        </w:rPr>
        <w:t>.</w:t>
      </w:r>
      <w:r>
        <w:rPr>
          <w:rFonts w:ascii="宋体" w:hAnsi="宋体" w:hint="eastAsia"/>
          <w:color w:val="000000"/>
          <w:sz w:val="24"/>
        </w:rPr>
        <w:t>3</w:t>
      </w:r>
      <w:r>
        <w:rPr>
          <w:rFonts w:ascii="宋体" w:hAnsi="宋体" w:hint="eastAsia"/>
          <w:b/>
          <w:color w:val="000000"/>
          <w:sz w:val="24"/>
        </w:rPr>
        <w:t>项目定位：</w:t>
      </w:r>
      <w:r>
        <w:rPr>
          <w:rFonts w:ascii="宋体" w:hAnsi="宋体" w:hint="eastAsia"/>
          <w:color w:val="000000"/>
          <w:sz w:val="24"/>
        </w:rPr>
        <w:t>中档偏高档楼盘，打造</w:t>
      </w:r>
      <w:r>
        <w:rPr>
          <w:rFonts w:ascii="宋体" w:hAnsi="宋体" w:hint="eastAsia"/>
          <w:color w:val="000000"/>
          <w:sz w:val="24"/>
          <w:lang w:eastAsia="zh-CN"/>
        </w:rPr>
        <w:t>xxx</w:t>
      </w:r>
      <w:r>
        <w:rPr>
          <w:rFonts w:ascii="宋体" w:hAnsi="宋体" w:hint="eastAsia"/>
          <w:color w:val="000000"/>
          <w:sz w:val="24"/>
        </w:rPr>
        <w:t>安全、智慧、舒适、生态、绿色新型社区，具体如下：</w:t>
      </w:r>
      <w:r>
        <w:rPr>
          <w:rFonts w:ascii="宋体" w:hAnsi="宋体"/>
          <w:b/>
          <w:bCs/>
          <w:color w:val="000000"/>
          <w:sz w:val="24"/>
        </w:rPr>
        <w:br/>
      </w:r>
      <w:r>
        <w:rPr>
          <w:rFonts w:ascii="宋体" w:hAnsi="宋体" w:hint="eastAsia"/>
          <w:b/>
          <w:bCs/>
          <w:color w:val="000000"/>
          <w:sz w:val="24"/>
        </w:rPr>
        <w:t xml:space="preserve">  </w:t>
      </w:r>
      <w:r>
        <w:rPr>
          <w:rFonts w:ascii="宋体" w:hAnsi="宋体"/>
          <w:b/>
          <w:bCs/>
          <w:color w:val="000000"/>
          <w:sz w:val="24"/>
        </w:rPr>
        <w:t xml:space="preserve"> </w:t>
      </w:r>
      <w:r>
        <w:rPr>
          <w:rFonts w:ascii="宋体" w:hAnsi="宋体"/>
          <w:color w:val="000000"/>
          <w:sz w:val="24"/>
        </w:rPr>
        <w:t>1</w:t>
      </w:r>
      <w:r>
        <w:rPr>
          <w:rFonts w:ascii="宋体" w:hAnsi="宋体" w:hint="eastAsia"/>
          <w:color w:val="000000"/>
          <w:sz w:val="24"/>
        </w:rPr>
        <w:t>）</w:t>
      </w:r>
      <w:r>
        <w:rPr>
          <w:rFonts w:ascii="宋体" w:hAnsi="宋体"/>
          <w:color w:val="000000"/>
          <w:sz w:val="24"/>
        </w:rPr>
        <w:t>小区布局符合国家有关住房建设、规划基本要求。按</w:t>
      </w:r>
      <w:r>
        <w:rPr>
          <w:rFonts w:ascii="宋体" w:hAnsi="宋体" w:hint="eastAsia"/>
          <w:color w:val="000000"/>
          <w:sz w:val="24"/>
        </w:rPr>
        <w:t>剪力墙高</w:t>
      </w:r>
      <w:r>
        <w:rPr>
          <w:rFonts w:ascii="宋体" w:hAnsi="宋体"/>
          <w:color w:val="000000"/>
          <w:sz w:val="24"/>
        </w:rPr>
        <w:t xml:space="preserve">层结构建设，建成房屋必须符合国家安全和质量标准； </w:t>
      </w:r>
      <w:r>
        <w:rPr>
          <w:rFonts w:ascii="宋体" w:hAnsi="宋体"/>
          <w:color w:val="000000"/>
          <w:sz w:val="24"/>
        </w:rPr>
        <w:br/>
      </w:r>
      <w:r>
        <w:rPr>
          <w:rFonts w:ascii="宋体" w:hAnsi="宋体" w:hint="eastAsia"/>
          <w:color w:val="000000"/>
          <w:sz w:val="24"/>
        </w:rPr>
        <w:t xml:space="preserve">   </w:t>
      </w:r>
      <w:r>
        <w:rPr>
          <w:rFonts w:ascii="宋体" w:hAnsi="宋体"/>
          <w:color w:val="000000"/>
          <w:sz w:val="24"/>
        </w:rPr>
        <w:t>2</w:t>
      </w:r>
      <w:r>
        <w:rPr>
          <w:rFonts w:ascii="宋体" w:hAnsi="宋体" w:hint="eastAsia"/>
          <w:color w:val="000000"/>
          <w:sz w:val="24"/>
        </w:rPr>
        <w:t>）</w:t>
      </w:r>
      <w:r>
        <w:rPr>
          <w:rFonts w:ascii="宋体" w:hAnsi="宋体" w:hint="eastAsia"/>
          <w:bCs/>
          <w:color w:val="000000"/>
          <w:sz w:val="24"/>
        </w:rPr>
        <w:t>保住房</w:t>
      </w:r>
      <w:r>
        <w:rPr>
          <w:rFonts w:ascii="宋体" w:hAnsi="宋体"/>
          <w:color w:val="000000"/>
          <w:sz w:val="24"/>
        </w:rPr>
        <w:t>户型设计以三室</w:t>
      </w:r>
      <w:r>
        <w:rPr>
          <w:rFonts w:ascii="宋体" w:hAnsi="宋体" w:hint="eastAsia"/>
          <w:color w:val="000000"/>
          <w:sz w:val="24"/>
        </w:rPr>
        <w:t>、</w:t>
      </w:r>
      <w:r>
        <w:rPr>
          <w:rFonts w:ascii="宋体" w:hAnsi="宋体"/>
          <w:color w:val="000000"/>
          <w:sz w:val="24"/>
        </w:rPr>
        <w:t>两厅</w:t>
      </w:r>
      <w:r>
        <w:rPr>
          <w:rFonts w:ascii="宋体" w:hAnsi="宋体" w:hint="eastAsia"/>
          <w:color w:val="000000"/>
          <w:sz w:val="24"/>
        </w:rPr>
        <w:t>、</w:t>
      </w:r>
      <w:r>
        <w:rPr>
          <w:rFonts w:ascii="宋体" w:hAnsi="宋体"/>
          <w:color w:val="000000"/>
          <w:sz w:val="24"/>
        </w:rPr>
        <w:t>两卫为主，套型建筑面积</w:t>
      </w:r>
      <w:r>
        <w:rPr>
          <w:rFonts w:ascii="宋体" w:hAnsi="宋体" w:hint="eastAsia"/>
          <w:color w:val="000000"/>
          <w:sz w:val="24"/>
        </w:rPr>
        <w:t>以</w:t>
      </w:r>
      <w:r>
        <w:rPr>
          <w:rFonts w:ascii="宋体" w:hAnsi="宋体"/>
          <w:color w:val="000000"/>
          <w:sz w:val="24"/>
        </w:rPr>
        <w:t>市场较为热销的</w:t>
      </w:r>
      <w:r>
        <w:rPr>
          <w:rFonts w:ascii="宋体" w:hAnsi="宋体" w:hint="eastAsia"/>
          <w:color w:val="000000"/>
          <w:sz w:val="24"/>
        </w:rPr>
        <w:t>125平米左右户型为主，均为南北通透的板式楼，最大限度增大通风、采光性。</w:t>
      </w:r>
    </w:p>
    <w:p>
      <w:pPr>
        <w:spacing w:line="560" w:lineRule="exact"/>
        <w:ind w:firstLine="480" w:firstLineChars="200"/>
        <w:rPr>
          <w:rFonts w:ascii="宋体" w:hAnsi="宋体"/>
          <w:color w:val="000000"/>
          <w:sz w:val="24"/>
        </w:rPr>
      </w:pPr>
      <w:r>
        <w:rPr>
          <w:rFonts w:ascii="宋体" w:hAnsi="宋体"/>
          <w:color w:val="000000"/>
          <w:sz w:val="24"/>
        </w:rPr>
        <w:t>3</w:t>
      </w:r>
      <w:r>
        <w:rPr>
          <w:rFonts w:ascii="宋体" w:hAnsi="宋体" w:hint="eastAsia"/>
          <w:color w:val="000000"/>
          <w:sz w:val="24"/>
        </w:rPr>
        <w:t>）</w:t>
      </w:r>
      <w:r>
        <w:rPr>
          <w:rFonts w:ascii="宋体" w:hAnsi="宋体"/>
          <w:color w:val="000000"/>
          <w:sz w:val="24"/>
        </w:rPr>
        <w:t>房屋内部按</w:t>
      </w:r>
      <w:r>
        <w:rPr>
          <w:rFonts w:ascii="宋体" w:hAnsi="宋体" w:hint="eastAsia"/>
          <w:color w:val="000000"/>
          <w:sz w:val="24"/>
        </w:rPr>
        <w:t>毛墙毛地</w:t>
      </w:r>
      <w:r>
        <w:rPr>
          <w:rFonts w:ascii="宋体" w:hAnsi="宋体"/>
          <w:color w:val="000000"/>
          <w:sz w:val="24"/>
        </w:rPr>
        <w:t>，砼地面，</w:t>
      </w:r>
      <w:r>
        <w:rPr>
          <w:rFonts w:ascii="宋体" w:hAnsi="宋体" w:hint="eastAsia"/>
          <w:color w:val="000000"/>
          <w:sz w:val="24"/>
        </w:rPr>
        <w:t>节能窗户</w:t>
      </w:r>
      <w:r>
        <w:rPr>
          <w:rFonts w:ascii="宋体" w:hAnsi="宋体"/>
          <w:color w:val="000000"/>
          <w:sz w:val="24"/>
        </w:rPr>
        <w:t>等标准</w:t>
      </w:r>
      <w:r>
        <w:rPr>
          <w:rFonts w:ascii="宋体" w:hAnsi="宋体" w:hint="eastAsia"/>
          <w:color w:val="000000"/>
          <w:sz w:val="24"/>
        </w:rPr>
        <w:t>。</w:t>
      </w:r>
      <w:r>
        <w:rPr>
          <w:rFonts w:ascii="宋体" w:hAnsi="宋体"/>
          <w:color w:val="000000"/>
          <w:sz w:val="24"/>
        </w:rPr>
        <w:br/>
      </w:r>
      <w:r>
        <w:rPr>
          <w:rFonts w:ascii="宋体" w:hAnsi="宋体" w:hint="eastAsia"/>
          <w:color w:val="000000"/>
          <w:sz w:val="24"/>
        </w:rPr>
        <w:t xml:space="preserve">    4）为小区业主解决生活配套问题，降低业主的生活成本；将幼儿园建在小区、并将文化、运动、教育引入小区，提供完善的文化、运动、教育的生活，将科技宣传引入小区，倡导一种富含科技的生活；</w:t>
      </w:r>
    </w:p>
    <w:p>
      <w:pPr>
        <w:spacing w:line="560" w:lineRule="exact"/>
        <w:ind w:firstLine="480" w:firstLineChars="200"/>
        <w:rPr>
          <w:rFonts w:ascii="宋体" w:hAnsi="宋体" w:hint="eastAsia"/>
          <w:color w:val="000000"/>
          <w:sz w:val="24"/>
        </w:rPr>
      </w:pPr>
      <w:r>
        <w:rPr>
          <w:rFonts w:ascii="宋体" w:hAnsi="宋体" w:hint="eastAsia"/>
          <w:color w:val="000000"/>
          <w:sz w:val="24"/>
        </w:rPr>
        <w:t>5）满足业主对绿化环境等方面的要求，加强景观建造；满足各个阶层客户对品味的要求，满足客户对新品质新生活的追求</w:t>
      </w:r>
    </w:p>
    <w:p>
      <w:pPr>
        <w:spacing w:line="560" w:lineRule="exact"/>
        <w:ind w:firstLine="480" w:firstLineChars="200"/>
        <w:rPr>
          <w:rFonts w:ascii="宋体" w:hAnsi="宋体" w:hint="eastAsia"/>
          <w:color w:val="000000"/>
          <w:sz w:val="24"/>
        </w:rPr>
      </w:pPr>
      <w:r>
        <w:rPr>
          <w:rFonts w:ascii="宋体" w:hAnsi="宋体" w:hint="eastAsia"/>
          <w:color w:val="000000"/>
          <w:sz w:val="24"/>
        </w:rPr>
        <w:t xml:space="preserve">6）要给业主间一个交流的平台，标志性建筑的修建，将作为本小区的一大特色。 </w:t>
      </w:r>
    </w:p>
    <w:p>
      <w:pPr>
        <w:spacing w:line="560" w:lineRule="exact"/>
        <w:ind w:firstLine="480" w:firstLineChars="200"/>
        <w:rPr>
          <w:rFonts w:ascii="宋体" w:hAnsi="宋体" w:hint="eastAsia"/>
          <w:color w:val="000000"/>
          <w:sz w:val="24"/>
        </w:rPr>
      </w:pPr>
      <w:r>
        <w:rPr>
          <w:rFonts w:ascii="宋体" w:hAnsi="宋体" w:hint="eastAsia"/>
          <w:color w:val="000000"/>
          <w:sz w:val="24"/>
        </w:rPr>
        <w:t>7）物业类型：</w:t>
      </w:r>
      <w:r>
        <w:rPr>
          <w:rFonts w:ascii="宋体" w:hAnsi="宋体" w:hint="eastAsia"/>
          <w:bCs/>
          <w:color w:val="000000"/>
          <w:sz w:val="24"/>
        </w:rPr>
        <w:t> 按照“公司法”规定成立的专业物业管理公司，</w:t>
      </w:r>
      <w:r>
        <w:rPr>
          <w:rFonts w:ascii="宋体" w:hAnsi="宋体" w:hint="eastAsia"/>
          <w:color w:val="000000"/>
          <w:sz w:val="24"/>
        </w:rPr>
        <w:t>这类公司完全靠市场经营生存，因而有着较强大的生命力和生存空间。它们通过市场竞争，在法规许可范围内取得物业经营权，与业主签订合约提供合约内的服务，而业主则在享受服务的同时支出服务费给物业管理公司。</w:t>
      </w:r>
    </w:p>
    <w:p>
      <w:pPr>
        <w:spacing w:line="560" w:lineRule="exact"/>
        <w:ind w:firstLine="480" w:firstLineChars="200"/>
        <w:rPr>
          <w:rFonts w:ascii="宋体" w:hAnsi="宋体" w:hint="eastAsia"/>
          <w:b/>
          <w:color w:val="000000"/>
          <w:sz w:val="24"/>
        </w:rPr>
      </w:pPr>
      <w:r>
        <w:rPr>
          <w:rFonts w:ascii="宋体" w:hAnsi="宋体" w:hint="eastAsia"/>
          <w:b/>
          <w:color w:val="000000"/>
          <w:sz w:val="24"/>
        </w:rPr>
        <w:t xml:space="preserve">4.3   </w:t>
      </w:r>
      <w:r>
        <w:rPr>
          <w:rFonts w:ascii="宋体" w:hAnsi="宋体" w:hint="eastAsia"/>
          <w:b/>
          <w:color w:val="000000"/>
          <w:sz w:val="28"/>
          <w:szCs w:val="28"/>
        </w:rPr>
        <w:t>特别突出人文化</w:t>
      </w:r>
      <w:r>
        <w:rPr>
          <w:rFonts w:ascii="宋体" w:hAnsi="宋体"/>
          <w:b/>
          <w:color w:val="000000"/>
          <w:sz w:val="28"/>
          <w:szCs w:val="28"/>
        </w:rPr>
        <w:t>生态化</w:t>
      </w:r>
    </w:p>
    <w:p>
      <w:pPr>
        <w:spacing w:line="560" w:lineRule="exact"/>
        <w:ind w:firstLine="480" w:firstLineChars="200"/>
        <w:rPr>
          <w:color w:val="000000"/>
          <w:kern w:val="0"/>
          <w:sz w:val="24"/>
        </w:rPr>
        <w:sectPr>
          <w:footerReference w:type="default" r:id="rId13"/>
          <w:type w:val="nextPage"/>
          <w:pgSz w:w="11906" w:h="16838"/>
          <w:pgMar w:top="1440" w:right="1287" w:bottom="1559" w:left="1797" w:header="851" w:footer="992" w:gutter="0"/>
          <w:pgNumType w:start="9"/>
          <w:cols w:num="1" w:space="720"/>
          <w:titlePg w:val="0"/>
          <w:docGrid w:type="linesAndChars" w:linePitch="312" w:charSpace="0"/>
        </w:sectPr>
      </w:pPr>
      <w:r>
        <w:rPr>
          <w:color w:val="000000"/>
          <w:kern w:val="0"/>
          <w:sz w:val="24"/>
        </w:rPr>
        <w:t>社</w:t>
      </w:r>
      <w:r>
        <w:rPr>
          <w:rFonts w:ascii="宋体" w:hAnsi="宋体"/>
          <w:color w:val="000000"/>
          <w:kern w:val="0"/>
          <w:sz w:val="24"/>
        </w:rPr>
        <w:t>区活力的重要保证是创造住区独特的人文氛围，对于</w:t>
      </w:r>
      <w:r>
        <w:rPr>
          <w:rFonts w:ascii="宋体" w:hAnsi="宋体" w:hint="eastAsia"/>
          <w:bCs/>
          <w:color w:val="000000"/>
          <w:sz w:val="24"/>
        </w:rPr>
        <w:t>社</w:t>
      </w:r>
    </w:p>
    <w:p>
      <w:pPr>
        <w:spacing w:line="560" w:lineRule="exact"/>
        <w:ind w:firstLine="480" w:firstLineChars="200"/>
        <w:rPr>
          <w:color w:val="000000"/>
          <w:kern w:val="0"/>
          <w:sz w:val="24"/>
        </w:rPr>
      </w:pPr>
      <w:r>
        <w:rPr>
          <w:rFonts w:ascii="宋体" w:hAnsi="宋体"/>
          <w:color w:val="000000"/>
          <w:kern w:val="0"/>
          <w:sz w:val="24"/>
        </w:rPr>
        <w:t>区更是需要考虑这一点，这种独特品位要求全方面、各角度地去创造。概括地讲，业主要求买得的有三种形态的享受：第一是室内空间的享受，第二是室外社区环境的享受，第三是视力、听力等感官所及的一切享受即精神享受。业主在三种享受上都需要获得最大化。居所建设应将三种享受整合融汇一起，使其具有思想内容和反映文化意识，其建筑已经超越了物质机器的范围而更多地体现出某种居住文化。随着经济的发展和人民生活水平的提高，客户对住房的需求已逐步转向质量型，住宅早已不再是挡风蔽雨的栖身场所，而是安居乐业的幸福的精神乐园。他们希望通过对住宅的要求来体现民族文化的一致性，找回失落已久的建筑原创性和文化，达到天人合一，人与自然的和谐共生。优越的自然环境是高尚居住区的重要特征。建筑与环境应是相辅相成的联体关系，一方面建筑形式应是景观重要组成元素，同时户外环境特色亦是建筑自身的环境特色。所以自然环境的生态化是社区持久发展的重要内容。</w:t>
      </w:r>
    </w:p>
    <w:p>
      <w:pPr>
        <w:spacing w:line="560" w:lineRule="exact"/>
        <w:ind w:firstLine="480" w:firstLineChars="200"/>
        <w:rPr>
          <w:rFonts w:ascii="宋体" w:hAnsi="宋体" w:hint="eastAsia"/>
          <w:b/>
          <w:color w:val="000000"/>
          <w:kern w:val="0"/>
          <w:sz w:val="24"/>
        </w:rPr>
      </w:pPr>
      <w:r>
        <w:rPr>
          <w:rFonts w:ascii="宋体" w:hAnsi="宋体" w:hint="eastAsia"/>
          <w:b/>
          <w:color w:val="000000"/>
          <w:kern w:val="0"/>
          <w:sz w:val="24"/>
        </w:rPr>
        <w:t>4.4  项目客户定位</w:t>
      </w:r>
    </w:p>
    <w:p>
      <w:pPr>
        <w:spacing w:line="560" w:lineRule="exact"/>
        <w:ind w:firstLine="480" w:firstLineChars="200"/>
        <w:rPr>
          <w:rFonts w:ascii="宋体" w:hAnsi="宋体" w:hint="eastAsia"/>
          <w:b/>
          <w:color w:val="000000"/>
          <w:kern w:val="0"/>
          <w:sz w:val="24"/>
        </w:rPr>
      </w:pPr>
      <w:r>
        <w:rPr>
          <w:rFonts w:ascii="宋体" w:hAnsi="宋体" w:hint="eastAsia"/>
          <w:b/>
          <w:color w:val="000000"/>
          <w:kern w:val="0"/>
          <w:sz w:val="24"/>
        </w:rPr>
        <w:t>4.4.1客户特征</w:t>
      </w:r>
    </w:p>
    <w:p>
      <w:pPr>
        <w:spacing w:line="560" w:lineRule="exact"/>
        <w:ind w:firstLine="480" w:firstLineChars="200"/>
        <w:rPr>
          <w:rFonts w:ascii="宋体" w:hAnsi="宋体" w:hint="eastAsia"/>
          <w:color w:val="000000"/>
          <w:kern w:val="0"/>
          <w:sz w:val="24"/>
        </w:rPr>
      </w:pPr>
      <w:r>
        <w:rPr>
          <w:rFonts w:ascii="宋体" w:hAnsi="宋体" w:hint="eastAsia"/>
          <w:color w:val="000000"/>
          <w:kern w:val="0"/>
          <w:sz w:val="24"/>
        </w:rPr>
        <w:t>1）30岁左右首次置业者，家庭成员两人或三人；35-50岁的二次置业者，家庭成员三人或三到五人；个性相对独立思想相对开放、乐于接受新事物人群。</w:t>
      </w:r>
    </w:p>
    <w:p>
      <w:pPr>
        <w:spacing w:line="560" w:lineRule="exact"/>
        <w:ind w:firstLine="480" w:firstLineChars="200"/>
        <w:rPr>
          <w:rFonts w:ascii="宋体" w:hAnsi="宋体" w:hint="eastAsia"/>
          <w:color w:val="000000"/>
          <w:kern w:val="0"/>
          <w:sz w:val="24"/>
        </w:rPr>
      </w:pPr>
      <w:r>
        <w:rPr>
          <w:rFonts w:ascii="宋体" w:hAnsi="宋体" w:hint="eastAsia"/>
          <w:color w:val="000000"/>
          <w:kern w:val="0"/>
          <w:sz w:val="24"/>
        </w:rPr>
        <w:t>2）年龄在30-35岁之间的工薪阶层，社会地位与文化层次偏高等人群。</w:t>
      </w:r>
    </w:p>
    <w:p>
      <w:pPr>
        <w:spacing w:line="560" w:lineRule="exact"/>
        <w:ind w:firstLine="480" w:firstLineChars="200"/>
        <w:rPr>
          <w:rFonts w:ascii="宋体" w:hAnsi="宋体" w:hint="eastAsia"/>
          <w:color w:val="000000"/>
          <w:kern w:val="0"/>
          <w:sz w:val="24"/>
        </w:rPr>
      </w:pPr>
      <w:r>
        <w:rPr>
          <w:rFonts w:ascii="宋体" w:hAnsi="宋体" w:hint="eastAsia"/>
          <w:color w:val="000000"/>
          <w:kern w:val="0"/>
          <w:sz w:val="24"/>
        </w:rPr>
        <w:t>3）县城白领阶层与普通公务员、大企业的主要技术人员与管理人员及文教知识人员，欣赏</w:t>
      </w:r>
      <w:r>
        <w:rPr>
          <w:rFonts w:ascii="宋体" w:hAnsi="宋体" w:hint="eastAsia"/>
          <w:color w:val="000000"/>
          <w:kern w:val="0"/>
          <w:sz w:val="24"/>
          <w:lang w:eastAsia="zh-CN"/>
        </w:rPr>
        <w:t>xxx</w:t>
      </w:r>
      <w:r>
        <w:rPr>
          <w:rFonts w:ascii="宋体" w:hAnsi="宋体" w:hint="eastAsia"/>
          <w:color w:val="000000"/>
          <w:kern w:val="0"/>
          <w:sz w:val="24"/>
        </w:rPr>
        <w:t>环境从外地回来老家养老者、置业投资客户。</w:t>
      </w:r>
    </w:p>
    <w:p>
      <w:pPr>
        <w:spacing w:line="560" w:lineRule="exact"/>
        <w:ind w:firstLine="480" w:firstLineChars="200"/>
        <w:rPr>
          <w:rFonts w:ascii="宋体" w:hAnsi="宋体" w:hint="eastAsia"/>
          <w:color w:val="000000"/>
          <w:kern w:val="0"/>
          <w:sz w:val="24"/>
        </w:rPr>
      </w:pPr>
      <w:r>
        <w:rPr>
          <w:rFonts w:ascii="宋体" w:hAnsi="宋体" w:hint="eastAsia"/>
          <w:color w:val="000000"/>
          <w:kern w:val="0"/>
          <w:sz w:val="24"/>
        </w:rPr>
        <w:t>4）商业老板少数的事业成功人士；对居住环境与生活环境与生活环境品质追求偏高人群。</w:t>
      </w:r>
    </w:p>
    <w:p>
      <w:pPr>
        <w:spacing w:line="560" w:lineRule="exact"/>
        <w:ind w:firstLine="480" w:firstLineChars="200"/>
        <w:rPr>
          <w:rFonts w:ascii="宋体" w:hAnsi="宋体" w:hint="eastAsia"/>
          <w:color w:val="000000"/>
          <w:kern w:val="0"/>
          <w:sz w:val="24"/>
        </w:rPr>
      </w:pPr>
      <w:r>
        <w:rPr>
          <w:rFonts w:ascii="宋体" w:hAnsi="宋体" w:hint="eastAsia"/>
          <w:color w:val="000000"/>
          <w:kern w:val="0"/>
          <w:sz w:val="24"/>
        </w:rPr>
        <w:t>5）</w:t>
      </w:r>
      <w:r>
        <w:rPr>
          <w:rFonts w:ascii="宋体" w:hAnsi="宋体" w:hint="eastAsia"/>
          <w:color w:val="000000"/>
          <w:kern w:val="0"/>
          <w:sz w:val="24"/>
          <w:lang w:eastAsia="zh-CN"/>
        </w:rPr>
        <w:t>xxx</w:t>
      </w:r>
      <w:r>
        <w:rPr>
          <w:rFonts w:ascii="宋体" w:hAnsi="宋体" w:hint="eastAsia"/>
          <w:color w:val="000000"/>
          <w:kern w:val="0"/>
          <w:sz w:val="24"/>
        </w:rPr>
        <w:t>周边，特别是紧邻的乾县购买群体，意欲宜居</w:t>
      </w:r>
      <w:r>
        <w:rPr>
          <w:rFonts w:ascii="宋体" w:hAnsi="宋体" w:hint="eastAsia"/>
          <w:color w:val="000000"/>
          <w:kern w:val="0"/>
          <w:sz w:val="24"/>
          <w:lang w:eastAsia="zh-CN"/>
        </w:rPr>
        <w:t>xxx</w:t>
      </w:r>
      <w:r>
        <w:rPr>
          <w:rFonts w:ascii="宋体" w:hAnsi="宋体" w:hint="eastAsia"/>
          <w:color w:val="000000"/>
          <w:kern w:val="0"/>
          <w:sz w:val="24"/>
        </w:rPr>
        <w:t>向往城市繁华的</w:t>
      </w:r>
      <w:r>
        <w:rPr>
          <w:rFonts w:ascii="宋体" w:hAnsi="宋体" w:hint="eastAsia"/>
          <w:color w:val="000000"/>
          <w:kern w:val="0"/>
          <w:sz w:val="24"/>
          <w:lang w:eastAsia="zh-CN"/>
        </w:rPr>
        <w:t>xxx</w:t>
      </w:r>
      <w:r>
        <w:rPr>
          <w:rFonts w:ascii="宋体" w:hAnsi="宋体" w:hint="eastAsia"/>
          <w:color w:val="000000"/>
          <w:kern w:val="0"/>
          <w:sz w:val="24"/>
        </w:rPr>
        <w:t>周边人群。</w:t>
      </w:r>
    </w:p>
    <w:p>
      <w:pPr>
        <w:spacing w:line="560" w:lineRule="exact"/>
        <w:ind w:firstLine="480" w:firstLineChars="200"/>
        <w:rPr>
          <w:rFonts w:ascii="宋体" w:hAnsi="宋体" w:hint="eastAsia"/>
          <w:b/>
          <w:color w:val="000000"/>
          <w:kern w:val="0"/>
          <w:sz w:val="24"/>
        </w:rPr>
      </w:pPr>
      <w:r>
        <w:rPr>
          <w:rFonts w:ascii="宋体" w:hAnsi="宋体" w:hint="eastAsia"/>
          <w:b/>
          <w:color w:val="000000"/>
          <w:kern w:val="0"/>
          <w:sz w:val="24"/>
        </w:rPr>
        <w:t>4.4.2影响客户购买的因素</w:t>
      </w:r>
    </w:p>
    <w:p>
      <w:pPr>
        <w:spacing w:line="560" w:lineRule="exact"/>
        <w:ind w:firstLine="480" w:firstLineChars="200"/>
        <w:rPr>
          <w:rFonts w:ascii="宋体" w:hAnsi="宋体" w:hint="eastAsia"/>
          <w:color w:val="000000"/>
          <w:kern w:val="0"/>
          <w:sz w:val="24"/>
        </w:rPr>
      </w:pPr>
      <w:r>
        <w:rPr>
          <w:rFonts w:ascii="宋体" w:hAnsi="宋体" w:hint="eastAsia"/>
          <w:color w:val="000000"/>
          <w:kern w:val="0"/>
          <w:sz w:val="24"/>
        </w:rPr>
        <w:t>1）楼盘的社会影响力，是否代表时尚、现代，能否体现其社会地位；</w:t>
      </w:r>
    </w:p>
    <w:p>
      <w:pPr>
        <w:spacing w:line="560" w:lineRule="exact"/>
        <w:ind w:firstLine="480" w:firstLineChars="200"/>
        <w:rPr>
          <w:rFonts w:ascii="宋体" w:hAnsi="宋体" w:hint="eastAsia"/>
          <w:color w:val="000000"/>
          <w:kern w:val="0"/>
          <w:sz w:val="24"/>
        </w:rPr>
      </w:pPr>
      <w:r>
        <w:rPr>
          <w:rFonts w:ascii="宋体" w:hAnsi="宋体" w:hint="eastAsia"/>
          <w:color w:val="000000"/>
          <w:kern w:val="0"/>
          <w:sz w:val="24"/>
        </w:rPr>
        <w:t>2）对</w:t>
      </w:r>
      <w:r>
        <w:rPr>
          <w:rFonts w:ascii="宋体" w:hAnsi="宋体" w:hint="eastAsia"/>
          <w:color w:val="000000"/>
          <w:kern w:val="0"/>
          <w:sz w:val="24"/>
          <w:lang w:eastAsia="zh-CN"/>
        </w:rPr>
        <w:t>xxx</w:t>
      </w:r>
      <w:r>
        <w:rPr>
          <w:rFonts w:ascii="宋体" w:hAnsi="宋体" w:hint="eastAsia"/>
          <w:color w:val="000000"/>
          <w:kern w:val="0"/>
          <w:sz w:val="24"/>
        </w:rPr>
        <w:t>地产市场有一定了解，主要通过电视、报纸广告及亲戚朋友了解；</w:t>
      </w:r>
    </w:p>
    <w:p>
      <w:pPr>
        <w:spacing w:line="560" w:lineRule="exact"/>
        <w:ind w:firstLine="480" w:firstLineChars="200"/>
        <w:rPr>
          <w:rFonts w:ascii="宋体" w:hAnsi="宋体" w:hint="eastAsia"/>
          <w:color w:val="000000"/>
          <w:kern w:val="0"/>
          <w:sz w:val="24"/>
        </w:rPr>
      </w:pPr>
      <w:r>
        <w:rPr>
          <w:rFonts w:ascii="宋体" w:hAnsi="宋体" w:hint="eastAsia"/>
          <w:color w:val="000000"/>
          <w:kern w:val="0"/>
          <w:sz w:val="24"/>
        </w:rPr>
        <w:t>3）对居住环境及户型要求较高，爱读书看报，密切关注</w:t>
      </w:r>
      <w:r>
        <w:rPr>
          <w:rFonts w:ascii="宋体" w:hAnsi="宋体" w:hint="eastAsia"/>
          <w:color w:val="000000"/>
          <w:kern w:val="0"/>
          <w:sz w:val="24"/>
          <w:lang w:eastAsia="zh-CN"/>
        </w:rPr>
        <w:t>xxx</w:t>
      </w:r>
      <w:r>
        <w:rPr>
          <w:rFonts w:ascii="宋体" w:hAnsi="宋体" w:hint="eastAsia"/>
          <w:color w:val="000000"/>
          <w:kern w:val="0"/>
          <w:sz w:val="24"/>
        </w:rPr>
        <w:t>城市的发展热点，熟悉</w:t>
      </w:r>
      <w:r>
        <w:rPr>
          <w:rFonts w:ascii="宋体" w:hAnsi="宋体" w:hint="eastAsia"/>
          <w:color w:val="000000"/>
          <w:kern w:val="0"/>
          <w:sz w:val="24"/>
          <w:lang w:eastAsia="zh-CN"/>
        </w:rPr>
        <w:t>xxx</w:t>
      </w:r>
      <w:r>
        <w:rPr>
          <w:rFonts w:ascii="宋体" w:hAnsi="宋体" w:hint="eastAsia"/>
          <w:color w:val="000000"/>
          <w:kern w:val="0"/>
          <w:sz w:val="24"/>
        </w:rPr>
        <w:t>的房地产发展状况；</w:t>
      </w:r>
    </w:p>
    <w:p>
      <w:pPr>
        <w:spacing w:line="560" w:lineRule="exact"/>
        <w:ind w:firstLine="480" w:firstLineChars="200"/>
        <w:rPr>
          <w:rFonts w:ascii="宋体" w:hAnsi="宋体" w:hint="eastAsia"/>
          <w:color w:val="000000"/>
          <w:kern w:val="0"/>
          <w:sz w:val="24"/>
        </w:rPr>
        <w:sectPr>
          <w:footerReference w:type="default" r:id="rId14"/>
          <w:type w:val="nextPage"/>
          <w:pgSz w:w="11906" w:h="16838"/>
          <w:pgMar w:top="1440" w:right="1287" w:bottom="1559" w:left="1797" w:header="851" w:footer="992" w:gutter="0"/>
          <w:pgNumType w:start="10"/>
          <w:cols w:num="1" w:space="720"/>
          <w:titlePg w:val="0"/>
          <w:docGrid w:type="linesAndChars" w:linePitch="312" w:charSpace="0"/>
        </w:sectPr>
      </w:pPr>
      <w:r>
        <w:rPr>
          <w:rFonts w:ascii="宋体" w:hAnsi="宋体" w:hint="eastAsia"/>
          <w:color w:val="000000"/>
          <w:kern w:val="0"/>
          <w:sz w:val="24"/>
        </w:rPr>
        <w:t>4）对</w:t>
      </w:r>
      <w:r>
        <w:rPr>
          <w:rFonts w:ascii="宋体" w:hAnsi="宋体" w:hint="eastAsia"/>
          <w:color w:val="000000"/>
          <w:kern w:val="0"/>
          <w:sz w:val="24"/>
          <w:lang w:eastAsia="zh-CN"/>
        </w:rPr>
        <w:t>xxx</w:t>
      </w:r>
      <w:r>
        <w:rPr>
          <w:rFonts w:ascii="宋体" w:hAnsi="宋体" w:hint="eastAsia"/>
          <w:color w:val="000000"/>
          <w:kern w:val="0"/>
          <w:sz w:val="24"/>
        </w:rPr>
        <w:t>的房地产市场认知度深刻，有一定的专业知识，善于发现有潜质的物业，由于近期退出的新概念住宅成交及升值较为明显，看好本项目的升值空间。</w:t>
      </w:r>
    </w:p>
    <w:p>
      <w:pPr>
        <w:spacing w:line="560" w:lineRule="exact"/>
        <w:ind w:firstLine="1920" w:firstLineChars="600"/>
        <w:rPr>
          <w:rFonts w:ascii="微软雅黑" w:eastAsia="微软雅黑" w:hAnsi="微软雅黑" w:hint="eastAsia"/>
          <w:b/>
          <w:bCs/>
          <w:color w:val="000000"/>
          <w:sz w:val="32"/>
          <w:szCs w:val="32"/>
        </w:rPr>
      </w:pPr>
      <w:r>
        <w:rPr>
          <w:rFonts w:ascii="微软雅黑" w:eastAsia="微软雅黑" w:hAnsi="微软雅黑" w:hint="eastAsia"/>
          <w:b/>
          <w:bCs/>
          <w:color w:val="000000"/>
          <w:sz w:val="32"/>
          <w:szCs w:val="32"/>
        </w:rPr>
        <w:t>第五章    建设地址及建设条件</w:t>
      </w:r>
    </w:p>
    <w:p>
      <w:pPr>
        <w:spacing w:line="520" w:lineRule="exact"/>
        <w:ind w:firstLine="703"/>
        <w:rPr>
          <w:rFonts w:ascii="宋体" w:hAnsi="宋体" w:hint="eastAsia"/>
          <w:b/>
          <w:color w:val="000000"/>
          <w:sz w:val="28"/>
          <w:szCs w:val="28"/>
        </w:rPr>
      </w:pPr>
      <w:r>
        <w:rPr>
          <w:rFonts w:ascii="宋体" w:hAnsi="宋体" w:hint="eastAsia"/>
          <w:b/>
          <w:color w:val="000000"/>
          <w:sz w:val="28"/>
          <w:szCs w:val="28"/>
        </w:rPr>
        <w:t xml:space="preserve">5.1  </w:t>
      </w:r>
      <w:r>
        <w:rPr>
          <w:rFonts w:ascii="宋体" w:hAnsi="宋体" w:hint="eastAsia"/>
          <w:b/>
          <w:bCs/>
          <w:color w:val="000000"/>
          <w:sz w:val="28"/>
          <w:szCs w:val="28"/>
        </w:rPr>
        <w:t>建设地址</w:t>
      </w:r>
    </w:p>
    <w:p>
      <w:pPr>
        <w:spacing w:line="520" w:lineRule="exact"/>
        <w:ind w:firstLine="600" w:firstLineChars="250"/>
        <w:rPr>
          <w:rFonts w:ascii="宋体" w:hAnsi="宋体" w:hint="eastAsia"/>
          <w:sz w:val="24"/>
        </w:rPr>
      </w:pPr>
      <w:r>
        <w:rPr>
          <w:rFonts w:ascii="宋体" w:hAnsi="宋体" w:hint="eastAsia"/>
          <w:sz w:val="24"/>
        </w:rPr>
        <w:t>《</w:t>
      </w:r>
      <w:r>
        <w:rPr>
          <w:rFonts w:ascii="宋体" w:hAnsi="宋体" w:hint="eastAsia"/>
          <w:sz w:val="24"/>
          <w:lang w:eastAsia="zh-CN"/>
        </w:rPr>
        <w:t>xxxxxx</w:t>
      </w:r>
      <w:r>
        <w:rPr>
          <w:rFonts w:ascii="宋体" w:hAnsi="宋体" w:hint="eastAsia"/>
          <w:sz w:val="24"/>
        </w:rPr>
        <w:t>住宅建设项目》选址于思源路南侧、和园小区西侧、车站大道向南延伸段东侧区域位置。项目总用地面积19.89亩、净用地面积13250平方米。项目地块呈不规则形。</w:t>
      </w:r>
      <w:r>
        <w:rPr>
          <w:rFonts w:ascii="宋体" w:hAnsi="宋体" w:hint="eastAsia"/>
          <w:color w:val="000000"/>
          <w:sz w:val="24"/>
        </w:rPr>
        <w:t>按照</w:t>
      </w:r>
      <w:r>
        <w:rPr>
          <w:rFonts w:ascii="宋体" w:hAnsi="宋体" w:hint="eastAsia"/>
          <w:bCs/>
          <w:color w:val="000000"/>
          <w:sz w:val="24"/>
          <w:lang w:eastAsia="zh-CN"/>
        </w:rPr>
        <w:t>xxx</w:t>
      </w:r>
      <w:r>
        <w:rPr>
          <w:rFonts w:ascii="宋体" w:hAnsi="宋体" w:hint="eastAsia"/>
          <w:bCs/>
          <w:color w:val="000000"/>
          <w:sz w:val="24"/>
        </w:rPr>
        <w:t>的总体规划此地块为住宅区。</w:t>
      </w:r>
      <w:r>
        <w:rPr>
          <w:rFonts w:ascii="宋体" w:hAnsi="宋体" w:hint="eastAsia"/>
          <w:color w:val="000000"/>
          <w:sz w:val="24"/>
        </w:rPr>
        <w:t>项目地块地势较平坦，无任何高层建筑，水、电、气、通信管网均可接入，具备房地</w:t>
      </w:r>
      <w:r>
        <w:rPr>
          <w:rFonts w:ascii="宋体" w:hAnsi="宋体" w:hint="eastAsia"/>
          <w:color w:val="000000"/>
          <w:sz w:val="24"/>
          <w:lang w:eastAsia="zh-CN"/>
        </w:rPr>
        <w:t>xxx</w:t>
      </w:r>
      <w:r>
        <w:rPr>
          <w:rFonts w:ascii="宋体" w:hAnsi="宋体" w:hint="eastAsia"/>
          <w:color w:val="000000"/>
          <w:sz w:val="24"/>
        </w:rPr>
        <w:t>建设条件。项目北邻思源路，西邻车站大道，小区主大门与</w:t>
      </w:r>
      <w:r>
        <w:rPr>
          <w:rFonts w:ascii="宋体" w:hAnsi="宋体" w:hint="eastAsia"/>
          <w:color w:val="000000"/>
          <w:sz w:val="24"/>
          <w:lang w:eastAsia="zh-CN"/>
        </w:rPr>
        <w:t>xxx</w:t>
      </w:r>
      <w:r>
        <w:rPr>
          <w:rFonts w:ascii="宋体" w:hAnsi="宋体" w:hint="eastAsia"/>
          <w:color w:val="000000"/>
          <w:sz w:val="24"/>
        </w:rPr>
        <w:t>市政主干道相通。交通十分便捷，区位及交通优势非常明显。</w:t>
      </w:r>
    </w:p>
    <w:p>
      <w:pPr>
        <w:spacing w:line="520" w:lineRule="exact"/>
        <w:ind w:firstLine="560" w:firstLineChars="200"/>
        <w:rPr>
          <w:rFonts w:ascii="宋体" w:hAnsi="宋体" w:hint="eastAsia"/>
          <w:b/>
          <w:color w:val="000000"/>
          <w:sz w:val="28"/>
          <w:szCs w:val="28"/>
        </w:rPr>
      </w:pPr>
      <w:r>
        <w:rPr>
          <w:rFonts w:ascii="宋体" w:hAnsi="宋体" w:hint="eastAsia"/>
          <w:b/>
          <w:color w:val="000000"/>
          <w:sz w:val="28"/>
          <w:szCs w:val="28"/>
        </w:rPr>
        <w:t>5.2</w:t>
      </w:r>
      <w:r>
        <w:rPr>
          <w:rFonts w:ascii="宋体" w:hAnsi="宋体" w:hint="eastAsia"/>
          <w:b/>
          <w:bCs/>
          <w:color w:val="000000"/>
          <w:sz w:val="28"/>
          <w:szCs w:val="28"/>
        </w:rPr>
        <w:t xml:space="preserve">  建设自然交通条件</w:t>
      </w:r>
    </w:p>
    <w:p>
      <w:pPr>
        <w:spacing w:line="520" w:lineRule="exact"/>
        <w:ind w:firstLine="600"/>
        <w:rPr>
          <w:rFonts w:ascii="宋体" w:hAnsi="宋体" w:hint="eastAsia"/>
          <w:color w:val="000000"/>
          <w:sz w:val="24"/>
        </w:rPr>
      </w:pPr>
      <w:r>
        <w:rPr>
          <w:rFonts w:ascii="宋体" w:hAnsi="宋体" w:hint="eastAsia"/>
          <w:color w:val="000000"/>
          <w:sz w:val="24"/>
        </w:rPr>
        <w:t>5.2.1</w:t>
      </w:r>
      <w:r>
        <w:rPr>
          <w:rFonts w:ascii="宋体" w:hAnsi="宋体" w:hint="eastAsia"/>
          <w:b/>
          <w:color w:val="000000"/>
          <w:sz w:val="24"/>
          <w:lang w:eastAsia="zh-CN"/>
        </w:rPr>
        <w:t>xxx</w:t>
      </w:r>
      <w:r>
        <w:rPr>
          <w:rFonts w:ascii="宋体" w:hAnsi="宋体" w:hint="eastAsia"/>
          <w:b/>
          <w:color w:val="000000"/>
          <w:sz w:val="24"/>
        </w:rPr>
        <w:t>自然条件</w:t>
      </w:r>
    </w:p>
    <w:p>
      <w:pPr>
        <w:spacing w:line="560" w:lineRule="exact"/>
        <w:ind w:firstLine="480" w:firstLineChars="200"/>
        <w:rPr>
          <w:rFonts w:ascii="宋体" w:hAnsi="宋体" w:hint="eastAsia"/>
          <w:color w:val="000000"/>
          <w:sz w:val="24"/>
        </w:rPr>
      </w:pPr>
      <w:r>
        <w:rPr>
          <w:rFonts w:ascii="宋体" w:hAnsi="宋体" w:hint="eastAsia"/>
          <w:color w:val="000000"/>
          <w:sz w:val="24"/>
          <w:lang w:eastAsia="zh-CN"/>
        </w:rPr>
        <w:t>xxx</w:t>
      </w:r>
      <w:r>
        <w:rPr>
          <w:rFonts w:ascii="宋体" w:hAnsi="宋体" w:hint="eastAsia"/>
          <w:color w:val="000000"/>
          <w:sz w:val="24"/>
        </w:rPr>
        <w:t>位于</w:t>
      </w:r>
      <w:r>
        <w:rPr>
          <w:rFonts w:ascii="宋体" w:hAnsi="宋体" w:hint="eastAsia"/>
          <w:color w:val="000000"/>
          <w:sz w:val="24"/>
          <w:lang w:eastAsia="zh-CN"/>
        </w:rPr>
        <w:t>xxx</w:t>
      </w:r>
      <w:r>
        <w:rPr>
          <w:rFonts w:ascii="宋体" w:hAnsi="宋体" w:hint="eastAsia"/>
          <w:color w:val="000000"/>
          <w:sz w:val="24"/>
        </w:rPr>
        <w:t>省关中中段的泾河西侧、渭河以北，东经108°17′40"——108°41′46"，北纬34°2 0′51"——34°50′02"之间。东隔泾河与泾阳县相望，西与乾县接壤，南与兴平、</w:t>
      </w:r>
      <w:r>
        <w:rPr>
          <w:rFonts w:ascii="宋体" w:hAnsi="宋体" w:hint="eastAsia"/>
          <w:color w:val="000000"/>
          <w:sz w:val="24"/>
          <w:lang w:eastAsia="zh-CN"/>
        </w:rPr>
        <w:t>xxx</w:t>
      </w:r>
      <w:r>
        <w:rPr>
          <w:rFonts w:ascii="宋体" w:hAnsi="宋体" w:hint="eastAsia"/>
          <w:color w:val="000000"/>
          <w:sz w:val="24"/>
        </w:rPr>
        <w:t>相连，北与永寿、淳化为邻。县城距乾县县城17公里，泾阳县城52公里，兴平县城24公里，</w:t>
      </w:r>
      <w:r>
        <w:rPr>
          <w:rFonts w:ascii="宋体" w:hAnsi="宋体" w:hint="eastAsia"/>
          <w:color w:val="000000"/>
          <w:sz w:val="24"/>
          <w:lang w:eastAsia="zh-CN"/>
        </w:rPr>
        <w:t>xxx</w:t>
      </w:r>
      <w:r>
        <w:rPr>
          <w:rFonts w:ascii="宋体" w:hAnsi="宋体" w:hint="eastAsia"/>
          <w:color w:val="000000"/>
          <w:sz w:val="24"/>
        </w:rPr>
        <w:t>城区30公里，淳化县城82公里，东南距省会西安60公里；东北距首都北京经河南道15 36公里，经山西道1250公里。</w:t>
      </w:r>
      <w:r>
        <w:rPr>
          <w:rFonts w:ascii="宋体" w:hAnsi="宋体" w:hint="eastAsia"/>
          <w:color w:val="000000"/>
          <w:sz w:val="24"/>
          <w:lang w:eastAsia="zh-CN"/>
        </w:rPr>
        <w:t>xxx</w:t>
      </w:r>
      <w:r>
        <w:rPr>
          <w:rFonts w:ascii="宋体" w:hAnsi="宋体" w:hint="eastAsia"/>
          <w:color w:val="000000"/>
          <w:sz w:val="24"/>
        </w:rPr>
        <w:t>境，南北长54公里，东西宽37公里，最南为史德镇的阜家庄，与兴平县的上堡子相接，距县城1 7．2公里；最北为南坊镇的王家咀，与永寿县上邑乡的泾河李家隔河相望，距县城38．1公里；最东为阡东镇的西临泾村，与泾阳县东临泾、中耳嘴为邻，距县城23．8公里；最西为城关镇的火烧寨，与乾县捕上村接壤，距县城2．8公里。全县总面积1018平方公里，约占</w:t>
      </w:r>
      <w:r>
        <w:rPr>
          <w:rFonts w:ascii="宋体" w:hAnsi="宋体" w:hint="eastAsia"/>
          <w:color w:val="000000"/>
          <w:sz w:val="24"/>
          <w:lang w:eastAsia="zh-CN"/>
        </w:rPr>
        <w:t>xxx</w:t>
      </w:r>
      <w:r>
        <w:rPr>
          <w:rFonts w:ascii="宋体" w:hAnsi="宋体" w:hint="eastAsia"/>
          <w:color w:val="000000"/>
          <w:sz w:val="24"/>
        </w:rPr>
        <w:t>省总面积的0.56%。</w:t>
      </w:r>
      <w:r>
        <w:rPr>
          <w:rFonts w:ascii="宋体" w:hAnsi="宋体" w:hint="eastAsia"/>
          <w:color w:val="000000"/>
          <w:sz w:val="24"/>
          <w:lang w:eastAsia="zh-CN"/>
        </w:rPr>
        <w:t>xxx</w:t>
      </w:r>
      <w:r>
        <w:rPr>
          <w:rFonts w:ascii="宋体" w:hAnsi="宋体" w:hint="eastAsia"/>
          <w:color w:val="000000"/>
          <w:sz w:val="24"/>
        </w:rPr>
        <w:t>位于关中平原腹地，属</w:t>
      </w:r>
      <w:r>
        <w:rPr>
          <w:rFonts w:ascii="宋体" w:hAnsi="宋体" w:hint="eastAsia"/>
          <w:color w:val="000000"/>
          <w:sz w:val="24"/>
          <w:lang w:eastAsia="zh-CN"/>
        </w:rPr>
        <w:t>xxx</w:t>
      </w:r>
      <w:r>
        <w:rPr>
          <w:rFonts w:ascii="宋体" w:hAnsi="宋体" w:hint="eastAsia"/>
          <w:color w:val="000000"/>
          <w:sz w:val="24"/>
        </w:rPr>
        <w:t>省</w:t>
      </w:r>
      <w:r>
        <w:rPr>
          <w:rFonts w:ascii="宋体" w:hAnsi="宋体" w:hint="eastAsia"/>
          <w:color w:val="000000"/>
          <w:sz w:val="24"/>
          <w:lang w:eastAsia="zh-CN"/>
        </w:rPr>
        <w:t>xxx</w:t>
      </w:r>
      <w:r>
        <w:rPr>
          <w:rFonts w:ascii="宋体" w:hAnsi="宋体" w:hint="eastAsia"/>
          <w:color w:val="000000"/>
          <w:sz w:val="24"/>
        </w:rPr>
        <w:t>辖县，辖11镇4乡317个行政村，耕地面积85万亩，人口46万。</w:t>
      </w:r>
      <w:r>
        <w:rPr>
          <w:rFonts w:ascii="宋体" w:hAnsi="宋体" w:hint="eastAsia"/>
          <w:color w:val="000000"/>
          <w:sz w:val="24"/>
          <w:lang w:eastAsia="zh-CN"/>
        </w:rPr>
        <w:t>xxx</w:t>
      </w:r>
      <w:r>
        <w:rPr>
          <w:rFonts w:ascii="宋体" w:hAnsi="宋体" w:hint="eastAsia"/>
          <w:color w:val="000000"/>
          <w:sz w:val="24"/>
        </w:rPr>
        <w:t>的主导产业为果业及果品深加工、食品加工、旅游业等。县境内土肥水美，具有深厚的历史积淀和丰富的人文景观。</w:t>
      </w:r>
    </w:p>
    <w:p>
      <w:pPr>
        <w:spacing w:line="560" w:lineRule="exact"/>
        <w:ind w:firstLine="480" w:firstLineChars="200"/>
        <w:rPr>
          <w:rFonts w:ascii="宋体" w:hAnsi="宋体" w:hint="eastAsia"/>
          <w:color w:val="000000"/>
          <w:sz w:val="24"/>
        </w:rPr>
        <w:sectPr>
          <w:footerReference w:type="default" r:id="rId15"/>
          <w:type w:val="nextPage"/>
          <w:pgSz w:w="11906" w:h="16838"/>
          <w:pgMar w:top="1440" w:right="1287" w:bottom="1559" w:left="1797" w:header="851" w:footer="992" w:gutter="0"/>
          <w:pgNumType w:start="11"/>
          <w:cols w:num="1" w:space="720"/>
          <w:titlePg w:val="0"/>
          <w:docGrid w:type="linesAndChars" w:linePitch="312" w:charSpace="0"/>
        </w:sectPr>
      </w:pPr>
      <w:r>
        <w:rPr>
          <w:rFonts w:ascii="宋体" w:hAnsi="宋体" w:hint="eastAsia"/>
          <w:color w:val="000000"/>
          <w:sz w:val="24"/>
        </w:rPr>
        <w:t>1）地势：</w:t>
      </w:r>
      <w:r>
        <w:rPr>
          <w:rFonts w:ascii="宋体" w:hAnsi="宋体" w:hint="eastAsia"/>
          <w:color w:val="000000"/>
          <w:sz w:val="24"/>
          <w:lang w:eastAsia="zh-CN"/>
        </w:rPr>
        <w:t>xxx</w:t>
      </w:r>
    </w:p>
    <w:p>
      <w:pPr>
        <w:spacing w:line="560" w:lineRule="exact"/>
        <w:ind w:firstLine="480" w:firstLineChars="200"/>
        <w:rPr>
          <w:rFonts w:ascii="宋体" w:hAnsi="宋体" w:hint="eastAsia"/>
          <w:color w:val="000000"/>
          <w:sz w:val="24"/>
        </w:rPr>
      </w:pPr>
      <w:r>
        <w:rPr>
          <w:rFonts w:ascii="宋体" w:hAnsi="宋体" w:hint="eastAsia"/>
          <w:color w:val="000000"/>
          <w:sz w:val="24"/>
        </w:rPr>
        <w:t>位于祁连、吕梁、架兰山地形构造前弧东翼中段、秦岭纬向构造体系东西向构造带、陇西帚状施扭构遗体系东南端的复合部位。以富平、乾县至岐山大断裂为界，以北为山褶皱带，以南为渭北构造斜坡带．县内地层断裂比较发育．按其力学性质分为压性。压扭性及张性、张扭性断裂，以复合式张扭断裂为主。出露地层有古生界的寒武系、奥陶系、二迭系、中生界的三迭系为新生代第四系。本县地形复杂多样。北部为低山、丘陵区，海拔1000—1467米。山前是洪积平原区，海拔600—8</w:t>
      </w:r>
      <w:r>
        <w:rPr>
          <w:rFonts w:ascii="宋体" w:hAnsi="宋体" w:hint="eastAsia"/>
          <w:color w:val="000000"/>
          <w:sz w:val="24"/>
        </w:rPr>
        <w:t xml:space="preserve"> 00米左右。以南是黄土苔原区，海拔450—560米左右。县城南部和东南部平原上的“肖河”洼地，多为地表暂时性水流侵蚀而成，边缘北缓南陡，高差5—15米左右。泾河沿县界的北部和东北部出谷口奔腾南下。</w:t>
      </w:r>
      <w:r>
        <w:rPr>
          <w:rFonts w:ascii="宋体" w:hAnsi="宋体" w:hint="eastAsia"/>
          <w:color w:val="000000"/>
          <w:sz w:val="24"/>
        </w:rPr>
        <w:t xml:space="preserve"> </w:t>
      </w:r>
    </w:p>
    <w:p>
      <w:pPr>
        <w:spacing w:line="560" w:lineRule="exact"/>
        <w:ind w:firstLine="480" w:firstLineChars="200"/>
        <w:rPr>
          <w:rFonts w:ascii="宋体" w:hAnsi="宋体" w:hint="eastAsia"/>
          <w:color w:val="000000"/>
          <w:sz w:val="24"/>
        </w:rPr>
      </w:pPr>
      <w:r>
        <w:rPr>
          <w:rFonts w:ascii="宋体" w:hAnsi="宋体" w:hint="eastAsia"/>
          <w:color w:val="000000"/>
          <w:sz w:val="24"/>
        </w:rPr>
        <w:t xml:space="preserve">2）气候：该县的年平均气温12.9℃，1月最冷，平均气温1.8℃，7月最热，平均气温23.7℃。气温年较差为8.2℃。年平均气温为18.7℃，极端最高为41.6℃，最低温度-20℃。南部台原区出霜日平均出现在10月30日，最早为10月9日，最晚为11月21日。终霜日平均出现在3月29日，最早为元月27日。平均无霜期214天。中部残原区，初霜日为10月15日——19日，终霜日为4月15日，无霜期156——186天。北部丘陵区，初霜日为10月13日——16日，终霜日为4月20日——21日，无霜期174——177天，相虎乡最短，初霜日为10月11日，终霜日为4月24日，无霜期169天。  </w:t>
      </w:r>
    </w:p>
    <w:p>
      <w:pPr>
        <w:spacing w:line="560" w:lineRule="exact"/>
        <w:ind w:firstLine="480" w:firstLineChars="200"/>
        <w:rPr>
          <w:rFonts w:ascii="宋体" w:hAnsi="宋体" w:hint="eastAsia"/>
          <w:color w:val="000000"/>
          <w:sz w:val="24"/>
        </w:rPr>
      </w:pPr>
      <w:r>
        <w:rPr>
          <w:rFonts w:ascii="宋体" w:hAnsi="宋体" w:hint="eastAsia"/>
          <w:color w:val="000000"/>
          <w:sz w:val="24"/>
        </w:rPr>
        <w:t>气温的空间分布，受地形影响，温度南高北低，平均相差2.4℃。冬季气温分布与往年气温相似。</w:t>
      </w:r>
      <w:r>
        <w:rPr>
          <w:rFonts w:ascii="宋体" w:hAnsi="宋体" w:hint="eastAsia"/>
          <w:color w:val="000000"/>
          <w:sz w:val="24"/>
          <w:lang w:eastAsia="zh-CN"/>
        </w:rPr>
        <w:t>xxx</w:t>
      </w:r>
      <w:r>
        <w:rPr>
          <w:rFonts w:ascii="宋体" w:hAnsi="宋体" w:hint="eastAsia"/>
          <w:color w:val="000000"/>
          <w:sz w:val="24"/>
        </w:rPr>
        <w:t>热量条件好，降水量不足，年际变化大，时空分布不均，满足不了农作物的需要。由于季风的影响，各季降水量相差悬殊。冬季干旱少雨，夏季多雨，秋季仅次于夏季。春夏季降水比秋冬季较为稳定。本县平均降水日数92.1天，占全年总天数的25.6%。气压属于大陆气压系统，历年平均气压969.3毫帕。气压变化的特点是冬季高夏季低。</w:t>
      </w:r>
    </w:p>
    <w:p>
      <w:pPr>
        <w:spacing w:line="560" w:lineRule="exact"/>
        <w:ind w:firstLine="480" w:firstLineChars="200"/>
        <w:rPr>
          <w:rFonts w:ascii="宋体" w:hAnsi="宋体" w:hint="eastAsia"/>
          <w:color w:val="000000"/>
          <w:sz w:val="24"/>
        </w:rPr>
        <w:sectPr>
          <w:footerReference w:type="default" r:id="rId16"/>
          <w:type w:val="nextPage"/>
          <w:pgSz w:w="11906" w:h="16838"/>
          <w:pgMar w:top="1440" w:right="1287" w:bottom="1559" w:left="1797" w:header="851" w:footer="992" w:gutter="0"/>
          <w:pgNumType w:start="12"/>
          <w:cols w:num="1" w:space="720"/>
          <w:titlePg w:val="0"/>
          <w:docGrid w:type="linesAndChars" w:linePitch="312" w:charSpace="0"/>
        </w:sectPr>
      </w:pPr>
    </w:p>
    <w:p>
      <w:pPr>
        <w:spacing w:line="560" w:lineRule="exact"/>
        <w:ind w:firstLine="480" w:firstLineChars="200"/>
        <w:rPr>
          <w:rFonts w:ascii="宋体" w:hAnsi="宋体" w:hint="eastAsia"/>
          <w:color w:val="000000"/>
          <w:sz w:val="24"/>
        </w:rPr>
        <w:sectPr>
          <w:footerReference w:type="default" r:id="rId17"/>
          <w:type w:val="nextPage"/>
          <w:pgSz w:w="11906" w:h="16838"/>
          <w:pgMar w:top="1440" w:right="1287" w:bottom="1559" w:left="1797" w:header="851" w:footer="992" w:gutter="0"/>
          <w:pgNumType w:start="13"/>
          <w:cols w:num="1" w:space="720"/>
          <w:titlePg w:val="0"/>
          <w:docGrid w:type="linesAndChars" w:linePitch="312" w:charSpace="0"/>
        </w:sectPr>
      </w:pPr>
      <w:r>
        <w:rPr>
          <w:rFonts w:ascii="宋体" w:hAnsi="宋体" w:hint="eastAsia"/>
          <w:color w:val="000000"/>
          <w:sz w:val="24"/>
        </w:rPr>
        <w:t>3）水文地质：县内地下水，按地下类型划分，应属第四系散岩层中的孔隙或孔隙裂缝潜水。含水层的水分布特征、富水程度与地貌部位、补给条件有关。山前洪积平原区，潜水深埋一般10—30米。部分低洼地带小于10米，局部地段溢出地表。东部靠近泾河一带水位埋深增大为30—60米。含水层岩性为黄土，间夹1—3层亚压砂土，细、中粗砂或砾卵石，总厚20—40米。黄土台原区，潜水位埋深变化较大，西部地区一般为20—50米。原间洼地段小于20米，局部地段地下水溢出地表面。东部地区水位埋深60—90米，含水层岩性为上中更新统黄土。北部黄土丘陵区，潜水位埋深大，含水层为松散岩类和碎屑岩的孔隙、裂隙水、富水性甚差。谷区主要富水区分布在泾河漫滩一、二级阶地区。潜水位较浅，一般为5——30米，含水层岩性为砂，砂砾卵石层，透水性和富水性均好。县境内潜水畜水，以泾河下游漫滩一、二级阶地为最好。潜水可划分为：强富水区、较强富水区、中等到富水区、弱富水区、极弱富水区。北部黄土丘陵区，黄土潜水位相对稳定。基岩溶水位动态变化大。南部黄土台原区、潜水位动态主要受降水、渠灌及地下水开采的影响，大部分地区处于持续上升状态，年平均升幅1——2米。该县北部黄土丘陵区，黄土潜水及基岩溶水化学类型较单一，以重碳酸型水为主，矿化度小于o．5克／升，最大不超过1克／升，属淡水。南部黄土台原区，原间洼地的新时、药王洞、骏马南部一带，潜水化学类型主要为重碳酸盐氯化物钾钠镁水和氯化物重碳酸盐钾钠镁水，矿化度在2．4—3克／升之间，属微咸水；原区的史德、裴寨、西张堡、阡东、烽火等乡镇，潜水化学类型主要为重碳酸盐钾钠水，矿化度小于1克／升，属淡水。</w:t>
      </w:r>
      <w:r>
        <w:rPr>
          <w:rFonts w:ascii="宋体" w:hAnsi="宋体" w:hint="eastAsia"/>
          <w:color w:val="000000"/>
          <w:sz w:val="24"/>
        </w:rPr>
        <w:t xml:space="preserve"> </w:t>
      </w:r>
      <w:r>
        <w:rPr>
          <w:rFonts w:ascii="宋体" w:hAnsi="宋体" w:hint="eastAsia"/>
          <w:color w:val="000000"/>
          <w:sz w:val="24"/>
        </w:rPr>
        <w:br/>
      </w:r>
      <w:r>
        <w:rPr>
          <w:rFonts w:ascii="宋体" w:hAnsi="宋体" w:hint="eastAsia"/>
          <w:color w:val="000000"/>
          <w:sz w:val="24"/>
        </w:rPr>
        <w:t xml:space="preserve">   4）地质及岩性：</w:t>
      </w:r>
      <w:r>
        <w:rPr>
          <w:rFonts w:ascii="宋体" w:hAnsi="宋体" w:hint="eastAsia"/>
          <w:color w:val="000000"/>
          <w:sz w:val="24"/>
          <w:lang w:eastAsia="zh-CN"/>
        </w:rPr>
        <w:t>xxx</w:t>
      </w:r>
      <w:r>
        <w:rPr>
          <w:rFonts w:ascii="宋体" w:hAnsi="宋体" w:hint="eastAsia"/>
          <w:color w:val="000000"/>
          <w:sz w:val="24"/>
        </w:rPr>
        <w:t>位于祁连、吕梁、架兰山地形构造前弧东翼中段、秦岭纬向构造体系东西向构造带、陇西帚状施扭构遗体系东南端的复合部位。以富平、乾县至岐山大断裂为界，以北为山褶皱带，以南为渭北构造斜坡带．县内地层断裂比较发育．按其力学性质分为压性。压扭性及张性、张扭性断裂，以复合式张扭断裂为主。出露地层有古生界的寒武系、奥陶系、二迭系、中生界的三迭系为新生代第四系。本县地形复杂多样。北部为低山、沟壑，丘陵区，海拔1000——1467米。山前是洪积平原区，海拔600——8</w:t>
      </w:r>
    </w:p>
    <w:p>
      <w:pPr>
        <w:spacing w:line="560" w:lineRule="exact"/>
        <w:ind w:firstLine="480" w:firstLineChars="200"/>
        <w:rPr>
          <w:rFonts w:ascii="宋体" w:hAnsi="宋体" w:hint="eastAsia"/>
          <w:color w:val="000000"/>
          <w:sz w:val="24"/>
        </w:rPr>
      </w:pPr>
      <w:r>
        <w:rPr>
          <w:rFonts w:ascii="宋体" w:hAnsi="宋体" w:hint="eastAsia"/>
          <w:color w:val="000000"/>
          <w:sz w:val="24"/>
        </w:rPr>
        <w:t xml:space="preserve"> 00米左右。以南是黄土苔原区，海拔450——560米左右。县城南部和东南部平原上的“肖河”洼地，多为地表暂时性水流侵蚀而成，边缘北缓南陡，高差5——15米左右。泾河沿县界的北部和东北部出谷口奔腾南下。</w:t>
      </w:r>
      <w:r>
        <w:rPr>
          <w:rFonts w:ascii="宋体" w:hAnsi="宋体" w:hint="eastAsia"/>
          <w:color w:val="000000"/>
          <w:sz w:val="24"/>
          <w:lang w:eastAsia="zh-CN"/>
        </w:rPr>
        <w:t>xxx</w:t>
      </w:r>
      <w:r>
        <w:rPr>
          <w:rFonts w:ascii="宋体" w:hAnsi="宋体" w:hint="eastAsia"/>
          <w:color w:val="000000"/>
          <w:sz w:val="24"/>
        </w:rPr>
        <w:t>区内地层表层为耕植土，其下为黄褐色的黄土状亚粘土与中、粗砂石层。亚粘土属非自重湿陷性土，湿陷等级为Ⅰ-Ⅱ级。设防列度为8度。</w:t>
      </w:r>
      <w:r>
        <w:rPr>
          <w:rFonts w:ascii="宋体" w:hAnsi="宋体" w:hint="eastAsia"/>
          <w:color w:val="000000"/>
          <w:sz w:val="24"/>
        </w:rPr>
        <w:br/>
      </w:r>
      <w:r>
        <w:rPr>
          <w:rFonts w:ascii="宋体" w:hAnsi="宋体" w:hint="eastAsia"/>
          <w:color w:val="000000"/>
          <w:sz w:val="24"/>
        </w:rPr>
        <w:t xml:space="preserve">   5）文物状况：</w:t>
      </w:r>
      <w:r>
        <w:rPr>
          <w:rFonts w:ascii="宋体" w:hAnsi="宋体" w:hint="eastAsia"/>
          <w:color w:val="000000"/>
          <w:sz w:val="24"/>
          <w:lang w:eastAsia="zh-CN"/>
        </w:rPr>
        <w:t>xxxxxxxxxxxx</w:t>
      </w:r>
      <w:r>
        <w:rPr>
          <w:rFonts w:ascii="宋体" w:hAnsi="宋体" w:hint="eastAsia"/>
          <w:color w:val="000000"/>
          <w:sz w:val="24"/>
        </w:rPr>
        <w:t>有限责任公司拟选地块建设的《</w:t>
      </w:r>
      <w:r>
        <w:rPr>
          <w:rFonts w:ascii="宋体" w:hAnsi="宋体" w:hint="eastAsia"/>
          <w:color w:val="000000"/>
          <w:sz w:val="24"/>
          <w:lang w:eastAsia="zh-CN"/>
        </w:rPr>
        <w:t>xxxxxx</w:t>
      </w:r>
      <w:r>
        <w:rPr>
          <w:rFonts w:ascii="宋体" w:hAnsi="宋体" w:hint="eastAsia"/>
          <w:color w:val="000000"/>
          <w:sz w:val="24"/>
        </w:rPr>
        <w:t>住宅建设项目》工程处不属于文物重点保护区，在建设过程中如遇到地下文物，则按国家有关文物保护规定执行。</w:t>
      </w:r>
    </w:p>
    <w:p>
      <w:pPr>
        <w:spacing w:line="520" w:lineRule="exact"/>
        <w:ind w:firstLine="600"/>
        <w:rPr>
          <w:rFonts w:ascii="宋体" w:hAnsi="宋体" w:hint="eastAsia"/>
          <w:color w:val="000000"/>
          <w:sz w:val="24"/>
        </w:rPr>
      </w:pPr>
      <w:r>
        <w:rPr>
          <w:rFonts w:ascii="宋体" w:hAnsi="宋体" w:hint="eastAsia"/>
          <w:color w:val="000000"/>
          <w:sz w:val="24"/>
        </w:rPr>
        <w:t>5.2.2</w:t>
      </w:r>
      <w:r>
        <w:rPr>
          <w:rFonts w:ascii="宋体" w:hAnsi="宋体" w:hint="eastAsia"/>
          <w:b/>
          <w:color w:val="000000"/>
          <w:sz w:val="24"/>
        </w:rPr>
        <w:t>交通设施和项目区位优劣</w:t>
      </w:r>
    </w:p>
    <w:p>
      <w:pPr>
        <w:spacing w:line="560" w:lineRule="exact"/>
        <w:ind w:firstLine="480" w:firstLineChars="200"/>
        <w:rPr>
          <w:rFonts w:ascii="宋体" w:hAnsi="宋体" w:hint="eastAsia"/>
          <w:color w:val="000000"/>
          <w:sz w:val="24"/>
        </w:rPr>
      </w:pPr>
      <w:r>
        <w:rPr>
          <w:rFonts w:ascii="宋体" w:hAnsi="宋体" w:hint="eastAsia"/>
          <w:color w:val="000000"/>
          <w:sz w:val="24"/>
        </w:rPr>
        <w:t>近年来，在</w:t>
      </w:r>
      <w:r>
        <w:rPr>
          <w:rFonts w:ascii="宋体" w:hAnsi="宋体" w:hint="eastAsia"/>
          <w:color w:val="000000"/>
          <w:sz w:val="24"/>
          <w:lang w:eastAsia="zh-CN"/>
        </w:rPr>
        <w:t>xxx</w:t>
      </w:r>
      <w:r>
        <w:rPr>
          <w:rFonts w:ascii="宋体" w:hAnsi="宋体" w:hint="eastAsia"/>
          <w:color w:val="000000"/>
          <w:sz w:val="24"/>
        </w:rPr>
        <w:t>委、县政府的正确领导下，全市上下坚持把发展交通事业作为富民兴市和建设西部经济强市的战略措施来抓，全力实施交通跨越式发展战略，抢抓机遇，加快发展，全县交通事业取得辉煌成就。</w:t>
      </w:r>
      <w:r>
        <w:rPr>
          <w:rFonts w:ascii="宋体" w:hAnsi="宋体" w:hint="eastAsia"/>
          <w:color w:val="000000"/>
          <w:sz w:val="24"/>
          <w:lang w:eastAsia="zh-CN"/>
        </w:rPr>
        <w:t>xxx</w:t>
      </w:r>
      <w:r>
        <w:rPr>
          <w:rFonts w:ascii="宋体" w:hAnsi="宋体" w:hint="eastAsia"/>
          <w:color w:val="000000"/>
          <w:sz w:val="24"/>
        </w:rPr>
        <w:t>基础设施完善，投资环境优良。地处中国东西结合部，具有午要的区位优势。紧靠亚欧大陆和</w:t>
      </w:r>
      <w:r>
        <w:rPr>
          <w:rFonts w:ascii="宋体" w:hAnsi="宋体" w:hint="eastAsia"/>
          <w:color w:val="000000"/>
          <w:sz w:val="24"/>
          <w:lang w:eastAsia="zh-CN"/>
        </w:rPr>
        <w:t>xxx</w:t>
      </w:r>
      <w:r>
        <w:rPr>
          <w:rFonts w:ascii="宋体" w:hAnsi="宋体" w:hint="eastAsia"/>
          <w:color w:val="000000"/>
          <w:sz w:val="24"/>
        </w:rPr>
        <w:t>国际机场，属陆桥经济带上西安，</w:t>
      </w:r>
      <w:r>
        <w:rPr>
          <w:rFonts w:ascii="宋体" w:hAnsi="宋体" w:hint="eastAsia"/>
          <w:color w:val="000000"/>
          <w:sz w:val="24"/>
          <w:lang w:eastAsia="zh-CN"/>
        </w:rPr>
        <w:t>xxx</w:t>
      </w:r>
      <w:r>
        <w:rPr>
          <w:rFonts w:ascii="宋体" w:hAnsi="宋体" w:hint="eastAsia"/>
          <w:color w:val="000000"/>
          <w:sz w:val="24"/>
        </w:rPr>
        <w:t>等大中城市近辐射区。312国道穿境而过，以县城为中心向四面辐射的兴礼路、礼淳路等新建、改造道路达到13条，食品工业园区路网完成了统一大道东段排水和主车道施工；城市新区路网建成了思源路等三条道路和110省道等公路干线纵横交错，内外交通便利，四通八达。</w:t>
      </w:r>
      <w:r>
        <w:rPr>
          <w:rFonts w:ascii="宋体" w:hAnsi="宋体" w:hint="eastAsia"/>
          <w:color w:val="000000"/>
          <w:sz w:val="24"/>
        </w:rPr>
        <w:br/>
      </w:r>
      <w:r>
        <w:rPr>
          <w:rFonts w:ascii="宋体" w:hAnsi="宋体" w:hint="eastAsia"/>
          <w:color w:val="000000"/>
          <w:sz w:val="24"/>
        </w:rPr>
        <w:t xml:space="preserve">     </w:t>
      </w:r>
      <w:r>
        <w:rPr>
          <w:rFonts w:ascii="宋体" w:hAnsi="宋体" w:hint="eastAsia"/>
          <w:color w:val="000000"/>
          <w:sz w:val="24"/>
          <w:lang w:eastAsia="zh-CN"/>
        </w:rPr>
        <w:t>xxx</w:t>
      </w:r>
      <w:r>
        <w:rPr>
          <w:rFonts w:ascii="宋体" w:hAnsi="宋体" w:hint="eastAsia"/>
          <w:color w:val="000000"/>
          <w:sz w:val="24"/>
        </w:rPr>
        <w:t>在加快城镇化进程，提高城乡基础设施水平的同时。抢先抓到被列入西安都市圈10个卫星城和全市“一带两轴多中心”城镇体系的大好机遇，积极完善城市载体功能，高标准管理城市，加快城镇化进程。每年县城建成区面积扩大1平方公里，到2013年，使县城建成区面积达到17平方公里，县城容纳18.79万人口，15个小城镇人口达到7万人，全县城镇化水平达到39.42%，接近全国同期城镇化水平。</w:t>
      </w:r>
    </w:p>
    <w:p>
      <w:pPr>
        <w:spacing w:line="520" w:lineRule="exact"/>
        <w:ind w:firstLine="703"/>
        <w:rPr>
          <w:rFonts w:ascii="宋体" w:hAnsi="宋体" w:hint="eastAsia"/>
          <w:b/>
          <w:color w:val="000000"/>
          <w:sz w:val="28"/>
          <w:szCs w:val="28"/>
        </w:rPr>
      </w:pPr>
      <w:r>
        <w:rPr>
          <w:rFonts w:ascii="宋体" w:hAnsi="宋体" w:hint="eastAsia"/>
          <w:b/>
          <w:color w:val="000000"/>
          <w:sz w:val="28"/>
          <w:szCs w:val="28"/>
        </w:rPr>
        <w:t>5</w:t>
      </w:r>
      <w:r>
        <w:rPr>
          <w:rFonts w:ascii="宋体" w:hAnsi="宋体"/>
          <w:b/>
          <w:color w:val="000000"/>
          <w:sz w:val="28"/>
          <w:szCs w:val="28"/>
        </w:rPr>
        <w:t>.</w:t>
      </w:r>
      <w:r>
        <w:rPr>
          <w:rFonts w:ascii="宋体" w:hAnsi="宋体" w:hint="eastAsia"/>
          <w:b/>
          <w:color w:val="000000"/>
          <w:sz w:val="28"/>
          <w:szCs w:val="28"/>
        </w:rPr>
        <w:t xml:space="preserve">3  </w:t>
      </w:r>
      <w:r>
        <w:rPr>
          <w:rFonts w:ascii="宋体" w:hAnsi="宋体" w:hint="eastAsia"/>
          <w:b/>
          <w:color w:val="000000"/>
          <w:sz w:val="28"/>
          <w:szCs w:val="28"/>
          <w:lang w:eastAsia="zh-CN"/>
        </w:rPr>
        <w:t>xxx</w:t>
      </w:r>
      <w:r>
        <w:rPr>
          <w:rFonts w:ascii="宋体" w:hAnsi="宋体"/>
          <w:b/>
          <w:color w:val="000000"/>
          <w:sz w:val="28"/>
          <w:szCs w:val="28"/>
        </w:rPr>
        <w:t>基础设施条件</w:t>
      </w:r>
    </w:p>
    <w:p>
      <w:pPr>
        <w:spacing w:line="560" w:lineRule="exact"/>
        <w:ind w:firstLine="480" w:firstLineChars="200"/>
        <w:rPr>
          <w:rFonts w:ascii="宋体" w:hAnsi="宋体" w:hint="eastAsia"/>
          <w:color w:val="000000"/>
          <w:sz w:val="24"/>
        </w:rPr>
        <w:sectPr>
          <w:footerReference w:type="default" r:id="rId18"/>
          <w:type w:val="nextPage"/>
          <w:pgSz w:w="11906" w:h="16838"/>
          <w:pgMar w:top="1440" w:right="1287" w:bottom="1559" w:left="1797" w:header="851" w:footer="992" w:gutter="0"/>
          <w:pgNumType w:start="14"/>
          <w:cols w:num="1" w:space="720"/>
          <w:titlePg w:val="0"/>
          <w:docGrid w:type="linesAndChars" w:linePitch="312" w:charSpace="0"/>
        </w:sectPr>
      </w:pPr>
      <w:r>
        <w:rPr>
          <w:rFonts w:ascii="宋体" w:hAnsi="宋体" w:hint="eastAsia"/>
          <w:color w:val="000000"/>
          <w:sz w:val="24"/>
          <w:lang w:eastAsia="zh-CN"/>
        </w:rPr>
        <w:t>xxx</w:t>
      </w:r>
    </w:p>
    <w:p>
      <w:pPr>
        <w:spacing w:line="560" w:lineRule="exact"/>
        <w:ind w:firstLine="480" w:firstLineChars="200"/>
        <w:rPr>
          <w:rFonts w:ascii="宋体" w:hAnsi="宋体" w:hint="eastAsia"/>
          <w:color w:val="000000"/>
          <w:sz w:val="24"/>
        </w:rPr>
      </w:pPr>
      <w:r>
        <w:rPr>
          <w:rFonts w:ascii="宋体" w:hAnsi="宋体" w:hint="eastAsia"/>
          <w:color w:val="000000"/>
          <w:sz w:val="24"/>
        </w:rPr>
        <w:t>抓住构建西咸经济圈的历史机遇，围绕撤县设市目标，大力加强城市基础设施建设，增强城市载体服务功能，搭建经济跨越发展平台。通过大力实施以“四化”和基础设施工程建设为重点的城市建设，城乡面貌日新月异，极大地改善了人居环境，带动和促进了商贸流通、餐饮娱乐、交通运输以及房地产等第三产业发展，城市一派繁华景象。先后投资1.2亿元，完成了育才路、北环路、西兰大街、兴华街东段、朝阳大街东段等道路拓宽改造和绿化、美化工程；引资5000万元，以BOT模式建成了全省第一家县城污水处理厂；在全省首家对县自来水公司进行了改制；县城供水、天然气、城北大道工程启动实施；先后建成了钻井公司、交二局、安居苑等3个酒店。</w:t>
      </w:r>
    </w:p>
    <w:p>
      <w:pPr>
        <w:spacing w:line="560" w:lineRule="exact"/>
        <w:ind w:firstLine="480" w:firstLineChars="200"/>
        <w:rPr>
          <w:rFonts w:ascii="宋体" w:hAnsi="宋体" w:hint="eastAsia"/>
          <w:color w:val="000000"/>
          <w:sz w:val="24"/>
        </w:rPr>
      </w:pPr>
      <w:r>
        <w:rPr>
          <w:rFonts w:ascii="宋体" w:hAnsi="宋体" w:hint="eastAsia"/>
          <w:color w:val="000000"/>
          <w:sz w:val="24"/>
        </w:rPr>
        <w:t>目前，县城建成了23条大街，形成了“三纵四横”和15公里长的“回”字型城市道路骨架，建成区面积近10平方公里（规划面积22.5平方公里）；县城绿化覆盖面积39万平方米，人均绿化面积7.8平方米；城市日供水能力达到9000吨；城区排水管道总长度23.7公里，汇水面积8.8平方公里。同时，按照“特色建镇、产业兴镇、商贸活镇”的思路，大力推进乡镇城镇化、工业化进程，先后组织实施了一批乡镇基础设施和工业项目建设，全县15个乡镇基本实现了乡乡通油路、村村通砂石路，有3个乡镇实现了村村通油路，建制镇自来水普及率达到70％。不断巩固提高国家卫生县城的创建成果，坚持开展城乡环境卫生整治活动，城乡卫生面貌进一步改观。</w:t>
      </w:r>
    </w:p>
    <w:p>
      <w:pPr>
        <w:spacing w:line="520" w:lineRule="exact"/>
        <w:ind w:firstLine="600"/>
        <w:rPr>
          <w:rFonts w:ascii="宋体" w:hAnsi="宋体" w:hint="eastAsia"/>
          <w:color w:val="000000"/>
          <w:sz w:val="24"/>
        </w:rPr>
      </w:pPr>
      <w:r>
        <w:rPr>
          <w:rFonts w:ascii="宋体" w:hAnsi="宋体" w:hint="eastAsia"/>
          <w:color w:val="000000"/>
          <w:sz w:val="24"/>
        </w:rPr>
        <w:t>5.3.2</w:t>
      </w:r>
      <w:r>
        <w:rPr>
          <w:rFonts w:ascii="宋体" w:hAnsi="宋体" w:hint="eastAsia"/>
          <w:b/>
          <w:color w:val="000000"/>
          <w:sz w:val="24"/>
        </w:rPr>
        <w:t>集中供暖供气</w:t>
      </w:r>
    </w:p>
    <w:p>
      <w:pPr>
        <w:spacing w:line="500" w:lineRule="exact"/>
        <w:ind w:firstLine="480" w:firstLineChars="200"/>
        <w:rPr>
          <w:rFonts w:ascii="宋体" w:hAnsi="宋体" w:hint="eastAsia"/>
          <w:color w:val="000000"/>
          <w:sz w:val="24"/>
        </w:rPr>
      </w:pPr>
      <w:r>
        <w:rPr>
          <w:rFonts w:ascii="宋体" w:hAnsi="宋体" w:hint="eastAsia"/>
          <w:color w:val="000000"/>
          <w:sz w:val="24"/>
          <w:lang w:eastAsia="zh-CN"/>
        </w:rPr>
        <w:t>xxx</w:t>
      </w:r>
      <w:r>
        <w:rPr>
          <w:rFonts w:ascii="宋体" w:hAnsi="宋体" w:hint="eastAsia"/>
          <w:color w:val="000000"/>
          <w:sz w:val="24"/>
        </w:rPr>
        <w:t>在“十四五规划”中积极实施县城集中供热工程、县城天然气气化工程，目前集中供热可接入管道直接配套至项目用地红线。天然气气化工程也将投入使用。</w:t>
      </w:r>
    </w:p>
    <w:p>
      <w:pPr>
        <w:spacing w:line="520" w:lineRule="exact"/>
        <w:ind w:firstLine="600"/>
        <w:rPr>
          <w:rFonts w:ascii="宋体" w:hAnsi="宋体" w:hint="eastAsia"/>
          <w:color w:val="000000"/>
          <w:sz w:val="24"/>
        </w:rPr>
      </w:pPr>
      <w:r>
        <w:rPr>
          <w:rFonts w:ascii="宋体" w:hAnsi="宋体" w:hint="eastAsia"/>
          <w:color w:val="000000"/>
          <w:sz w:val="24"/>
        </w:rPr>
        <w:t>5.3.3</w:t>
      </w:r>
      <w:r>
        <w:rPr>
          <w:rFonts w:ascii="宋体" w:hAnsi="宋体" w:hint="eastAsia"/>
          <w:b/>
          <w:color w:val="000000"/>
          <w:sz w:val="24"/>
        </w:rPr>
        <w:t>建材供应条件</w:t>
      </w:r>
    </w:p>
    <w:p>
      <w:pPr>
        <w:spacing w:line="500" w:lineRule="exact"/>
        <w:ind w:firstLine="480" w:firstLineChars="200"/>
        <w:rPr>
          <w:rFonts w:ascii="宋体" w:hAnsi="宋体" w:hint="eastAsia"/>
          <w:color w:val="000000"/>
          <w:sz w:val="24"/>
        </w:rPr>
      </w:pPr>
      <w:r>
        <w:rPr>
          <w:rFonts w:ascii="宋体" w:hAnsi="宋体" w:hint="eastAsia"/>
          <w:color w:val="000000"/>
          <w:sz w:val="24"/>
          <w:lang w:eastAsia="zh-CN"/>
        </w:rPr>
        <w:t>xxx</w:t>
      </w:r>
      <w:r>
        <w:rPr>
          <w:rFonts w:ascii="宋体" w:hAnsi="宋体" w:hint="eastAsia"/>
          <w:color w:val="000000"/>
          <w:sz w:val="24"/>
        </w:rPr>
        <w:t>建材资源丰富，各类建材厂家众多，投资43亿元的安徽海螺集团</w:t>
      </w:r>
      <w:r>
        <w:rPr>
          <w:rFonts w:ascii="宋体" w:hAnsi="宋体" w:hint="eastAsia"/>
          <w:color w:val="000000"/>
          <w:sz w:val="24"/>
          <w:lang w:eastAsia="zh-CN"/>
        </w:rPr>
        <w:t>xxx</w:t>
      </w:r>
      <w:r>
        <w:rPr>
          <w:rFonts w:ascii="宋体" w:hAnsi="宋体" w:hint="eastAsia"/>
          <w:color w:val="000000"/>
          <w:sz w:val="24"/>
        </w:rPr>
        <w:t>千万吨水泥生产厂就座落在</w:t>
      </w:r>
      <w:r>
        <w:rPr>
          <w:rFonts w:ascii="宋体" w:hAnsi="宋体" w:hint="eastAsia"/>
          <w:color w:val="000000"/>
          <w:sz w:val="24"/>
          <w:lang w:eastAsia="zh-CN"/>
        </w:rPr>
        <w:t>xxx</w:t>
      </w:r>
      <w:r>
        <w:rPr>
          <w:rFonts w:ascii="宋体" w:hAnsi="宋体" w:hint="eastAsia"/>
          <w:color w:val="000000"/>
          <w:sz w:val="24"/>
        </w:rPr>
        <w:t>。项目建设所需的水泥、砂子、石料、砖、木材等均由当地建材厂家提供，钢材由各生产厂家驻县城供货商定点供应。项目的建筑材料来源充足。</w:t>
      </w:r>
    </w:p>
    <w:p>
      <w:pPr>
        <w:spacing w:line="520" w:lineRule="exact"/>
        <w:ind w:firstLine="560" w:firstLineChars="200"/>
        <w:rPr>
          <w:rFonts w:ascii="宋体" w:hAnsi="宋体" w:hint="eastAsia"/>
          <w:b/>
          <w:color w:val="000000"/>
          <w:sz w:val="28"/>
          <w:szCs w:val="28"/>
        </w:rPr>
        <w:sectPr>
          <w:footerReference w:type="default" r:id="rId19"/>
          <w:type w:val="nextPage"/>
          <w:pgSz w:w="11906" w:h="16838"/>
          <w:pgMar w:top="1440" w:right="1287" w:bottom="1559" w:left="1797" w:header="851" w:footer="992" w:gutter="0"/>
          <w:pgNumType w:start="15"/>
          <w:cols w:num="1" w:space="720"/>
          <w:titlePg w:val="0"/>
          <w:docGrid w:type="linesAndChars" w:linePitch="312" w:charSpace="0"/>
        </w:sectPr>
      </w:pPr>
      <w:r>
        <w:rPr>
          <w:rFonts w:ascii="宋体" w:hAnsi="宋体" w:hint="eastAsia"/>
          <w:b/>
          <w:color w:val="000000"/>
          <w:sz w:val="28"/>
          <w:szCs w:val="28"/>
        </w:rPr>
        <w:t>5.4</w:t>
      </w:r>
      <w:r>
        <w:rPr>
          <w:rFonts w:ascii="宋体" w:hAnsi="宋体" w:hint="eastAsia"/>
          <w:b/>
          <w:color w:val="000000"/>
          <w:sz w:val="28"/>
          <w:szCs w:val="28"/>
          <w:lang w:eastAsia="zh-CN"/>
        </w:rPr>
        <w:t>xxx</w:t>
      </w:r>
      <w:r>
        <w:rPr>
          <w:rFonts w:ascii="宋体" w:hAnsi="宋体" w:hint="eastAsia"/>
          <w:b/>
          <w:color w:val="000000"/>
          <w:sz w:val="28"/>
          <w:szCs w:val="28"/>
        </w:rPr>
        <w:t>经济社会环境条件</w:t>
      </w:r>
    </w:p>
    <w:p>
      <w:pPr>
        <w:spacing w:line="540" w:lineRule="exact"/>
        <w:ind w:firstLine="480" w:firstLineChars="200"/>
        <w:rPr>
          <w:rFonts w:ascii="宋体" w:hAnsi="宋体" w:hint="eastAsia"/>
          <w:b/>
          <w:color w:val="000000"/>
          <w:sz w:val="24"/>
        </w:rPr>
      </w:pPr>
      <w:r>
        <w:rPr>
          <w:rFonts w:ascii="宋体" w:hAnsi="宋体" w:hint="eastAsia"/>
          <w:b/>
          <w:color w:val="000000"/>
          <w:sz w:val="24"/>
        </w:rPr>
        <w:t xml:space="preserve"> </w:t>
      </w:r>
      <w:r>
        <w:rPr>
          <w:rFonts w:ascii="宋体" w:hAnsi="宋体" w:hint="eastAsia"/>
          <w:color w:val="000000"/>
          <w:sz w:val="24"/>
          <w:lang w:eastAsia="zh-CN"/>
        </w:rPr>
        <w:t>xxx</w:t>
      </w:r>
      <w:r>
        <w:rPr>
          <w:rFonts w:ascii="宋体" w:hAnsi="宋体" w:hint="eastAsia"/>
          <w:color w:val="000000"/>
          <w:sz w:val="24"/>
        </w:rPr>
        <w:t>物华天宝，资源富集。全县拥有耕地85万亩，可利用水面500亩，水能资源100万千瓦，地下水补给量1.2亿立方米，弱部山区土层深厚，海拔高，温差大，是苹果最佳适生区，并有森林4.1万亩，天然草场30万亩；中部山系矿产丰富，已探明石灰贮量10亿立方米，大理石贮量100万立方米，出于石灰岩底层的富锶矿泉水，天然纯净水，具有很高的开发价值；南部平原土壤肥沃，灌溉方便，盛产粮、棉、油菜。</w:t>
      </w:r>
    </w:p>
    <w:p>
      <w:pPr>
        <w:spacing w:line="540" w:lineRule="exact"/>
        <w:ind w:firstLine="480" w:firstLineChars="200"/>
        <w:rPr>
          <w:rFonts w:ascii="宋体" w:hAnsi="宋体" w:hint="eastAsia"/>
          <w:color w:val="000000"/>
          <w:sz w:val="24"/>
        </w:rPr>
      </w:pPr>
      <w:r>
        <w:rPr>
          <w:rFonts w:ascii="宋体" w:hAnsi="宋体" w:hint="eastAsia"/>
          <w:color w:val="000000"/>
          <w:sz w:val="24"/>
          <w:lang w:eastAsia="zh-CN"/>
        </w:rPr>
        <w:t>xxx</w:t>
      </w:r>
      <w:r>
        <w:rPr>
          <w:rFonts w:ascii="宋体" w:hAnsi="宋体" w:hint="eastAsia"/>
          <w:color w:val="000000"/>
          <w:sz w:val="24"/>
        </w:rPr>
        <w:t>文物荟萃，风光旖旎。宁家遗址被称为“</w:t>
      </w:r>
      <w:r>
        <w:rPr>
          <w:rFonts w:ascii="宋体" w:hAnsi="宋体" w:hint="eastAsia"/>
          <w:color w:val="000000"/>
          <w:sz w:val="24"/>
          <w:lang w:eastAsia="zh-CN"/>
        </w:rPr>
        <w:t>xxx</w:t>
      </w:r>
      <w:r>
        <w:rPr>
          <w:rFonts w:ascii="宋体" w:hAnsi="宋体" w:hint="eastAsia"/>
          <w:color w:val="000000"/>
          <w:sz w:val="24"/>
        </w:rPr>
        <w:t>半坡”；猪马嘴遗址为研究商代文化提供了珍贵的实物资料；香积寺宝塔历史久远，传说动人；唐太宗昭陵，孤耸回绝，是世界最大的皇陵园；唐肃宗建陵，石刻工艺精湛，翼马造型独特，为关中地区帝王储陵中数量最多、保持最为完整的石雕石刻群。五凤山高大雄伟，重峦叠嶂；朝阳山“前屏昭陵，后环泾水”，奇峰高耸，险峻夺人；泾河龙口峡谷怪石嶙峋，山清水秀，是理想的天然公园，当代建成的县城报时大楼、中心广场、泥河大桥、仲桥仿唐街、泔河大桥、50万亩果园、30万亩方田和全国闻名的农业行进典型烽火村、袁家村等，日益成为引人注目的现代风景。</w:t>
      </w:r>
    </w:p>
    <w:p>
      <w:pPr>
        <w:spacing w:line="540" w:lineRule="exact"/>
        <w:ind w:firstLine="480" w:firstLineChars="200"/>
        <w:rPr>
          <w:rFonts w:ascii="宋体" w:hAnsi="宋体" w:hint="eastAsia"/>
          <w:color w:val="000000"/>
          <w:sz w:val="24"/>
        </w:rPr>
      </w:pPr>
      <w:r>
        <w:rPr>
          <w:rFonts w:ascii="宋体" w:hAnsi="宋体" w:hint="eastAsia"/>
          <w:color w:val="000000"/>
          <w:sz w:val="24"/>
          <w:lang w:eastAsia="zh-CN"/>
        </w:rPr>
        <w:t>xxx</w:t>
      </w:r>
      <w:r>
        <w:rPr>
          <w:rFonts w:ascii="宋体" w:hAnsi="宋体" w:hint="eastAsia"/>
          <w:color w:val="000000"/>
          <w:sz w:val="24"/>
        </w:rPr>
        <w:t>经济繁荣，实力雄厚。改革开放以来，勤劳勇敢的</w:t>
      </w:r>
      <w:r>
        <w:rPr>
          <w:rFonts w:ascii="宋体" w:hAnsi="宋体" w:hint="eastAsia"/>
          <w:color w:val="000000"/>
          <w:sz w:val="24"/>
          <w:lang w:eastAsia="zh-CN"/>
        </w:rPr>
        <w:t>xxx</w:t>
      </w:r>
      <w:r>
        <w:rPr>
          <w:rFonts w:ascii="宋体" w:hAnsi="宋体" w:hint="eastAsia"/>
          <w:color w:val="000000"/>
          <w:sz w:val="24"/>
        </w:rPr>
        <w:t>人民团结拼搏，开拓进取，先后经历了以调整农业结构、繁荣农村经济为主的第一创业和以农村城市化、工业化、现代化为目标的第二创业，进行了苹果生产、城市建设、招商引资三大战役，县城经济呈现出超常规、跳跃式发展的良好的态势，形成了‘以果兴农，促农促城，以城兴工，以工富县，城乡一体，’地方财政收入完成3.05亿元，同比增长12.3%；城镇居民人均可支配收入达到28930元，同比增长15.5%；农民人均纯收入达到9789元，同比增长16.8%。</w:t>
      </w:r>
    </w:p>
    <w:p>
      <w:pPr>
        <w:spacing w:line="540" w:lineRule="exact"/>
        <w:ind w:firstLine="480" w:firstLineChars="200"/>
        <w:rPr>
          <w:rFonts w:ascii="宋体" w:hAnsi="宋体" w:hint="eastAsia"/>
          <w:color w:val="000000"/>
          <w:sz w:val="24"/>
        </w:rPr>
        <w:sectPr>
          <w:footerReference w:type="default" r:id="rId20"/>
          <w:type w:val="nextPage"/>
          <w:pgSz w:w="11906" w:h="16838"/>
          <w:pgMar w:top="1440" w:right="1287" w:bottom="1559" w:left="1797" w:header="851" w:footer="992" w:gutter="0"/>
          <w:pgNumType w:start="16"/>
          <w:cols w:num="1" w:space="720"/>
          <w:titlePg w:val="0"/>
          <w:docGrid w:type="linesAndChars" w:linePitch="312" w:charSpace="0"/>
        </w:sectPr>
      </w:pPr>
      <w:r>
        <w:rPr>
          <w:rFonts w:ascii="宋体" w:hAnsi="宋体" w:hint="eastAsia"/>
          <w:color w:val="000000"/>
          <w:sz w:val="24"/>
        </w:rPr>
        <w:t>大力实施“县长菜篮子工程”，新建设施农业生产基地5个，蔬菜总面积达到4万亩，产值8.1亿元。新建</w:t>
      </w:r>
      <w:r>
        <w:rPr>
          <w:rFonts w:ascii="宋体" w:hAnsi="宋体" w:hint="eastAsia"/>
          <w:color w:val="000000"/>
          <w:sz w:val="24"/>
          <w:lang w:eastAsia="zh-CN"/>
        </w:rPr>
        <w:t>xxx</w:t>
      </w:r>
    </w:p>
    <w:p>
      <w:pPr>
        <w:spacing w:line="540" w:lineRule="exact"/>
        <w:ind w:firstLine="480" w:firstLineChars="200"/>
        <w:rPr>
          <w:rFonts w:ascii="宋体" w:hAnsi="宋体" w:hint="eastAsia"/>
          <w:color w:val="000000"/>
          <w:sz w:val="24"/>
        </w:rPr>
      </w:pPr>
      <w:r>
        <w:rPr>
          <w:rFonts w:ascii="宋体" w:hAnsi="宋体" w:hint="eastAsia"/>
          <w:color w:val="000000"/>
          <w:sz w:val="24"/>
        </w:rPr>
        <w:t>生猪良种繁育中心1个，规模养殖户发展到718户。实现奶牛存栏2万头、生猪存栏30万头，全县畜牧业产值达到4.8亿元。紧盯“两不愁三保障”和安全饮水对标补短，1264户2264名贫困人口如期脱贫。坚持“工煤车尘燃”系统治理，全年空气优良天数同比增加7天，PM2.5同比下降11.8%。东方雨虹被评为生态环境部重污染天气应急A级绩效评审企业，成为全省唯一一家。全面完成2019-2020年度清洁取暖改造任务。县污水处理厂提标改造、城区黑臭水体治理接近尾声，市考泔河出境断面水质达到考核四类指标。规模养殖场粪污资源化利用率达到100%。完成各类造林8.5万亩，我县被授予“</w:t>
      </w:r>
      <w:r>
        <w:rPr>
          <w:rFonts w:ascii="宋体" w:hAnsi="宋体" w:hint="eastAsia"/>
          <w:color w:val="000000"/>
          <w:sz w:val="24"/>
          <w:lang w:eastAsia="zh-CN"/>
        </w:rPr>
        <w:t>xxx</w:t>
      </w:r>
      <w:r>
        <w:rPr>
          <w:rFonts w:ascii="宋体" w:hAnsi="宋体" w:hint="eastAsia"/>
          <w:color w:val="000000"/>
          <w:sz w:val="24"/>
        </w:rPr>
        <w:t>省林业科技示范先进县”，堡里、东坪等4个村被评为“国家森林乡村”。加强债务风险监测预警，坚决遏制隐性债务增量，政府债务规模在风险可控范围之内。</w:t>
      </w:r>
    </w:p>
    <w:p>
      <w:pPr>
        <w:spacing w:line="540" w:lineRule="exact"/>
        <w:ind w:firstLine="480" w:firstLineChars="200"/>
        <w:rPr>
          <w:rFonts w:ascii="宋体" w:hAnsi="宋体" w:hint="eastAsia"/>
          <w:color w:val="000000"/>
          <w:sz w:val="24"/>
        </w:rPr>
      </w:pPr>
      <w:r>
        <w:rPr>
          <w:rFonts w:ascii="宋体" w:hAnsi="宋体" w:hint="eastAsia"/>
          <w:color w:val="000000"/>
          <w:sz w:val="24"/>
        </w:rPr>
        <w:t>2020年是</w:t>
      </w:r>
      <w:r>
        <w:rPr>
          <w:rFonts w:ascii="宋体" w:hAnsi="宋体" w:hint="eastAsia"/>
          <w:color w:val="000000"/>
          <w:sz w:val="24"/>
          <w:lang w:eastAsia="zh-CN"/>
        </w:rPr>
        <w:t>xxx</w:t>
      </w:r>
      <w:r>
        <w:rPr>
          <w:rFonts w:ascii="宋体" w:hAnsi="宋体" w:hint="eastAsia"/>
          <w:color w:val="000000"/>
          <w:sz w:val="24"/>
        </w:rPr>
        <w:t>发展进程中很不平凡的一年。面对艰巨繁重的改革发展任务、紧迫紧要的攻坚战役，在市委、市政府和县委的坚强领导下，在县人大、县政协的监督支持下，我们以习近平新时代中国特色社会主义思想为指引，坚持稳中求进工作总基调，以高质量发展为要求，沉着应对新挑战，奋力追赶超越，圆满完成了县人大会议确定的各项任务。全年实现生产总值156.2亿元，增长6%；社会消费品零售总额年均增长5%，达到80.2亿元，是2015年的1.6倍。城乡居民人均可支配收入分别较“十二五”末增长8.7%、12.2%。五年累计投入资金874亿元，实施项目723个，东方雨虹、统塑管材、汇森木业、京都防水等一大批项目建成使用。经济实现有质量、有效益、可持续增长，积极与大西安文体功能区、西咸新区进行规划衔接，连续九年被市委、市政府评为目标责任考核优秀等次。</w:t>
      </w:r>
    </w:p>
    <w:p>
      <w:pPr>
        <w:ind w:firstLine="1904" w:firstLineChars="595"/>
        <w:rPr>
          <w:rFonts w:ascii="微软雅黑" w:eastAsia="微软雅黑" w:hAnsi="微软雅黑" w:hint="eastAsia"/>
          <w:b/>
          <w:bCs/>
          <w:color w:val="000000"/>
          <w:sz w:val="32"/>
          <w:szCs w:val="32"/>
        </w:rPr>
      </w:pPr>
      <w:r>
        <w:rPr>
          <w:rFonts w:ascii="微软雅黑" w:eastAsia="微软雅黑" w:hAnsi="微软雅黑" w:hint="eastAsia"/>
          <w:b/>
          <w:bCs/>
          <w:color w:val="000000"/>
          <w:sz w:val="32"/>
          <w:szCs w:val="32"/>
        </w:rPr>
        <w:t>第六章      小区规划设计方案</w:t>
      </w:r>
    </w:p>
    <w:p>
      <w:pPr>
        <w:ind w:firstLine="703"/>
        <w:rPr>
          <w:rFonts w:ascii="宋体" w:hAnsi="宋体" w:hint="eastAsia"/>
          <w:b/>
          <w:color w:val="000000"/>
          <w:sz w:val="28"/>
          <w:szCs w:val="28"/>
        </w:rPr>
      </w:pPr>
      <w:r>
        <w:rPr>
          <w:rFonts w:ascii="宋体" w:hAnsi="宋体" w:hint="eastAsia"/>
          <w:b/>
          <w:color w:val="000000"/>
          <w:sz w:val="28"/>
          <w:szCs w:val="28"/>
        </w:rPr>
        <w:t>6.1</w:t>
      </w:r>
      <w:r>
        <w:rPr>
          <w:rFonts w:ascii="宋体" w:hAnsi="宋体" w:hint="eastAsia"/>
          <w:b/>
          <w:bCs/>
          <w:color w:val="000000"/>
          <w:sz w:val="28"/>
          <w:szCs w:val="28"/>
        </w:rPr>
        <w:t xml:space="preserve">  小区规划设计依据</w:t>
      </w:r>
    </w:p>
    <w:p>
      <w:pPr>
        <w:spacing w:line="560" w:lineRule="exact"/>
        <w:ind w:firstLine="480" w:firstLineChars="200"/>
        <w:rPr>
          <w:rFonts w:ascii="宋体" w:hAnsi="宋体" w:hint="eastAsia"/>
          <w:color w:val="000000"/>
          <w:kern w:val="0"/>
          <w:sz w:val="24"/>
        </w:rPr>
        <w:sectPr>
          <w:footerReference w:type="default" r:id="rId21"/>
          <w:type w:val="nextPage"/>
          <w:pgSz w:w="11906" w:h="16838"/>
          <w:pgMar w:top="1440" w:right="1287" w:bottom="1559" w:left="1797" w:header="851" w:footer="992" w:gutter="0"/>
          <w:pgNumType w:start="17"/>
          <w:cols w:num="1" w:space="720"/>
          <w:titlePg w:val="0"/>
          <w:docGrid w:type="linesAndChars" w:linePitch="312" w:charSpace="0"/>
        </w:sectPr>
      </w:pPr>
    </w:p>
    <w:p>
      <w:pPr>
        <w:spacing w:line="560" w:lineRule="exact"/>
        <w:ind w:firstLine="480" w:firstLineChars="200"/>
        <w:rPr>
          <w:rFonts w:ascii="宋体" w:hAnsi="宋体" w:hint="eastAsia"/>
          <w:color w:val="000000"/>
          <w:kern w:val="0"/>
          <w:sz w:val="24"/>
        </w:rPr>
      </w:pPr>
      <w:r>
        <w:rPr>
          <w:rFonts w:ascii="宋体" w:hAnsi="宋体" w:hint="eastAsia"/>
          <w:color w:val="000000"/>
          <w:kern w:val="0"/>
          <w:sz w:val="24"/>
        </w:rPr>
        <w:t>目前的市场，消费者已越来越理性，越来越注重产品的本身。房地产公司要在项目户型的设计上，面积上做到了零浪费，布局合理。也更加追求空间的实用性和灵活性。空间分隔明确，会客、餐厅、学习、睡眠等功能布局做到更加人性化，每一间房子的开间和进深，都是在合理摆放家具后，依据东方人的身高，臂长以及适合的人体尺度确定的。在景观上，整个小区完全按照“大社区、小组团”的规划思路建设，贯穿项目东西方向。整个项目的结构采用剪力墙和框架结构，完全符合本地的设防要求。采用新型材料和复合材料，加强建筑保温隔热性能，打造绿色建筑；在建筑质量上，我们通过招标方式选择有良好历史业绩的建筑工程有限公司合作，给老百姓一份保证，一份放心。</w:t>
      </w:r>
      <w:r>
        <w:rPr>
          <w:rFonts w:ascii="宋体" w:hAnsi="宋体" w:hint="eastAsia"/>
          <w:color w:val="000000"/>
          <w:kern w:val="0"/>
          <w:sz w:val="24"/>
        </w:rPr>
        <w:t xml:space="preserve"> </w:t>
      </w:r>
    </w:p>
    <w:p>
      <w:pPr>
        <w:spacing w:line="560" w:lineRule="exact"/>
        <w:ind w:firstLine="600"/>
        <w:rPr>
          <w:rFonts w:ascii="宋体" w:hAnsi="宋体" w:hint="eastAsia"/>
          <w:color w:val="000000"/>
          <w:sz w:val="24"/>
        </w:rPr>
      </w:pPr>
      <w:r>
        <w:rPr>
          <w:rFonts w:ascii="宋体" w:hAnsi="宋体" w:hint="eastAsia"/>
          <w:color w:val="000000"/>
          <w:sz w:val="24"/>
        </w:rPr>
        <w:t>6.1.1</w:t>
      </w:r>
      <w:r>
        <w:rPr>
          <w:rFonts w:ascii="宋体" w:hAnsi="宋体" w:hint="eastAsia"/>
          <w:b/>
          <w:color w:val="000000"/>
          <w:sz w:val="24"/>
        </w:rPr>
        <w:t>设计依据及参考资料</w:t>
      </w:r>
    </w:p>
    <w:p>
      <w:pPr>
        <w:spacing w:line="560" w:lineRule="exact"/>
        <w:ind w:firstLine="480" w:firstLineChars="200"/>
        <w:rPr>
          <w:rFonts w:ascii="宋体" w:hAnsi="宋体" w:hint="eastAsia"/>
          <w:color w:val="000000"/>
          <w:sz w:val="24"/>
        </w:rPr>
      </w:pPr>
      <w:r>
        <w:rPr>
          <w:rFonts w:ascii="宋体" w:hAnsi="宋体" w:hint="eastAsia"/>
          <w:color w:val="000000"/>
          <w:sz w:val="24"/>
        </w:rPr>
        <w:t>1）</w:t>
      </w:r>
      <w:r>
        <w:rPr>
          <w:rFonts w:ascii="宋体" w:hAnsi="宋体" w:hint="eastAsia"/>
          <w:color w:val="000000"/>
          <w:sz w:val="24"/>
          <w:lang w:eastAsia="zh-CN"/>
        </w:rPr>
        <w:t>xxxxxxxxxxxx</w:t>
      </w:r>
      <w:r>
        <w:rPr>
          <w:rFonts w:ascii="宋体" w:hAnsi="宋体" w:hint="eastAsia"/>
          <w:color w:val="000000"/>
          <w:sz w:val="24"/>
        </w:rPr>
        <w:t>有限责任公司项目规划任务书</w:t>
      </w:r>
    </w:p>
    <w:p>
      <w:pPr>
        <w:spacing w:line="560" w:lineRule="exact"/>
        <w:ind w:firstLine="480" w:firstLineChars="200"/>
        <w:rPr>
          <w:rFonts w:ascii="宋体" w:hAnsi="宋体" w:hint="eastAsia"/>
          <w:color w:val="000000"/>
          <w:sz w:val="24"/>
        </w:rPr>
      </w:pPr>
      <w:r>
        <w:rPr>
          <w:rFonts w:ascii="宋体" w:hAnsi="宋体" w:hint="eastAsia"/>
          <w:color w:val="000000"/>
          <w:sz w:val="24"/>
        </w:rPr>
        <w:t>2）《</w:t>
      </w:r>
      <w:r>
        <w:rPr>
          <w:rFonts w:ascii="宋体" w:hAnsi="宋体" w:hint="eastAsia"/>
          <w:color w:val="000000"/>
          <w:sz w:val="24"/>
          <w:lang w:eastAsia="zh-CN"/>
        </w:rPr>
        <w:t>xxx</w:t>
      </w:r>
      <w:r>
        <w:rPr>
          <w:rFonts w:ascii="宋体" w:hAnsi="宋体" w:hint="eastAsia"/>
          <w:color w:val="000000"/>
          <w:sz w:val="24"/>
        </w:rPr>
        <w:t>总体规划》及城镇各专项规划。</w:t>
      </w:r>
    </w:p>
    <w:p>
      <w:pPr>
        <w:spacing w:line="560" w:lineRule="exact"/>
        <w:ind w:firstLine="480" w:firstLineChars="200"/>
        <w:rPr>
          <w:rFonts w:ascii="宋体" w:hAnsi="宋体" w:hint="eastAsia"/>
          <w:color w:val="000000"/>
          <w:sz w:val="24"/>
        </w:rPr>
      </w:pPr>
      <w:r>
        <w:rPr>
          <w:rFonts w:ascii="宋体" w:hAnsi="宋体" w:hint="eastAsia"/>
          <w:color w:val="000000"/>
          <w:sz w:val="24"/>
        </w:rPr>
        <w:t>3）《</w:t>
      </w:r>
      <w:r>
        <w:rPr>
          <w:rFonts w:ascii="宋体" w:hAnsi="宋体" w:hint="eastAsia"/>
          <w:color w:val="000000"/>
          <w:sz w:val="24"/>
          <w:lang w:eastAsia="zh-CN"/>
        </w:rPr>
        <w:t>xxx</w:t>
      </w:r>
      <w:r>
        <w:rPr>
          <w:rFonts w:ascii="宋体" w:hAnsi="宋体" w:hint="eastAsia"/>
          <w:color w:val="000000"/>
          <w:sz w:val="24"/>
        </w:rPr>
        <w:t>省城市规划管理技术规定》</w:t>
      </w:r>
    </w:p>
    <w:p>
      <w:pPr>
        <w:spacing w:line="560" w:lineRule="exact"/>
        <w:ind w:firstLine="480" w:firstLineChars="200"/>
        <w:rPr>
          <w:rFonts w:ascii="宋体" w:hAnsi="宋体" w:hint="eastAsia"/>
          <w:color w:val="000000"/>
          <w:sz w:val="24"/>
        </w:rPr>
      </w:pPr>
      <w:r>
        <w:rPr>
          <w:rFonts w:ascii="宋体" w:hAnsi="宋体" w:hint="eastAsia"/>
          <w:color w:val="000000"/>
          <w:sz w:val="24"/>
        </w:rPr>
        <w:t>4）《</w:t>
      </w:r>
      <w:r>
        <w:rPr>
          <w:rFonts w:ascii="宋体" w:hAnsi="宋体" w:hint="eastAsia"/>
          <w:color w:val="000000"/>
          <w:sz w:val="24"/>
          <w:lang w:eastAsia="zh-CN"/>
        </w:rPr>
        <w:t>xxx</w:t>
      </w:r>
      <w:r>
        <w:rPr>
          <w:rFonts w:ascii="宋体" w:hAnsi="宋体" w:hint="eastAsia"/>
          <w:color w:val="000000"/>
          <w:sz w:val="24"/>
        </w:rPr>
        <w:t>省住宅设计标准》DJ32/26-2</w:t>
      </w:r>
    </w:p>
    <w:p>
      <w:pPr>
        <w:spacing w:line="560" w:lineRule="exact"/>
        <w:ind w:firstLine="480" w:firstLineChars="200"/>
        <w:rPr>
          <w:rFonts w:ascii="宋体" w:hAnsi="宋体" w:hint="eastAsia"/>
          <w:color w:val="000000"/>
          <w:sz w:val="24"/>
        </w:rPr>
      </w:pPr>
      <w:r>
        <w:rPr>
          <w:rFonts w:ascii="宋体" w:hAnsi="宋体" w:hint="eastAsia"/>
          <w:color w:val="000000"/>
          <w:sz w:val="24"/>
        </w:rPr>
        <w:t>5）《民用建筑设计通则》GB50352-2005</w:t>
      </w:r>
    </w:p>
    <w:p>
      <w:pPr>
        <w:spacing w:line="560" w:lineRule="exact"/>
        <w:ind w:firstLine="480" w:firstLineChars="200"/>
        <w:rPr>
          <w:rFonts w:ascii="宋体" w:hAnsi="宋体" w:hint="eastAsia"/>
          <w:color w:val="000000"/>
          <w:sz w:val="24"/>
        </w:rPr>
      </w:pPr>
      <w:r>
        <w:rPr>
          <w:rFonts w:ascii="宋体" w:hAnsi="宋体" w:hint="eastAsia"/>
          <w:color w:val="000000"/>
          <w:sz w:val="24"/>
        </w:rPr>
        <w:t>6）《城市居住区规划设计规范》（GB50180—93）2002年版</w:t>
      </w:r>
    </w:p>
    <w:p>
      <w:pPr>
        <w:spacing w:line="560" w:lineRule="exact"/>
        <w:ind w:firstLine="480" w:firstLineChars="200"/>
        <w:rPr>
          <w:rFonts w:ascii="宋体" w:hAnsi="宋体" w:hint="eastAsia"/>
          <w:color w:val="000000"/>
          <w:sz w:val="24"/>
        </w:rPr>
      </w:pPr>
      <w:r>
        <w:rPr>
          <w:rFonts w:ascii="宋体" w:hAnsi="宋体" w:hint="eastAsia"/>
          <w:color w:val="000000"/>
          <w:sz w:val="24"/>
        </w:rPr>
        <w:t>7）《住宅设计规范》（GB50096—1999）2003年版。</w:t>
      </w:r>
    </w:p>
    <w:p>
      <w:pPr>
        <w:spacing w:line="560" w:lineRule="exact"/>
        <w:ind w:firstLine="480" w:firstLineChars="200"/>
        <w:rPr>
          <w:rFonts w:ascii="宋体" w:hAnsi="宋体" w:hint="eastAsia"/>
          <w:color w:val="000000"/>
          <w:sz w:val="24"/>
        </w:rPr>
      </w:pPr>
      <w:r>
        <w:rPr>
          <w:rFonts w:ascii="宋体" w:hAnsi="宋体" w:hint="eastAsia"/>
          <w:color w:val="000000"/>
          <w:sz w:val="24"/>
        </w:rPr>
        <w:t>8）《建筑设计防火规范》GBJ16—87（2001年版）。</w:t>
      </w:r>
    </w:p>
    <w:p>
      <w:pPr>
        <w:spacing w:line="560" w:lineRule="exact"/>
        <w:ind w:firstLine="480" w:firstLineChars="200"/>
        <w:rPr>
          <w:rFonts w:ascii="宋体" w:hAnsi="宋体" w:hint="eastAsia"/>
          <w:color w:val="000000"/>
          <w:sz w:val="24"/>
        </w:rPr>
      </w:pPr>
      <w:r>
        <w:rPr>
          <w:rFonts w:ascii="宋体" w:hAnsi="宋体" w:hint="eastAsia"/>
          <w:color w:val="000000"/>
          <w:sz w:val="24"/>
        </w:rPr>
        <w:t>9）《汽车库建筑设计规范》（JGJ100—98）。</w:t>
      </w:r>
    </w:p>
    <w:p>
      <w:pPr>
        <w:spacing w:line="560" w:lineRule="exact"/>
        <w:ind w:firstLine="480" w:firstLineChars="200"/>
        <w:rPr>
          <w:rFonts w:ascii="宋体" w:hAnsi="宋体" w:hint="eastAsia"/>
          <w:color w:val="000000"/>
          <w:sz w:val="24"/>
        </w:rPr>
      </w:pPr>
      <w:r>
        <w:rPr>
          <w:rFonts w:ascii="宋体" w:hAnsi="宋体" w:hint="eastAsia"/>
          <w:color w:val="000000"/>
          <w:sz w:val="24"/>
        </w:rPr>
        <w:t>10）建设项目红线图及电子文件。</w:t>
      </w:r>
    </w:p>
    <w:p>
      <w:pPr>
        <w:spacing w:line="560" w:lineRule="exact"/>
        <w:ind w:firstLine="600"/>
        <w:rPr>
          <w:rFonts w:ascii="宋体" w:hAnsi="宋体" w:hint="eastAsia"/>
          <w:color w:val="000000"/>
          <w:sz w:val="24"/>
        </w:rPr>
      </w:pPr>
      <w:r>
        <w:rPr>
          <w:rFonts w:ascii="宋体" w:hAnsi="宋体" w:hint="eastAsia"/>
          <w:color w:val="000000"/>
          <w:sz w:val="24"/>
        </w:rPr>
        <w:t>6.1.2</w:t>
      </w:r>
      <w:r>
        <w:rPr>
          <w:rFonts w:ascii="宋体" w:hAnsi="宋体" w:hint="eastAsia"/>
          <w:b/>
          <w:color w:val="000000"/>
          <w:sz w:val="24"/>
        </w:rPr>
        <w:t>主要设计技术经济参数</w:t>
      </w:r>
    </w:p>
    <w:p>
      <w:pPr>
        <w:spacing w:line="560" w:lineRule="exact"/>
        <w:ind w:firstLine="480" w:firstLineChars="200"/>
        <w:rPr>
          <w:rFonts w:ascii="宋体" w:hAnsi="宋体" w:hint="eastAsia"/>
          <w:color w:val="000000"/>
          <w:sz w:val="24"/>
        </w:rPr>
      </w:pPr>
      <w:r>
        <w:rPr>
          <w:rFonts w:ascii="宋体" w:hAnsi="宋体" w:hint="eastAsia"/>
          <w:color w:val="000000"/>
          <w:sz w:val="24"/>
        </w:rPr>
        <w:t>1）净用地面积：13250</w:t>
      </w:r>
    </w:p>
    <w:p>
      <w:pPr>
        <w:spacing w:line="560" w:lineRule="exact"/>
        <w:ind w:firstLine="480" w:firstLineChars="200"/>
        <w:rPr>
          <w:rFonts w:ascii="宋体" w:hAnsi="宋体" w:hint="eastAsia"/>
          <w:color w:val="000000"/>
          <w:sz w:val="24"/>
        </w:rPr>
      </w:pPr>
      <w:r>
        <w:rPr>
          <w:rFonts w:ascii="宋体" w:hAnsi="宋体" w:hint="eastAsia"/>
          <w:color w:val="000000"/>
          <w:sz w:val="24"/>
        </w:rPr>
        <w:t>2）总建筑面积：46750.57㎡</w:t>
      </w:r>
    </w:p>
    <w:p>
      <w:pPr>
        <w:spacing w:line="560" w:lineRule="exact"/>
        <w:ind w:firstLine="480" w:firstLineChars="200"/>
        <w:rPr>
          <w:rFonts w:ascii="宋体" w:hAnsi="宋体" w:hint="eastAsia"/>
          <w:color w:val="000000"/>
          <w:sz w:val="24"/>
        </w:rPr>
      </w:pPr>
      <w:r>
        <w:rPr>
          <w:rFonts w:ascii="宋体" w:hAnsi="宋体" w:hint="eastAsia"/>
          <w:color w:val="000000"/>
          <w:sz w:val="24"/>
        </w:rPr>
        <w:t xml:space="preserve">3）容 积 率：2.89  </w:t>
      </w:r>
    </w:p>
    <w:p>
      <w:pPr>
        <w:spacing w:line="560" w:lineRule="exact"/>
        <w:ind w:firstLine="480" w:firstLineChars="200"/>
        <w:rPr>
          <w:rFonts w:ascii="宋体" w:hAnsi="宋体" w:hint="eastAsia"/>
          <w:color w:val="000000"/>
          <w:sz w:val="24"/>
        </w:rPr>
      </w:pPr>
      <w:r>
        <w:rPr>
          <w:rFonts w:ascii="宋体" w:hAnsi="宋体" w:hint="eastAsia"/>
          <w:color w:val="000000"/>
          <w:sz w:val="24"/>
        </w:rPr>
        <w:t xml:space="preserve">4）建筑密度：13.19% </w:t>
      </w:r>
    </w:p>
    <w:p>
      <w:pPr>
        <w:spacing w:line="560" w:lineRule="exact"/>
        <w:ind w:firstLine="480" w:firstLineChars="200"/>
        <w:rPr>
          <w:rFonts w:ascii="宋体" w:hAnsi="宋体" w:hint="eastAsia"/>
          <w:color w:val="000000"/>
          <w:sz w:val="24"/>
        </w:rPr>
      </w:pPr>
      <w:r>
        <w:rPr>
          <w:rFonts w:ascii="宋体" w:hAnsi="宋体" w:hint="eastAsia"/>
          <w:color w:val="000000"/>
          <w:sz w:val="24"/>
        </w:rPr>
        <w:t xml:space="preserve">5）绿 地 率：35.6% </w:t>
      </w:r>
    </w:p>
    <w:p>
      <w:pPr>
        <w:spacing w:line="560" w:lineRule="exact"/>
        <w:ind w:firstLine="480" w:firstLineChars="200"/>
        <w:rPr>
          <w:rFonts w:ascii="宋体" w:hAnsi="宋体" w:hint="eastAsia"/>
          <w:color w:val="000000"/>
          <w:sz w:val="24"/>
        </w:rPr>
      </w:pPr>
      <w:r>
        <w:rPr>
          <w:rFonts w:ascii="宋体" w:hAnsi="宋体" w:hint="eastAsia"/>
          <w:color w:val="000000"/>
          <w:sz w:val="24"/>
        </w:rPr>
        <w:t xml:space="preserve">6）建筑限高：80米   </w:t>
      </w:r>
    </w:p>
    <w:p>
      <w:pPr>
        <w:ind w:firstLine="703"/>
        <w:rPr>
          <w:rFonts w:ascii="宋体" w:hAnsi="宋体" w:hint="eastAsia"/>
          <w:b/>
          <w:color w:val="000000"/>
          <w:sz w:val="28"/>
          <w:szCs w:val="28"/>
        </w:rPr>
      </w:pPr>
      <w:r>
        <w:rPr>
          <w:rFonts w:ascii="宋体" w:hAnsi="宋体" w:hint="eastAsia"/>
          <w:b/>
          <w:color w:val="000000"/>
          <w:sz w:val="28"/>
          <w:szCs w:val="28"/>
        </w:rPr>
        <w:t>6.2</w:t>
      </w:r>
      <w:r>
        <w:rPr>
          <w:rFonts w:ascii="宋体" w:hAnsi="宋体" w:hint="eastAsia"/>
          <w:b/>
          <w:bCs/>
          <w:color w:val="000000"/>
          <w:sz w:val="28"/>
          <w:szCs w:val="28"/>
        </w:rPr>
        <w:t xml:space="preserve">  规划设计理念</w:t>
      </w:r>
    </w:p>
    <w:p>
      <w:pPr>
        <w:spacing w:line="560" w:lineRule="exact"/>
        <w:ind w:firstLine="480" w:firstLineChars="200"/>
        <w:rPr>
          <w:rFonts w:ascii="宋体" w:hAnsi="宋体" w:hint="eastAsia"/>
          <w:color w:val="000000"/>
          <w:sz w:val="24"/>
        </w:rPr>
        <w:sectPr>
          <w:footerReference w:type="default" r:id="rId22"/>
          <w:type w:val="nextPage"/>
          <w:pgSz w:w="11906" w:h="16838"/>
          <w:pgMar w:top="1440" w:right="1287" w:bottom="1559" w:left="1797" w:header="851" w:footer="992" w:gutter="0"/>
          <w:pgNumType w:start="18"/>
          <w:cols w:num="1" w:space="720"/>
          <w:titlePg w:val="0"/>
          <w:docGrid w:type="linesAndChars" w:linePitch="312" w:charSpace="0"/>
        </w:sectPr>
      </w:pPr>
      <w:r>
        <w:rPr>
          <w:rFonts w:ascii="宋体" w:hAnsi="宋体" w:hint="eastAsia"/>
          <w:color w:val="000000"/>
          <w:sz w:val="24"/>
        </w:rPr>
        <w:t>本方案设计立足于</w:t>
      </w:r>
      <w:r>
        <w:rPr>
          <w:rFonts w:ascii="宋体" w:hAnsi="宋体" w:hint="eastAsia"/>
          <w:color w:val="000000"/>
          <w:sz w:val="24"/>
          <w:lang w:eastAsia="zh-CN"/>
        </w:rPr>
        <w:t>xxx</w:t>
      </w:r>
    </w:p>
    <w:p>
      <w:pPr>
        <w:spacing w:line="560" w:lineRule="exact"/>
        <w:ind w:firstLine="480" w:firstLineChars="200"/>
        <w:rPr>
          <w:rFonts w:ascii="宋体" w:hAnsi="宋体" w:hint="eastAsia"/>
          <w:color w:val="000000"/>
          <w:sz w:val="24"/>
        </w:rPr>
      </w:pPr>
      <w:r>
        <w:rPr>
          <w:rFonts w:ascii="宋体" w:hAnsi="宋体" w:hint="eastAsia"/>
          <w:color w:val="000000"/>
          <w:sz w:val="24"/>
        </w:rPr>
        <w:t>的远景规划，从更长远的时间跨度和更宽广的地域跨度切入小区整体建筑设计。力求体现现代住宅规划场所状态的最大化，环境融合的最大化，以及时效上的最大化。人塑造环境，环境反之塑造人的行为、心理，人们凭借自身的品位、修养，规划自己的生活蓝图，而优雅的生活空间再次提高人们的生活文化质量。当全社会已将关注环境作为时代发展的主题时，方案设计紧紧围绕塑造小区住区环境特征的主题，充分关注人、关注生活、关注环境，运用现代科技及设计手段将人与自然的关系从原始的被动接受，到工业革命后的相对对立，而演绎为人与自然的再度融合，从而达到人、建筑、自然的和谐互动。具体如下：</w:t>
      </w:r>
    </w:p>
    <w:p>
      <w:pPr>
        <w:spacing w:line="560" w:lineRule="exact"/>
        <w:ind w:firstLine="360" w:firstLineChars="150"/>
        <w:rPr>
          <w:rFonts w:ascii="宋体" w:hAnsi="宋体" w:hint="eastAsia"/>
          <w:color w:val="000000"/>
          <w:sz w:val="24"/>
        </w:rPr>
      </w:pPr>
      <w:r>
        <w:rPr>
          <w:rFonts w:ascii="宋体" w:hAnsi="宋体" w:hint="eastAsia"/>
          <w:color w:val="000000"/>
          <w:sz w:val="24"/>
        </w:rPr>
        <w:t xml:space="preserve">1）突出主题文化：本项目的核心理念是：和谐、健康、运动与科技（和谐、人文、品味、教育），通过规划设计，赋予本项目高尚的、有品位的文化气息，充分表达核心理念。     </w:t>
      </w:r>
    </w:p>
    <w:p>
      <w:pPr>
        <w:spacing w:line="560" w:lineRule="exact"/>
        <w:ind w:firstLine="360" w:firstLineChars="150"/>
        <w:rPr>
          <w:rFonts w:ascii="宋体" w:hAnsi="宋体" w:hint="eastAsia"/>
          <w:color w:val="000000"/>
          <w:sz w:val="24"/>
        </w:rPr>
      </w:pPr>
      <w:r>
        <w:rPr>
          <w:rFonts w:ascii="宋体" w:hAnsi="宋体" w:hint="eastAsia"/>
          <w:color w:val="000000"/>
          <w:sz w:val="24"/>
        </w:rPr>
        <w:t xml:space="preserve">2）前瞻性：方案设计要求大胆创意、突破常规，具有前瞻性、先进性，充分考虑设计与开发建设的时间差异性。 </w:t>
      </w:r>
    </w:p>
    <w:p>
      <w:pPr>
        <w:spacing w:line="560" w:lineRule="exact"/>
        <w:ind w:firstLine="360" w:firstLineChars="150"/>
        <w:rPr>
          <w:rFonts w:ascii="宋体" w:hAnsi="宋体" w:hint="eastAsia"/>
          <w:color w:val="000000"/>
          <w:sz w:val="24"/>
        </w:rPr>
      </w:pPr>
      <w:r>
        <w:rPr>
          <w:rFonts w:ascii="宋体" w:hAnsi="宋体" w:hint="eastAsia"/>
          <w:color w:val="000000"/>
          <w:sz w:val="24"/>
        </w:rPr>
        <w:t>3）新颖性：不同于其它主流小区一贯布局可以大胆的创作出非横平竖直的小区空间结构。（但必须要融入整个城市大环境）</w:t>
      </w:r>
    </w:p>
    <w:p>
      <w:pPr>
        <w:spacing w:line="560" w:lineRule="exact"/>
        <w:ind w:firstLine="360" w:firstLineChars="150"/>
        <w:rPr>
          <w:rFonts w:ascii="宋体" w:hAnsi="宋体" w:hint="eastAsia"/>
          <w:color w:val="000000"/>
          <w:sz w:val="24"/>
        </w:rPr>
      </w:pPr>
      <w:r>
        <w:rPr>
          <w:rFonts w:ascii="宋体" w:hAnsi="宋体" w:hint="eastAsia"/>
          <w:color w:val="000000"/>
          <w:sz w:val="24"/>
        </w:rPr>
        <w:t>4）人文性：通过对小区整体设计与细节表现，充分蕴含和谐与健康的理念，要做到不仅创造一个居住环境，更创造一种全新的人文居住生活方式。</w:t>
      </w:r>
    </w:p>
    <w:p>
      <w:pPr>
        <w:spacing w:line="600" w:lineRule="exact"/>
        <w:ind w:firstLine="360" w:firstLineChars="150"/>
        <w:rPr>
          <w:rFonts w:ascii="宋体" w:hAnsi="宋体" w:hint="eastAsia"/>
          <w:color w:val="000000"/>
          <w:sz w:val="24"/>
        </w:rPr>
      </w:pPr>
      <w:r>
        <w:rPr>
          <w:rFonts w:ascii="宋体" w:hAnsi="宋体" w:hint="eastAsia"/>
          <w:color w:val="000000"/>
          <w:sz w:val="24"/>
        </w:rPr>
        <w:t>5）舒适实用性：舒适性应体现到本项目的各个角落，包括公共场所、环境空间、住宅等。并注重提高住宅的实用率</w:t>
      </w:r>
    </w:p>
    <w:p>
      <w:pPr>
        <w:spacing w:line="600" w:lineRule="exact"/>
        <w:ind w:firstLine="360" w:firstLineChars="150"/>
        <w:rPr>
          <w:rFonts w:ascii="宋体" w:hAnsi="宋体" w:hint="eastAsia"/>
          <w:color w:val="000000"/>
          <w:sz w:val="24"/>
        </w:rPr>
      </w:pPr>
      <w:r>
        <w:rPr>
          <w:rFonts w:ascii="宋体" w:hAnsi="宋体" w:hint="eastAsia"/>
          <w:color w:val="000000"/>
          <w:sz w:val="24"/>
        </w:rPr>
        <w:t xml:space="preserve">6）经济性：规划设计和单体设计均要考虑其实现时的投资难度，力争在保证一定资金下设计出建筑精品。 </w:t>
      </w:r>
    </w:p>
    <w:p>
      <w:pPr>
        <w:spacing w:line="600" w:lineRule="exact"/>
        <w:ind w:firstLine="360" w:firstLineChars="150"/>
        <w:rPr>
          <w:rFonts w:ascii="宋体" w:hAnsi="宋体" w:hint="eastAsia"/>
          <w:color w:val="000000"/>
          <w:sz w:val="24"/>
        </w:rPr>
      </w:pPr>
      <w:r>
        <w:rPr>
          <w:rFonts w:ascii="宋体" w:hAnsi="宋体" w:hint="eastAsia"/>
          <w:color w:val="000000"/>
          <w:sz w:val="24"/>
        </w:rPr>
        <w:t>7）规范性：设计方案必须遵守</w:t>
      </w:r>
      <w:r>
        <w:rPr>
          <w:rFonts w:ascii="宋体" w:hAnsi="宋体" w:hint="eastAsia"/>
          <w:color w:val="000000"/>
          <w:sz w:val="24"/>
          <w:lang w:eastAsia="zh-CN"/>
        </w:rPr>
        <w:t>xxx</w:t>
      </w:r>
      <w:r>
        <w:rPr>
          <w:rFonts w:ascii="宋体" w:hAnsi="宋体" w:hint="eastAsia"/>
          <w:color w:val="000000"/>
          <w:sz w:val="24"/>
        </w:rPr>
        <w:t>地区有关城市规划设计对间距、消防、人防等方面的规定，并符合国家有关规范和标准。</w:t>
      </w:r>
    </w:p>
    <w:p>
      <w:pPr>
        <w:spacing w:line="600" w:lineRule="exact"/>
        <w:ind w:firstLine="703"/>
        <w:rPr>
          <w:rFonts w:ascii="宋体" w:hAnsi="宋体" w:hint="eastAsia"/>
          <w:b/>
          <w:color w:val="000000"/>
          <w:sz w:val="28"/>
          <w:szCs w:val="28"/>
        </w:rPr>
      </w:pPr>
      <w:r>
        <w:rPr>
          <w:rFonts w:ascii="宋体" w:hAnsi="宋体" w:hint="eastAsia"/>
          <w:b/>
          <w:color w:val="000000"/>
          <w:sz w:val="28"/>
          <w:szCs w:val="28"/>
        </w:rPr>
        <w:t>6</w:t>
      </w:r>
      <w:r>
        <w:rPr>
          <w:rFonts w:ascii="宋体" w:hAnsi="宋体"/>
          <w:b/>
          <w:color w:val="000000"/>
          <w:sz w:val="28"/>
          <w:szCs w:val="28"/>
        </w:rPr>
        <w:t>.</w:t>
      </w:r>
      <w:r>
        <w:rPr>
          <w:rFonts w:ascii="宋体" w:hAnsi="宋体" w:hint="eastAsia"/>
          <w:b/>
          <w:color w:val="000000"/>
          <w:sz w:val="28"/>
          <w:szCs w:val="28"/>
        </w:rPr>
        <w:t>3  以人文化</w:t>
      </w:r>
      <w:r>
        <w:rPr>
          <w:rFonts w:ascii="宋体" w:hAnsi="宋体"/>
          <w:b/>
          <w:color w:val="000000"/>
          <w:sz w:val="28"/>
          <w:szCs w:val="28"/>
        </w:rPr>
        <w:t>生态化</w:t>
      </w:r>
      <w:r>
        <w:rPr>
          <w:rFonts w:ascii="宋体" w:hAnsi="宋体" w:hint="eastAsia"/>
          <w:b/>
          <w:color w:val="000000"/>
          <w:sz w:val="28"/>
          <w:szCs w:val="28"/>
        </w:rPr>
        <w:t>为设计重点</w:t>
      </w:r>
    </w:p>
    <w:p>
      <w:pPr>
        <w:spacing w:line="600" w:lineRule="exact"/>
        <w:ind w:firstLine="480" w:firstLineChars="200"/>
        <w:rPr>
          <w:rFonts w:hint="eastAsia"/>
          <w:color w:val="000000"/>
          <w:kern w:val="0"/>
          <w:sz w:val="24"/>
        </w:rPr>
        <w:sectPr>
          <w:footerReference w:type="default" r:id="rId23"/>
          <w:type w:val="nextPage"/>
          <w:pgSz w:w="11906" w:h="16838"/>
          <w:pgMar w:top="1440" w:right="1287" w:bottom="1559" w:left="1797" w:header="851" w:footer="992" w:gutter="0"/>
          <w:pgNumType w:start="19"/>
          <w:cols w:num="1" w:space="720"/>
          <w:titlePg w:val="0"/>
          <w:docGrid w:type="linesAndChars" w:linePitch="312" w:charSpace="0"/>
        </w:sectPr>
      </w:pPr>
      <w:r>
        <w:rPr>
          <w:rFonts w:hint="eastAsia"/>
          <w:color w:val="000000"/>
          <w:kern w:val="0"/>
          <w:sz w:val="24"/>
        </w:rPr>
        <w:t xml:space="preserve"> </w:t>
      </w:r>
      <w:r>
        <w:rPr>
          <w:color w:val="000000"/>
          <w:kern w:val="0"/>
          <w:sz w:val="24"/>
        </w:rPr>
        <w:t>社</w:t>
      </w:r>
      <w:r>
        <w:rPr>
          <w:rFonts w:ascii="宋体" w:hAnsi="宋体"/>
          <w:color w:val="000000"/>
          <w:kern w:val="0"/>
          <w:sz w:val="24"/>
        </w:rPr>
        <w:t>区活力的重要保证是创造住区独特的人文氛围，对于</w:t>
      </w:r>
      <w:r>
        <w:rPr>
          <w:rFonts w:ascii="宋体" w:hAnsi="宋体" w:hint="eastAsia"/>
          <w:bCs/>
          <w:color w:val="000000"/>
          <w:sz w:val="24"/>
        </w:rPr>
        <w:t>保障性</w:t>
      </w:r>
      <w:r>
        <w:rPr>
          <w:rFonts w:ascii="宋体" w:hAnsi="宋体" w:hint="eastAsia"/>
          <w:color w:val="000000"/>
          <w:kern w:val="0"/>
          <w:sz w:val="24"/>
        </w:rPr>
        <w:t>社</w:t>
      </w:r>
    </w:p>
    <w:p>
      <w:pPr>
        <w:spacing w:line="600" w:lineRule="exact"/>
        <w:ind w:firstLine="480" w:firstLineChars="200"/>
        <w:rPr>
          <w:rFonts w:hint="eastAsia"/>
          <w:color w:val="000000"/>
          <w:kern w:val="0"/>
          <w:sz w:val="24"/>
        </w:rPr>
      </w:pPr>
      <w:r>
        <w:rPr>
          <w:rFonts w:ascii="宋体" w:hAnsi="宋体"/>
          <w:color w:val="000000"/>
          <w:kern w:val="0"/>
          <w:sz w:val="24"/>
        </w:rPr>
        <w:t>区更是需要考虑这一点，这种独特品位要求全方面、各角度地去创造。概括地讲，业主要求买得的有三种形态的享受：第一是室内空间的享受，第二是室外社区环境的享受，第三是视力、听力等感官所及的一切享受即精神享受。业主在三种享受上都需要获得最大化。居所建设应将三种享受整合融汇一起，使其具有思想内容和反映文化意识，其建筑已经超越了物质机器的范围而更多地体现出某种居住文化。随着经济的发展和人民生活水平的提高，客户对住房的需求已逐步转向质量型，住宅早已不再是挡风蔽雨的栖身场所，而是安居乐业的幸福的精神乐园。他们希望通过对住宅的要求来体现民族文化的一致性，找回失落已久的建筑原创性和文化，达到天人合一，人与自然的和谐共生。优越的自然环境是高尚居住区的重要特征。建筑与环境应是相辅相成的联体关系，一方面建筑形式应是景观重要组成元素，同时户外环境特色亦是建筑自身的环境特色。所以自然环境的生态化是社区持久发展的重要内容。</w:t>
      </w:r>
    </w:p>
    <w:p>
      <w:pPr>
        <w:spacing w:line="600" w:lineRule="exact"/>
        <w:ind w:firstLine="703"/>
        <w:rPr>
          <w:rFonts w:ascii="宋体" w:hAnsi="宋体" w:hint="eastAsia"/>
          <w:b/>
          <w:color w:val="000000"/>
          <w:sz w:val="28"/>
          <w:szCs w:val="28"/>
        </w:rPr>
      </w:pPr>
      <w:r>
        <w:rPr>
          <w:rFonts w:ascii="宋体" w:hAnsi="宋体" w:hint="eastAsia"/>
          <w:b/>
          <w:color w:val="000000"/>
          <w:sz w:val="28"/>
          <w:szCs w:val="28"/>
        </w:rPr>
        <w:t>6.4</w:t>
      </w:r>
      <w:r>
        <w:rPr>
          <w:rFonts w:ascii="宋体" w:hAnsi="宋体" w:hint="eastAsia"/>
          <w:b/>
          <w:bCs/>
          <w:color w:val="000000"/>
          <w:sz w:val="28"/>
          <w:szCs w:val="28"/>
        </w:rPr>
        <w:t xml:space="preserve">  </w:t>
      </w:r>
      <w:r>
        <w:rPr>
          <w:rFonts w:ascii="宋体" w:hAnsi="宋体" w:hint="eastAsia"/>
          <w:b/>
          <w:color w:val="000000"/>
          <w:sz w:val="28"/>
          <w:szCs w:val="28"/>
        </w:rPr>
        <w:t>建筑设计方案</w:t>
      </w:r>
    </w:p>
    <w:p>
      <w:pPr>
        <w:spacing w:line="600" w:lineRule="exact"/>
        <w:ind w:firstLine="600"/>
        <w:rPr>
          <w:rFonts w:ascii="宋体" w:hAnsi="宋体" w:hint="eastAsia"/>
          <w:color w:val="000000"/>
          <w:sz w:val="24"/>
        </w:rPr>
      </w:pPr>
      <w:r>
        <w:rPr>
          <w:rFonts w:ascii="宋体" w:hAnsi="宋体" w:hint="eastAsia"/>
          <w:color w:val="000000"/>
          <w:sz w:val="24"/>
        </w:rPr>
        <w:t>6.4.1</w:t>
      </w:r>
      <w:r>
        <w:rPr>
          <w:rFonts w:ascii="宋体" w:hAnsi="宋体" w:hint="eastAsia"/>
          <w:b/>
          <w:color w:val="000000"/>
          <w:sz w:val="24"/>
        </w:rPr>
        <w:t>总体规划原则</w:t>
      </w:r>
    </w:p>
    <w:p>
      <w:pPr>
        <w:spacing w:line="600" w:lineRule="exact"/>
        <w:ind w:firstLine="480" w:firstLineChars="200"/>
        <w:rPr>
          <w:rFonts w:ascii="宋体" w:hAnsi="宋体" w:hint="eastAsia"/>
          <w:color w:val="000000"/>
          <w:sz w:val="24"/>
        </w:rPr>
      </w:pPr>
      <w:r>
        <w:rPr>
          <w:rFonts w:ascii="宋体" w:hAnsi="宋体" w:hint="eastAsia"/>
          <w:color w:val="000000"/>
          <w:sz w:val="24"/>
        </w:rPr>
        <w:t>1）站在城市设计的高度，注重小区内建筑与建筑之间，小区周边建筑与城市干道及其它城市环境之间的关系，从而决定建筑的形态和空间布局，实现小区内部公共空间与城市空间一体化，并通过对小区整体天际线的把握，创造出一个既和谐又具有特色的城市空间形象。</w:t>
      </w:r>
    </w:p>
    <w:p>
      <w:pPr>
        <w:spacing w:line="600" w:lineRule="exact"/>
        <w:ind w:firstLine="480" w:firstLineChars="200"/>
        <w:rPr>
          <w:rFonts w:ascii="宋体" w:hAnsi="宋体" w:hint="eastAsia"/>
          <w:color w:val="000000"/>
          <w:sz w:val="24"/>
        </w:rPr>
      </w:pPr>
      <w:r>
        <w:rPr>
          <w:rFonts w:ascii="宋体" w:hAnsi="宋体" w:hint="eastAsia"/>
          <w:color w:val="000000"/>
          <w:sz w:val="24"/>
        </w:rPr>
        <w:t>2）充分利用土地资源，在保证较低成本的情况下将规划做得较好。通过适宜的容积率，紧凑度和人口密度来形成有活力的小区。</w:t>
      </w:r>
    </w:p>
    <w:p>
      <w:pPr>
        <w:spacing w:line="600" w:lineRule="exact"/>
        <w:ind w:firstLine="480" w:firstLineChars="200"/>
        <w:rPr>
          <w:rFonts w:ascii="宋体" w:hAnsi="宋体" w:hint="eastAsia"/>
          <w:color w:val="000000"/>
          <w:sz w:val="24"/>
        </w:rPr>
      </w:pPr>
      <w:r>
        <w:rPr>
          <w:rFonts w:ascii="宋体" w:hAnsi="宋体" w:hint="eastAsia"/>
          <w:color w:val="000000"/>
          <w:sz w:val="24"/>
        </w:rPr>
        <w:t>3）小区内部规划的共享东西景观设计，强调景观层次的丰富性和共享价值尽量合理利用地块固有的景观及文化元素，合理组织景观视线通廊。</w:t>
      </w:r>
    </w:p>
    <w:p>
      <w:pPr>
        <w:spacing w:line="600" w:lineRule="exact"/>
        <w:ind w:firstLine="480" w:firstLineChars="200"/>
        <w:rPr>
          <w:rFonts w:ascii="宋体" w:hAnsi="宋体" w:hint="eastAsia"/>
          <w:color w:val="000000"/>
          <w:sz w:val="24"/>
        </w:rPr>
        <w:sectPr>
          <w:footerReference w:type="default" r:id="rId24"/>
          <w:type w:val="nextPage"/>
          <w:pgSz w:w="11906" w:h="16838"/>
          <w:pgMar w:top="1440" w:right="1287" w:bottom="1559" w:left="1797" w:header="851" w:footer="992" w:gutter="0"/>
          <w:pgNumType w:start="20"/>
          <w:cols w:num="1" w:space="720"/>
          <w:titlePg w:val="0"/>
          <w:docGrid w:type="linesAndChars" w:linePitch="312" w:charSpace="0"/>
        </w:sectPr>
      </w:pPr>
      <w:r>
        <w:rPr>
          <w:rFonts w:ascii="宋体" w:hAnsi="宋体" w:hint="eastAsia"/>
          <w:color w:val="000000"/>
          <w:sz w:val="24"/>
        </w:rPr>
        <w:t>4）设计建造一个自然和谐、独具魅力的人居环境，为居民提供配套设施现代化、居住环境生态化的一流小区。</w:t>
      </w:r>
    </w:p>
    <w:p>
      <w:pPr>
        <w:spacing w:line="600" w:lineRule="exact"/>
        <w:ind w:firstLine="480" w:firstLineChars="200"/>
        <w:rPr>
          <w:rFonts w:ascii="宋体" w:hAnsi="宋体" w:hint="eastAsia"/>
          <w:color w:val="000000"/>
          <w:sz w:val="24"/>
        </w:rPr>
      </w:pPr>
      <w:r>
        <w:rPr>
          <w:rFonts w:ascii="宋体" w:hAnsi="宋体" w:hint="eastAsia"/>
          <w:color w:val="000000"/>
          <w:sz w:val="24"/>
        </w:rPr>
        <w:t>5）确保使用功能合理：居住、活动、文化及绿化景观是居住区使用功能的主体，坚持适用、安全、经济、美观的设计原则。</w:t>
      </w:r>
    </w:p>
    <w:p>
      <w:pPr>
        <w:spacing w:line="600" w:lineRule="exact"/>
        <w:ind w:firstLine="480" w:firstLineChars="200"/>
        <w:rPr>
          <w:rFonts w:ascii="宋体" w:hAnsi="宋体" w:hint="eastAsia"/>
          <w:color w:val="000000"/>
          <w:sz w:val="24"/>
        </w:rPr>
      </w:pPr>
      <w:r>
        <w:rPr>
          <w:rFonts w:ascii="宋体" w:hAnsi="宋体" w:hint="eastAsia"/>
          <w:color w:val="000000"/>
          <w:sz w:val="24"/>
        </w:rPr>
        <w:t>6）应合理处理住宅与休闲园、环境场地之间的关系。商业、运动、休闲园及环境场地，不仅小区住户服务，还要对外经营，应具有开放性，而居住区将实行封闭式管理，私密性较强，两者在区域布置上应相对独立，避免相互干扰，并保持良好的邻里关系。根据商业集中使用的规划要求，将小区物管中心、文化活动中心、健身中心及部分公共配套，商业开发集中考虑，外形应具有特色与寓意，形成一个住宅与景观的综合体。</w:t>
      </w:r>
    </w:p>
    <w:p>
      <w:pPr>
        <w:spacing w:line="600" w:lineRule="exact"/>
        <w:ind w:firstLine="480" w:firstLineChars="200"/>
        <w:rPr>
          <w:rFonts w:ascii="宋体" w:hAnsi="宋体" w:hint="eastAsia"/>
          <w:color w:val="000000"/>
          <w:sz w:val="24"/>
        </w:rPr>
      </w:pPr>
      <w:r>
        <w:rPr>
          <w:rFonts w:ascii="宋体" w:hAnsi="宋体" w:hint="eastAsia"/>
          <w:color w:val="000000"/>
          <w:sz w:val="24"/>
        </w:rPr>
        <w:t>7）注意处理各种建筑空间的有机组合、做到公共空间的开放性，个人空间的私密性。注重小区规划布局的层次感与梯度感设计，达成和谐统一。</w:t>
      </w:r>
    </w:p>
    <w:p>
      <w:pPr>
        <w:spacing w:line="600" w:lineRule="exact"/>
        <w:ind w:firstLine="480" w:firstLineChars="200"/>
        <w:rPr>
          <w:rFonts w:ascii="宋体" w:hAnsi="宋体" w:hint="eastAsia"/>
          <w:color w:val="000000"/>
          <w:sz w:val="24"/>
        </w:rPr>
      </w:pPr>
      <w:r>
        <w:rPr>
          <w:rFonts w:ascii="宋体" w:hAnsi="宋体" w:hint="eastAsia"/>
          <w:color w:val="000000"/>
          <w:sz w:val="24"/>
        </w:rPr>
        <w:t>8）住宅群体布置要合理协调建筑物之间的相互遮挡，要满足住宅对日照、间距、自然采光、自然通风的要求。营造小区内组团绿化空间，尽量使各户型的客厅和主卧有好的景观和朝向，户户有良好的朝向。</w:t>
      </w:r>
    </w:p>
    <w:p>
      <w:pPr>
        <w:spacing w:line="600" w:lineRule="exact"/>
        <w:ind w:firstLine="480" w:firstLineChars="200"/>
        <w:rPr>
          <w:rFonts w:ascii="宋体" w:hAnsi="宋体" w:hint="eastAsia"/>
          <w:color w:val="000000"/>
          <w:sz w:val="24"/>
        </w:rPr>
      </w:pPr>
      <w:r>
        <w:rPr>
          <w:rFonts w:ascii="宋体" w:hAnsi="宋体" w:hint="eastAsia"/>
          <w:color w:val="000000"/>
          <w:sz w:val="24"/>
        </w:rPr>
        <w:t>9）建立有层次的便捷的交通道路系统，合理组织车流人流，并有效做到人车分流，简明的布局与合理的功能分区相结合。</w:t>
      </w:r>
    </w:p>
    <w:p>
      <w:pPr>
        <w:spacing w:line="600" w:lineRule="exact"/>
        <w:ind w:firstLine="600"/>
        <w:rPr>
          <w:rFonts w:ascii="宋体" w:hAnsi="宋体" w:hint="eastAsia"/>
          <w:color w:val="000000"/>
          <w:sz w:val="24"/>
        </w:rPr>
      </w:pPr>
      <w:r>
        <w:rPr>
          <w:rFonts w:ascii="宋体" w:hAnsi="宋体" w:hint="eastAsia"/>
          <w:color w:val="000000"/>
          <w:sz w:val="24"/>
        </w:rPr>
        <w:t>6.4.2</w:t>
      </w:r>
      <w:r>
        <w:rPr>
          <w:rFonts w:ascii="宋体" w:hAnsi="宋体" w:hint="eastAsia"/>
          <w:b/>
          <w:color w:val="000000"/>
          <w:sz w:val="24"/>
        </w:rPr>
        <w:t>单体设计原则</w:t>
      </w:r>
    </w:p>
    <w:p>
      <w:pPr>
        <w:spacing w:line="600" w:lineRule="exact"/>
        <w:ind w:firstLine="480" w:firstLineChars="200"/>
        <w:rPr>
          <w:rFonts w:ascii="宋体" w:hAnsi="宋体" w:hint="eastAsia"/>
          <w:color w:val="000000"/>
          <w:sz w:val="24"/>
        </w:rPr>
      </w:pPr>
      <w:r>
        <w:rPr>
          <w:rFonts w:ascii="宋体" w:hAnsi="宋体" w:hint="eastAsia"/>
          <w:color w:val="000000"/>
          <w:sz w:val="24"/>
        </w:rPr>
        <w:t>1）结合项目用地特点，通过合理的规划及建筑设计手法满足用地高容积率的要求，创造出舒适，优美的人性化居住环境，它具有多元的居住空间，多层次的空间序列，多维的生活体验。</w:t>
      </w:r>
    </w:p>
    <w:p>
      <w:pPr>
        <w:spacing w:line="560" w:lineRule="exact"/>
        <w:ind w:firstLine="480" w:firstLineChars="200"/>
        <w:rPr>
          <w:rFonts w:ascii="宋体" w:hAnsi="宋体" w:hint="eastAsia"/>
          <w:color w:val="000000"/>
          <w:sz w:val="24"/>
        </w:rPr>
      </w:pPr>
      <w:r>
        <w:rPr>
          <w:rFonts w:ascii="宋体" w:hAnsi="宋体" w:hint="eastAsia"/>
          <w:color w:val="000000"/>
          <w:sz w:val="24"/>
        </w:rPr>
        <w:t>2）规划设计采用高层纯板兵营布局，解决了高容积率与舒适合理小户型设计要求之间的矛盾，并行成了住宅间宽阔的公共宜人景观沿道路设置的公共设施和商业配套，既满足了小区自身的使用需求也形成了城市的商业氛围。</w:t>
      </w:r>
    </w:p>
    <w:p>
      <w:pPr>
        <w:spacing w:line="560" w:lineRule="exact"/>
        <w:ind w:firstLine="480" w:firstLineChars="200"/>
        <w:rPr>
          <w:rFonts w:ascii="宋体" w:hAnsi="宋体" w:hint="eastAsia"/>
          <w:color w:val="000000"/>
          <w:sz w:val="24"/>
        </w:rPr>
        <w:sectPr>
          <w:footerReference w:type="default" r:id="rId25"/>
          <w:type w:val="nextPage"/>
          <w:pgSz w:w="11906" w:h="16838"/>
          <w:pgMar w:top="1440" w:right="1287" w:bottom="1559" w:left="1797" w:header="851" w:footer="992" w:gutter="0"/>
          <w:pgNumType w:start="21"/>
          <w:cols w:num="1" w:space="720"/>
          <w:titlePg w:val="0"/>
          <w:docGrid w:type="linesAndChars" w:linePitch="312" w:charSpace="0"/>
        </w:sectPr>
      </w:pPr>
      <w:r>
        <w:rPr>
          <w:rFonts w:ascii="宋体" w:hAnsi="宋体" w:hint="eastAsia"/>
          <w:color w:val="000000"/>
          <w:sz w:val="24"/>
        </w:rPr>
        <w:t>3）层次性与均好性并重的环境概念—充分考虑人工和自然、地域性和整体性的</w:t>
      </w:r>
    </w:p>
    <w:p>
      <w:pPr>
        <w:spacing w:line="560" w:lineRule="exact"/>
        <w:ind w:firstLine="600"/>
        <w:rPr>
          <w:rFonts w:ascii="宋体" w:hAnsi="宋体" w:hint="eastAsia"/>
          <w:color w:val="000000"/>
          <w:sz w:val="24"/>
        </w:rPr>
      </w:pPr>
      <w:r>
        <w:rPr>
          <w:rFonts w:ascii="宋体" w:hAnsi="宋体" w:hint="eastAsia"/>
          <w:color w:val="000000"/>
          <w:sz w:val="24"/>
        </w:rPr>
        <w:t>融合，将环境观念放在重要位置，并将环境的层次性加以明确，强调住区环境的均好性，以求营造一现代，文明，高尚，自然的居住空间。</w:t>
      </w:r>
    </w:p>
    <w:p>
      <w:pPr>
        <w:spacing w:line="560" w:lineRule="exact"/>
        <w:ind w:firstLine="600"/>
        <w:rPr>
          <w:rFonts w:ascii="宋体" w:hAnsi="宋体" w:hint="eastAsia"/>
          <w:color w:val="000000"/>
          <w:sz w:val="24"/>
        </w:rPr>
      </w:pPr>
      <w:r>
        <w:rPr>
          <w:rFonts w:ascii="宋体" w:hAnsi="宋体" w:hint="eastAsia"/>
          <w:color w:val="000000"/>
          <w:sz w:val="24"/>
        </w:rPr>
        <w:t>6.4.3</w:t>
      </w:r>
      <w:r>
        <w:rPr>
          <w:rFonts w:ascii="宋体" w:hAnsi="宋体" w:hint="eastAsia"/>
          <w:b/>
          <w:color w:val="000000"/>
          <w:sz w:val="24"/>
        </w:rPr>
        <w:t>规划设计目标</w:t>
      </w:r>
    </w:p>
    <w:p>
      <w:pPr>
        <w:spacing w:line="560" w:lineRule="exact"/>
        <w:ind w:firstLine="480" w:firstLineChars="200"/>
        <w:rPr>
          <w:rFonts w:ascii="宋体" w:hAnsi="宋体" w:hint="eastAsia"/>
          <w:color w:val="000000"/>
          <w:sz w:val="24"/>
        </w:rPr>
      </w:pPr>
      <w:r>
        <w:rPr>
          <w:rFonts w:ascii="宋体" w:hAnsi="宋体" w:hint="eastAsia"/>
          <w:color w:val="000000"/>
          <w:sz w:val="24"/>
        </w:rPr>
        <w:t>贯彻以人为本的思想，以建设生态型居住环境为规划目标，创造一个布局合理、功能齐备、交通便捷、绿意盎然、生活方便，具有文化内涵的住区。作为新世纪的现代化居住小区，规划设计及建筑单体设计应面向二十一世纪，体现</w:t>
      </w:r>
      <w:r>
        <w:rPr>
          <w:rFonts w:ascii="宋体" w:hAnsi="宋体" w:hint="eastAsia"/>
          <w:color w:val="000000"/>
          <w:sz w:val="24"/>
          <w:lang w:eastAsia="zh-CN"/>
        </w:rPr>
        <w:t>xxx</w:t>
      </w:r>
      <w:r>
        <w:rPr>
          <w:rFonts w:ascii="宋体" w:hAnsi="宋体" w:hint="eastAsia"/>
          <w:color w:val="000000"/>
          <w:sz w:val="24"/>
        </w:rPr>
        <w:t>新世纪住区发展态势。</w:t>
      </w:r>
    </w:p>
    <w:p>
      <w:pPr>
        <w:spacing w:line="560" w:lineRule="exact"/>
        <w:ind w:firstLine="480" w:firstLineChars="200"/>
        <w:rPr>
          <w:rFonts w:ascii="宋体" w:hAnsi="宋体" w:hint="eastAsia"/>
          <w:color w:val="000000"/>
          <w:sz w:val="24"/>
        </w:rPr>
      </w:pPr>
      <w:r>
        <w:rPr>
          <w:rFonts w:ascii="宋体" w:hAnsi="宋体" w:hint="eastAsia"/>
          <w:color w:val="000000"/>
          <w:sz w:val="24"/>
        </w:rPr>
        <w:t>1）创造良好的城市空间环境就这一地区而言，结合区位的地理特点及把握客户群体产品定位，目标为创造良好的城市空间环境品质，这其中包括：充满吸引和活力，安全，优雅而有序，环境优越，特征鲜明等。</w:t>
      </w:r>
    </w:p>
    <w:p>
      <w:pPr>
        <w:spacing w:line="560" w:lineRule="exact"/>
        <w:ind w:firstLine="480" w:firstLineChars="200"/>
        <w:rPr>
          <w:rFonts w:ascii="宋体" w:hAnsi="宋体" w:hint="eastAsia"/>
          <w:color w:val="000000"/>
          <w:sz w:val="24"/>
        </w:rPr>
      </w:pPr>
      <w:r>
        <w:rPr>
          <w:rFonts w:ascii="宋体" w:hAnsi="宋体" w:hint="eastAsia"/>
          <w:color w:val="000000"/>
          <w:sz w:val="24"/>
        </w:rPr>
        <w:t>2）充分利用土地资源，灵活组织开放空间形态，创造较好的小区外部空间形象及景观趣味。通过适宜的容积率，紧凑度和人口密度来形成有活力的小区，提高土地与基础设施利用的高效性。</w:t>
      </w:r>
    </w:p>
    <w:p>
      <w:pPr>
        <w:spacing w:line="560" w:lineRule="exact"/>
        <w:ind w:firstLine="480" w:firstLineChars="200"/>
        <w:rPr>
          <w:rFonts w:ascii="宋体" w:hAnsi="宋体" w:hint="eastAsia"/>
          <w:color w:val="000000"/>
          <w:sz w:val="24"/>
        </w:rPr>
      </w:pPr>
      <w:r>
        <w:rPr>
          <w:rFonts w:ascii="宋体" w:hAnsi="宋体" w:hint="eastAsia"/>
          <w:color w:val="000000"/>
          <w:sz w:val="24"/>
        </w:rPr>
        <w:t>3）规划设计目标致力于组团及邻里空间的创造。注重细节生活空间的环境质量，做好合理的功能分区，地块组团划分，从景观环境到邻里人情，打造生态的、人性的居住模式，创造良好的小区环境及社会文化效益。</w:t>
      </w:r>
    </w:p>
    <w:p>
      <w:pPr>
        <w:spacing w:line="560" w:lineRule="exact"/>
        <w:ind w:firstLine="600"/>
        <w:rPr>
          <w:rFonts w:ascii="宋体" w:hAnsi="宋体" w:hint="eastAsia"/>
          <w:color w:val="000000"/>
          <w:sz w:val="24"/>
        </w:rPr>
      </w:pPr>
      <w:r>
        <w:rPr>
          <w:rFonts w:ascii="宋体" w:hAnsi="宋体" w:hint="eastAsia"/>
          <w:color w:val="000000"/>
          <w:sz w:val="24"/>
        </w:rPr>
        <w:t>6.4.4</w:t>
      </w:r>
      <w:r>
        <w:rPr>
          <w:rFonts w:ascii="宋体" w:hAnsi="宋体" w:hint="eastAsia"/>
          <w:b/>
          <w:color w:val="000000"/>
          <w:sz w:val="24"/>
        </w:rPr>
        <w:t>建筑风格</w:t>
      </w:r>
    </w:p>
    <w:p>
      <w:pPr>
        <w:spacing w:line="580" w:lineRule="exact"/>
        <w:ind w:firstLine="480" w:firstLineChars="200"/>
        <w:rPr>
          <w:rFonts w:ascii="宋体" w:hAnsi="宋体" w:hint="eastAsia"/>
          <w:color w:val="000000"/>
          <w:sz w:val="24"/>
        </w:rPr>
      </w:pPr>
      <w:r>
        <w:rPr>
          <w:rFonts w:ascii="宋体" w:hAnsi="宋体" w:hint="eastAsia"/>
          <w:color w:val="000000"/>
          <w:sz w:val="24"/>
        </w:rPr>
        <w:t>现代简约风格，主要在建筑的平面布局、形态构成、艺术处理和手法运用等方面强调建筑形体和内部功能的配合；灵活均衡的对称构图；简洁而富有内涵的处理手法。色彩为中性偏暖加亮色的建筑色调，即整体以深灰和咖啡色为主点缀亮色相互协调。建筑材料可选用少量石材和瓷砖，以降低造价。</w:t>
      </w:r>
    </w:p>
    <w:p>
      <w:pPr>
        <w:spacing w:line="580" w:lineRule="exact"/>
        <w:ind w:firstLine="600"/>
        <w:rPr>
          <w:rFonts w:ascii="宋体" w:hAnsi="宋体" w:hint="eastAsia"/>
          <w:color w:val="000000"/>
          <w:sz w:val="24"/>
        </w:rPr>
      </w:pPr>
      <w:r>
        <w:rPr>
          <w:rFonts w:ascii="宋体" w:hAnsi="宋体" w:hint="eastAsia"/>
          <w:color w:val="000000"/>
          <w:sz w:val="24"/>
        </w:rPr>
        <w:t>6.4.5</w:t>
      </w:r>
      <w:r>
        <w:rPr>
          <w:rFonts w:ascii="宋体" w:hAnsi="宋体" w:hint="eastAsia"/>
          <w:b/>
          <w:color w:val="000000"/>
          <w:sz w:val="24"/>
        </w:rPr>
        <w:t>结构要求</w:t>
      </w:r>
    </w:p>
    <w:p>
      <w:pPr>
        <w:spacing w:line="580" w:lineRule="exact"/>
        <w:ind w:firstLine="480" w:firstLineChars="200"/>
        <w:rPr>
          <w:rFonts w:ascii="宋体" w:hAnsi="宋体" w:hint="eastAsia"/>
          <w:color w:val="000000"/>
          <w:sz w:val="24"/>
        </w:rPr>
        <w:sectPr>
          <w:footerReference w:type="default" r:id="rId26"/>
          <w:type w:val="nextPage"/>
          <w:pgSz w:w="11906" w:h="16838"/>
          <w:pgMar w:top="1440" w:right="1287" w:bottom="1559" w:left="1797" w:header="851" w:footer="992" w:gutter="0"/>
          <w:pgNumType w:start="22"/>
          <w:cols w:num="1" w:space="720"/>
          <w:titlePg w:val="0"/>
          <w:docGrid w:type="linesAndChars" w:linePitch="312" w:charSpace="0"/>
        </w:sectPr>
      </w:pPr>
      <w:r>
        <w:rPr>
          <w:rFonts w:ascii="宋体" w:hAnsi="宋体" w:hint="eastAsia"/>
          <w:color w:val="000000"/>
          <w:sz w:val="24"/>
        </w:rPr>
        <w:t>住宅小高层主要以剪力墙结构为主，高层点式楼采用框架与剪力墙结合的结构设计需按建筑设计提交专业说明。设计必须全面考虑，符合现行规范要求标准。</w:t>
      </w:r>
    </w:p>
    <w:p>
      <w:pPr>
        <w:spacing w:line="580" w:lineRule="exact"/>
        <w:ind w:firstLine="600"/>
        <w:rPr>
          <w:rFonts w:ascii="宋体" w:hAnsi="宋体" w:hint="eastAsia"/>
          <w:color w:val="000000"/>
          <w:sz w:val="24"/>
        </w:rPr>
      </w:pPr>
      <w:r>
        <w:rPr>
          <w:rFonts w:ascii="宋体" w:hAnsi="宋体" w:hint="eastAsia"/>
          <w:color w:val="000000"/>
          <w:sz w:val="24"/>
        </w:rPr>
        <w:t>6.4.6</w:t>
      </w:r>
      <w:r>
        <w:rPr>
          <w:rFonts w:ascii="宋体" w:hAnsi="宋体" w:hint="eastAsia"/>
          <w:b/>
          <w:color w:val="000000"/>
          <w:sz w:val="24"/>
        </w:rPr>
        <w:t xml:space="preserve">供水排水    </w:t>
      </w:r>
    </w:p>
    <w:p>
      <w:pPr>
        <w:spacing w:line="580" w:lineRule="exact"/>
        <w:ind w:firstLine="480" w:firstLineChars="200"/>
        <w:rPr>
          <w:rFonts w:ascii="宋体" w:hAnsi="宋体" w:hint="eastAsia"/>
          <w:color w:val="000000"/>
          <w:sz w:val="24"/>
        </w:rPr>
      </w:pPr>
      <w:r>
        <w:rPr>
          <w:rFonts w:ascii="宋体" w:hAnsi="宋体" w:hint="eastAsia"/>
          <w:color w:val="000000"/>
          <w:sz w:val="24"/>
        </w:rPr>
        <w:t>水源为城市自来水管网，进水管径为DN200—DN800，由小区预留口接入，并按住宅建筑给排水工程设计规范要求设计如下：</w:t>
      </w:r>
    </w:p>
    <w:p>
      <w:pPr>
        <w:spacing w:line="580" w:lineRule="exact"/>
        <w:ind w:firstLine="360" w:firstLineChars="150"/>
        <w:rPr>
          <w:rFonts w:ascii="宋体" w:hAnsi="宋体" w:hint="eastAsia"/>
          <w:color w:val="000000"/>
          <w:sz w:val="24"/>
        </w:rPr>
      </w:pPr>
      <w:r>
        <w:rPr>
          <w:rFonts w:ascii="宋体" w:hAnsi="宋体" w:hint="eastAsia"/>
          <w:color w:val="000000"/>
          <w:sz w:val="24"/>
        </w:rPr>
        <w:t>1）用水标准和用水量。住宅生活用水：140公升／人·日，K=1.4；初步估算，住宅生活用水及消防用水每天约800立方米。</w:t>
      </w:r>
    </w:p>
    <w:p>
      <w:pPr>
        <w:spacing w:line="580" w:lineRule="exact"/>
        <w:ind w:firstLine="360" w:firstLineChars="150"/>
        <w:rPr>
          <w:rFonts w:ascii="宋体" w:hAnsi="宋体" w:hint="eastAsia"/>
          <w:color w:val="000000"/>
          <w:sz w:val="24"/>
        </w:rPr>
      </w:pPr>
      <w:r>
        <w:rPr>
          <w:rFonts w:ascii="宋体" w:hAnsi="宋体" w:hint="eastAsia"/>
          <w:color w:val="000000"/>
          <w:sz w:val="24"/>
        </w:rPr>
        <w:t>2）给水。</w:t>
      </w:r>
    </w:p>
    <w:p>
      <w:pPr>
        <w:spacing w:line="580" w:lineRule="exact"/>
        <w:ind w:firstLine="240" w:firstLineChars="100"/>
        <w:rPr>
          <w:rFonts w:ascii="宋体" w:hAnsi="宋体" w:hint="eastAsia"/>
          <w:color w:val="000000"/>
          <w:sz w:val="24"/>
        </w:rPr>
      </w:pPr>
      <w:r>
        <w:rPr>
          <w:rFonts w:ascii="宋体" w:hAnsi="宋体" w:hint="eastAsia"/>
          <w:color w:val="000000"/>
          <w:sz w:val="24"/>
        </w:rPr>
        <w:t>（1)设300方米消防水池1个，装通用消防水泵4台，自动消防水泵4台。在住宅屋顶设单元屋顶水箱(每单元一个)。</w:t>
      </w:r>
    </w:p>
    <w:p>
      <w:pPr>
        <w:spacing w:line="580" w:lineRule="exact"/>
        <w:ind w:firstLine="240" w:firstLineChars="100"/>
        <w:rPr>
          <w:rFonts w:ascii="宋体" w:hAnsi="宋体" w:hint="eastAsia"/>
          <w:color w:val="000000"/>
          <w:sz w:val="24"/>
        </w:rPr>
      </w:pPr>
      <w:r>
        <w:rPr>
          <w:rFonts w:ascii="宋体" w:hAnsi="宋体" w:hint="eastAsia"/>
          <w:color w:val="000000"/>
          <w:sz w:val="24"/>
        </w:rPr>
        <w:t>（2)城市自来水进水管不小于DNl50，设一组水表装置。</w:t>
      </w:r>
    </w:p>
    <w:p>
      <w:pPr>
        <w:spacing w:line="580" w:lineRule="exact"/>
        <w:ind w:firstLine="480" w:firstLineChars="200"/>
        <w:rPr>
          <w:rFonts w:ascii="宋体" w:hAnsi="宋体" w:hint="eastAsia"/>
          <w:color w:val="000000"/>
          <w:sz w:val="24"/>
        </w:rPr>
      </w:pPr>
      <w:r>
        <w:rPr>
          <w:rFonts w:ascii="宋体" w:hAnsi="宋体" w:hint="eastAsia"/>
          <w:color w:val="000000"/>
          <w:sz w:val="24"/>
        </w:rPr>
        <w:t>3）室内给水和消防给水系统。</w:t>
      </w:r>
    </w:p>
    <w:p>
      <w:pPr>
        <w:spacing w:line="580" w:lineRule="exact"/>
        <w:ind w:firstLine="240" w:firstLineChars="100"/>
        <w:rPr>
          <w:rFonts w:ascii="宋体" w:hAnsi="宋体" w:hint="eastAsia"/>
          <w:color w:val="000000"/>
          <w:sz w:val="24"/>
        </w:rPr>
      </w:pPr>
      <w:r>
        <w:rPr>
          <w:rFonts w:ascii="宋体" w:hAnsi="宋体" w:hint="eastAsia"/>
          <w:color w:val="000000"/>
          <w:sz w:val="24"/>
        </w:rPr>
        <w:t>（1)室内生活给水：4层以上屋顶水箱给水，1～3层由城市压力供水，采用下行上给式供水系统。</w:t>
      </w:r>
    </w:p>
    <w:p>
      <w:pPr>
        <w:spacing w:line="580" w:lineRule="exact"/>
        <w:ind w:firstLine="240" w:firstLineChars="100"/>
        <w:rPr>
          <w:rFonts w:ascii="宋体" w:hAnsi="宋体" w:hint="eastAsia"/>
          <w:color w:val="000000"/>
          <w:sz w:val="24"/>
        </w:rPr>
      </w:pPr>
      <w:r>
        <w:rPr>
          <w:rFonts w:ascii="宋体" w:hAnsi="宋体" w:hint="eastAsia"/>
          <w:color w:val="000000"/>
          <w:sz w:val="24"/>
        </w:rPr>
        <w:t>（2)普通消防供水系统：由上行、下行、水平供水干管和竖管组成水平和立环供水系统。</w:t>
      </w:r>
    </w:p>
    <w:p>
      <w:pPr>
        <w:spacing w:line="580" w:lineRule="exact"/>
        <w:ind w:firstLine="360" w:firstLineChars="150"/>
        <w:rPr>
          <w:rFonts w:ascii="宋体" w:hAnsi="宋体" w:hint="eastAsia"/>
          <w:color w:val="000000"/>
          <w:sz w:val="24"/>
        </w:rPr>
      </w:pPr>
      <w:r>
        <w:rPr>
          <w:rFonts w:ascii="宋体" w:hAnsi="宋体" w:hint="eastAsia"/>
          <w:color w:val="000000"/>
          <w:sz w:val="24"/>
        </w:rPr>
        <w:t>4）室内外排水。</w:t>
      </w:r>
    </w:p>
    <w:p>
      <w:pPr>
        <w:spacing w:line="560" w:lineRule="exact"/>
        <w:ind w:firstLine="240" w:firstLineChars="100"/>
        <w:rPr>
          <w:rFonts w:ascii="宋体" w:hAnsi="宋体" w:hint="eastAsia"/>
          <w:color w:val="000000"/>
          <w:sz w:val="24"/>
        </w:rPr>
      </w:pPr>
      <w:r>
        <w:rPr>
          <w:rFonts w:ascii="宋体" w:hAnsi="宋体" w:hint="eastAsia"/>
          <w:color w:val="000000"/>
          <w:sz w:val="24"/>
        </w:rPr>
        <w:t>（1)室内污水排放量按供水量的85％—90％估算，约400 立方，内排水需经室外化粪池处理后，进入城市排污管网。</w:t>
      </w:r>
    </w:p>
    <w:p>
      <w:pPr>
        <w:spacing w:line="560" w:lineRule="exact"/>
        <w:ind w:firstLine="240" w:firstLineChars="100"/>
        <w:rPr>
          <w:rFonts w:ascii="宋体" w:hAnsi="宋体" w:hint="eastAsia"/>
          <w:color w:val="000000"/>
          <w:sz w:val="24"/>
        </w:rPr>
      </w:pPr>
      <w:r>
        <w:rPr>
          <w:rFonts w:ascii="宋体" w:hAnsi="宋体" w:hint="eastAsia"/>
          <w:color w:val="000000"/>
          <w:sz w:val="24"/>
        </w:rPr>
        <w:t>（2)室外雨水按清污分流制排人城市排水管网系统，雨水量按</w:t>
      </w:r>
      <w:r>
        <w:rPr>
          <w:rFonts w:ascii="宋体" w:hAnsi="宋体" w:hint="eastAsia"/>
          <w:color w:val="000000"/>
          <w:sz w:val="24"/>
          <w:lang w:eastAsia="zh-CN"/>
        </w:rPr>
        <w:t>xxx</w:t>
      </w:r>
      <w:r>
        <w:rPr>
          <w:rFonts w:ascii="宋体" w:hAnsi="宋体" w:hint="eastAsia"/>
          <w:color w:val="000000"/>
          <w:sz w:val="24"/>
        </w:rPr>
        <w:t>地区暴雨强度公式计算。</w:t>
      </w:r>
    </w:p>
    <w:p>
      <w:pPr>
        <w:spacing w:line="560" w:lineRule="exact"/>
        <w:ind w:firstLine="600"/>
        <w:rPr>
          <w:rFonts w:ascii="宋体" w:hAnsi="宋体" w:hint="eastAsia"/>
          <w:color w:val="000000"/>
          <w:sz w:val="24"/>
        </w:rPr>
      </w:pPr>
      <w:r>
        <w:rPr>
          <w:rFonts w:ascii="宋体" w:hAnsi="宋体" w:hint="eastAsia"/>
          <w:color w:val="000000"/>
          <w:sz w:val="24"/>
        </w:rPr>
        <w:t>6.4.7</w:t>
      </w:r>
      <w:r>
        <w:rPr>
          <w:rFonts w:ascii="宋体" w:hAnsi="宋体" w:hint="eastAsia"/>
          <w:b/>
          <w:color w:val="000000"/>
          <w:sz w:val="24"/>
        </w:rPr>
        <w:t>供电</w:t>
      </w:r>
    </w:p>
    <w:p>
      <w:pPr>
        <w:spacing w:line="560" w:lineRule="exact"/>
        <w:ind w:firstLine="600"/>
        <w:rPr>
          <w:rFonts w:ascii="宋体" w:hAnsi="宋体" w:hint="eastAsia"/>
          <w:color w:val="000000"/>
          <w:sz w:val="24"/>
        </w:rPr>
      </w:pPr>
      <w:r>
        <w:rPr>
          <w:rFonts w:ascii="宋体" w:hAnsi="宋体" w:hint="eastAsia"/>
          <w:color w:val="000000"/>
          <w:sz w:val="24"/>
        </w:rPr>
        <w:t>1、供配电系统。</w:t>
      </w:r>
    </w:p>
    <w:p>
      <w:pPr>
        <w:spacing w:line="560" w:lineRule="exact"/>
        <w:ind w:firstLine="480" w:firstLineChars="200"/>
        <w:rPr>
          <w:rFonts w:ascii="宋体" w:hAnsi="宋体" w:hint="eastAsia"/>
          <w:color w:val="000000"/>
          <w:sz w:val="24"/>
        </w:rPr>
      </w:pPr>
      <w:r>
        <w:rPr>
          <w:rFonts w:ascii="宋体" w:hAnsi="宋体" w:hint="eastAsia"/>
          <w:color w:val="000000"/>
          <w:sz w:val="24"/>
        </w:rPr>
        <w:t>1)负荷等级：工程消防用电设备、设备机房、小区道路照明、生活泵等为二级负荷，其余负荷为三级。</w:t>
      </w:r>
    </w:p>
    <w:p>
      <w:pPr>
        <w:spacing w:line="560" w:lineRule="exact"/>
        <w:ind w:firstLine="480" w:firstLineChars="200"/>
        <w:rPr>
          <w:rFonts w:ascii="宋体" w:hAnsi="宋体" w:hint="eastAsia"/>
          <w:color w:val="000000"/>
          <w:sz w:val="24"/>
        </w:rPr>
        <w:sectPr>
          <w:footerReference w:type="default" r:id="rId27"/>
          <w:type w:val="nextPage"/>
          <w:pgSz w:w="11906" w:h="16838"/>
          <w:pgMar w:top="1440" w:right="1287" w:bottom="1559" w:left="1797" w:header="851" w:footer="992" w:gutter="0"/>
          <w:pgNumType w:start="23"/>
          <w:cols w:num="1" w:space="720"/>
          <w:titlePg w:val="0"/>
          <w:docGrid w:type="linesAndChars" w:linePitch="312" w:charSpace="0"/>
        </w:sectPr>
      </w:pPr>
      <w:r>
        <w:rPr>
          <w:rFonts w:ascii="宋体" w:hAnsi="宋体" w:hint="eastAsia"/>
          <w:color w:val="000000"/>
          <w:sz w:val="24"/>
        </w:rPr>
        <w:t>2)供电电源及电压：供电电压为10kV电源，从区内配电室增容后接出。</w:t>
      </w:r>
    </w:p>
    <w:p>
      <w:pPr>
        <w:spacing w:line="560" w:lineRule="exact"/>
        <w:ind w:firstLine="480" w:firstLineChars="200"/>
        <w:rPr>
          <w:rFonts w:ascii="宋体" w:hAnsi="宋体" w:hint="eastAsia"/>
          <w:color w:val="000000"/>
          <w:sz w:val="24"/>
        </w:rPr>
      </w:pPr>
      <w:r>
        <w:rPr>
          <w:rFonts w:ascii="宋体" w:hAnsi="宋体" w:hint="eastAsia"/>
          <w:color w:val="000000"/>
          <w:sz w:val="24"/>
        </w:rPr>
        <w:t>3)主要电力供应指标：设备容量6500kW，计算负荷2166kW，变压器总装机容量2400kV·A。区内配电室变压器装机容量为2X1200kV·A。</w:t>
      </w:r>
    </w:p>
    <w:p>
      <w:pPr>
        <w:spacing w:line="560" w:lineRule="exact"/>
        <w:ind w:firstLine="480" w:firstLineChars="200"/>
        <w:rPr>
          <w:rFonts w:ascii="宋体" w:hAnsi="宋体" w:hint="eastAsia"/>
          <w:color w:val="000000"/>
          <w:sz w:val="24"/>
        </w:rPr>
      </w:pPr>
      <w:r>
        <w:rPr>
          <w:rFonts w:ascii="宋体" w:hAnsi="宋体" w:hint="eastAsia"/>
          <w:color w:val="000000"/>
          <w:sz w:val="24"/>
        </w:rPr>
        <w:t>4)计量方式：l0kV系统进线设专用计量柜，住宅每户设专用磁卡式分户电表。</w:t>
      </w:r>
    </w:p>
    <w:p>
      <w:pPr>
        <w:spacing w:line="560" w:lineRule="exact"/>
        <w:ind w:firstLine="480" w:firstLineChars="200"/>
        <w:rPr>
          <w:rFonts w:ascii="宋体" w:hAnsi="宋体" w:hint="eastAsia"/>
          <w:color w:val="000000"/>
          <w:sz w:val="24"/>
        </w:rPr>
      </w:pPr>
      <w:r>
        <w:rPr>
          <w:rFonts w:ascii="宋体" w:hAnsi="宋体" w:hint="eastAsia"/>
          <w:color w:val="000000"/>
          <w:sz w:val="24"/>
        </w:rPr>
        <w:t>2、照明及电力设计。</w:t>
      </w:r>
    </w:p>
    <w:p>
      <w:pPr>
        <w:spacing w:line="560" w:lineRule="exact"/>
        <w:ind w:firstLine="480" w:firstLineChars="200"/>
        <w:rPr>
          <w:rFonts w:ascii="宋体" w:hAnsi="宋体" w:hint="eastAsia"/>
          <w:color w:val="000000"/>
          <w:sz w:val="24"/>
        </w:rPr>
      </w:pPr>
      <w:r>
        <w:rPr>
          <w:rFonts w:ascii="宋体" w:hAnsi="宋体" w:hint="eastAsia"/>
          <w:color w:val="000000"/>
          <w:sz w:val="24"/>
        </w:rPr>
        <w:t>1)配电方式：二级负荷按设备功能分组，由不同母线段供出回路，到末端配电箱后对其供电；三级负荷为单回路供电；每户户内设分户箱，按5kW／户计算。</w:t>
      </w:r>
    </w:p>
    <w:p>
      <w:pPr>
        <w:spacing w:line="560" w:lineRule="exact"/>
        <w:ind w:firstLine="600" w:firstLineChars="250"/>
        <w:rPr>
          <w:rFonts w:ascii="宋体" w:hAnsi="宋体" w:hint="eastAsia"/>
          <w:color w:val="000000"/>
          <w:sz w:val="24"/>
        </w:rPr>
      </w:pPr>
      <w:r>
        <w:rPr>
          <w:rFonts w:ascii="宋体" w:hAnsi="宋体" w:hint="eastAsia"/>
          <w:color w:val="000000"/>
          <w:sz w:val="24"/>
        </w:rPr>
        <w:t>2)照明设计：有正常照明、应急照明和小区室外景观照明。照度标准按国家标准GB 133—90的中值选取。主要光源为节能型荧光灯，住宅预留灯位，由用户装修选定。在公用建筑疏散楼梯口、车道等位置，设安全出口标志灯；在通道及转弯处，设疏散标志灯。</w:t>
      </w:r>
    </w:p>
    <w:p>
      <w:pPr>
        <w:spacing w:line="560" w:lineRule="exact"/>
        <w:ind w:firstLine="600"/>
        <w:rPr>
          <w:rFonts w:ascii="宋体" w:hAnsi="宋体" w:hint="eastAsia"/>
          <w:color w:val="000000"/>
          <w:sz w:val="24"/>
        </w:rPr>
      </w:pPr>
      <w:r>
        <w:rPr>
          <w:rFonts w:ascii="宋体" w:hAnsi="宋体" w:hint="eastAsia"/>
          <w:color w:val="000000"/>
          <w:sz w:val="24"/>
        </w:rPr>
        <w:t>6.4.8</w:t>
      </w:r>
      <w:r>
        <w:rPr>
          <w:rFonts w:ascii="宋体" w:hAnsi="宋体" w:hint="eastAsia"/>
          <w:b/>
          <w:color w:val="000000"/>
          <w:sz w:val="24"/>
        </w:rPr>
        <w:t>弱电设计</w:t>
      </w:r>
    </w:p>
    <w:p>
      <w:pPr>
        <w:spacing w:line="560" w:lineRule="exact"/>
        <w:ind w:firstLine="360" w:firstLineChars="150"/>
        <w:rPr>
          <w:rFonts w:ascii="宋体" w:hAnsi="宋体" w:hint="eastAsia"/>
          <w:color w:val="000000"/>
          <w:sz w:val="24"/>
        </w:rPr>
      </w:pPr>
      <w:r>
        <w:rPr>
          <w:rFonts w:ascii="宋体" w:hAnsi="宋体" w:hint="eastAsia"/>
          <w:color w:val="000000"/>
          <w:sz w:val="24"/>
        </w:rPr>
        <w:t>小区通信线路由</w:t>
      </w:r>
      <w:r>
        <w:rPr>
          <w:rFonts w:ascii="宋体" w:hAnsi="宋体" w:hint="eastAsia"/>
          <w:color w:val="000000"/>
          <w:sz w:val="24"/>
          <w:lang w:eastAsia="zh-CN"/>
        </w:rPr>
        <w:t>xxx</w:t>
      </w:r>
      <w:r>
        <w:rPr>
          <w:rFonts w:ascii="宋体" w:hAnsi="宋体" w:hint="eastAsia"/>
          <w:color w:val="000000"/>
          <w:sz w:val="24"/>
        </w:rPr>
        <w:t>话网直接引入、数据语音均采用lOOMbid高速传输方式，用五类传输线；小区范围内设保安监控报警系统。出入口及重要部位设置摄像机、进行监控报警；小区有线电视系统由</w:t>
      </w:r>
      <w:r>
        <w:rPr>
          <w:rFonts w:ascii="宋体" w:hAnsi="宋体" w:hint="eastAsia"/>
          <w:color w:val="000000"/>
          <w:sz w:val="24"/>
          <w:lang w:eastAsia="zh-CN"/>
        </w:rPr>
        <w:t>xxx</w:t>
      </w:r>
      <w:r>
        <w:rPr>
          <w:rFonts w:ascii="宋体" w:hAnsi="宋体" w:hint="eastAsia"/>
          <w:color w:val="000000"/>
          <w:sz w:val="24"/>
        </w:rPr>
        <w:t>广电局光纤电视网引入，每用户设2～3个电视用户盒。</w:t>
      </w:r>
    </w:p>
    <w:p>
      <w:pPr>
        <w:spacing w:line="560" w:lineRule="exact"/>
        <w:ind w:firstLine="600"/>
        <w:rPr>
          <w:rFonts w:ascii="宋体" w:hAnsi="宋体" w:hint="eastAsia"/>
          <w:color w:val="000000"/>
          <w:sz w:val="24"/>
        </w:rPr>
      </w:pPr>
      <w:r>
        <w:rPr>
          <w:rFonts w:ascii="宋体" w:hAnsi="宋体" w:hint="eastAsia"/>
          <w:color w:val="000000"/>
          <w:sz w:val="24"/>
        </w:rPr>
        <w:t>6.4.9</w:t>
      </w:r>
      <w:r>
        <w:rPr>
          <w:rFonts w:ascii="宋体" w:hAnsi="宋体" w:hint="eastAsia"/>
          <w:b/>
          <w:color w:val="000000"/>
          <w:sz w:val="24"/>
        </w:rPr>
        <w:t>供暖、消防</w:t>
      </w:r>
    </w:p>
    <w:p>
      <w:pPr>
        <w:spacing w:line="580" w:lineRule="exact"/>
        <w:ind w:firstLine="480" w:firstLineChars="200"/>
        <w:rPr>
          <w:rFonts w:ascii="宋体" w:hAnsi="宋体" w:hint="eastAsia"/>
          <w:color w:val="000000"/>
          <w:sz w:val="24"/>
        </w:rPr>
      </w:pPr>
      <w:r>
        <w:rPr>
          <w:rFonts w:ascii="宋体" w:hAnsi="宋体" w:hint="eastAsia"/>
          <w:color w:val="000000"/>
          <w:sz w:val="24"/>
        </w:rPr>
        <w:t>采用壁挂炉单户供热方式。预留集中供热管道井，，小区预留口接入。建筑物周围设环形消防通道，利用建筑四周城市道路系统，为消防补救提供有利的交通应急条件；小区室外按规范设消火栓；根据小区消防用水量设消防水池(花园水池及消防两用)，按规定要求储存充足水量，以满足消防的要求。</w:t>
      </w:r>
    </w:p>
    <w:p>
      <w:pPr>
        <w:spacing w:line="580" w:lineRule="exact"/>
        <w:ind w:firstLine="703"/>
        <w:rPr>
          <w:rFonts w:ascii="宋体" w:hAnsi="宋体" w:hint="eastAsia"/>
          <w:b/>
          <w:color w:val="000000"/>
          <w:sz w:val="28"/>
          <w:szCs w:val="28"/>
        </w:rPr>
      </w:pPr>
      <w:r>
        <w:rPr>
          <w:rFonts w:ascii="宋体" w:hAnsi="宋体" w:hint="eastAsia"/>
          <w:b/>
          <w:color w:val="000000"/>
          <w:sz w:val="28"/>
          <w:szCs w:val="28"/>
        </w:rPr>
        <w:t>6.5</w:t>
      </w:r>
      <w:r>
        <w:rPr>
          <w:rFonts w:ascii="宋体" w:hAnsi="宋体" w:hint="eastAsia"/>
          <w:b/>
          <w:bCs/>
          <w:color w:val="000000"/>
          <w:sz w:val="28"/>
          <w:szCs w:val="28"/>
        </w:rPr>
        <w:t xml:space="preserve">  户型设计原则</w:t>
      </w:r>
    </w:p>
    <w:p>
      <w:pPr>
        <w:spacing w:line="580" w:lineRule="exact"/>
        <w:ind w:firstLine="600"/>
        <w:rPr>
          <w:rFonts w:ascii="宋体" w:hAnsi="宋体" w:hint="eastAsia"/>
          <w:color w:val="000000"/>
          <w:sz w:val="24"/>
        </w:rPr>
      </w:pPr>
      <w:r>
        <w:rPr>
          <w:rFonts w:ascii="宋体" w:hAnsi="宋体" w:hint="eastAsia"/>
          <w:color w:val="000000"/>
          <w:sz w:val="24"/>
        </w:rPr>
        <w:t>6.5.1</w:t>
      </w:r>
      <w:r>
        <w:rPr>
          <w:rFonts w:ascii="宋体" w:hAnsi="宋体" w:hint="eastAsia"/>
          <w:b/>
          <w:color w:val="000000"/>
          <w:sz w:val="24"/>
        </w:rPr>
        <w:t>户型设计原则</w:t>
      </w:r>
    </w:p>
    <w:p>
      <w:pPr>
        <w:spacing w:line="580" w:lineRule="exact"/>
        <w:ind w:firstLine="600" w:firstLineChars="250"/>
        <w:rPr>
          <w:rFonts w:ascii="宋体" w:hAnsi="宋体" w:hint="eastAsia"/>
          <w:color w:val="000000"/>
          <w:sz w:val="24"/>
        </w:rPr>
        <w:sectPr>
          <w:footerReference w:type="default" r:id="rId28"/>
          <w:type w:val="nextPage"/>
          <w:pgSz w:w="11906" w:h="16838"/>
          <w:pgMar w:top="1440" w:right="1287" w:bottom="1559" w:left="1797" w:header="851" w:footer="992" w:gutter="0"/>
          <w:pgNumType w:start="24"/>
          <w:cols w:num="1" w:space="720"/>
          <w:titlePg w:val="0"/>
          <w:docGrid w:type="linesAndChars" w:linePitch="312" w:charSpace="0"/>
        </w:sectPr>
      </w:pPr>
      <w:r>
        <w:rPr>
          <w:rFonts w:ascii="宋体" w:hAnsi="宋体" w:hint="eastAsia"/>
          <w:color w:val="000000"/>
          <w:sz w:val="24"/>
        </w:rPr>
        <w:t>1）遵循以实用为本设计原则。</w:t>
      </w:r>
    </w:p>
    <w:p>
      <w:pPr>
        <w:spacing w:line="580" w:lineRule="exact"/>
        <w:ind w:firstLine="600" w:firstLineChars="250"/>
        <w:rPr>
          <w:rFonts w:ascii="宋体" w:hAnsi="宋体" w:hint="eastAsia"/>
          <w:color w:val="000000"/>
          <w:sz w:val="24"/>
        </w:rPr>
      </w:pPr>
      <w:r>
        <w:rPr>
          <w:rFonts w:ascii="宋体" w:hAnsi="宋体" w:hint="eastAsia"/>
          <w:color w:val="000000"/>
          <w:sz w:val="24"/>
        </w:rPr>
        <w:t>2）遵循大客厅、小卧室设计原则；客厅及主卧可采用落地玻窗，增大采光及景观面。</w:t>
      </w:r>
    </w:p>
    <w:p>
      <w:pPr>
        <w:spacing w:line="580" w:lineRule="exact"/>
        <w:ind w:firstLine="600" w:firstLineChars="250"/>
        <w:rPr>
          <w:rFonts w:ascii="宋体" w:hAnsi="宋体" w:hint="eastAsia"/>
          <w:color w:val="000000"/>
          <w:sz w:val="24"/>
        </w:rPr>
      </w:pPr>
      <w:r>
        <w:rPr>
          <w:rFonts w:ascii="宋体" w:hAnsi="宋体" w:hint="eastAsia"/>
          <w:color w:val="000000"/>
          <w:sz w:val="24"/>
        </w:rPr>
        <w:t>3）客厅及主卧要有良好的朝向及景观。客厅及卧室要避免噪音的干扰。</w:t>
      </w:r>
    </w:p>
    <w:p>
      <w:pPr>
        <w:spacing w:line="580" w:lineRule="exact"/>
        <w:ind w:firstLine="600" w:firstLineChars="250"/>
        <w:rPr>
          <w:rFonts w:ascii="宋体" w:hAnsi="宋体" w:hint="eastAsia"/>
          <w:color w:val="000000"/>
          <w:sz w:val="24"/>
        </w:rPr>
      </w:pPr>
      <w:r>
        <w:rPr>
          <w:rFonts w:ascii="宋体" w:hAnsi="宋体" w:hint="eastAsia"/>
          <w:color w:val="000000"/>
          <w:sz w:val="24"/>
        </w:rPr>
        <w:t>4）主要房间要避免对视的出现。厅房要有自然采光、通风；</w:t>
      </w:r>
    </w:p>
    <w:p>
      <w:pPr>
        <w:spacing w:line="580" w:lineRule="exact"/>
        <w:ind w:firstLine="600" w:firstLineChars="250"/>
        <w:rPr>
          <w:rFonts w:ascii="宋体" w:hAnsi="宋体" w:hint="eastAsia"/>
          <w:color w:val="000000"/>
          <w:sz w:val="24"/>
        </w:rPr>
      </w:pPr>
      <w:r>
        <w:rPr>
          <w:rFonts w:ascii="宋体" w:hAnsi="宋体" w:hint="eastAsia"/>
          <w:color w:val="000000"/>
          <w:sz w:val="24"/>
        </w:rPr>
        <w:t>5）设备管线尽量靠建筑物内侧设置，保障建筑立面美观整洁。</w:t>
      </w:r>
    </w:p>
    <w:p>
      <w:pPr>
        <w:spacing w:line="580" w:lineRule="exact"/>
        <w:ind w:firstLine="600" w:firstLineChars="250"/>
        <w:rPr>
          <w:rFonts w:ascii="宋体" w:hAnsi="宋体" w:hint="eastAsia"/>
          <w:color w:val="000000"/>
          <w:sz w:val="24"/>
        </w:rPr>
      </w:pPr>
      <w:r>
        <w:rPr>
          <w:rFonts w:ascii="宋体" w:hAnsi="宋体" w:hint="eastAsia"/>
          <w:color w:val="000000"/>
          <w:sz w:val="24"/>
        </w:rPr>
        <w:t>6）入口处预留鞋柜位，尽可能考虑设置玄关位。</w:t>
      </w:r>
    </w:p>
    <w:p>
      <w:pPr>
        <w:spacing w:line="580" w:lineRule="exact"/>
        <w:ind w:firstLine="600" w:firstLineChars="250"/>
        <w:rPr>
          <w:rFonts w:ascii="宋体" w:hAnsi="宋体" w:hint="eastAsia"/>
          <w:color w:val="000000"/>
          <w:sz w:val="24"/>
        </w:rPr>
      </w:pPr>
      <w:r>
        <w:rPr>
          <w:rFonts w:ascii="宋体" w:hAnsi="宋体" w:hint="eastAsia"/>
          <w:color w:val="000000"/>
          <w:sz w:val="24"/>
        </w:rPr>
        <w:t>7）每户考虑尽量设置两个阳台，分生活阳台和工作阳台。</w:t>
      </w:r>
    </w:p>
    <w:p>
      <w:pPr>
        <w:spacing w:line="580" w:lineRule="exact"/>
        <w:ind w:firstLine="600" w:firstLineChars="250"/>
        <w:rPr>
          <w:rFonts w:ascii="宋体" w:hAnsi="宋体" w:hint="eastAsia"/>
          <w:color w:val="000000"/>
          <w:sz w:val="24"/>
        </w:rPr>
      </w:pPr>
      <w:r>
        <w:rPr>
          <w:rFonts w:ascii="宋体" w:hAnsi="宋体" w:hint="eastAsia"/>
          <w:color w:val="000000"/>
          <w:sz w:val="24"/>
        </w:rPr>
        <w:t>8）户型创新的同时，要尽可能地完善普通户型结构，做到方正、实用、通风采光好、并且尽可能提高实用率。</w:t>
      </w:r>
    </w:p>
    <w:p>
      <w:pPr>
        <w:spacing w:line="580" w:lineRule="exact"/>
        <w:ind w:firstLine="600"/>
        <w:rPr>
          <w:rFonts w:ascii="宋体" w:hAnsi="宋体" w:hint="eastAsia"/>
          <w:color w:val="000000"/>
          <w:sz w:val="24"/>
        </w:rPr>
      </w:pPr>
      <w:r>
        <w:rPr>
          <w:rFonts w:ascii="宋体" w:hAnsi="宋体" w:hint="eastAsia"/>
          <w:color w:val="000000"/>
          <w:sz w:val="24"/>
        </w:rPr>
        <w:t>6.5.2</w:t>
      </w:r>
      <w:r>
        <w:rPr>
          <w:rFonts w:ascii="宋体" w:hAnsi="宋体" w:hint="eastAsia"/>
          <w:b/>
          <w:color w:val="000000"/>
          <w:sz w:val="24"/>
        </w:rPr>
        <w:t>户型设计方案</w:t>
      </w:r>
    </w:p>
    <w:p>
      <w:pPr>
        <w:spacing w:line="580" w:lineRule="exact"/>
        <w:ind w:firstLine="480" w:firstLineChars="200"/>
        <w:rPr>
          <w:rFonts w:ascii="宋体" w:hAnsi="宋体" w:hint="eastAsia"/>
          <w:color w:val="000000"/>
          <w:sz w:val="24"/>
        </w:rPr>
      </w:pPr>
      <w:r>
        <w:rPr>
          <w:rFonts w:ascii="宋体" w:hAnsi="宋体" w:hint="eastAsia"/>
          <w:color w:val="000000"/>
          <w:sz w:val="24"/>
        </w:rPr>
        <w:t>根据</w:t>
      </w:r>
      <w:r>
        <w:rPr>
          <w:rFonts w:ascii="宋体" w:hAnsi="宋体" w:hint="eastAsia"/>
          <w:bCs/>
          <w:color w:val="000000"/>
          <w:sz w:val="24"/>
        </w:rPr>
        <w:t>目前</w:t>
      </w:r>
      <w:r>
        <w:rPr>
          <w:rFonts w:ascii="宋体" w:hAnsi="宋体" w:hint="eastAsia"/>
          <w:bCs/>
          <w:color w:val="000000"/>
          <w:sz w:val="24"/>
          <w:lang w:eastAsia="zh-CN"/>
        </w:rPr>
        <w:t>xxx</w:t>
      </w:r>
      <w:r>
        <w:rPr>
          <w:rFonts w:ascii="宋体" w:hAnsi="宋体" w:hint="eastAsia"/>
          <w:bCs/>
          <w:color w:val="000000"/>
          <w:sz w:val="24"/>
        </w:rPr>
        <w:t>房地产市场的需求</w:t>
      </w:r>
      <w:r>
        <w:rPr>
          <w:rFonts w:ascii="宋体" w:hAnsi="宋体" w:hint="eastAsia"/>
          <w:color w:val="000000"/>
          <w:sz w:val="24"/>
        </w:rPr>
        <w:t>，</w:t>
      </w:r>
      <w:r>
        <w:rPr>
          <w:rFonts w:ascii="宋体" w:hAnsi="宋体" w:hint="eastAsia"/>
          <w:bCs/>
          <w:color w:val="000000"/>
          <w:sz w:val="24"/>
        </w:rPr>
        <w:t>《</w:t>
      </w:r>
      <w:r>
        <w:rPr>
          <w:rFonts w:ascii="宋体" w:hAnsi="宋体" w:hint="eastAsia"/>
          <w:bCs/>
          <w:color w:val="000000"/>
          <w:sz w:val="24"/>
          <w:lang w:eastAsia="zh-CN"/>
        </w:rPr>
        <w:t>xxx</w:t>
      </w:r>
      <w:r>
        <w:rPr>
          <w:rFonts w:ascii="宋体" w:hAnsi="宋体" w:hint="eastAsia"/>
          <w:bCs/>
          <w:color w:val="000000"/>
          <w:sz w:val="24"/>
        </w:rPr>
        <w:t>住宅建设项目》</w:t>
      </w:r>
      <w:r>
        <w:rPr>
          <w:rFonts w:ascii="宋体" w:hAnsi="宋体" w:hint="eastAsia"/>
          <w:color w:val="000000"/>
          <w:sz w:val="24"/>
        </w:rPr>
        <w:t>的住宅户型基本以舒适性为主。其户型特点是平面布局实用紧凑，功能空间面积分配合理，以适用为目的，无过多辅助空间，户内通风采光及景观朝向达到基本要求。户型区间在105㎡-135㎡，其中105㎡-135㎡占比达到70%以上。</w:t>
      </w:r>
    </w:p>
    <w:p>
      <w:pPr>
        <w:spacing w:line="580" w:lineRule="exact"/>
        <w:ind w:firstLine="703"/>
        <w:rPr>
          <w:rFonts w:ascii="宋体" w:hAnsi="宋体" w:hint="eastAsia"/>
          <w:b/>
          <w:color w:val="000000"/>
          <w:sz w:val="28"/>
          <w:szCs w:val="28"/>
        </w:rPr>
      </w:pPr>
      <w:r>
        <w:rPr>
          <w:rFonts w:ascii="宋体" w:hAnsi="宋体" w:hint="eastAsia"/>
          <w:b/>
          <w:color w:val="000000"/>
          <w:sz w:val="28"/>
          <w:szCs w:val="28"/>
        </w:rPr>
        <w:t>6.6</w:t>
      </w:r>
      <w:r>
        <w:rPr>
          <w:rFonts w:ascii="宋体" w:hAnsi="宋体" w:hint="eastAsia"/>
          <w:b/>
          <w:bCs/>
          <w:color w:val="000000"/>
          <w:sz w:val="28"/>
          <w:szCs w:val="28"/>
        </w:rPr>
        <w:t xml:space="preserve">  绿化交通方案</w:t>
      </w:r>
    </w:p>
    <w:p>
      <w:pPr>
        <w:spacing w:line="580" w:lineRule="exact"/>
        <w:ind w:firstLine="600"/>
        <w:rPr>
          <w:rFonts w:ascii="宋体" w:hAnsi="宋体" w:hint="eastAsia"/>
          <w:color w:val="000000"/>
          <w:sz w:val="24"/>
        </w:rPr>
      </w:pPr>
      <w:r>
        <w:rPr>
          <w:rFonts w:ascii="宋体" w:hAnsi="宋体" w:hint="eastAsia"/>
          <w:color w:val="000000"/>
          <w:sz w:val="24"/>
        </w:rPr>
        <w:t>6.6.1</w:t>
      </w:r>
      <w:r>
        <w:rPr>
          <w:rFonts w:ascii="宋体" w:hAnsi="宋体" w:hint="eastAsia"/>
          <w:b/>
          <w:color w:val="000000"/>
          <w:sz w:val="24"/>
        </w:rPr>
        <w:t>景观绿化设计原则</w:t>
      </w:r>
    </w:p>
    <w:p>
      <w:pPr>
        <w:spacing w:line="580" w:lineRule="exact"/>
        <w:ind w:firstLine="480" w:firstLineChars="200"/>
        <w:rPr>
          <w:rFonts w:ascii="宋体" w:hAnsi="宋体" w:hint="eastAsia"/>
          <w:color w:val="000000"/>
          <w:sz w:val="24"/>
        </w:rPr>
        <w:sectPr>
          <w:footerReference w:type="default" r:id="rId29"/>
          <w:type w:val="nextPage"/>
          <w:pgSz w:w="11906" w:h="16838"/>
          <w:pgMar w:top="1440" w:right="1287" w:bottom="1559" w:left="1797" w:header="851" w:footer="992" w:gutter="0"/>
          <w:pgNumType w:start="25"/>
          <w:cols w:num="1" w:space="720"/>
          <w:titlePg w:val="0"/>
          <w:docGrid w:type="linesAndChars" w:linePitch="312" w:charSpace="0"/>
        </w:sectPr>
      </w:pPr>
    </w:p>
    <w:p>
      <w:pPr>
        <w:spacing w:line="580" w:lineRule="exact"/>
        <w:ind w:firstLine="480" w:firstLineChars="200"/>
        <w:rPr>
          <w:rFonts w:ascii="宋体" w:hAnsi="宋体" w:hint="eastAsia"/>
          <w:color w:val="000000"/>
          <w:sz w:val="24"/>
        </w:rPr>
      </w:pPr>
      <w:r>
        <w:rPr>
          <w:rFonts w:ascii="宋体" w:hAnsi="宋体" w:hint="eastAsia"/>
          <w:color w:val="000000"/>
          <w:sz w:val="24"/>
        </w:rPr>
        <w:t>通过重点对人行入口、入口广场、小区各花园节点等的设计，营造丰富的、有新意的绿化空间空间；多层次的景观设计：凡是人流经常活动的空间，都需要引进景观设计，成为观景及交往休憩的场所；各组团有相对独立的景观体系，各组团通过不同样式的铺地连接后形成完整的小区景观。建筑物周边与道路用景观带分割。主景观与各分景观的连接要有序、有趣味性，引入园林景观布局形式给人一种想要层层递进的探索性；对于户内居民起到一种处于同一朝向有不同的景观效果的特色；主景观区设置小丘的化境体系，卫星景观区可设置不同意义的主题节点（包括：人文，科技，教育等）突出卫星景观的可观赏价值，提高小区的整体品味；主景观与卫星景观设计做到具有一定的空间错落感，使景观具有趣味性而不单调。</w:t>
      </w:r>
    </w:p>
    <w:p>
      <w:pPr>
        <w:spacing w:line="580" w:lineRule="exact"/>
        <w:ind w:firstLine="600"/>
        <w:rPr>
          <w:rFonts w:ascii="宋体" w:hAnsi="宋体" w:hint="eastAsia"/>
          <w:color w:val="000000"/>
          <w:sz w:val="24"/>
        </w:rPr>
      </w:pPr>
      <w:r>
        <w:rPr>
          <w:rFonts w:ascii="宋体" w:hAnsi="宋体" w:hint="eastAsia"/>
          <w:color w:val="000000"/>
          <w:sz w:val="24"/>
        </w:rPr>
        <w:t>6.6.2</w:t>
      </w:r>
      <w:r>
        <w:rPr>
          <w:rFonts w:ascii="宋体" w:hAnsi="宋体" w:hint="eastAsia"/>
          <w:b/>
          <w:color w:val="000000"/>
          <w:sz w:val="24"/>
        </w:rPr>
        <w:t>交通组织</w:t>
      </w:r>
    </w:p>
    <w:p>
      <w:pPr>
        <w:spacing w:line="580" w:lineRule="exact"/>
        <w:ind w:firstLine="600" w:firstLineChars="250"/>
        <w:rPr>
          <w:rFonts w:ascii="宋体" w:hAnsi="宋体" w:hint="eastAsia"/>
          <w:color w:val="000000"/>
          <w:sz w:val="24"/>
        </w:rPr>
      </w:pPr>
      <w:r>
        <w:rPr>
          <w:rFonts w:ascii="宋体" w:hAnsi="宋体" w:hint="eastAsia"/>
          <w:color w:val="000000"/>
          <w:sz w:val="24"/>
        </w:rPr>
        <w:t>交通系统的设计充分依据“以人为本“的人性化理念，合理组织人流和车流，实现人车地上地下分流，兼顾社区物业封闭管理模式及同意只能化管理设计，并于小区景观设计和消防要求相结合，从而在交通组织形成一个有利于生态环境的交通系统，以提高机动性和可达性，满足住区居民生活的便捷、安全、安静的需要。</w:t>
      </w:r>
    </w:p>
    <w:p>
      <w:pPr>
        <w:spacing w:line="580" w:lineRule="exact"/>
        <w:ind w:firstLine="600" w:firstLineChars="250"/>
        <w:rPr>
          <w:rFonts w:ascii="宋体" w:hAnsi="宋体" w:hint="eastAsia"/>
          <w:color w:val="000000"/>
          <w:sz w:val="24"/>
        </w:rPr>
      </w:pPr>
      <w:r>
        <w:rPr>
          <w:rFonts w:ascii="宋体" w:hAnsi="宋体" w:hint="eastAsia"/>
          <w:color w:val="000000"/>
          <w:sz w:val="24"/>
        </w:rPr>
        <w:t>注重处理小区主要车行与人行出入口的位置，考虑公共区域与居住区域的关系，解决好各种流线（生活后勤服务、临时访客、消防疏散等）之间的关系，尽量做到人车分流，在小区组团内尽量不予考虑车行道路及停车位置，同时满足消防要求（可否设计成人车分流）；小区住户机动车地面停车位的平面布置应按住户就近停车的原则进行考虑；考虑残疾人无障碍设计（体现人性化设计）。</w:t>
      </w:r>
    </w:p>
    <w:p>
      <w:pPr>
        <w:spacing w:line="580" w:lineRule="exact"/>
        <w:ind w:firstLine="480" w:firstLineChars="200"/>
        <w:rPr>
          <w:rFonts w:ascii="宋体" w:hAnsi="宋体" w:hint="eastAsia"/>
          <w:color w:val="000000"/>
          <w:sz w:val="24"/>
        </w:rPr>
      </w:pPr>
      <w:r>
        <w:rPr>
          <w:rFonts w:ascii="宋体" w:hAnsi="宋体" w:hint="eastAsia"/>
          <w:color w:val="000000"/>
          <w:sz w:val="24"/>
        </w:rPr>
        <w:t>1）主入口设置：沿车站大道设小区主要入口。</w:t>
      </w:r>
    </w:p>
    <w:p>
      <w:pPr>
        <w:spacing w:line="580" w:lineRule="exact"/>
        <w:ind w:firstLine="480" w:firstLineChars="200"/>
        <w:rPr>
          <w:rFonts w:ascii="宋体" w:hAnsi="宋体" w:hint="eastAsia"/>
          <w:color w:val="000000"/>
          <w:sz w:val="24"/>
        </w:rPr>
      </w:pPr>
      <w:r>
        <w:rPr>
          <w:rFonts w:ascii="宋体" w:hAnsi="宋体" w:hint="eastAsia"/>
          <w:color w:val="000000"/>
          <w:sz w:val="24"/>
        </w:rPr>
        <w:t>2)车行交通：小区道路结合主出入口设计为环行交通，自然将小区划出中央核心区。</w:t>
      </w:r>
    </w:p>
    <w:p>
      <w:pPr>
        <w:spacing w:line="580" w:lineRule="exact"/>
        <w:ind w:firstLine="480" w:firstLineChars="200"/>
        <w:rPr>
          <w:rFonts w:ascii="宋体" w:hAnsi="宋体" w:hint="eastAsia"/>
          <w:color w:val="000000"/>
          <w:sz w:val="24"/>
        </w:rPr>
      </w:pPr>
      <w:r>
        <w:rPr>
          <w:rFonts w:ascii="宋体" w:hAnsi="宋体" w:hint="eastAsia"/>
          <w:color w:val="000000"/>
          <w:sz w:val="24"/>
        </w:rPr>
        <w:t>3）停车布置：小区采用地面及地下停车相结合，以地下停车为主。</w:t>
      </w:r>
    </w:p>
    <w:p>
      <w:pPr>
        <w:wordWrap w:val="0"/>
        <w:spacing w:line="580" w:lineRule="exact"/>
        <w:ind w:firstLine="800"/>
        <w:jc w:val="center"/>
        <w:rPr>
          <w:rFonts w:ascii="微软雅黑" w:eastAsia="微软雅黑" w:hAnsi="微软雅黑" w:hint="eastAsia"/>
          <w:b/>
          <w:bCs/>
          <w:sz w:val="32"/>
          <w:szCs w:val="32"/>
        </w:rPr>
      </w:pPr>
      <w:r>
        <w:rPr>
          <w:rFonts w:ascii="微软雅黑" w:eastAsia="微软雅黑" w:hAnsi="微软雅黑" w:hint="eastAsia"/>
          <w:b/>
          <w:bCs/>
          <w:sz w:val="32"/>
          <w:szCs w:val="32"/>
        </w:rPr>
        <w:t>第七章   建设规模和建设方案</w:t>
      </w:r>
    </w:p>
    <w:p>
      <w:pPr>
        <w:spacing w:line="580" w:lineRule="exact"/>
        <w:ind w:firstLine="600" w:firstLineChars="250"/>
        <w:rPr>
          <w:rFonts w:ascii="宋体" w:hAnsi="宋体" w:hint="eastAsia"/>
          <w:color w:val="000000"/>
          <w:sz w:val="24"/>
        </w:rPr>
      </w:pPr>
      <w:r>
        <w:rPr>
          <w:rFonts w:ascii="宋体" w:hAnsi="宋体" w:hint="eastAsia"/>
          <w:color w:val="000000"/>
          <w:sz w:val="24"/>
        </w:rPr>
        <w:t>随着人们生活水平的提高，“买环境”的观念已为大多数居民所接受，人们买房除了考察室内布局、质量及小区的整体规划等因素外，也越来越重视其环境，这实际上也反映了人们追求人与自然的和谐统一，远离喧闹、闹腾、嘈杂的都市的一种心态。基于上述原因和项目自身的环境优势，本项目在整体规划设计时，不仅兼顾到地块的周边环境，更要注意小区内的环境艺术设计，以期达到较好的环境效果。</w:t>
      </w:r>
    </w:p>
    <w:p>
      <w:pPr>
        <w:spacing w:line="580" w:lineRule="exact"/>
        <w:ind w:firstLine="703"/>
        <w:rPr>
          <w:rFonts w:ascii="宋体" w:hAnsi="宋体" w:hint="eastAsia"/>
          <w:b/>
          <w:color w:val="000000"/>
          <w:sz w:val="28"/>
          <w:szCs w:val="28"/>
        </w:rPr>
        <w:sectPr>
          <w:footerReference w:type="default" r:id="rId30"/>
          <w:type w:val="nextPage"/>
          <w:pgSz w:w="11906" w:h="16838"/>
          <w:pgMar w:top="1440" w:right="1287" w:bottom="1559" w:left="1797" w:header="851" w:footer="992" w:gutter="0"/>
          <w:pgNumType w:start="26"/>
          <w:cols w:num="1" w:space="720"/>
          <w:titlePg w:val="0"/>
          <w:docGrid w:type="linesAndChars" w:linePitch="312" w:charSpace="0"/>
        </w:sectPr>
      </w:pPr>
      <w:r>
        <w:rPr>
          <w:rFonts w:ascii="宋体" w:hAnsi="宋体" w:hint="eastAsia"/>
          <w:b/>
          <w:color w:val="000000"/>
          <w:sz w:val="28"/>
          <w:szCs w:val="28"/>
        </w:rPr>
        <w:t>7.1</w:t>
      </w:r>
      <w:r>
        <w:rPr>
          <w:rFonts w:ascii="宋体" w:hAnsi="宋体" w:hint="eastAsia"/>
          <w:b/>
          <w:bCs/>
          <w:color w:val="000000"/>
          <w:sz w:val="28"/>
          <w:szCs w:val="28"/>
        </w:rPr>
        <w:t xml:space="preserve">  </w:t>
      </w:r>
      <w:r>
        <w:rPr>
          <w:rFonts w:ascii="宋体" w:hAnsi="宋体" w:hint="eastAsia"/>
          <w:b/>
          <w:bCs/>
          <w:color w:val="000000"/>
          <w:kern w:val="0"/>
          <w:sz w:val="28"/>
          <w:szCs w:val="28"/>
        </w:rPr>
        <w:t>项目规划设计主要经济技术指标</w:t>
      </w:r>
    </w:p>
    <w:p>
      <w:pPr>
        <w:spacing w:line="560" w:lineRule="exact"/>
        <w:ind w:firstLine="602"/>
        <w:rPr>
          <w:rFonts w:ascii="宋体" w:hAnsi="宋体" w:hint="eastAsia"/>
          <w:b/>
          <w:color w:val="000000"/>
          <w:sz w:val="24"/>
        </w:rPr>
      </w:pPr>
      <w:r>
        <w:rPr>
          <w:rFonts w:ascii="宋体" w:hAnsi="宋体" w:hint="eastAsia"/>
          <w:b/>
          <w:color w:val="000000"/>
          <w:sz w:val="24"/>
        </w:rPr>
        <w:t xml:space="preserve">      </w:t>
      </w:r>
      <w:r>
        <w:rPr>
          <w:rFonts w:ascii="宋体" w:hAnsi="宋体" w:hint="eastAsia"/>
          <w:b/>
          <w:color w:val="000000"/>
          <w:sz w:val="24"/>
          <w:szCs w:val="28"/>
          <w:lang w:eastAsia="zh-CN"/>
        </w:rPr>
        <w:t>xxxxxx</w:t>
      </w:r>
      <w:r>
        <w:rPr>
          <w:rFonts w:ascii="宋体" w:hAnsi="宋体" w:hint="eastAsia"/>
          <w:b/>
          <w:color w:val="000000"/>
          <w:sz w:val="24"/>
          <w:szCs w:val="28"/>
        </w:rPr>
        <w:t>住宅建设项目</w:t>
      </w:r>
      <w:r>
        <w:rPr>
          <w:rFonts w:ascii="宋体" w:hAnsi="宋体" w:hint="eastAsia"/>
          <w:b/>
          <w:color w:val="000000"/>
          <w:sz w:val="24"/>
        </w:rPr>
        <w:t>设计参数</w:t>
      </w:r>
      <w:r>
        <w:rPr>
          <w:rFonts w:ascii="宋体" w:hAnsi="宋体" w:hint="eastAsia"/>
          <w:b/>
          <w:bCs/>
          <w:color w:val="000000"/>
          <w:sz w:val="24"/>
        </w:rPr>
        <w:t xml:space="preserve">           </w:t>
      </w:r>
      <w:r>
        <w:rPr>
          <w:rFonts w:ascii="宋体" w:hAnsi="宋体" w:hint="eastAsia"/>
          <w:b/>
          <w:bCs/>
          <w:color w:val="000000"/>
          <w:sz w:val="18"/>
        </w:rPr>
        <w:t xml:space="preserve">   </w:t>
      </w:r>
      <w:r>
        <w:rPr>
          <w:rFonts w:ascii="宋体" w:hAnsi="宋体" w:hint="eastAsia"/>
          <w:color w:val="000000"/>
          <w:sz w:val="18"/>
          <w:szCs w:val="21"/>
        </w:rPr>
        <w:t>表—4</w:t>
      </w: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709"/>
        <w:gridCol w:w="447"/>
        <w:gridCol w:w="1963"/>
        <w:gridCol w:w="1559"/>
        <w:gridCol w:w="4142"/>
      </w:tblGrid>
      <w:tr>
        <w:tblPrEx>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c>
          <w:tcPr>
            <w:tcW w:w="709" w:type="dxa"/>
            <w:vAlign w:val="top"/>
          </w:tcPr>
          <w:p>
            <w:pPr>
              <w:rPr>
                <w:rFonts w:ascii="宋体" w:hAnsi="宋体" w:hint="eastAsia"/>
                <w:b/>
                <w:color w:val="000000"/>
                <w:szCs w:val="21"/>
              </w:rPr>
            </w:pPr>
            <w:r>
              <w:rPr>
                <w:rFonts w:ascii="宋体" w:hAnsi="宋体" w:hint="eastAsia"/>
                <w:b/>
                <w:color w:val="000000"/>
                <w:szCs w:val="21"/>
              </w:rPr>
              <w:t>序号</w:t>
            </w:r>
          </w:p>
        </w:tc>
        <w:tc>
          <w:tcPr>
            <w:tcW w:w="2410" w:type="dxa"/>
            <w:gridSpan w:val="2"/>
            <w:vAlign w:val="top"/>
          </w:tcPr>
          <w:p>
            <w:pPr>
              <w:rPr>
                <w:rFonts w:ascii="宋体" w:hAnsi="宋体" w:hint="eastAsia"/>
                <w:b/>
                <w:color w:val="000000"/>
                <w:szCs w:val="21"/>
              </w:rPr>
            </w:pPr>
            <w:r>
              <w:rPr>
                <w:rFonts w:ascii="宋体" w:hAnsi="宋体" w:hint="eastAsia"/>
                <w:b/>
                <w:color w:val="000000"/>
                <w:szCs w:val="21"/>
              </w:rPr>
              <w:t>主要技术经济指标名称</w:t>
            </w:r>
          </w:p>
        </w:tc>
        <w:tc>
          <w:tcPr>
            <w:tcW w:w="1559" w:type="dxa"/>
            <w:vAlign w:val="top"/>
          </w:tcPr>
          <w:p>
            <w:pPr>
              <w:rPr>
                <w:rFonts w:ascii="宋体" w:hAnsi="宋体" w:hint="eastAsia"/>
                <w:b/>
                <w:color w:val="000000"/>
                <w:szCs w:val="21"/>
              </w:rPr>
            </w:pPr>
            <w:r>
              <w:rPr>
                <w:rFonts w:ascii="宋体" w:hAnsi="宋体" w:hint="eastAsia"/>
                <w:b/>
                <w:color w:val="000000"/>
                <w:szCs w:val="21"/>
              </w:rPr>
              <w:t>技术经济指标</w:t>
            </w:r>
          </w:p>
        </w:tc>
        <w:tc>
          <w:tcPr>
            <w:tcW w:w="4142" w:type="dxa"/>
            <w:vAlign w:val="top"/>
          </w:tcPr>
          <w:p>
            <w:pPr>
              <w:ind w:firstLine="210" w:firstLineChars="100"/>
              <w:jc w:val="center"/>
              <w:rPr>
                <w:rFonts w:ascii="宋体" w:hAnsi="宋体" w:hint="eastAsia"/>
                <w:b/>
                <w:color w:val="000000"/>
                <w:szCs w:val="21"/>
              </w:rPr>
            </w:pPr>
            <w:r>
              <w:rPr>
                <w:rFonts w:ascii="宋体" w:hAnsi="宋体" w:hint="eastAsia"/>
                <w:b/>
                <w:color w:val="000000"/>
                <w:szCs w:val="21"/>
              </w:rPr>
              <w:t>备   注</w:t>
            </w: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1</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规划用地面积</w:t>
            </w:r>
          </w:p>
        </w:tc>
        <w:tc>
          <w:tcPr>
            <w:tcW w:w="1559" w:type="dxa"/>
            <w:vAlign w:val="top"/>
          </w:tcPr>
          <w:p>
            <w:pPr>
              <w:rPr>
                <w:rFonts w:ascii="宋体" w:hAnsi="宋体" w:hint="eastAsia"/>
                <w:color w:val="000000"/>
                <w:szCs w:val="21"/>
              </w:rPr>
            </w:pPr>
            <w:r>
              <w:rPr>
                <w:rFonts w:ascii="宋体" w:hAnsi="宋体" w:hint="eastAsia"/>
                <w:color w:val="000000"/>
                <w:szCs w:val="21"/>
              </w:rPr>
              <w:t>19.89亩</w:t>
            </w:r>
          </w:p>
        </w:tc>
        <w:tc>
          <w:tcPr>
            <w:tcW w:w="4142" w:type="dxa"/>
            <w:vAlign w:val="top"/>
          </w:tcPr>
          <w:p>
            <w:pPr>
              <w:ind w:firstLine="525"/>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2</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规划净用地面积</w:t>
            </w:r>
          </w:p>
        </w:tc>
        <w:tc>
          <w:tcPr>
            <w:tcW w:w="1559" w:type="dxa"/>
            <w:vAlign w:val="top"/>
          </w:tcPr>
          <w:p>
            <w:pPr>
              <w:rPr>
                <w:rFonts w:ascii="宋体" w:hAnsi="宋体" w:hint="eastAsia"/>
                <w:color w:val="000000"/>
                <w:szCs w:val="21"/>
              </w:rPr>
            </w:pPr>
            <w:r>
              <w:rPr>
                <w:rFonts w:ascii="宋体" w:hAnsi="宋体" w:hint="eastAsia"/>
                <w:color w:val="000000"/>
                <w:szCs w:val="21"/>
              </w:rPr>
              <w:t>13250平方米</w:t>
            </w:r>
          </w:p>
        </w:tc>
        <w:tc>
          <w:tcPr>
            <w:tcW w:w="4142" w:type="dxa"/>
            <w:vAlign w:val="top"/>
          </w:tcPr>
          <w:p>
            <w:pPr>
              <w:ind w:firstLine="525"/>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3</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总建筑面积</w:t>
            </w:r>
          </w:p>
        </w:tc>
        <w:tc>
          <w:tcPr>
            <w:tcW w:w="1559" w:type="dxa"/>
            <w:vAlign w:val="top"/>
          </w:tcPr>
          <w:p>
            <w:pPr>
              <w:rPr>
                <w:rFonts w:ascii="宋体" w:hAnsi="宋体" w:hint="eastAsia"/>
                <w:color w:val="000000"/>
                <w:szCs w:val="21"/>
              </w:rPr>
            </w:pPr>
            <w:r>
              <w:rPr>
                <w:rFonts w:ascii="宋体" w:hAnsi="宋体" w:hint="eastAsia"/>
                <w:color w:val="000000"/>
                <w:szCs w:val="21"/>
              </w:rPr>
              <w:t>46750.57  ㎡</w:t>
            </w:r>
          </w:p>
        </w:tc>
        <w:tc>
          <w:tcPr>
            <w:tcW w:w="4142" w:type="dxa"/>
            <w:vAlign w:val="top"/>
          </w:tcPr>
          <w:p>
            <w:pPr>
              <w:ind w:firstLine="525"/>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rPr>
          <w:cantSplit/>
        </w:trPr>
        <w:tc>
          <w:tcPr>
            <w:tcW w:w="709" w:type="dxa"/>
            <w:vMerge w:val="restart"/>
            <w:vAlign w:val="top"/>
          </w:tcPr>
          <w:p>
            <w:pPr>
              <w:jc w:val="center"/>
              <w:rPr>
                <w:rFonts w:ascii="宋体" w:hAnsi="宋体" w:hint="eastAsia"/>
                <w:color w:val="000000"/>
                <w:szCs w:val="21"/>
              </w:rPr>
            </w:pPr>
          </w:p>
        </w:tc>
        <w:tc>
          <w:tcPr>
            <w:tcW w:w="447" w:type="dxa"/>
            <w:vMerge w:val="restart"/>
            <w:vAlign w:val="top"/>
          </w:tcPr>
          <w:p>
            <w:pPr>
              <w:ind w:firstLine="525"/>
              <w:rPr>
                <w:rFonts w:ascii="宋体" w:hAnsi="宋体" w:hint="eastAsia"/>
                <w:color w:val="000000"/>
                <w:szCs w:val="21"/>
              </w:rPr>
            </w:pPr>
            <w:r>
              <w:rPr>
                <w:rFonts w:ascii="宋体" w:hAnsi="宋体" w:hint="eastAsia"/>
                <w:color w:val="000000"/>
                <w:szCs w:val="21"/>
              </w:rPr>
              <w:t>其</w:t>
            </w:r>
          </w:p>
          <w:p>
            <w:pPr>
              <w:ind w:firstLine="525"/>
              <w:rPr>
                <w:rFonts w:ascii="宋体" w:hAnsi="宋体" w:hint="eastAsia"/>
                <w:color w:val="000000"/>
                <w:szCs w:val="21"/>
              </w:rPr>
            </w:pPr>
          </w:p>
          <w:p>
            <w:pPr>
              <w:ind w:firstLine="525"/>
              <w:rPr>
                <w:rFonts w:ascii="宋体" w:hAnsi="宋体" w:hint="eastAsia"/>
                <w:color w:val="000000"/>
                <w:szCs w:val="21"/>
              </w:rPr>
            </w:pPr>
            <w:r>
              <w:rPr>
                <w:rFonts w:ascii="宋体" w:hAnsi="宋体" w:hint="eastAsia"/>
                <w:color w:val="000000"/>
                <w:szCs w:val="21"/>
              </w:rPr>
              <w:t>中</w:t>
            </w:r>
          </w:p>
        </w:tc>
        <w:tc>
          <w:tcPr>
            <w:tcW w:w="1963" w:type="dxa"/>
            <w:vAlign w:val="top"/>
          </w:tcPr>
          <w:p>
            <w:pPr>
              <w:rPr>
                <w:rFonts w:ascii="宋体" w:hAnsi="宋体" w:hint="eastAsia"/>
                <w:color w:val="000000"/>
                <w:szCs w:val="21"/>
              </w:rPr>
            </w:pPr>
            <w:r>
              <w:rPr>
                <w:rFonts w:ascii="宋体" w:hAnsi="宋体" w:hint="eastAsia"/>
                <w:color w:val="000000"/>
                <w:szCs w:val="21"/>
              </w:rPr>
              <w:t>高层房住面积</w:t>
            </w:r>
          </w:p>
        </w:tc>
        <w:tc>
          <w:tcPr>
            <w:tcW w:w="1559" w:type="dxa"/>
            <w:vAlign w:val="top"/>
          </w:tcPr>
          <w:p>
            <w:pPr>
              <w:rPr>
                <w:rFonts w:ascii="宋体" w:hAnsi="宋体" w:hint="eastAsia"/>
                <w:color w:val="000000"/>
                <w:szCs w:val="21"/>
              </w:rPr>
            </w:pPr>
            <w:r>
              <w:rPr>
                <w:rFonts w:ascii="宋体" w:hAnsi="宋体" w:hint="eastAsia"/>
                <w:color w:val="000000"/>
                <w:szCs w:val="21"/>
              </w:rPr>
              <w:t>37965.13 ㎡</w:t>
            </w:r>
          </w:p>
        </w:tc>
        <w:tc>
          <w:tcPr>
            <w:tcW w:w="4142" w:type="dxa"/>
            <w:vAlign w:val="top"/>
          </w:tcPr>
          <w:p>
            <w:pPr>
              <w:ind w:firstLine="840" w:firstLineChars="400"/>
              <w:rPr>
                <w:rFonts w:ascii="宋体" w:hAnsi="宋体" w:hint="eastAsia"/>
                <w:color w:val="000000"/>
                <w:szCs w:val="21"/>
              </w:rPr>
            </w:pPr>
            <w:r>
              <w:rPr>
                <w:rFonts w:ascii="宋体" w:hAnsi="宋体" w:hint="eastAsia"/>
                <w:color w:val="000000"/>
                <w:szCs w:val="21"/>
              </w:rPr>
              <w:t>2栋高层</w:t>
            </w:r>
          </w:p>
        </w:tc>
      </w:tr>
      <w:tr>
        <w:tblPrEx>
          <w:tblW w:w="0" w:type="auto"/>
          <w:tblInd w:w="108" w:type="dxa"/>
          <w:tblLayout w:type="fixed"/>
          <w:tblCellMar>
            <w:top w:w="0" w:type="dxa"/>
            <w:left w:w="108" w:type="dxa"/>
            <w:bottom w:w="0" w:type="dxa"/>
            <w:right w:w="108" w:type="dxa"/>
          </w:tblCellMar>
        </w:tblPrEx>
        <w:trPr>
          <w:cantSplit/>
        </w:trPr>
        <w:tc>
          <w:tcPr>
            <w:tcW w:w="709" w:type="dxa"/>
            <w:vMerge/>
            <w:vAlign w:val="top"/>
          </w:tcPr>
          <w:p>
            <w:pPr>
              <w:ind w:firstLine="525"/>
              <w:jc w:val="center"/>
              <w:rPr>
                <w:rFonts w:ascii="宋体" w:hAnsi="宋体" w:hint="eastAsia"/>
                <w:color w:val="000000"/>
                <w:szCs w:val="21"/>
              </w:rPr>
            </w:pPr>
          </w:p>
        </w:tc>
        <w:tc>
          <w:tcPr>
            <w:tcW w:w="447" w:type="dxa"/>
            <w:vMerge/>
            <w:vAlign w:val="top"/>
          </w:tcPr>
          <w:p>
            <w:pPr>
              <w:ind w:firstLine="525"/>
              <w:rPr>
                <w:rFonts w:ascii="宋体" w:hAnsi="宋体" w:hint="eastAsia"/>
                <w:color w:val="000000"/>
                <w:szCs w:val="21"/>
              </w:rPr>
            </w:pPr>
          </w:p>
        </w:tc>
        <w:tc>
          <w:tcPr>
            <w:tcW w:w="1963" w:type="dxa"/>
            <w:vAlign w:val="top"/>
          </w:tcPr>
          <w:p>
            <w:pPr>
              <w:rPr>
                <w:rFonts w:ascii="宋体" w:hAnsi="宋体" w:hint="eastAsia"/>
                <w:color w:val="000000"/>
                <w:szCs w:val="21"/>
              </w:rPr>
            </w:pPr>
            <w:r>
              <w:rPr>
                <w:rFonts w:ascii="宋体" w:hAnsi="宋体" w:hint="eastAsia"/>
                <w:color w:val="000000"/>
                <w:szCs w:val="21"/>
              </w:rPr>
              <w:t>公共配套建筑面积</w:t>
            </w:r>
          </w:p>
        </w:tc>
        <w:tc>
          <w:tcPr>
            <w:tcW w:w="1559" w:type="dxa"/>
            <w:vAlign w:val="top"/>
          </w:tcPr>
          <w:p>
            <w:pPr>
              <w:rPr>
                <w:rFonts w:ascii="宋体" w:hAnsi="宋体" w:hint="eastAsia"/>
                <w:color w:val="000000"/>
                <w:szCs w:val="21"/>
              </w:rPr>
            </w:pPr>
            <w:r>
              <w:rPr>
                <w:rFonts w:ascii="宋体" w:hAnsi="宋体" w:hint="eastAsia"/>
                <w:color w:val="000000"/>
                <w:szCs w:val="21"/>
              </w:rPr>
              <w:t xml:space="preserve">420㎡ </w:t>
            </w:r>
          </w:p>
        </w:tc>
        <w:tc>
          <w:tcPr>
            <w:tcW w:w="4142" w:type="dxa"/>
            <w:vAlign w:val="top"/>
          </w:tcPr>
          <w:p>
            <w:pPr>
              <w:ind w:firstLine="840" w:firstLineChars="400"/>
              <w:rPr>
                <w:rFonts w:ascii="宋体" w:hAnsi="宋体" w:hint="eastAsia"/>
                <w:color w:val="000000"/>
                <w:szCs w:val="21"/>
              </w:rPr>
            </w:pPr>
            <w:r>
              <w:rPr>
                <w:rFonts w:ascii="宋体" w:hAnsi="宋体" w:hint="eastAsia"/>
                <w:color w:val="000000"/>
                <w:szCs w:val="21"/>
              </w:rPr>
              <w:t>物业用房</w:t>
            </w:r>
          </w:p>
        </w:tc>
      </w:tr>
      <w:tr>
        <w:tblPrEx>
          <w:tblW w:w="0" w:type="auto"/>
          <w:tblInd w:w="108" w:type="dxa"/>
          <w:tblLayout w:type="fixed"/>
          <w:tblCellMar>
            <w:top w:w="0" w:type="dxa"/>
            <w:left w:w="108" w:type="dxa"/>
            <w:bottom w:w="0" w:type="dxa"/>
            <w:right w:w="108" w:type="dxa"/>
          </w:tblCellMar>
        </w:tblPrEx>
        <w:trPr>
          <w:cantSplit/>
        </w:trPr>
        <w:tc>
          <w:tcPr>
            <w:tcW w:w="709" w:type="dxa"/>
            <w:vMerge/>
            <w:vAlign w:val="top"/>
          </w:tcPr>
          <w:p>
            <w:pPr>
              <w:ind w:firstLine="525"/>
              <w:jc w:val="center"/>
              <w:rPr>
                <w:rFonts w:ascii="宋体" w:hAnsi="宋体" w:hint="eastAsia"/>
                <w:color w:val="000000"/>
                <w:szCs w:val="21"/>
              </w:rPr>
            </w:pPr>
          </w:p>
        </w:tc>
        <w:tc>
          <w:tcPr>
            <w:tcW w:w="447" w:type="dxa"/>
            <w:vMerge/>
            <w:vAlign w:val="top"/>
          </w:tcPr>
          <w:p>
            <w:pPr>
              <w:ind w:firstLine="525"/>
              <w:rPr>
                <w:rFonts w:ascii="宋体" w:hAnsi="宋体" w:hint="eastAsia"/>
                <w:color w:val="000000"/>
                <w:szCs w:val="21"/>
              </w:rPr>
            </w:pPr>
          </w:p>
        </w:tc>
        <w:tc>
          <w:tcPr>
            <w:tcW w:w="1963" w:type="dxa"/>
            <w:vAlign w:val="top"/>
          </w:tcPr>
          <w:p>
            <w:pPr>
              <w:rPr>
                <w:rFonts w:ascii="宋体" w:hAnsi="宋体" w:hint="eastAsia"/>
                <w:color w:val="000000"/>
                <w:szCs w:val="21"/>
              </w:rPr>
            </w:pPr>
            <w:r>
              <w:rPr>
                <w:rFonts w:ascii="宋体" w:hAnsi="宋体" w:hint="eastAsia"/>
                <w:color w:val="000000"/>
                <w:szCs w:val="21"/>
              </w:rPr>
              <w:t>地下室建筑面积</w:t>
            </w:r>
          </w:p>
        </w:tc>
        <w:tc>
          <w:tcPr>
            <w:tcW w:w="1559" w:type="dxa"/>
            <w:vAlign w:val="top"/>
          </w:tcPr>
          <w:p>
            <w:pPr>
              <w:rPr>
                <w:rFonts w:ascii="宋体" w:hAnsi="宋体" w:hint="eastAsia"/>
                <w:color w:val="000000"/>
                <w:szCs w:val="21"/>
              </w:rPr>
            </w:pPr>
            <w:r>
              <w:rPr>
                <w:rFonts w:ascii="宋体" w:hAnsi="宋体" w:hint="eastAsia"/>
                <w:color w:val="000000"/>
                <w:szCs w:val="21"/>
              </w:rPr>
              <w:t>8365.44㎡</w:t>
            </w:r>
          </w:p>
        </w:tc>
        <w:tc>
          <w:tcPr>
            <w:tcW w:w="4142" w:type="dxa"/>
            <w:vAlign w:val="top"/>
          </w:tcPr>
          <w:p>
            <w:pPr>
              <w:ind w:firstLine="840" w:firstLineChars="400"/>
              <w:rPr>
                <w:rFonts w:ascii="宋体" w:hAnsi="宋体" w:hint="eastAsia"/>
                <w:color w:val="000000"/>
                <w:szCs w:val="21"/>
              </w:rPr>
            </w:pPr>
            <w:r>
              <w:rPr>
                <w:rFonts w:ascii="宋体" w:hAnsi="宋体" w:hint="eastAsia"/>
                <w:color w:val="000000"/>
                <w:szCs w:val="21"/>
              </w:rPr>
              <w:t>地下1层</w:t>
            </w: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4</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住宅总户数</w:t>
            </w:r>
          </w:p>
        </w:tc>
        <w:tc>
          <w:tcPr>
            <w:tcW w:w="1559" w:type="dxa"/>
            <w:vAlign w:val="top"/>
          </w:tcPr>
          <w:p>
            <w:pPr>
              <w:rPr>
                <w:rFonts w:ascii="宋体" w:hAnsi="宋体" w:hint="eastAsia"/>
                <w:color w:val="000000"/>
                <w:szCs w:val="21"/>
              </w:rPr>
            </w:pPr>
            <w:r>
              <w:rPr>
                <w:rFonts w:ascii="宋体" w:hAnsi="宋体" w:hint="eastAsia"/>
                <w:color w:val="000000"/>
                <w:szCs w:val="21"/>
              </w:rPr>
              <w:t>307户</w:t>
            </w:r>
          </w:p>
        </w:tc>
        <w:tc>
          <w:tcPr>
            <w:tcW w:w="4142" w:type="dxa"/>
            <w:vAlign w:val="top"/>
          </w:tcPr>
          <w:p>
            <w:pPr>
              <w:ind w:firstLine="525"/>
              <w:jc w:val="center"/>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5</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容积率</w:t>
            </w:r>
          </w:p>
        </w:tc>
        <w:tc>
          <w:tcPr>
            <w:tcW w:w="1559" w:type="dxa"/>
            <w:vAlign w:val="top"/>
          </w:tcPr>
          <w:p>
            <w:pPr>
              <w:rPr>
                <w:rFonts w:ascii="宋体" w:hAnsi="宋体" w:hint="eastAsia"/>
                <w:color w:val="000000"/>
                <w:szCs w:val="21"/>
              </w:rPr>
            </w:pPr>
            <w:r>
              <w:rPr>
                <w:rFonts w:ascii="宋体" w:hAnsi="宋体" w:hint="eastAsia"/>
                <w:color w:val="000000"/>
                <w:szCs w:val="21"/>
              </w:rPr>
              <w:t xml:space="preserve">982人 </w:t>
            </w:r>
          </w:p>
        </w:tc>
        <w:tc>
          <w:tcPr>
            <w:tcW w:w="4142" w:type="dxa"/>
            <w:vAlign w:val="top"/>
          </w:tcPr>
          <w:p>
            <w:pPr>
              <w:ind w:firstLine="525"/>
              <w:jc w:val="center"/>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6</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建筑密度</w:t>
            </w:r>
          </w:p>
        </w:tc>
        <w:tc>
          <w:tcPr>
            <w:tcW w:w="1559" w:type="dxa"/>
            <w:vAlign w:val="top"/>
          </w:tcPr>
          <w:p>
            <w:pPr>
              <w:rPr>
                <w:rFonts w:ascii="宋体" w:hAnsi="宋体" w:hint="eastAsia"/>
                <w:color w:val="000000"/>
                <w:szCs w:val="21"/>
              </w:rPr>
            </w:pPr>
            <w:r>
              <w:rPr>
                <w:rFonts w:ascii="宋体" w:hAnsi="宋体" w:hint="eastAsia"/>
                <w:color w:val="000000"/>
                <w:szCs w:val="21"/>
              </w:rPr>
              <w:t xml:space="preserve">13.19 </w:t>
            </w:r>
          </w:p>
        </w:tc>
        <w:tc>
          <w:tcPr>
            <w:tcW w:w="4142" w:type="dxa"/>
            <w:vAlign w:val="top"/>
          </w:tcPr>
          <w:p>
            <w:pPr>
              <w:ind w:firstLine="840" w:firstLineChars="400"/>
              <w:rPr>
                <w:rFonts w:ascii="宋体" w:hAnsi="宋体" w:hint="eastAsia"/>
                <w:color w:val="000000"/>
                <w:szCs w:val="21"/>
              </w:rPr>
            </w:pPr>
            <w:r>
              <w:rPr>
                <w:rFonts w:ascii="宋体" w:hAnsi="宋体" w:hint="eastAsia"/>
                <w:color w:val="000000"/>
                <w:szCs w:val="21"/>
              </w:rPr>
              <w:t>基低面积1749.5㎡</w:t>
            </w: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7</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绿地率</w:t>
            </w:r>
          </w:p>
        </w:tc>
        <w:tc>
          <w:tcPr>
            <w:tcW w:w="1559" w:type="dxa"/>
            <w:vAlign w:val="top"/>
          </w:tcPr>
          <w:p>
            <w:pPr>
              <w:rPr>
                <w:rFonts w:ascii="宋体" w:hAnsi="宋体" w:hint="eastAsia"/>
                <w:color w:val="000000"/>
                <w:szCs w:val="21"/>
              </w:rPr>
            </w:pPr>
            <w:r>
              <w:rPr>
                <w:rFonts w:ascii="宋体" w:hAnsi="宋体" w:hint="eastAsia"/>
                <w:color w:val="000000"/>
                <w:szCs w:val="21"/>
              </w:rPr>
              <w:t>35.6%</w:t>
            </w:r>
          </w:p>
        </w:tc>
        <w:tc>
          <w:tcPr>
            <w:tcW w:w="4142" w:type="dxa"/>
            <w:vAlign w:val="top"/>
          </w:tcPr>
          <w:p>
            <w:pPr>
              <w:ind w:firstLine="840" w:firstLineChars="400"/>
              <w:rPr>
                <w:rFonts w:ascii="宋体" w:hAnsi="宋体" w:hint="eastAsia"/>
                <w:color w:val="000000"/>
                <w:szCs w:val="21"/>
              </w:rPr>
            </w:pPr>
            <w:r>
              <w:rPr>
                <w:rFonts w:ascii="宋体" w:hAnsi="宋体" w:hint="eastAsia"/>
                <w:color w:val="000000"/>
                <w:szCs w:val="21"/>
              </w:rPr>
              <w:t>绿地面积4723㎡</w:t>
            </w:r>
          </w:p>
        </w:tc>
      </w:tr>
      <w:tr>
        <w:tblPrEx>
          <w:tblW w:w="0" w:type="auto"/>
          <w:tblInd w:w="108" w:type="dxa"/>
          <w:tblLayout w:type="fixed"/>
          <w:tblCellMar>
            <w:top w:w="0" w:type="dxa"/>
            <w:left w:w="108" w:type="dxa"/>
            <w:bottom w:w="0" w:type="dxa"/>
            <w:right w:w="108" w:type="dxa"/>
          </w:tblCellMar>
        </w:tblPrEx>
        <w:tc>
          <w:tcPr>
            <w:tcW w:w="709" w:type="dxa"/>
            <w:vAlign w:val="top"/>
          </w:tcPr>
          <w:p>
            <w:pPr>
              <w:rPr>
                <w:rFonts w:ascii="宋体" w:hAnsi="宋体" w:hint="eastAsia"/>
                <w:color w:val="000000"/>
                <w:szCs w:val="21"/>
              </w:rPr>
            </w:pPr>
            <w:r>
              <w:rPr>
                <w:rFonts w:ascii="宋体" w:hAnsi="宋体" w:hint="eastAsia"/>
                <w:color w:val="000000"/>
                <w:szCs w:val="21"/>
              </w:rPr>
              <w:t xml:space="preserve">  8</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建筑高度</w:t>
            </w:r>
          </w:p>
        </w:tc>
        <w:tc>
          <w:tcPr>
            <w:tcW w:w="1559" w:type="dxa"/>
            <w:vAlign w:val="top"/>
          </w:tcPr>
          <w:p>
            <w:pPr>
              <w:rPr>
                <w:rFonts w:ascii="宋体" w:hAnsi="宋体" w:hint="eastAsia"/>
                <w:color w:val="000000"/>
                <w:szCs w:val="21"/>
              </w:rPr>
            </w:pPr>
            <w:r>
              <w:rPr>
                <w:rFonts w:ascii="宋体" w:hAnsi="宋体" w:hint="eastAsia"/>
                <w:color w:val="000000"/>
                <w:szCs w:val="21"/>
              </w:rPr>
              <w:t xml:space="preserve">16F-25F   </w:t>
            </w:r>
          </w:p>
        </w:tc>
        <w:tc>
          <w:tcPr>
            <w:tcW w:w="4142" w:type="dxa"/>
            <w:vAlign w:val="top"/>
          </w:tcPr>
          <w:p>
            <w:pPr>
              <w:ind w:firstLine="840" w:firstLineChars="400"/>
              <w:rPr>
                <w:rFonts w:ascii="宋体" w:hAnsi="宋体" w:hint="eastAsia"/>
                <w:color w:val="000000"/>
                <w:szCs w:val="21"/>
              </w:rPr>
            </w:pPr>
            <w:r>
              <w:rPr>
                <w:rFonts w:ascii="宋体" w:hAnsi="宋体" w:hint="eastAsia"/>
                <w:color w:val="000000"/>
                <w:szCs w:val="21"/>
              </w:rPr>
              <w:t>高层≤80</w:t>
            </w: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9</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机动车停车数</w:t>
            </w:r>
          </w:p>
        </w:tc>
        <w:tc>
          <w:tcPr>
            <w:tcW w:w="1559" w:type="dxa"/>
            <w:vAlign w:val="top"/>
          </w:tcPr>
          <w:p>
            <w:pPr>
              <w:rPr>
                <w:rFonts w:ascii="宋体" w:hAnsi="宋体" w:hint="eastAsia"/>
                <w:color w:val="000000"/>
                <w:szCs w:val="21"/>
              </w:rPr>
            </w:pPr>
            <w:r>
              <w:rPr>
                <w:rFonts w:ascii="宋体" w:hAnsi="宋体" w:hint="eastAsia"/>
                <w:color w:val="000000"/>
                <w:szCs w:val="21"/>
              </w:rPr>
              <w:t>380辆</w:t>
            </w:r>
          </w:p>
        </w:tc>
        <w:tc>
          <w:tcPr>
            <w:tcW w:w="4142" w:type="dxa"/>
            <w:vAlign w:val="top"/>
          </w:tcPr>
          <w:p>
            <w:pPr>
              <w:ind w:firstLine="735" w:firstLineChars="350"/>
              <w:rPr>
                <w:rFonts w:ascii="宋体" w:hAnsi="宋体" w:hint="eastAsia"/>
                <w:color w:val="000000"/>
                <w:szCs w:val="21"/>
              </w:rPr>
            </w:pPr>
            <w:r>
              <w:rPr>
                <w:rFonts w:ascii="宋体" w:hAnsi="宋体" w:hint="eastAsia"/>
                <w:color w:val="000000"/>
                <w:szCs w:val="21"/>
              </w:rPr>
              <w:t>＞</w:t>
            </w:r>
            <w:r>
              <w:rPr>
                <w:rFonts w:ascii="宋体" w:hAnsi="宋体" w:hint="eastAsia"/>
                <w:color w:val="000000"/>
                <w:szCs w:val="21"/>
                <w:lang w:eastAsia="zh-CN"/>
              </w:rPr>
              <w:t>xxx</w:t>
            </w:r>
            <w:r>
              <w:rPr>
                <w:rFonts w:ascii="宋体" w:hAnsi="宋体" w:hint="eastAsia"/>
                <w:color w:val="000000"/>
                <w:szCs w:val="21"/>
              </w:rPr>
              <w:t>标准0.8车位/100㎡</w:t>
            </w:r>
          </w:p>
        </w:tc>
      </w:tr>
      <w:tr>
        <w:tblPrEx>
          <w:tblW w:w="0" w:type="auto"/>
          <w:tblInd w:w="108" w:type="dxa"/>
          <w:tblLayout w:type="fixed"/>
          <w:tblCellMar>
            <w:top w:w="0" w:type="dxa"/>
            <w:left w:w="108" w:type="dxa"/>
            <w:bottom w:w="0" w:type="dxa"/>
            <w:right w:w="108" w:type="dxa"/>
          </w:tblCellMar>
        </w:tblPrEx>
        <w:tc>
          <w:tcPr>
            <w:tcW w:w="709" w:type="dxa"/>
            <w:vAlign w:val="top"/>
          </w:tcPr>
          <w:p>
            <w:pPr>
              <w:jc w:val="center"/>
              <w:rPr>
                <w:rFonts w:ascii="宋体" w:hAnsi="宋体" w:hint="eastAsia"/>
                <w:color w:val="000000"/>
                <w:szCs w:val="21"/>
              </w:rPr>
            </w:pPr>
            <w:r>
              <w:rPr>
                <w:rFonts w:ascii="宋体" w:hAnsi="宋体" w:hint="eastAsia"/>
                <w:color w:val="000000"/>
                <w:szCs w:val="21"/>
              </w:rPr>
              <w:t>10</w:t>
            </w:r>
          </w:p>
        </w:tc>
        <w:tc>
          <w:tcPr>
            <w:tcW w:w="2410" w:type="dxa"/>
            <w:gridSpan w:val="2"/>
            <w:vAlign w:val="top"/>
          </w:tcPr>
          <w:p>
            <w:pPr>
              <w:ind w:firstLine="525"/>
              <w:rPr>
                <w:rFonts w:ascii="宋体" w:hAnsi="宋体" w:hint="eastAsia"/>
                <w:color w:val="000000"/>
                <w:szCs w:val="21"/>
              </w:rPr>
            </w:pPr>
            <w:r>
              <w:rPr>
                <w:rFonts w:ascii="宋体" w:hAnsi="宋体" w:hint="eastAsia"/>
                <w:color w:val="000000"/>
                <w:szCs w:val="21"/>
              </w:rPr>
              <w:t>非机动车停车位</w:t>
            </w:r>
          </w:p>
        </w:tc>
        <w:tc>
          <w:tcPr>
            <w:tcW w:w="1559" w:type="dxa"/>
            <w:vAlign w:val="top"/>
          </w:tcPr>
          <w:p>
            <w:pPr>
              <w:rPr>
                <w:rFonts w:ascii="宋体" w:hAnsi="宋体" w:hint="eastAsia"/>
                <w:color w:val="000000"/>
                <w:szCs w:val="21"/>
              </w:rPr>
            </w:pPr>
            <w:r>
              <w:rPr>
                <w:rFonts w:ascii="宋体" w:hAnsi="宋体" w:hint="eastAsia"/>
                <w:color w:val="000000"/>
                <w:szCs w:val="21"/>
              </w:rPr>
              <w:t>764 辆</w:t>
            </w:r>
          </w:p>
        </w:tc>
        <w:tc>
          <w:tcPr>
            <w:tcW w:w="4142" w:type="dxa"/>
            <w:vAlign w:val="top"/>
          </w:tcPr>
          <w:p>
            <w:pPr>
              <w:ind w:firstLine="735" w:firstLineChars="350"/>
              <w:rPr>
                <w:rFonts w:ascii="宋体" w:hAnsi="宋体" w:hint="eastAsia"/>
                <w:color w:val="000000"/>
                <w:szCs w:val="21"/>
              </w:rPr>
            </w:pPr>
            <w:r>
              <w:rPr>
                <w:rFonts w:ascii="宋体" w:hAnsi="宋体" w:hint="eastAsia"/>
                <w:color w:val="000000"/>
                <w:szCs w:val="21"/>
              </w:rPr>
              <w:t>按</w:t>
            </w:r>
            <w:r>
              <w:rPr>
                <w:rFonts w:ascii="宋体" w:hAnsi="宋体" w:hint="eastAsia"/>
                <w:color w:val="000000"/>
                <w:szCs w:val="21"/>
                <w:lang w:eastAsia="zh-CN"/>
              </w:rPr>
              <w:t>xxx</w:t>
            </w:r>
            <w:r>
              <w:rPr>
                <w:rFonts w:ascii="宋体" w:hAnsi="宋体" w:hint="eastAsia"/>
                <w:color w:val="000000"/>
                <w:szCs w:val="21"/>
              </w:rPr>
              <w:t>标准</w:t>
            </w:r>
          </w:p>
        </w:tc>
      </w:tr>
    </w:tbl>
    <w:p>
      <w:pPr>
        <w:spacing w:line="560" w:lineRule="exact"/>
        <w:ind w:firstLine="560" w:firstLineChars="200"/>
        <w:rPr>
          <w:rFonts w:ascii="宋体" w:hAnsi="宋体" w:hint="eastAsia"/>
          <w:b/>
          <w:color w:val="000000"/>
          <w:sz w:val="28"/>
          <w:szCs w:val="28"/>
        </w:rPr>
      </w:pPr>
      <w:r>
        <w:rPr>
          <w:rFonts w:ascii="宋体" w:hAnsi="宋体" w:hint="eastAsia"/>
          <w:b/>
          <w:color w:val="000000"/>
          <w:sz w:val="28"/>
          <w:szCs w:val="28"/>
        </w:rPr>
        <w:t>7.2</w:t>
      </w:r>
      <w:r>
        <w:rPr>
          <w:rFonts w:ascii="宋体" w:hAnsi="宋体" w:hint="eastAsia"/>
          <w:b/>
          <w:bCs/>
          <w:color w:val="000000"/>
          <w:sz w:val="28"/>
          <w:szCs w:val="28"/>
        </w:rPr>
        <w:t xml:space="preserve">  </w:t>
      </w:r>
      <w:r>
        <w:rPr>
          <w:rFonts w:ascii="宋体" w:hAnsi="宋体" w:hint="eastAsia"/>
          <w:b/>
          <w:bCs/>
          <w:color w:val="000000"/>
          <w:kern w:val="0"/>
          <w:sz w:val="28"/>
          <w:szCs w:val="28"/>
        </w:rPr>
        <w:t>建筑面积分配方案</w:t>
      </w:r>
    </w:p>
    <w:p>
      <w:pPr>
        <w:spacing w:line="560" w:lineRule="exact"/>
        <w:ind w:firstLine="480" w:firstLineChars="200"/>
        <w:rPr>
          <w:rFonts w:ascii="宋体" w:hAnsi="宋体" w:hint="eastAsia"/>
          <w:color w:val="000000"/>
          <w:sz w:val="24"/>
        </w:rPr>
      </w:pPr>
      <w:r>
        <w:rPr>
          <w:rFonts w:ascii="宋体" w:hAnsi="宋体" w:hint="eastAsia"/>
          <w:color w:val="000000"/>
          <w:sz w:val="24"/>
        </w:rPr>
        <w:t xml:space="preserve"> 《</w:t>
      </w:r>
      <w:r>
        <w:rPr>
          <w:rFonts w:ascii="宋体" w:hAnsi="宋体" w:hint="eastAsia"/>
          <w:color w:val="000000"/>
          <w:sz w:val="24"/>
          <w:szCs w:val="28"/>
          <w:lang w:eastAsia="zh-CN"/>
        </w:rPr>
        <w:t>xxxxxx</w:t>
      </w:r>
      <w:r>
        <w:rPr>
          <w:rFonts w:ascii="宋体" w:hAnsi="宋体" w:hint="eastAsia"/>
          <w:color w:val="000000"/>
          <w:sz w:val="24"/>
          <w:szCs w:val="28"/>
        </w:rPr>
        <w:t>住宅建设项目</w:t>
      </w:r>
      <w:r>
        <w:rPr>
          <w:rFonts w:ascii="宋体" w:hAnsi="宋体" w:hint="eastAsia"/>
          <w:color w:val="000000"/>
          <w:sz w:val="24"/>
        </w:rPr>
        <w:t>》位置，按照</w:t>
      </w:r>
      <w:r>
        <w:rPr>
          <w:rFonts w:ascii="宋体" w:hAnsi="宋体" w:hint="eastAsia"/>
          <w:bCs/>
          <w:color w:val="000000"/>
          <w:sz w:val="24"/>
          <w:lang w:eastAsia="zh-CN"/>
        </w:rPr>
        <w:t>xxx</w:t>
      </w:r>
      <w:r>
        <w:rPr>
          <w:rFonts w:ascii="宋体" w:hAnsi="宋体" w:hint="eastAsia"/>
          <w:bCs/>
          <w:color w:val="000000"/>
          <w:sz w:val="24"/>
        </w:rPr>
        <w:t>规划此地块为住宅区。</w:t>
      </w:r>
      <w:r>
        <w:rPr>
          <w:rFonts w:ascii="宋体" w:hAnsi="宋体" w:hint="eastAsia"/>
          <w:color w:val="000000"/>
          <w:sz w:val="24"/>
        </w:rPr>
        <w:t xml:space="preserve">规划总建筑面 </w:t>
      </w:r>
      <w:r>
        <w:rPr>
          <w:rFonts w:ascii="宋体" w:hAnsi="宋体" w:hint="eastAsia"/>
          <w:color w:val="000000"/>
          <w:szCs w:val="21"/>
        </w:rPr>
        <w:t>46750.57</w:t>
      </w:r>
      <w:r>
        <w:rPr>
          <w:rFonts w:ascii="宋体" w:hAnsi="宋体" w:hint="eastAsia"/>
          <w:color w:val="000000"/>
          <w:sz w:val="24"/>
        </w:rPr>
        <w:t>平方米，共安排307套。其中：高层37965.13</w:t>
      </w:r>
      <w:r>
        <w:rPr>
          <w:rFonts w:ascii="宋体" w:hAnsi="宋体" w:hint="eastAsia"/>
          <w:bCs/>
          <w:color w:val="000000"/>
          <w:szCs w:val="21"/>
        </w:rPr>
        <w:t>㎡</w:t>
      </w:r>
      <w:r>
        <w:rPr>
          <w:rFonts w:ascii="宋体" w:hAnsi="宋体" w:hint="eastAsia"/>
          <w:color w:val="000000"/>
          <w:sz w:val="24"/>
        </w:rPr>
        <w:t>、地下人防面积1865.44</w:t>
      </w:r>
      <w:r>
        <w:rPr>
          <w:rFonts w:ascii="宋体" w:hAnsi="宋体" w:hint="eastAsia"/>
          <w:bCs/>
          <w:color w:val="000000"/>
          <w:szCs w:val="21"/>
        </w:rPr>
        <w:t>㎡</w:t>
      </w:r>
      <w:r>
        <w:rPr>
          <w:rFonts w:ascii="宋体" w:hAnsi="宋体" w:hint="eastAsia"/>
          <w:color w:val="000000"/>
          <w:sz w:val="24"/>
        </w:rPr>
        <w:t>、地下车库积及地下设备房6500㎡平面布局为在地块置三个小区节点景观花园，2#、3#楼中间区域建广场花园，物业管理设西大门处、机动车车位、人防工程设在主楼地下室。住宅沿东西方采用兵营式布置，以获得更的日照。 小区主大门设在车站大道上，消防通道及车辆出口设在小区北侧，住房布置规划设计采用高层框架结构。停车场、局部景观及其它配套设施布置在楼间距内、绿化主广场地及避难处主要设置在</w:t>
      </w:r>
      <w:r>
        <w:rPr>
          <w:rFonts w:ascii="宋体" w:hAnsi="宋体" w:hint="eastAsia"/>
          <w:b/>
          <w:bCs/>
          <w:color w:val="000000"/>
          <w:kern w:val="0"/>
          <w:sz w:val="28"/>
          <w:szCs w:val="28"/>
        </w:rPr>
        <w:t>小</w:t>
      </w:r>
      <w:r>
        <w:rPr>
          <w:rFonts w:ascii="宋体" w:hAnsi="宋体" w:hint="eastAsia"/>
          <w:color w:val="000000"/>
          <w:sz w:val="24"/>
        </w:rPr>
        <w:t>区南面，景观花园附近。小区计划安置总户数为308户，总人数982人。建设项目体建筑面积分配方案见下表：</w:t>
      </w:r>
    </w:p>
    <w:p>
      <w:pPr>
        <w:spacing w:line="560" w:lineRule="exact"/>
        <w:ind w:left="7268" w:hanging="5462" w:leftChars="860" w:hangingChars="2276"/>
        <w:rPr>
          <w:rFonts w:ascii="宋体" w:hAnsi="宋体" w:hint="eastAsia"/>
          <w:b/>
          <w:color w:val="000000"/>
          <w:sz w:val="24"/>
          <w:szCs w:val="28"/>
        </w:rPr>
      </w:pPr>
      <w:r>
        <w:rPr>
          <w:rFonts w:ascii="宋体" w:hAnsi="宋体" w:hint="eastAsia"/>
          <w:b/>
          <w:color w:val="000000"/>
          <w:sz w:val="24"/>
          <w:szCs w:val="28"/>
          <w:lang w:eastAsia="zh-CN"/>
        </w:rPr>
        <w:t>xxxxxxxxx</w:t>
      </w:r>
      <w:r>
        <w:rPr>
          <w:rFonts w:ascii="宋体" w:hAnsi="宋体" w:hint="eastAsia"/>
          <w:b/>
          <w:color w:val="000000"/>
          <w:sz w:val="24"/>
          <w:szCs w:val="28"/>
        </w:rPr>
        <w:t>住宅建设项目</w:t>
      </w:r>
      <w:r>
        <w:rPr>
          <w:rFonts w:ascii="宋体" w:hAnsi="宋体" w:hint="eastAsia"/>
          <w:b/>
          <w:color w:val="000000"/>
          <w:sz w:val="24"/>
        </w:rPr>
        <w:t xml:space="preserve">配套设施方案       </w:t>
      </w:r>
      <w:r>
        <w:rPr>
          <w:rFonts w:ascii="宋体" w:hAnsi="宋体" w:hint="eastAsia"/>
          <w:color w:val="000000"/>
          <w:sz w:val="18"/>
          <w:szCs w:val="21"/>
        </w:rPr>
        <w:t>表—5</w:t>
      </w: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720"/>
        <w:gridCol w:w="2880"/>
        <w:gridCol w:w="1656"/>
        <w:gridCol w:w="1516"/>
        <w:gridCol w:w="2048"/>
      </w:tblGrid>
      <w:tr>
        <w:tblPrEx>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c>
          <w:tcPr>
            <w:tcW w:w="720" w:type="dxa"/>
            <w:vAlign w:val="top"/>
          </w:tcPr>
          <w:p>
            <w:pPr>
              <w:rPr>
                <w:rFonts w:ascii="宋体" w:hAnsi="宋体" w:hint="eastAsia"/>
                <w:b/>
                <w:color w:val="000000"/>
                <w:szCs w:val="21"/>
              </w:rPr>
            </w:pPr>
            <w:r>
              <w:rPr>
                <w:rFonts w:ascii="宋体" w:hAnsi="宋体" w:hint="eastAsia"/>
                <w:b/>
                <w:color w:val="000000"/>
                <w:szCs w:val="21"/>
              </w:rPr>
              <w:t>序号</w:t>
            </w:r>
          </w:p>
        </w:tc>
        <w:tc>
          <w:tcPr>
            <w:tcW w:w="2880" w:type="dxa"/>
            <w:vAlign w:val="top"/>
          </w:tcPr>
          <w:p>
            <w:pPr>
              <w:ind w:firstLine="210" w:firstLineChars="100"/>
              <w:rPr>
                <w:rFonts w:ascii="宋体" w:hAnsi="宋体" w:hint="eastAsia"/>
                <w:b/>
                <w:color w:val="000000"/>
                <w:szCs w:val="21"/>
              </w:rPr>
            </w:pPr>
            <w:r>
              <w:rPr>
                <w:rFonts w:ascii="宋体" w:hAnsi="宋体" w:hint="eastAsia"/>
                <w:b/>
                <w:color w:val="000000"/>
                <w:szCs w:val="21"/>
              </w:rPr>
              <w:t>公共</w:t>
            </w:r>
            <w:r>
              <w:rPr>
                <w:rStyle w:val="con01"/>
                <w:rFonts w:ascii="宋体" w:hAnsi="宋体" w:hint="eastAsia"/>
                <w:b/>
                <w:color w:val="000000"/>
                <w:szCs w:val="21"/>
              </w:rPr>
              <w:t>设施</w:t>
            </w:r>
            <w:r>
              <w:rPr>
                <w:rFonts w:ascii="宋体" w:hAnsi="宋体" w:hint="eastAsia"/>
                <w:b/>
                <w:color w:val="000000"/>
                <w:szCs w:val="21"/>
              </w:rPr>
              <w:t>建设项目名称</w:t>
            </w:r>
          </w:p>
        </w:tc>
        <w:tc>
          <w:tcPr>
            <w:tcW w:w="1656" w:type="dxa"/>
            <w:vAlign w:val="top"/>
          </w:tcPr>
          <w:p>
            <w:pPr>
              <w:ind w:firstLine="420" w:firstLineChars="200"/>
              <w:rPr>
                <w:rFonts w:ascii="宋体" w:hAnsi="宋体" w:hint="eastAsia"/>
                <w:b/>
                <w:color w:val="000000"/>
                <w:szCs w:val="21"/>
              </w:rPr>
            </w:pPr>
            <w:r>
              <w:rPr>
                <w:rFonts w:ascii="宋体" w:hAnsi="宋体" w:hint="eastAsia"/>
                <w:b/>
                <w:color w:val="000000"/>
                <w:szCs w:val="21"/>
              </w:rPr>
              <w:t>工程量</w:t>
            </w:r>
          </w:p>
        </w:tc>
        <w:tc>
          <w:tcPr>
            <w:tcW w:w="1516" w:type="dxa"/>
            <w:vAlign w:val="top"/>
          </w:tcPr>
          <w:p>
            <w:pPr>
              <w:ind w:firstLine="210" w:firstLineChars="100"/>
              <w:rPr>
                <w:rFonts w:ascii="宋体" w:hAnsi="宋体" w:hint="eastAsia"/>
                <w:b/>
                <w:color w:val="000000"/>
                <w:szCs w:val="21"/>
              </w:rPr>
            </w:pPr>
            <w:r>
              <w:rPr>
                <w:rFonts w:ascii="宋体" w:hAnsi="宋体" w:hint="eastAsia"/>
                <w:b/>
                <w:color w:val="000000"/>
                <w:szCs w:val="21"/>
              </w:rPr>
              <w:t>费用金额</w:t>
            </w:r>
          </w:p>
        </w:tc>
        <w:tc>
          <w:tcPr>
            <w:tcW w:w="2048" w:type="dxa"/>
            <w:vAlign w:val="top"/>
          </w:tcPr>
          <w:p>
            <w:pPr>
              <w:ind w:firstLine="519" w:firstLineChars="247"/>
              <w:rPr>
                <w:rFonts w:ascii="宋体" w:hAnsi="宋体" w:hint="eastAsia"/>
                <w:b/>
                <w:color w:val="000000"/>
                <w:szCs w:val="21"/>
              </w:rPr>
            </w:pPr>
            <w:r>
              <w:rPr>
                <w:rFonts w:ascii="宋体" w:hAnsi="宋体" w:hint="eastAsia"/>
                <w:b/>
                <w:color w:val="000000"/>
                <w:szCs w:val="21"/>
              </w:rPr>
              <w:t>备   注</w:t>
            </w: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1</w:t>
            </w:r>
          </w:p>
        </w:tc>
        <w:tc>
          <w:tcPr>
            <w:tcW w:w="2880" w:type="dxa"/>
            <w:vAlign w:val="top"/>
          </w:tcPr>
          <w:p>
            <w:pPr>
              <w:rPr>
                <w:rFonts w:ascii="宋体" w:hAnsi="宋体" w:hint="eastAsia"/>
                <w:color w:val="000000"/>
                <w:szCs w:val="21"/>
              </w:rPr>
            </w:pPr>
            <w:r>
              <w:rPr>
                <w:rFonts w:ascii="宋体" w:hAnsi="宋体" w:hint="eastAsia"/>
                <w:color w:val="000000"/>
                <w:szCs w:val="21"/>
              </w:rPr>
              <w:t>警务室、居委会、活动室</w:t>
            </w:r>
          </w:p>
        </w:tc>
        <w:tc>
          <w:tcPr>
            <w:tcW w:w="1656" w:type="dxa"/>
            <w:vAlign w:val="top"/>
          </w:tcPr>
          <w:p>
            <w:pPr>
              <w:rPr>
                <w:rFonts w:ascii="宋体" w:hAnsi="宋体" w:hint="eastAsia"/>
                <w:color w:val="000000"/>
                <w:szCs w:val="21"/>
              </w:rPr>
            </w:pPr>
            <w:r>
              <w:rPr>
                <w:rFonts w:ascii="宋体" w:hAnsi="宋体" w:hint="eastAsia"/>
                <w:color w:val="000000"/>
                <w:szCs w:val="21"/>
              </w:rPr>
              <w:t>建设装修120㎡</w:t>
            </w:r>
          </w:p>
        </w:tc>
        <w:tc>
          <w:tcPr>
            <w:tcW w:w="1516" w:type="dxa"/>
            <w:vAlign w:val="top"/>
          </w:tcPr>
          <w:p>
            <w:pPr>
              <w:ind w:firstLine="210" w:firstLineChars="100"/>
              <w:rPr>
                <w:rFonts w:ascii="宋体" w:hAnsi="宋体" w:hint="eastAsia"/>
                <w:color w:val="000000"/>
                <w:szCs w:val="21"/>
              </w:rPr>
            </w:pPr>
            <w:r>
              <w:rPr>
                <w:rFonts w:ascii="宋体" w:hAnsi="宋体" w:hint="eastAsia"/>
                <w:color w:val="000000"/>
                <w:szCs w:val="21"/>
              </w:rPr>
              <w:t>12万元</w:t>
            </w:r>
          </w:p>
        </w:tc>
        <w:tc>
          <w:tcPr>
            <w:tcW w:w="2048" w:type="dxa"/>
            <w:vAlign w:val="top"/>
          </w:tcPr>
          <w:p>
            <w:pPr>
              <w:rPr>
                <w:rStyle w:val="con01"/>
                <w:rFonts w:ascii="宋体" w:hAnsi="宋体" w:hint="eastAsia"/>
                <w:color w:val="000000"/>
                <w:szCs w:val="21"/>
              </w:rPr>
            </w:pPr>
            <w:r>
              <w:rPr>
                <w:rStyle w:val="con01"/>
                <w:rFonts w:ascii="宋体" w:hAnsi="宋体" w:hint="eastAsia"/>
                <w:color w:val="000000"/>
                <w:szCs w:val="21"/>
              </w:rPr>
              <w:t>估算</w:t>
            </w:r>
            <w:r>
              <w:rPr>
                <w:rFonts w:ascii="宋体" w:hAnsi="宋体" w:hint="eastAsia"/>
                <w:color w:val="000000"/>
                <w:szCs w:val="21"/>
              </w:rPr>
              <w:t>1000元/㎡</w:t>
            </w: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2</w:t>
            </w:r>
          </w:p>
        </w:tc>
        <w:tc>
          <w:tcPr>
            <w:tcW w:w="2880" w:type="dxa"/>
            <w:vAlign w:val="top"/>
          </w:tcPr>
          <w:p>
            <w:pPr>
              <w:ind w:firstLine="525"/>
              <w:rPr>
                <w:rFonts w:ascii="宋体" w:hAnsi="宋体" w:hint="eastAsia"/>
                <w:color w:val="000000"/>
                <w:szCs w:val="21"/>
              </w:rPr>
            </w:pPr>
            <w:r>
              <w:rPr>
                <w:rFonts w:ascii="宋体" w:hAnsi="宋体" w:hint="eastAsia"/>
                <w:color w:val="000000"/>
                <w:szCs w:val="21"/>
              </w:rPr>
              <w:t>物业管理用房</w:t>
            </w:r>
          </w:p>
        </w:tc>
        <w:tc>
          <w:tcPr>
            <w:tcW w:w="1656" w:type="dxa"/>
            <w:vAlign w:val="top"/>
          </w:tcPr>
          <w:p>
            <w:pPr>
              <w:rPr>
                <w:rFonts w:ascii="宋体" w:hAnsi="宋体" w:hint="eastAsia"/>
                <w:color w:val="000000"/>
                <w:szCs w:val="21"/>
              </w:rPr>
            </w:pPr>
            <w:r>
              <w:rPr>
                <w:rFonts w:ascii="宋体" w:hAnsi="宋体" w:hint="eastAsia"/>
                <w:color w:val="000000"/>
                <w:szCs w:val="21"/>
              </w:rPr>
              <w:t>简装修80㎡</w:t>
            </w:r>
          </w:p>
        </w:tc>
        <w:tc>
          <w:tcPr>
            <w:tcW w:w="1516" w:type="dxa"/>
            <w:vAlign w:val="top"/>
          </w:tcPr>
          <w:p>
            <w:pPr>
              <w:ind w:firstLine="210" w:firstLineChars="100"/>
              <w:rPr>
                <w:rFonts w:ascii="宋体" w:hAnsi="宋体" w:hint="eastAsia"/>
                <w:color w:val="000000"/>
                <w:szCs w:val="21"/>
              </w:rPr>
            </w:pPr>
            <w:r>
              <w:rPr>
                <w:rFonts w:ascii="宋体" w:hAnsi="宋体" w:hint="eastAsia"/>
                <w:color w:val="000000"/>
                <w:szCs w:val="21"/>
              </w:rPr>
              <w:t>8万元</w:t>
            </w:r>
          </w:p>
        </w:tc>
        <w:tc>
          <w:tcPr>
            <w:tcW w:w="2048" w:type="dxa"/>
            <w:vAlign w:val="top"/>
          </w:tcPr>
          <w:p>
            <w:pPr>
              <w:rPr>
                <w:rStyle w:val="con01"/>
                <w:rFonts w:ascii="宋体" w:hAnsi="宋体" w:hint="eastAsia"/>
                <w:color w:val="000000"/>
                <w:szCs w:val="21"/>
              </w:rPr>
            </w:pPr>
            <w:r>
              <w:rPr>
                <w:rStyle w:val="con01"/>
                <w:rFonts w:ascii="宋体" w:hAnsi="宋体" w:hint="eastAsia"/>
                <w:color w:val="000000"/>
                <w:szCs w:val="21"/>
              </w:rPr>
              <w:t>估算</w:t>
            </w:r>
            <w:r>
              <w:rPr>
                <w:rFonts w:ascii="宋体" w:hAnsi="宋体" w:hint="eastAsia"/>
                <w:color w:val="000000"/>
                <w:szCs w:val="21"/>
              </w:rPr>
              <w:t>1000元/㎡</w:t>
            </w: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3</w:t>
            </w:r>
          </w:p>
        </w:tc>
        <w:tc>
          <w:tcPr>
            <w:tcW w:w="2880" w:type="dxa"/>
            <w:vAlign w:val="top"/>
          </w:tcPr>
          <w:p>
            <w:pPr>
              <w:ind w:firstLine="525"/>
              <w:rPr>
                <w:rFonts w:ascii="宋体" w:hAnsi="宋体" w:hint="eastAsia"/>
                <w:color w:val="000000"/>
                <w:szCs w:val="21"/>
              </w:rPr>
            </w:pPr>
            <w:r>
              <w:rPr>
                <w:rFonts w:ascii="宋体" w:hAnsi="宋体" w:hint="eastAsia"/>
                <w:color w:val="000000"/>
                <w:szCs w:val="21"/>
              </w:rPr>
              <w:t>大门、保安用房</w:t>
            </w:r>
          </w:p>
        </w:tc>
        <w:tc>
          <w:tcPr>
            <w:tcW w:w="1656" w:type="dxa"/>
            <w:vAlign w:val="top"/>
          </w:tcPr>
          <w:p>
            <w:pPr>
              <w:rPr>
                <w:rFonts w:ascii="宋体" w:hAnsi="宋体" w:hint="eastAsia"/>
                <w:color w:val="000000"/>
                <w:szCs w:val="21"/>
              </w:rPr>
            </w:pPr>
            <w:r>
              <w:rPr>
                <w:rFonts w:ascii="宋体" w:hAnsi="宋体" w:hint="eastAsia"/>
                <w:color w:val="000000"/>
                <w:szCs w:val="21"/>
              </w:rPr>
              <w:t>简装修40㎡</w:t>
            </w:r>
          </w:p>
        </w:tc>
        <w:tc>
          <w:tcPr>
            <w:tcW w:w="1516" w:type="dxa"/>
            <w:vAlign w:val="top"/>
          </w:tcPr>
          <w:p>
            <w:pPr>
              <w:ind w:firstLine="210" w:firstLineChars="100"/>
              <w:rPr>
                <w:rFonts w:ascii="宋体" w:hAnsi="宋体" w:hint="eastAsia"/>
                <w:color w:val="000000"/>
                <w:szCs w:val="21"/>
              </w:rPr>
            </w:pPr>
            <w:r>
              <w:rPr>
                <w:rFonts w:ascii="宋体" w:hAnsi="宋体" w:hint="eastAsia"/>
                <w:color w:val="000000"/>
                <w:szCs w:val="21"/>
              </w:rPr>
              <w:t>4万元</w:t>
            </w:r>
          </w:p>
        </w:tc>
        <w:tc>
          <w:tcPr>
            <w:tcW w:w="2048" w:type="dxa"/>
            <w:vAlign w:val="top"/>
          </w:tcPr>
          <w:p>
            <w:pPr>
              <w:rPr>
                <w:rStyle w:val="con01"/>
                <w:rFonts w:ascii="宋体" w:hAnsi="宋体" w:hint="eastAsia"/>
                <w:color w:val="000000"/>
                <w:szCs w:val="21"/>
              </w:rPr>
            </w:pPr>
            <w:r>
              <w:rPr>
                <w:rStyle w:val="con01"/>
                <w:rFonts w:ascii="宋体" w:hAnsi="宋体" w:hint="eastAsia"/>
                <w:color w:val="000000"/>
                <w:szCs w:val="21"/>
              </w:rPr>
              <w:t>估算</w:t>
            </w:r>
            <w:r>
              <w:rPr>
                <w:rFonts w:ascii="宋体" w:hAnsi="宋体" w:hint="eastAsia"/>
                <w:color w:val="000000"/>
                <w:szCs w:val="21"/>
              </w:rPr>
              <w:t>1000元/㎡</w:t>
            </w: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4</w:t>
            </w:r>
          </w:p>
        </w:tc>
        <w:tc>
          <w:tcPr>
            <w:tcW w:w="2880" w:type="dxa"/>
            <w:vAlign w:val="top"/>
          </w:tcPr>
          <w:p>
            <w:pPr>
              <w:ind w:firstLine="525"/>
              <w:rPr>
                <w:rFonts w:ascii="宋体" w:hAnsi="宋体" w:hint="eastAsia"/>
                <w:color w:val="000000"/>
                <w:szCs w:val="21"/>
              </w:rPr>
            </w:pPr>
            <w:r>
              <w:rPr>
                <w:rFonts w:ascii="宋体" w:hAnsi="宋体" w:hint="eastAsia"/>
                <w:color w:val="000000"/>
                <w:szCs w:val="21"/>
              </w:rPr>
              <w:t>商店超市卫生所</w:t>
            </w:r>
          </w:p>
        </w:tc>
        <w:tc>
          <w:tcPr>
            <w:tcW w:w="1656" w:type="dxa"/>
            <w:vAlign w:val="top"/>
          </w:tcPr>
          <w:p>
            <w:pPr>
              <w:rPr>
                <w:rFonts w:ascii="宋体" w:hAnsi="宋体" w:hint="eastAsia"/>
                <w:color w:val="000000"/>
                <w:szCs w:val="21"/>
              </w:rPr>
            </w:pPr>
            <w:r>
              <w:rPr>
                <w:rFonts w:ascii="宋体" w:hAnsi="宋体" w:hint="eastAsia"/>
                <w:color w:val="000000"/>
                <w:szCs w:val="21"/>
              </w:rPr>
              <w:t>简装修100㎡</w:t>
            </w:r>
          </w:p>
        </w:tc>
        <w:tc>
          <w:tcPr>
            <w:tcW w:w="1516" w:type="dxa"/>
            <w:vAlign w:val="top"/>
          </w:tcPr>
          <w:p>
            <w:pPr>
              <w:ind w:firstLine="210" w:firstLineChars="100"/>
              <w:rPr>
                <w:rFonts w:ascii="宋体" w:hAnsi="宋体" w:hint="eastAsia"/>
                <w:color w:val="000000"/>
                <w:szCs w:val="21"/>
              </w:rPr>
            </w:pPr>
            <w:r>
              <w:rPr>
                <w:rFonts w:ascii="宋体" w:hAnsi="宋体" w:hint="eastAsia"/>
                <w:color w:val="000000"/>
                <w:szCs w:val="21"/>
              </w:rPr>
              <w:t>10万元</w:t>
            </w:r>
          </w:p>
        </w:tc>
        <w:tc>
          <w:tcPr>
            <w:tcW w:w="2048" w:type="dxa"/>
            <w:vAlign w:val="top"/>
          </w:tcPr>
          <w:p>
            <w:pPr>
              <w:rPr>
                <w:rStyle w:val="con01"/>
                <w:rFonts w:ascii="宋体" w:hAnsi="宋体" w:hint="eastAsia"/>
                <w:color w:val="000000"/>
                <w:szCs w:val="21"/>
              </w:rPr>
            </w:pPr>
            <w:r>
              <w:rPr>
                <w:rStyle w:val="con01"/>
                <w:rFonts w:ascii="宋体" w:hAnsi="宋体" w:hint="eastAsia"/>
                <w:color w:val="000000"/>
                <w:szCs w:val="21"/>
              </w:rPr>
              <w:t>估算</w:t>
            </w:r>
            <w:r>
              <w:rPr>
                <w:rFonts w:ascii="宋体" w:hAnsi="宋体" w:hint="eastAsia"/>
                <w:color w:val="000000"/>
                <w:szCs w:val="21"/>
              </w:rPr>
              <w:t>1000元/㎡</w:t>
            </w: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5</w:t>
            </w:r>
          </w:p>
        </w:tc>
        <w:tc>
          <w:tcPr>
            <w:tcW w:w="2880" w:type="dxa"/>
            <w:vAlign w:val="top"/>
          </w:tcPr>
          <w:p>
            <w:pPr>
              <w:ind w:firstLine="525"/>
              <w:rPr>
                <w:rFonts w:ascii="宋体" w:hAnsi="宋体" w:hint="eastAsia"/>
                <w:color w:val="000000"/>
                <w:szCs w:val="21"/>
              </w:rPr>
            </w:pPr>
            <w:r>
              <w:rPr>
                <w:rFonts w:ascii="宋体" w:hAnsi="宋体" w:hint="eastAsia"/>
                <w:color w:val="000000"/>
                <w:szCs w:val="21"/>
              </w:rPr>
              <w:t>1个主大门、1个次大门</w:t>
            </w:r>
          </w:p>
        </w:tc>
        <w:tc>
          <w:tcPr>
            <w:tcW w:w="1656" w:type="dxa"/>
            <w:vAlign w:val="top"/>
          </w:tcPr>
          <w:p>
            <w:pPr>
              <w:rPr>
                <w:rFonts w:ascii="宋体" w:hAnsi="宋体" w:hint="eastAsia"/>
                <w:color w:val="000000"/>
                <w:szCs w:val="21"/>
              </w:rPr>
            </w:pPr>
            <w:r>
              <w:rPr>
                <w:rFonts w:ascii="宋体" w:hAnsi="宋体" w:hint="eastAsia"/>
                <w:color w:val="000000"/>
                <w:szCs w:val="21"/>
              </w:rPr>
              <w:t>10M*5+8M</w:t>
            </w:r>
          </w:p>
        </w:tc>
        <w:tc>
          <w:tcPr>
            <w:tcW w:w="1516" w:type="dxa"/>
            <w:vAlign w:val="top"/>
          </w:tcPr>
          <w:p>
            <w:pPr>
              <w:ind w:firstLine="210" w:firstLineChars="100"/>
              <w:rPr>
                <w:rFonts w:ascii="宋体" w:hAnsi="宋体" w:hint="eastAsia"/>
                <w:color w:val="000000"/>
                <w:szCs w:val="21"/>
              </w:rPr>
            </w:pPr>
            <w:r>
              <w:rPr>
                <w:rFonts w:ascii="宋体" w:hAnsi="宋体" w:hint="eastAsia"/>
                <w:color w:val="000000"/>
                <w:szCs w:val="21"/>
              </w:rPr>
              <w:t>60万元</w:t>
            </w:r>
          </w:p>
        </w:tc>
        <w:tc>
          <w:tcPr>
            <w:tcW w:w="2048" w:type="dxa"/>
            <w:vAlign w:val="top"/>
          </w:tcPr>
          <w:p>
            <w:pPr>
              <w:ind w:firstLine="525"/>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6</w:t>
            </w:r>
          </w:p>
        </w:tc>
        <w:tc>
          <w:tcPr>
            <w:tcW w:w="2880" w:type="dxa"/>
            <w:vAlign w:val="top"/>
          </w:tcPr>
          <w:p>
            <w:pPr>
              <w:ind w:firstLine="525"/>
              <w:rPr>
                <w:rFonts w:ascii="宋体" w:hAnsi="宋体" w:hint="eastAsia"/>
                <w:color w:val="000000"/>
                <w:szCs w:val="21"/>
              </w:rPr>
            </w:pPr>
            <w:r>
              <w:rPr>
                <w:rFonts w:ascii="宋体" w:hAnsi="宋体" w:hint="eastAsia"/>
                <w:color w:val="000000"/>
                <w:szCs w:val="21"/>
              </w:rPr>
              <w:t>地面停车场</w:t>
            </w:r>
          </w:p>
        </w:tc>
        <w:tc>
          <w:tcPr>
            <w:tcW w:w="1656" w:type="dxa"/>
            <w:vAlign w:val="top"/>
          </w:tcPr>
          <w:p>
            <w:pPr>
              <w:ind w:firstLine="420" w:firstLineChars="200"/>
              <w:rPr>
                <w:rFonts w:ascii="宋体" w:hAnsi="宋体" w:hint="eastAsia"/>
                <w:color w:val="000000"/>
                <w:szCs w:val="21"/>
              </w:rPr>
            </w:pPr>
            <w:r>
              <w:rPr>
                <w:rFonts w:ascii="宋体" w:hAnsi="宋体" w:hint="eastAsia"/>
                <w:color w:val="000000"/>
                <w:szCs w:val="21"/>
              </w:rPr>
              <w:t>2个</w:t>
            </w:r>
          </w:p>
        </w:tc>
        <w:tc>
          <w:tcPr>
            <w:tcW w:w="1516" w:type="dxa"/>
            <w:vAlign w:val="top"/>
          </w:tcPr>
          <w:p>
            <w:pPr>
              <w:ind w:firstLine="210" w:firstLineChars="100"/>
              <w:rPr>
                <w:rFonts w:ascii="宋体" w:hAnsi="宋体" w:hint="eastAsia"/>
                <w:color w:val="000000"/>
                <w:szCs w:val="21"/>
              </w:rPr>
            </w:pPr>
            <w:r>
              <w:rPr>
                <w:rFonts w:ascii="宋体" w:hAnsi="宋体" w:hint="eastAsia"/>
                <w:color w:val="000000"/>
                <w:szCs w:val="21"/>
              </w:rPr>
              <w:t>77万元</w:t>
            </w:r>
          </w:p>
        </w:tc>
        <w:tc>
          <w:tcPr>
            <w:tcW w:w="2048" w:type="dxa"/>
            <w:vAlign w:val="top"/>
          </w:tcPr>
          <w:p>
            <w:pPr>
              <w:rPr>
                <w:rStyle w:val="con01"/>
                <w:rFonts w:ascii="宋体" w:hAnsi="宋体" w:hint="eastAsia"/>
                <w:color w:val="000000"/>
                <w:szCs w:val="21"/>
              </w:rPr>
            </w:pPr>
            <w:r>
              <w:rPr>
                <w:rStyle w:val="con01"/>
                <w:rFonts w:ascii="宋体" w:hAnsi="宋体" w:hint="eastAsia"/>
                <w:color w:val="000000"/>
                <w:szCs w:val="21"/>
              </w:rPr>
              <w:t>地面</w:t>
            </w:r>
            <w:r>
              <w:rPr>
                <w:rFonts w:ascii="宋体" w:hAnsi="宋体" w:hint="eastAsia"/>
                <w:color w:val="000000"/>
                <w:szCs w:val="21"/>
              </w:rPr>
              <w:t>停车场77辆</w:t>
            </w:r>
          </w:p>
        </w:tc>
      </w:tr>
    </w:tbl>
    <w:p>
      <w:pPr>
        <w:sectPr>
          <w:footerReference w:type="default" r:id="rId31"/>
          <w:type w:val="nextPage"/>
          <w:pgSz w:w="11906" w:h="16838"/>
          <w:pgMar w:top="1440" w:right="1287" w:bottom="1559" w:left="1797" w:header="851" w:footer="992" w:gutter="0"/>
          <w:pgNumType w:start="27"/>
          <w:cols w:num="1" w:space="720"/>
          <w:titlePg w:val="0"/>
          <w:docGrid w:type="linesAndChars" w:linePitch="312" w:charSpace="0"/>
        </w:sect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720"/>
        <w:gridCol w:w="2880"/>
        <w:gridCol w:w="1656"/>
        <w:gridCol w:w="1516"/>
        <w:gridCol w:w="2048"/>
      </w:tblGrid>
      <w:tr>
        <w:tblPrEx>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328"/>
        </w:trPr>
        <w:tc>
          <w:tcPr>
            <w:tcW w:w="720" w:type="dxa"/>
            <w:vAlign w:val="top"/>
          </w:tcPr>
          <w:p>
            <w:pPr>
              <w:jc w:val="center"/>
              <w:rPr>
                <w:rFonts w:ascii="宋体" w:hAnsi="宋体" w:hint="eastAsia"/>
                <w:color w:val="000000"/>
                <w:szCs w:val="21"/>
              </w:rPr>
            </w:pPr>
            <w:r>
              <w:rPr>
                <w:rFonts w:ascii="宋体" w:hAnsi="宋体" w:hint="eastAsia"/>
                <w:color w:val="000000"/>
                <w:szCs w:val="21"/>
              </w:rPr>
              <w:t>7</w:t>
            </w:r>
          </w:p>
        </w:tc>
        <w:tc>
          <w:tcPr>
            <w:tcW w:w="2880" w:type="dxa"/>
            <w:vAlign w:val="top"/>
          </w:tcPr>
          <w:p>
            <w:pPr>
              <w:ind w:firstLine="525"/>
              <w:rPr>
                <w:rFonts w:ascii="宋体" w:hAnsi="宋体" w:hint="eastAsia"/>
                <w:color w:val="000000"/>
                <w:szCs w:val="21"/>
              </w:rPr>
            </w:pPr>
            <w:r>
              <w:rPr>
                <w:rFonts w:ascii="宋体" w:hAnsi="宋体" w:hint="eastAsia"/>
                <w:color w:val="000000"/>
                <w:szCs w:val="21"/>
              </w:rPr>
              <w:t>设备用房</w:t>
            </w:r>
          </w:p>
        </w:tc>
        <w:tc>
          <w:tcPr>
            <w:tcW w:w="1656" w:type="dxa"/>
            <w:vAlign w:val="top"/>
          </w:tcPr>
          <w:p>
            <w:pPr>
              <w:ind w:firstLine="420" w:firstLineChars="200"/>
              <w:rPr>
                <w:rFonts w:ascii="宋体" w:hAnsi="宋体" w:hint="eastAsia"/>
                <w:color w:val="000000"/>
                <w:szCs w:val="21"/>
              </w:rPr>
            </w:pPr>
            <w:r>
              <w:rPr>
                <w:rFonts w:ascii="宋体" w:hAnsi="宋体" w:hint="eastAsia"/>
                <w:color w:val="000000"/>
                <w:szCs w:val="21"/>
              </w:rPr>
              <w:t>120㎡</w:t>
            </w:r>
          </w:p>
        </w:tc>
        <w:tc>
          <w:tcPr>
            <w:tcW w:w="1516" w:type="dxa"/>
            <w:vAlign w:val="top"/>
          </w:tcPr>
          <w:p>
            <w:pPr>
              <w:ind w:firstLine="210" w:firstLineChars="100"/>
              <w:rPr>
                <w:rFonts w:ascii="宋体" w:hAnsi="宋体" w:hint="eastAsia"/>
                <w:color w:val="000000"/>
                <w:szCs w:val="21"/>
              </w:rPr>
            </w:pPr>
            <w:r>
              <w:rPr>
                <w:rFonts w:ascii="宋体" w:hAnsi="宋体" w:hint="eastAsia"/>
                <w:color w:val="000000"/>
                <w:szCs w:val="21"/>
              </w:rPr>
              <w:t>12万元</w:t>
            </w:r>
          </w:p>
        </w:tc>
        <w:tc>
          <w:tcPr>
            <w:tcW w:w="2048" w:type="dxa"/>
            <w:vAlign w:val="top"/>
          </w:tcPr>
          <w:p>
            <w:pPr>
              <w:rPr>
                <w:rStyle w:val="con01"/>
                <w:rFonts w:ascii="宋体" w:hAnsi="宋体" w:hint="eastAsia"/>
                <w:color w:val="000000"/>
                <w:szCs w:val="21"/>
              </w:rPr>
            </w:pPr>
            <w:r>
              <w:rPr>
                <w:rStyle w:val="con01"/>
                <w:rFonts w:ascii="宋体" w:hAnsi="宋体" w:hint="eastAsia"/>
                <w:color w:val="000000"/>
                <w:szCs w:val="21"/>
              </w:rPr>
              <w:t>估算</w:t>
            </w:r>
            <w:r>
              <w:rPr>
                <w:rFonts w:ascii="宋体" w:hAnsi="宋体" w:hint="eastAsia"/>
                <w:color w:val="000000"/>
                <w:szCs w:val="21"/>
              </w:rPr>
              <w:t>1000元/㎡</w:t>
            </w: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8</w:t>
            </w:r>
          </w:p>
        </w:tc>
        <w:tc>
          <w:tcPr>
            <w:tcW w:w="2880" w:type="dxa"/>
            <w:vAlign w:val="top"/>
          </w:tcPr>
          <w:p>
            <w:pPr>
              <w:ind w:firstLine="525"/>
              <w:rPr>
                <w:rFonts w:ascii="宋体" w:hAnsi="宋体" w:hint="eastAsia"/>
                <w:color w:val="000000"/>
                <w:szCs w:val="21"/>
              </w:rPr>
            </w:pPr>
            <w:r>
              <w:rPr>
                <w:rFonts w:ascii="宋体" w:hAnsi="宋体" w:hint="eastAsia"/>
                <w:color w:val="000000"/>
                <w:szCs w:val="21"/>
              </w:rPr>
              <w:t>文化运动设施3个</w:t>
            </w:r>
          </w:p>
        </w:tc>
        <w:tc>
          <w:tcPr>
            <w:tcW w:w="1656" w:type="dxa"/>
            <w:vAlign w:val="top"/>
          </w:tcPr>
          <w:p>
            <w:pPr>
              <w:ind w:firstLine="420" w:firstLineChars="200"/>
              <w:rPr>
                <w:rFonts w:ascii="宋体" w:hAnsi="宋体" w:hint="eastAsia"/>
                <w:color w:val="000000"/>
                <w:szCs w:val="21"/>
              </w:rPr>
            </w:pPr>
            <w:r>
              <w:rPr>
                <w:rFonts w:ascii="宋体" w:hAnsi="宋体" w:hint="eastAsia"/>
                <w:color w:val="000000"/>
                <w:szCs w:val="21"/>
              </w:rPr>
              <w:t>450㎡</w:t>
            </w:r>
          </w:p>
        </w:tc>
        <w:tc>
          <w:tcPr>
            <w:tcW w:w="1516" w:type="dxa"/>
            <w:vAlign w:val="top"/>
          </w:tcPr>
          <w:p>
            <w:pPr>
              <w:ind w:firstLine="210" w:firstLineChars="100"/>
              <w:rPr>
                <w:rFonts w:ascii="宋体" w:hAnsi="宋体" w:hint="eastAsia"/>
                <w:color w:val="000000"/>
                <w:szCs w:val="21"/>
              </w:rPr>
            </w:pPr>
            <w:r>
              <w:rPr>
                <w:rFonts w:ascii="宋体" w:hAnsi="宋体" w:hint="eastAsia"/>
                <w:color w:val="000000"/>
                <w:szCs w:val="21"/>
              </w:rPr>
              <w:t>5.4万元</w:t>
            </w:r>
          </w:p>
        </w:tc>
        <w:tc>
          <w:tcPr>
            <w:tcW w:w="2048" w:type="dxa"/>
            <w:vAlign w:val="top"/>
          </w:tcPr>
          <w:p>
            <w:pPr>
              <w:rPr>
                <w:rStyle w:val="con01"/>
                <w:rFonts w:ascii="宋体" w:hAnsi="宋体" w:hint="eastAsia"/>
                <w:color w:val="000000"/>
                <w:szCs w:val="21"/>
              </w:rPr>
            </w:pPr>
            <w:r>
              <w:rPr>
                <w:rStyle w:val="con01"/>
                <w:rFonts w:ascii="宋体" w:hAnsi="宋体" w:hint="eastAsia"/>
                <w:color w:val="000000"/>
                <w:szCs w:val="21"/>
              </w:rPr>
              <w:t>估算120</w:t>
            </w:r>
            <w:r>
              <w:rPr>
                <w:rFonts w:ascii="宋体" w:hAnsi="宋体" w:hint="eastAsia"/>
                <w:color w:val="000000"/>
                <w:szCs w:val="21"/>
              </w:rPr>
              <w:t>元/㎡</w:t>
            </w: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9</w:t>
            </w:r>
          </w:p>
        </w:tc>
        <w:tc>
          <w:tcPr>
            <w:tcW w:w="2880" w:type="dxa"/>
            <w:vAlign w:val="top"/>
          </w:tcPr>
          <w:p>
            <w:pPr>
              <w:ind w:firstLine="525"/>
              <w:rPr>
                <w:rFonts w:ascii="宋体" w:hAnsi="宋体" w:hint="eastAsia"/>
                <w:color w:val="000000"/>
                <w:szCs w:val="21"/>
              </w:rPr>
            </w:pPr>
            <w:r>
              <w:rPr>
                <w:rFonts w:ascii="宋体" w:hAnsi="宋体" w:hint="eastAsia"/>
                <w:color w:val="000000"/>
                <w:szCs w:val="21"/>
              </w:rPr>
              <w:t>其它设施</w:t>
            </w:r>
          </w:p>
        </w:tc>
        <w:tc>
          <w:tcPr>
            <w:tcW w:w="1656" w:type="dxa"/>
            <w:vAlign w:val="top"/>
          </w:tcPr>
          <w:p>
            <w:pPr>
              <w:ind w:firstLine="525"/>
              <w:jc w:val="center"/>
              <w:rPr>
                <w:rFonts w:ascii="宋体" w:hAnsi="宋体" w:hint="eastAsia"/>
                <w:color w:val="000000"/>
                <w:szCs w:val="21"/>
              </w:rPr>
            </w:pPr>
          </w:p>
        </w:tc>
        <w:tc>
          <w:tcPr>
            <w:tcW w:w="1516" w:type="dxa"/>
            <w:vAlign w:val="top"/>
          </w:tcPr>
          <w:p>
            <w:pPr>
              <w:ind w:firstLine="210" w:firstLineChars="100"/>
              <w:rPr>
                <w:rFonts w:ascii="宋体" w:hAnsi="宋体" w:hint="eastAsia"/>
                <w:color w:val="000000"/>
                <w:szCs w:val="21"/>
              </w:rPr>
            </w:pPr>
            <w:r>
              <w:rPr>
                <w:rFonts w:ascii="宋体" w:hAnsi="宋体" w:hint="eastAsia"/>
                <w:color w:val="000000"/>
                <w:szCs w:val="21"/>
              </w:rPr>
              <w:t>4万元</w:t>
            </w:r>
          </w:p>
        </w:tc>
        <w:tc>
          <w:tcPr>
            <w:tcW w:w="2048" w:type="dxa"/>
            <w:vAlign w:val="top"/>
          </w:tcPr>
          <w:p>
            <w:pPr>
              <w:ind w:firstLine="525"/>
              <w:rPr>
                <w:rStyle w:val="con01"/>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rPr>
          <w:trHeight w:val="186"/>
        </w:trPr>
        <w:tc>
          <w:tcPr>
            <w:tcW w:w="720" w:type="dxa"/>
            <w:vAlign w:val="top"/>
          </w:tcPr>
          <w:p>
            <w:pPr>
              <w:jc w:val="center"/>
              <w:rPr>
                <w:rFonts w:ascii="宋体" w:hAnsi="宋体" w:hint="eastAsia"/>
                <w:color w:val="000000"/>
                <w:szCs w:val="21"/>
              </w:rPr>
            </w:pPr>
            <w:r>
              <w:rPr>
                <w:rFonts w:ascii="宋体" w:hAnsi="宋体" w:hint="eastAsia"/>
                <w:color w:val="000000"/>
                <w:szCs w:val="21"/>
              </w:rPr>
              <w:t>10</w:t>
            </w:r>
          </w:p>
        </w:tc>
        <w:tc>
          <w:tcPr>
            <w:tcW w:w="2880" w:type="dxa"/>
            <w:vAlign w:val="top"/>
          </w:tcPr>
          <w:p>
            <w:pPr>
              <w:ind w:firstLine="527"/>
              <w:rPr>
                <w:rStyle w:val="con01"/>
                <w:rFonts w:ascii="宋体" w:hAnsi="宋体" w:hint="eastAsia"/>
                <w:b/>
                <w:color w:val="000000"/>
                <w:szCs w:val="21"/>
              </w:rPr>
            </w:pPr>
            <w:r>
              <w:rPr>
                <w:rStyle w:val="con01"/>
                <w:rFonts w:ascii="宋体" w:hAnsi="宋体" w:hint="eastAsia"/>
                <w:b/>
                <w:color w:val="000000"/>
                <w:szCs w:val="21"/>
              </w:rPr>
              <w:t>总      计</w:t>
            </w:r>
          </w:p>
        </w:tc>
        <w:tc>
          <w:tcPr>
            <w:tcW w:w="1656" w:type="dxa"/>
            <w:vAlign w:val="top"/>
          </w:tcPr>
          <w:p>
            <w:pPr>
              <w:ind w:firstLine="525"/>
              <w:jc w:val="center"/>
              <w:rPr>
                <w:rFonts w:ascii="宋体" w:hAnsi="宋体" w:hint="eastAsia"/>
                <w:color w:val="000000"/>
                <w:szCs w:val="21"/>
              </w:rPr>
            </w:pPr>
          </w:p>
        </w:tc>
        <w:tc>
          <w:tcPr>
            <w:tcW w:w="1516" w:type="dxa"/>
            <w:vAlign w:val="top"/>
          </w:tcPr>
          <w:p>
            <w:pPr>
              <w:rPr>
                <w:rFonts w:ascii="宋体" w:hAnsi="宋体" w:hint="eastAsia"/>
                <w:b/>
                <w:color w:val="000000"/>
                <w:szCs w:val="21"/>
              </w:rPr>
            </w:pPr>
            <w:r>
              <w:rPr>
                <w:rFonts w:ascii="宋体" w:hAnsi="宋体" w:hint="eastAsia"/>
                <w:b/>
                <w:color w:val="000000"/>
                <w:szCs w:val="21"/>
              </w:rPr>
              <w:t>192.4万元</w:t>
            </w:r>
          </w:p>
        </w:tc>
        <w:tc>
          <w:tcPr>
            <w:tcW w:w="2048" w:type="dxa"/>
            <w:vAlign w:val="top"/>
          </w:tcPr>
          <w:p>
            <w:pPr>
              <w:ind w:firstLine="525"/>
              <w:rPr>
                <w:rFonts w:ascii="宋体" w:hAnsi="宋体" w:hint="eastAsia"/>
                <w:color w:val="000000"/>
                <w:szCs w:val="21"/>
              </w:rPr>
            </w:pPr>
          </w:p>
        </w:tc>
      </w:tr>
    </w:tbl>
    <w:p>
      <w:pPr>
        <w:spacing w:line="540" w:lineRule="exact"/>
        <w:ind w:firstLine="480" w:firstLineChars="200"/>
        <w:rPr>
          <w:rFonts w:ascii="宋体" w:hAnsi="宋体" w:hint="eastAsia"/>
          <w:color w:val="000000"/>
          <w:sz w:val="24"/>
        </w:rPr>
      </w:pPr>
      <w:r>
        <w:rPr>
          <w:rFonts w:ascii="宋体" w:hAnsi="宋体" w:hint="eastAsia"/>
          <w:color w:val="000000"/>
          <w:sz w:val="24"/>
        </w:rPr>
        <w:t>造价标准:毛墙、毛地、入户防盗门、客厅加一个灯，暖气铺设地暖管分水器、含电梯设备。</w:t>
      </w:r>
    </w:p>
    <w:p>
      <w:pPr>
        <w:spacing w:line="560" w:lineRule="exact"/>
        <w:ind w:firstLine="703"/>
        <w:rPr>
          <w:rFonts w:ascii="宋体" w:hAnsi="宋体" w:hint="eastAsia"/>
          <w:b/>
          <w:bCs/>
          <w:color w:val="000000"/>
          <w:kern w:val="0"/>
          <w:sz w:val="28"/>
          <w:szCs w:val="28"/>
        </w:rPr>
      </w:pPr>
      <w:r>
        <w:rPr>
          <w:rFonts w:ascii="宋体" w:hAnsi="宋体" w:hint="eastAsia"/>
          <w:b/>
          <w:bCs/>
          <w:color w:val="000000"/>
          <w:kern w:val="0"/>
          <w:sz w:val="28"/>
          <w:szCs w:val="28"/>
        </w:rPr>
        <w:t xml:space="preserve">7.3  社区内公共配套设施建设方案 </w:t>
      </w:r>
    </w:p>
    <w:p>
      <w:pPr>
        <w:spacing w:line="560" w:lineRule="exact"/>
        <w:ind w:firstLine="480" w:firstLineChars="200"/>
        <w:rPr>
          <w:rFonts w:ascii="宋体" w:hAnsi="宋体" w:hint="eastAsia"/>
          <w:color w:val="000000"/>
          <w:sz w:val="24"/>
        </w:rPr>
      </w:pPr>
      <w:r>
        <w:rPr>
          <w:rFonts w:ascii="宋体" w:hAnsi="宋体" w:hint="eastAsia"/>
          <w:color w:val="000000"/>
          <w:sz w:val="24"/>
        </w:rPr>
        <w:t>合理处理住宅、环境场地之间的关系。根据住宅集中使用的规划要求，将小区物管、文化、健身及公共配套集中考虑，外形应具有特色与寓意，形成一个融住宅与景观的综合体。具体设置方案按排如下：</w:t>
      </w:r>
    </w:p>
    <w:p>
      <w:pPr>
        <w:spacing w:line="560" w:lineRule="exact"/>
        <w:ind w:firstLine="480" w:firstLineChars="200"/>
        <w:rPr>
          <w:rFonts w:ascii="宋体" w:hAnsi="宋体" w:hint="eastAsia"/>
          <w:color w:val="000000"/>
          <w:sz w:val="24"/>
        </w:rPr>
      </w:pPr>
      <w:r>
        <w:rPr>
          <w:rFonts w:ascii="宋体" w:hAnsi="宋体" w:hint="eastAsia"/>
          <w:color w:val="000000"/>
          <w:sz w:val="24"/>
        </w:rPr>
        <w:t>1、本项目由于周边配套不完善，在小区考虑设计户外全民健身等活动场所等。</w:t>
      </w:r>
    </w:p>
    <w:p>
      <w:pPr>
        <w:spacing w:line="560" w:lineRule="exact"/>
        <w:ind w:firstLine="480" w:firstLineChars="200"/>
        <w:rPr>
          <w:rFonts w:ascii="宋体" w:hAnsi="宋体" w:hint="eastAsia"/>
          <w:color w:val="000000"/>
          <w:sz w:val="24"/>
        </w:rPr>
      </w:pPr>
      <w:r>
        <w:rPr>
          <w:rFonts w:ascii="宋体" w:hAnsi="宋体" w:hint="eastAsia"/>
          <w:color w:val="000000"/>
          <w:sz w:val="24"/>
        </w:rPr>
        <w:t>2、小区内应设有社区服务中心等公共建设配套设施，为用户的日常生活提供方便，充分体现出小区生活的现代化。</w:t>
      </w:r>
    </w:p>
    <w:p>
      <w:pPr>
        <w:spacing w:line="560" w:lineRule="exact"/>
        <w:ind w:firstLine="480" w:firstLineChars="200"/>
        <w:rPr>
          <w:rFonts w:ascii="宋体" w:hAnsi="宋体" w:hint="eastAsia"/>
          <w:color w:val="000000"/>
          <w:sz w:val="24"/>
        </w:rPr>
      </w:pPr>
      <w:r>
        <w:rPr>
          <w:rFonts w:ascii="宋体" w:hAnsi="宋体" w:hint="eastAsia"/>
          <w:color w:val="000000"/>
          <w:sz w:val="24"/>
        </w:rPr>
        <w:t>3、物业管理用房在小区西大门处设置。当今时代已进入数字化信息时代，住宅小区的智能化成为发展的必然趋势。为与时代合拍，拟建小区应引领智能化生活新潮流，建议引进有线电视、</w:t>
      </w:r>
      <w:r>
        <w:rPr>
          <w:rFonts w:ascii="宋体" w:hAnsi="宋体" w:hint="eastAsia"/>
          <w:color w:val="000000"/>
          <w:sz w:val="24"/>
          <w:lang w:eastAsia="zh-CN"/>
        </w:rPr>
        <w:t>XX</w:t>
      </w:r>
      <w:r>
        <w:rPr>
          <w:rFonts w:ascii="宋体" w:hAnsi="宋体" w:hint="eastAsia"/>
          <w:color w:val="000000"/>
          <w:sz w:val="24"/>
        </w:rPr>
        <w:t>、计算机三网合一线路并全部采用地下电缆，提供自动抄表，多媒体服务、网络教育、卫星电视等多方位的网络服务。</w:t>
      </w:r>
    </w:p>
    <w:p>
      <w:pPr>
        <w:spacing w:line="560" w:lineRule="exact"/>
        <w:ind w:firstLine="480" w:firstLineChars="200"/>
        <w:rPr>
          <w:rFonts w:ascii="宋体" w:hAnsi="宋体" w:hint="eastAsia"/>
          <w:color w:val="000000"/>
          <w:sz w:val="24"/>
        </w:rPr>
      </w:pPr>
      <w:r>
        <w:rPr>
          <w:rFonts w:ascii="宋体" w:hAnsi="宋体" w:hint="eastAsia"/>
          <w:color w:val="000000"/>
          <w:sz w:val="24"/>
        </w:rPr>
        <w:t>4、每户设独立的水、电、煤气表，小区内采用变频供水系统及自来水净水系统，保证用户生活用水质量。用地内雨污水排放系统按分流制进行设计，结合建筑外立面设计集中空调室外机位，冷凝水集中排放；</w:t>
      </w:r>
    </w:p>
    <w:p>
      <w:pPr>
        <w:spacing w:line="560" w:lineRule="exact"/>
        <w:ind w:firstLine="480" w:firstLineChars="200"/>
        <w:rPr>
          <w:rFonts w:ascii="宋体" w:hAnsi="宋体" w:hint="eastAsia"/>
          <w:color w:val="000000"/>
          <w:sz w:val="24"/>
        </w:rPr>
      </w:pPr>
      <w:r>
        <w:rPr>
          <w:rFonts w:ascii="宋体" w:hAnsi="宋体" w:hint="eastAsia"/>
          <w:color w:val="000000"/>
          <w:sz w:val="24"/>
        </w:rPr>
        <w:t>5、垃圾房与配电箱等配套设施在方案中必须给予足够的重视，保证垃圾收集点集中、隐蔽，便于垃圾运出又不影响总体环境；</w:t>
      </w:r>
    </w:p>
    <w:p>
      <w:pPr>
        <w:spacing w:line="600" w:lineRule="exact"/>
        <w:ind w:firstLine="240" w:firstLineChars="100"/>
        <w:rPr>
          <w:rFonts w:ascii="宋体" w:hAnsi="宋体" w:hint="eastAsia"/>
          <w:b/>
          <w:color w:val="000000"/>
          <w:sz w:val="24"/>
        </w:rPr>
      </w:pPr>
      <w:r>
        <w:rPr>
          <w:rFonts w:ascii="宋体" w:hAnsi="宋体" w:hint="eastAsia"/>
          <w:b/>
          <w:color w:val="000000"/>
          <w:sz w:val="24"/>
        </w:rPr>
        <w:t xml:space="preserve">  </w:t>
      </w:r>
      <w:r>
        <w:rPr>
          <w:rFonts w:ascii="宋体" w:hAnsi="宋体"/>
          <w:color w:val="000000"/>
          <w:sz w:val="24"/>
        </w:rPr>
        <w:t>科技时代给城市居民以最大的便利，以借阅更多时间和能耗，无论从管理上还是设施配置上，智能化是住宅发展的一个重要条件。</w:t>
      </w:r>
      <w:r>
        <w:rPr>
          <w:rFonts w:ascii="宋体" w:hAnsi="宋体" w:hint="eastAsia"/>
          <w:color w:val="000000"/>
          <w:sz w:val="24"/>
        </w:rPr>
        <w:t>所以，</w:t>
      </w:r>
      <w:r>
        <w:rPr>
          <w:rFonts w:ascii="宋体" w:hAnsi="宋体"/>
          <w:color w:val="000000"/>
          <w:sz w:val="24"/>
        </w:rPr>
        <w:t>智能化</w:t>
      </w:r>
      <w:r>
        <w:rPr>
          <w:rFonts w:ascii="宋体" w:hAnsi="宋体" w:hint="eastAsia"/>
          <w:color w:val="000000"/>
          <w:sz w:val="24"/>
        </w:rPr>
        <w:t>也是小区的</w:t>
      </w:r>
      <w:r>
        <w:rPr>
          <w:rFonts w:ascii="宋体" w:hAnsi="宋体"/>
          <w:color w:val="000000"/>
          <w:sz w:val="24"/>
        </w:rPr>
        <w:t>公共服务设施</w:t>
      </w:r>
      <w:r>
        <w:rPr>
          <w:rFonts w:ascii="宋体" w:hAnsi="宋体" w:hint="eastAsia"/>
          <w:color w:val="000000"/>
          <w:sz w:val="24"/>
        </w:rPr>
        <w:t>，在配套设施设计时应给予必要的重视。</w:t>
      </w:r>
    </w:p>
    <w:p>
      <w:pPr>
        <w:spacing w:line="600" w:lineRule="exact"/>
        <w:ind w:firstLine="560" w:firstLineChars="200"/>
        <w:rPr>
          <w:rFonts w:ascii="宋体" w:hAnsi="宋体" w:hint="eastAsia"/>
          <w:b/>
          <w:color w:val="000000"/>
          <w:sz w:val="28"/>
          <w:szCs w:val="28"/>
        </w:rPr>
        <w:sectPr>
          <w:footerReference w:type="default" r:id="rId32"/>
          <w:type w:val="nextPage"/>
          <w:pgSz w:w="11906" w:h="16838"/>
          <w:pgMar w:top="1440" w:right="1287" w:bottom="1559" w:left="1797" w:header="851" w:footer="992" w:gutter="0"/>
          <w:pgNumType w:start="28"/>
          <w:cols w:num="1" w:space="720"/>
          <w:titlePg w:val="0"/>
          <w:docGrid w:type="linesAndChars" w:linePitch="312" w:charSpace="0"/>
        </w:sectPr>
      </w:pPr>
      <w:r>
        <w:rPr>
          <w:rFonts w:ascii="宋体" w:hAnsi="宋体" w:hint="eastAsia"/>
          <w:b/>
          <w:color w:val="000000"/>
          <w:sz w:val="28"/>
          <w:szCs w:val="28"/>
        </w:rPr>
        <w:t>7.4</w:t>
      </w:r>
      <w:r>
        <w:rPr>
          <w:rFonts w:ascii="宋体" w:hAnsi="宋体" w:hint="eastAsia"/>
          <w:b/>
          <w:bCs/>
          <w:color w:val="000000"/>
          <w:sz w:val="28"/>
          <w:szCs w:val="28"/>
        </w:rPr>
        <w:t xml:space="preserve"> </w:t>
      </w:r>
      <w:r>
        <w:rPr>
          <w:rFonts w:ascii="宋体" w:hAnsi="宋体" w:hint="eastAsia"/>
          <w:b/>
          <w:color w:val="000000"/>
          <w:sz w:val="28"/>
          <w:szCs w:val="28"/>
        </w:rPr>
        <w:t xml:space="preserve">小区内基础设施建设方案  </w:t>
      </w:r>
    </w:p>
    <w:p>
      <w:pPr>
        <w:spacing w:line="600" w:lineRule="exact"/>
        <w:ind w:left="420" w:firstLine="240" w:leftChars="200" w:firstLineChars="100"/>
        <w:rPr>
          <w:rFonts w:ascii="宋体" w:hAnsi="宋体" w:hint="eastAsia"/>
          <w:color w:val="000000"/>
          <w:sz w:val="24"/>
        </w:rPr>
      </w:pPr>
      <w:r>
        <w:rPr>
          <w:rFonts w:ascii="宋体" w:hAnsi="宋体" w:hint="eastAsia"/>
          <w:color w:val="000000"/>
          <w:sz w:val="24"/>
        </w:rPr>
        <w:t>小区内基础设施工程为，配电每户按5个KW，则配备2台1200KVA变压器及线</w:t>
      </w:r>
    </w:p>
    <w:p>
      <w:pPr>
        <w:spacing w:line="600" w:lineRule="exact"/>
        <w:rPr>
          <w:rFonts w:ascii="宋体" w:hAnsi="宋体" w:hint="eastAsia"/>
          <w:color w:val="000000"/>
          <w:sz w:val="24"/>
        </w:rPr>
      </w:pPr>
      <w:r>
        <w:rPr>
          <w:rFonts w:ascii="宋体" w:hAnsi="宋体" w:hint="eastAsia"/>
          <w:color w:val="000000"/>
          <w:sz w:val="24"/>
        </w:rPr>
        <w:t>路工程，供电采用10KV供电电源由咸平路市政电力网引入箱式变电站。箱式变电站至各单体供电对象采用</w:t>
      </w:r>
      <w:r>
        <w:rPr>
          <w:rFonts w:ascii="宋体" w:hAnsi="宋体"/>
          <w:color w:val="000000"/>
          <w:sz w:val="24"/>
        </w:rPr>
        <w:t>380/220V</w:t>
      </w:r>
      <w:r>
        <w:rPr>
          <w:rFonts w:ascii="宋体" w:hAnsi="宋体" w:hint="eastAsia"/>
          <w:color w:val="000000"/>
          <w:sz w:val="24"/>
        </w:rPr>
        <w:t>低压供电。低压柜采用</w:t>
      </w:r>
      <w:r>
        <w:rPr>
          <w:rFonts w:ascii="宋体" w:hAnsi="宋体"/>
          <w:color w:val="000000"/>
          <w:sz w:val="24"/>
        </w:rPr>
        <w:t>G</w:t>
      </w:r>
      <w:r>
        <w:rPr>
          <w:rFonts w:ascii="宋体" w:hAnsi="宋体" w:hint="eastAsia"/>
          <w:color w:val="000000"/>
          <w:sz w:val="24"/>
        </w:rPr>
        <w:t>GD型开关柜，并设无功自动补偿，使补偿后功率因数达到</w:t>
      </w:r>
      <w:r>
        <w:rPr>
          <w:rFonts w:ascii="宋体" w:hAnsi="宋体"/>
          <w:color w:val="000000"/>
          <w:sz w:val="24"/>
        </w:rPr>
        <w:t>0.9</w:t>
      </w:r>
      <w:r>
        <w:rPr>
          <w:rFonts w:ascii="宋体" w:hAnsi="宋体" w:hint="eastAsia"/>
          <w:color w:val="000000"/>
          <w:sz w:val="24"/>
        </w:rPr>
        <w:t>2以上。计量方式为高供低计。供水管道工程、供热管道及换热站工程、天燃气工程、排水、排污管道工程、室外道路、围墙 、路灯工程、园林、绿化工程、环卫工程、通讯工程宽带及有线电视、安防监控系统工程、其他服务设施工程等。供水管道工程接</w:t>
      </w:r>
      <w:r>
        <w:rPr>
          <w:rFonts w:ascii="宋体" w:hAnsi="宋体" w:hint="eastAsia"/>
          <w:color w:val="000000"/>
          <w:sz w:val="24"/>
          <w:lang w:eastAsia="zh-CN"/>
        </w:rPr>
        <w:t>xxx</w:t>
      </w:r>
      <w:r>
        <w:rPr>
          <w:rFonts w:ascii="宋体" w:hAnsi="宋体" w:hint="eastAsia"/>
          <w:color w:val="000000"/>
          <w:sz w:val="24"/>
        </w:rPr>
        <w:t>、</w:t>
      </w:r>
      <w:r>
        <w:rPr>
          <w:rFonts w:ascii="宋体" w:hAnsi="宋体" w:hint="eastAsia"/>
          <w:color w:val="000000"/>
          <w:sz w:val="24"/>
          <w:lang w:eastAsia="zh-CN"/>
        </w:rPr>
        <w:t>xxx</w:t>
      </w:r>
      <w:r>
        <w:rPr>
          <w:rFonts w:ascii="宋体" w:hAnsi="宋体" w:hint="eastAsia"/>
          <w:color w:val="000000"/>
          <w:sz w:val="24"/>
        </w:rPr>
        <w:t>自来水公司市政管网、供电工程接</w:t>
      </w:r>
      <w:r>
        <w:rPr>
          <w:rFonts w:ascii="宋体" w:hAnsi="宋体" w:hint="eastAsia"/>
          <w:color w:val="000000"/>
          <w:sz w:val="24"/>
          <w:lang w:eastAsia="zh-CN"/>
        </w:rPr>
        <w:t>xxx</w:t>
      </w:r>
      <w:r>
        <w:rPr>
          <w:rFonts w:ascii="宋体" w:hAnsi="宋体" w:hint="eastAsia"/>
          <w:color w:val="000000"/>
          <w:sz w:val="24"/>
        </w:rPr>
        <w:t>、</w:t>
      </w:r>
      <w:r>
        <w:rPr>
          <w:rFonts w:ascii="宋体" w:hAnsi="宋体" w:hint="eastAsia"/>
          <w:color w:val="000000"/>
          <w:sz w:val="24"/>
          <w:lang w:eastAsia="zh-CN"/>
        </w:rPr>
        <w:t>xxx</w:t>
      </w:r>
      <w:r>
        <w:rPr>
          <w:rFonts w:ascii="宋体" w:hAnsi="宋体" w:hint="eastAsia"/>
          <w:color w:val="000000"/>
          <w:sz w:val="24"/>
        </w:rPr>
        <w:t>供电局高压电网由小区变压器降压后直接供各户使用。排水、排污管道工程接区市政管网、通讯工程宽带及有线电视接</w:t>
      </w:r>
      <w:r>
        <w:rPr>
          <w:rFonts w:ascii="宋体" w:hAnsi="宋体" w:hint="eastAsia"/>
          <w:color w:val="000000"/>
          <w:sz w:val="24"/>
          <w:lang w:eastAsia="zh-CN"/>
        </w:rPr>
        <w:t>xxx</w:t>
      </w:r>
      <w:r>
        <w:rPr>
          <w:rFonts w:ascii="宋体" w:hAnsi="宋体" w:hint="eastAsia"/>
          <w:color w:val="000000"/>
          <w:sz w:val="24"/>
        </w:rPr>
        <w:t>、</w:t>
      </w:r>
      <w:r>
        <w:rPr>
          <w:rFonts w:ascii="宋体" w:hAnsi="宋体" w:hint="eastAsia"/>
          <w:color w:val="000000"/>
          <w:sz w:val="24"/>
          <w:lang w:eastAsia="zh-CN"/>
        </w:rPr>
        <w:t>xxxXX</w:t>
      </w:r>
      <w:r>
        <w:rPr>
          <w:rFonts w:ascii="宋体" w:hAnsi="宋体" w:hint="eastAsia"/>
          <w:color w:val="000000"/>
          <w:sz w:val="24"/>
        </w:rPr>
        <w:t>局和广电局网。小区内生活垃圾在区内各环卫工程点收集，由</w:t>
      </w:r>
      <w:r>
        <w:rPr>
          <w:rFonts w:ascii="宋体" w:hAnsi="宋体" w:hint="eastAsia"/>
          <w:color w:val="000000"/>
          <w:sz w:val="24"/>
          <w:lang w:eastAsia="zh-CN"/>
        </w:rPr>
        <w:t>xxx</w:t>
      </w:r>
      <w:r>
        <w:rPr>
          <w:rFonts w:ascii="宋体" w:hAnsi="宋体" w:hint="eastAsia"/>
          <w:color w:val="000000"/>
          <w:sz w:val="24"/>
        </w:rPr>
        <w:t>环卫集中定期清运处理。具体设置方案按排如下：</w:t>
      </w:r>
    </w:p>
    <w:p>
      <w:pPr>
        <w:spacing w:line="540" w:lineRule="exact"/>
        <w:ind w:left="7455" w:hanging="6930" w:leftChars="250" w:hangingChars="3300"/>
        <w:rPr>
          <w:rFonts w:ascii="宋体" w:hAnsi="宋体" w:hint="eastAsia"/>
          <w:color w:val="000000"/>
        </w:rPr>
      </w:pPr>
      <w:r>
        <w:rPr>
          <w:rFonts w:ascii="宋体" w:hAnsi="宋体" w:hint="eastAsia"/>
          <w:color w:val="000000"/>
        </w:rPr>
        <w:t xml:space="preserve">                   </w:t>
      </w:r>
    </w:p>
    <w:p>
      <w:pPr>
        <w:spacing w:line="540" w:lineRule="exact"/>
        <w:ind w:left="7455" w:hanging="6930" w:leftChars="250" w:hangingChars="3300"/>
        <w:rPr>
          <w:rFonts w:ascii="宋体" w:hAnsi="宋体" w:hint="eastAsia"/>
          <w:color w:val="000000"/>
        </w:rPr>
      </w:pPr>
    </w:p>
    <w:p>
      <w:pPr>
        <w:spacing w:line="540" w:lineRule="exact"/>
        <w:ind w:left="7455" w:hanging="6930" w:leftChars="250" w:hangingChars="3300"/>
        <w:rPr>
          <w:rFonts w:ascii="宋体" w:hAnsi="宋体" w:hint="eastAsia"/>
          <w:color w:val="000000"/>
        </w:rPr>
      </w:pPr>
    </w:p>
    <w:p>
      <w:pPr>
        <w:spacing w:line="540" w:lineRule="exact"/>
        <w:ind w:left="7455" w:hanging="6930" w:leftChars="250" w:hangingChars="3300"/>
        <w:rPr>
          <w:rFonts w:ascii="宋体" w:hAnsi="宋体" w:hint="eastAsia"/>
          <w:color w:val="000000"/>
        </w:rPr>
      </w:pPr>
    </w:p>
    <w:p>
      <w:pPr>
        <w:spacing w:line="540" w:lineRule="exact"/>
        <w:ind w:left="7455" w:hanging="5670" w:leftChars="850" w:hangingChars="2700"/>
        <w:rPr>
          <w:rFonts w:ascii="宋体" w:hAnsi="宋体" w:hint="eastAsia"/>
          <w:color w:val="000000"/>
        </w:rPr>
      </w:pPr>
      <w:r>
        <w:rPr>
          <w:rFonts w:ascii="宋体" w:hAnsi="宋体" w:hint="eastAsia"/>
          <w:color w:val="000000"/>
        </w:rPr>
        <w:t xml:space="preserve"> </w:t>
      </w:r>
      <w:r>
        <w:rPr>
          <w:rFonts w:ascii="宋体" w:hAnsi="宋体" w:hint="eastAsia"/>
          <w:b/>
          <w:color w:val="000000"/>
          <w:sz w:val="24"/>
          <w:szCs w:val="28"/>
          <w:lang w:eastAsia="zh-CN"/>
        </w:rPr>
        <w:t>xxxxxx</w:t>
      </w:r>
      <w:r>
        <w:rPr>
          <w:rFonts w:ascii="宋体" w:hAnsi="宋体" w:hint="eastAsia"/>
          <w:b/>
          <w:color w:val="000000"/>
          <w:sz w:val="24"/>
          <w:szCs w:val="28"/>
        </w:rPr>
        <w:t>住宅建设项目</w:t>
      </w:r>
      <w:r>
        <w:rPr>
          <w:rFonts w:ascii="宋体" w:hAnsi="宋体" w:hint="eastAsia"/>
          <w:b/>
          <w:color w:val="000000"/>
          <w:sz w:val="24"/>
        </w:rPr>
        <w:t>基础设施方案</w:t>
      </w:r>
      <w:r>
        <w:rPr>
          <w:rFonts w:ascii="宋体" w:hAnsi="宋体" w:hint="eastAsia"/>
          <w:b/>
          <w:color w:val="000000"/>
          <w:sz w:val="28"/>
          <w:szCs w:val="28"/>
        </w:rPr>
        <w:t xml:space="preserve">     </w:t>
      </w:r>
      <w:r>
        <w:rPr>
          <w:rFonts w:ascii="宋体" w:hAnsi="宋体" w:hint="eastAsia"/>
          <w:b/>
          <w:color w:val="000000"/>
          <w:sz w:val="18"/>
          <w:szCs w:val="21"/>
        </w:rPr>
        <w:t xml:space="preserve">     </w:t>
      </w:r>
      <w:r>
        <w:rPr>
          <w:rFonts w:ascii="宋体" w:hAnsi="宋体" w:hint="eastAsia"/>
          <w:color w:val="000000"/>
          <w:sz w:val="18"/>
          <w:szCs w:val="21"/>
        </w:rPr>
        <w:t>表—6</w:t>
      </w:r>
      <w:r>
        <w:rPr>
          <w:rStyle w:val="con01"/>
          <w:rFonts w:ascii="宋体" w:hAnsi="宋体" w:hint="eastAsia"/>
          <w:color w:val="000000"/>
          <w:sz w:val="28"/>
          <w:szCs w:val="28"/>
        </w:rPr>
        <w:t xml:space="preserve">                  </w:t>
      </w: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720"/>
        <w:gridCol w:w="2811"/>
        <w:gridCol w:w="1420"/>
        <w:gridCol w:w="1349"/>
        <w:gridCol w:w="1171"/>
        <w:gridCol w:w="1350"/>
      </w:tblGrid>
      <w:tr>
        <w:tblPrEx>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c>
          <w:tcPr>
            <w:tcW w:w="720" w:type="dxa"/>
            <w:vAlign w:val="top"/>
          </w:tcPr>
          <w:p>
            <w:pPr>
              <w:rPr>
                <w:rFonts w:ascii="宋体" w:hAnsi="宋体" w:hint="eastAsia"/>
                <w:b/>
                <w:color w:val="000000"/>
                <w:szCs w:val="21"/>
              </w:rPr>
            </w:pPr>
            <w:r>
              <w:rPr>
                <w:rFonts w:ascii="宋体" w:hAnsi="宋体" w:hint="eastAsia"/>
                <w:b/>
                <w:color w:val="000000"/>
                <w:szCs w:val="21"/>
              </w:rPr>
              <w:t>序号</w:t>
            </w:r>
          </w:p>
        </w:tc>
        <w:tc>
          <w:tcPr>
            <w:tcW w:w="2811" w:type="dxa"/>
            <w:vAlign w:val="top"/>
          </w:tcPr>
          <w:p>
            <w:pPr>
              <w:ind w:firstLine="527"/>
              <w:rPr>
                <w:rStyle w:val="con01"/>
                <w:rFonts w:ascii="宋体" w:hAnsi="宋体" w:hint="eastAsia"/>
                <w:b/>
                <w:color w:val="000000"/>
                <w:szCs w:val="21"/>
              </w:rPr>
            </w:pPr>
            <w:r>
              <w:rPr>
                <w:rStyle w:val="con01"/>
                <w:rFonts w:ascii="宋体" w:hAnsi="宋体" w:hint="eastAsia"/>
                <w:b/>
                <w:color w:val="000000"/>
                <w:szCs w:val="21"/>
              </w:rPr>
              <w:t>设施</w:t>
            </w:r>
            <w:r>
              <w:rPr>
                <w:rFonts w:ascii="宋体" w:hAnsi="宋体" w:hint="eastAsia"/>
                <w:b/>
                <w:color w:val="000000"/>
                <w:szCs w:val="21"/>
              </w:rPr>
              <w:t>建设项目名称</w:t>
            </w:r>
          </w:p>
        </w:tc>
        <w:tc>
          <w:tcPr>
            <w:tcW w:w="1420" w:type="dxa"/>
            <w:vAlign w:val="top"/>
          </w:tcPr>
          <w:p>
            <w:pPr>
              <w:ind w:firstLine="420" w:firstLineChars="200"/>
              <w:rPr>
                <w:rFonts w:ascii="宋体" w:hAnsi="宋体" w:hint="eastAsia"/>
                <w:b/>
                <w:color w:val="000000"/>
                <w:szCs w:val="21"/>
              </w:rPr>
            </w:pPr>
            <w:r>
              <w:rPr>
                <w:rFonts w:ascii="宋体" w:hAnsi="宋体" w:hint="eastAsia"/>
                <w:b/>
                <w:color w:val="000000"/>
                <w:szCs w:val="21"/>
              </w:rPr>
              <w:t>数量</w:t>
            </w:r>
          </w:p>
        </w:tc>
        <w:tc>
          <w:tcPr>
            <w:tcW w:w="1349" w:type="dxa"/>
            <w:vAlign w:val="top"/>
          </w:tcPr>
          <w:p>
            <w:pPr>
              <w:ind w:left="80"/>
              <w:rPr>
                <w:rFonts w:ascii="宋体" w:hAnsi="宋体" w:hint="eastAsia"/>
                <w:b/>
                <w:color w:val="000000"/>
                <w:szCs w:val="21"/>
              </w:rPr>
            </w:pPr>
            <w:r>
              <w:rPr>
                <w:rFonts w:ascii="宋体" w:hAnsi="宋体" w:hint="eastAsia"/>
                <w:b/>
                <w:color w:val="000000"/>
                <w:szCs w:val="21"/>
              </w:rPr>
              <w:t>单 价</w:t>
            </w:r>
          </w:p>
        </w:tc>
        <w:tc>
          <w:tcPr>
            <w:tcW w:w="1171" w:type="dxa"/>
            <w:vAlign w:val="top"/>
          </w:tcPr>
          <w:p>
            <w:pPr>
              <w:ind w:firstLine="105" w:firstLineChars="50"/>
              <w:jc w:val="center"/>
              <w:rPr>
                <w:rFonts w:ascii="宋体" w:hAnsi="宋体" w:hint="eastAsia"/>
                <w:b/>
                <w:color w:val="000000"/>
                <w:szCs w:val="21"/>
              </w:rPr>
            </w:pPr>
            <w:r>
              <w:rPr>
                <w:rFonts w:ascii="宋体" w:hAnsi="宋体" w:hint="eastAsia"/>
                <w:b/>
                <w:color w:val="000000"/>
                <w:szCs w:val="21"/>
              </w:rPr>
              <w:t>金 额</w:t>
            </w:r>
          </w:p>
        </w:tc>
        <w:tc>
          <w:tcPr>
            <w:tcW w:w="1350" w:type="dxa"/>
            <w:vAlign w:val="top"/>
          </w:tcPr>
          <w:p>
            <w:pPr>
              <w:rPr>
                <w:rFonts w:ascii="宋体" w:hAnsi="宋体" w:hint="eastAsia"/>
                <w:b/>
                <w:color w:val="000000"/>
                <w:szCs w:val="21"/>
              </w:rPr>
            </w:pPr>
            <w:r>
              <w:rPr>
                <w:rFonts w:ascii="宋体" w:hAnsi="宋体" w:hint="eastAsia"/>
                <w:b/>
                <w:color w:val="000000"/>
                <w:szCs w:val="21"/>
              </w:rPr>
              <w:t>备   注</w:t>
            </w: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1</w:t>
            </w:r>
          </w:p>
        </w:tc>
        <w:tc>
          <w:tcPr>
            <w:tcW w:w="2811" w:type="dxa"/>
            <w:vAlign w:val="top"/>
          </w:tcPr>
          <w:p>
            <w:pPr>
              <w:rPr>
                <w:rFonts w:ascii="宋体" w:hAnsi="宋体" w:hint="eastAsia"/>
                <w:color w:val="000000"/>
                <w:szCs w:val="21"/>
              </w:rPr>
            </w:pPr>
            <w:r>
              <w:rPr>
                <w:rFonts w:ascii="宋体" w:hAnsi="宋体" w:hint="eastAsia"/>
                <w:color w:val="000000"/>
                <w:szCs w:val="21"/>
              </w:rPr>
              <w:t>变压器1200KVA及线路工程</w:t>
            </w:r>
          </w:p>
        </w:tc>
        <w:tc>
          <w:tcPr>
            <w:tcW w:w="1420" w:type="dxa"/>
            <w:vAlign w:val="top"/>
          </w:tcPr>
          <w:p>
            <w:pPr>
              <w:rPr>
                <w:rFonts w:ascii="宋体" w:hAnsi="宋体" w:hint="eastAsia"/>
                <w:color w:val="000000"/>
                <w:szCs w:val="21"/>
              </w:rPr>
            </w:pPr>
          </w:p>
        </w:tc>
        <w:tc>
          <w:tcPr>
            <w:tcW w:w="1349" w:type="dxa"/>
            <w:vAlign w:val="top"/>
          </w:tcPr>
          <w:p>
            <w:pPr>
              <w:rPr>
                <w:rFonts w:ascii="宋体" w:hAnsi="宋体" w:hint="eastAsia"/>
                <w:color w:val="000000"/>
                <w:szCs w:val="21"/>
              </w:rPr>
            </w:pPr>
          </w:p>
        </w:tc>
        <w:tc>
          <w:tcPr>
            <w:tcW w:w="1171" w:type="dxa"/>
            <w:vAlign w:val="top"/>
          </w:tcPr>
          <w:p>
            <w:pPr>
              <w:rPr>
                <w:rFonts w:ascii="宋体" w:hAnsi="宋体" w:hint="eastAsia"/>
                <w:color w:val="000000"/>
                <w:szCs w:val="21"/>
              </w:rPr>
            </w:pPr>
          </w:p>
        </w:tc>
        <w:tc>
          <w:tcPr>
            <w:tcW w:w="1350" w:type="dxa"/>
            <w:vAlign w:val="top"/>
          </w:tcPr>
          <w:p>
            <w:pPr>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2</w:t>
            </w:r>
          </w:p>
        </w:tc>
        <w:tc>
          <w:tcPr>
            <w:tcW w:w="2811" w:type="dxa"/>
            <w:vAlign w:val="top"/>
          </w:tcPr>
          <w:p>
            <w:pPr>
              <w:rPr>
                <w:rFonts w:ascii="宋体" w:hAnsi="宋体" w:hint="eastAsia"/>
                <w:color w:val="000000"/>
                <w:szCs w:val="21"/>
              </w:rPr>
            </w:pPr>
            <w:r>
              <w:rPr>
                <w:rFonts w:ascii="宋体" w:hAnsi="宋体" w:hint="eastAsia"/>
                <w:color w:val="000000"/>
                <w:szCs w:val="21"/>
              </w:rPr>
              <w:t>供水管道工程</w:t>
            </w:r>
          </w:p>
        </w:tc>
        <w:tc>
          <w:tcPr>
            <w:tcW w:w="1420" w:type="dxa"/>
            <w:vAlign w:val="top"/>
          </w:tcPr>
          <w:p>
            <w:pPr>
              <w:rPr>
                <w:rFonts w:ascii="宋体" w:hAnsi="宋体" w:hint="eastAsia"/>
                <w:color w:val="000000"/>
                <w:szCs w:val="21"/>
              </w:rPr>
            </w:pPr>
          </w:p>
        </w:tc>
        <w:tc>
          <w:tcPr>
            <w:tcW w:w="1349" w:type="dxa"/>
            <w:vAlign w:val="top"/>
          </w:tcPr>
          <w:p>
            <w:pPr>
              <w:rPr>
                <w:rFonts w:ascii="宋体" w:hAnsi="宋体" w:hint="eastAsia"/>
                <w:color w:val="000000"/>
                <w:szCs w:val="21"/>
              </w:rPr>
            </w:pPr>
          </w:p>
        </w:tc>
        <w:tc>
          <w:tcPr>
            <w:tcW w:w="1171" w:type="dxa"/>
            <w:vAlign w:val="top"/>
          </w:tcPr>
          <w:p>
            <w:pPr>
              <w:rPr>
                <w:rFonts w:ascii="宋体" w:hAnsi="宋体" w:hint="eastAsia"/>
                <w:color w:val="000000"/>
                <w:szCs w:val="21"/>
              </w:rPr>
            </w:pPr>
          </w:p>
        </w:tc>
        <w:tc>
          <w:tcPr>
            <w:tcW w:w="1350" w:type="dxa"/>
            <w:vAlign w:val="top"/>
          </w:tcPr>
          <w:p>
            <w:pPr>
              <w:rPr>
                <w:rStyle w:val="con01"/>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3</w:t>
            </w:r>
          </w:p>
        </w:tc>
        <w:tc>
          <w:tcPr>
            <w:tcW w:w="2811" w:type="dxa"/>
            <w:vAlign w:val="top"/>
          </w:tcPr>
          <w:p>
            <w:pPr>
              <w:rPr>
                <w:rFonts w:ascii="宋体" w:hAnsi="宋体" w:hint="eastAsia"/>
                <w:color w:val="000000"/>
                <w:szCs w:val="21"/>
              </w:rPr>
            </w:pPr>
            <w:r>
              <w:rPr>
                <w:rFonts w:ascii="宋体" w:hAnsi="宋体" w:hint="eastAsia"/>
                <w:color w:val="000000"/>
                <w:szCs w:val="21"/>
              </w:rPr>
              <w:t>供热管道及换热站工程</w:t>
            </w:r>
          </w:p>
        </w:tc>
        <w:tc>
          <w:tcPr>
            <w:tcW w:w="1420" w:type="dxa"/>
            <w:vAlign w:val="top"/>
          </w:tcPr>
          <w:p>
            <w:pPr>
              <w:rPr>
                <w:rFonts w:ascii="宋体" w:hAnsi="宋体" w:hint="eastAsia"/>
                <w:color w:val="000000"/>
                <w:szCs w:val="21"/>
              </w:rPr>
            </w:pPr>
          </w:p>
        </w:tc>
        <w:tc>
          <w:tcPr>
            <w:tcW w:w="1349" w:type="dxa"/>
            <w:vAlign w:val="top"/>
          </w:tcPr>
          <w:p>
            <w:pPr>
              <w:rPr>
                <w:rFonts w:ascii="宋体" w:hAnsi="宋体" w:hint="eastAsia"/>
                <w:color w:val="000000"/>
                <w:szCs w:val="21"/>
              </w:rPr>
            </w:pPr>
          </w:p>
        </w:tc>
        <w:tc>
          <w:tcPr>
            <w:tcW w:w="1171" w:type="dxa"/>
            <w:vAlign w:val="top"/>
          </w:tcPr>
          <w:p>
            <w:pPr>
              <w:rPr>
                <w:rFonts w:ascii="宋体" w:hAnsi="宋体" w:hint="eastAsia"/>
                <w:color w:val="000000"/>
                <w:szCs w:val="21"/>
              </w:rPr>
            </w:pPr>
          </w:p>
        </w:tc>
        <w:tc>
          <w:tcPr>
            <w:tcW w:w="1350" w:type="dxa"/>
            <w:vAlign w:val="top"/>
          </w:tcPr>
          <w:p>
            <w:pPr>
              <w:rPr>
                <w:rStyle w:val="con01"/>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4</w:t>
            </w:r>
          </w:p>
        </w:tc>
        <w:tc>
          <w:tcPr>
            <w:tcW w:w="2811" w:type="dxa"/>
            <w:vAlign w:val="top"/>
          </w:tcPr>
          <w:p>
            <w:pPr>
              <w:rPr>
                <w:rFonts w:ascii="宋体" w:hAnsi="宋体" w:hint="eastAsia"/>
                <w:color w:val="000000"/>
                <w:szCs w:val="21"/>
              </w:rPr>
            </w:pPr>
            <w:r>
              <w:rPr>
                <w:rFonts w:ascii="宋体" w:hAnsi="宋体" w:hint="eastAsia"/>
                <w:color w:val="000000"/>
                <w:szCs w:val="21"/>
              </w:rPr>
              <w:t>集中供天燃气工程</w:t>
            </w:r>
          </w:p>
        </w:tc>
        <w:tc>
          <w:tcPr>
            <w:tcW w:w="1420" w:type="dxa"/>
            <w:vAlign w:val="top"/>
          </w:tcPr>
          <w:p>
            <w:pPr>
              <w:ind w:firstLine="525"/>
              <w:rPr>
                <w:rFonts w:ascii="宋体" w:hAnsi="宋体" w:hint="eastAsia"/>
                <w:color w:val="000000"/>
                <w:szCs w:val="21"/>
              </w:rPr>
            </w:pPr>
          </w:p>
        </w:tc>
        <w:tc>
          <w:tcPr>
            <w:tcW w:w="1349" w:type="dxa"/>
            <w:vAlign w:val="top"/>
          </w:tcPr>
          <w:p>
            <w:pPr>
              <w:ind w:firstLine="525"/>
              <w:jc w:val="center"/>
              <w:rPr>
                <w:rFonts w:ascii="宋体" w:hAnsi="宋体" w:hint="eastAsia"/>
                <w:color w:val="000000"/>
                <w:szCs w:val="21"/>
              </w:rPr>
            </w:pPr>
          </w:p>
        </w:tc>
        <w:tc>
          <w:tcPr>
            <w:tcW w:w="1171" w:type="dxa"/>
            <w:vAlign w:val="top"/>
          </w:tcPr>
          <w:p>
            <w:pPr>
              <w:rPr>
                <w:rFonts w:ascii="宋体" w:hAnsi="宋体" w:hint="eastAsia"/>
                <w:color w:val="000000"/>
                <w:szCs w:val="21"/>
              </w:rPr>
            </w:pPr>
          </w:p>
        </w:tc>
        <w:tc>
          <w:tcPr>
            <w:tcW w:w="1350" w:type="dxa"/>
            <w:vAlign w:val="top"/>
          </w:tcPr>
          <w:p>
            <w:pPr>
              <w:rPr>
                <w:rStyle w:val="con01"/>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5</w:t>
            </w:r>
          </w:p>
        </w:tc>
        <w:tc>
          <w:tcPr>
            <w:tcW w:w="2811" w:type="dxa"/>
            <w:vAlign w:val="top"/>
          </w:tcPr>
          <w:p>
            <w:pPr>
              <w:rPr>
                <w:rFonts w:ascii="宋体" w:hAnsi="宋体" w:hint="eastAsia"/>
                <w:color w:val="000000"/>
                <w:szCs w:val="21"/>
              </w:rPr>
            </w:pPr>
            <w:r>
              <w:rPr>
                <w:rFonts w:ascii="宋体" w:hAnsi="宋体" w:hint="eastAsia"/>
                <w:color w:val="000000"/>
                <w:szCs w:val="21"/>
              </w:rPr>
              <w:t>排水、排污管道工程</w:t>
            </w:r>
          </w:p>
        </w:tc>
        <w:tc>
          <w:tcPr>
            <w:tcW w:w="1420" w:type="dxa"/>
            <w:vAlign w:val="top"/>
          </w:tcPr>
          <w:p>
            <w:pPr>
              <w:rPr>
                <w:rFonts w:ascii="宋体" w:hAnsi="宋体" w:hint="eastAsia"/>
                <w:color w:val="000000"/>
                <w:szCs w:val="21"/>
              </w:rPr>
            </w:pPr>
          </w:p>
        </w:tc>
        <w:tc>
          <w:tcPr>
            <w:tcW w:w="1349" w:type="dxa"/>
            <w:vAlign w:val="top"/>
          </w:tcPr>
          <w:p>
            <w:pPr>
              <w:rPr>
                <w:rFonts w:ascii="宋体" w:hAnsi="宋体" w:hint="eastAsia"/>
                <w:color w:val="000000"/>
                <w:szCs w:val="21"/>
              </w:rPr>
            </w:pPr>
          </w:p>
        </w:tc>
        <w:tc>
          <w:tcPr>
            <w:tcW w:w="1171" w:type="dxa"/>
            <w:vAlign w:val="top"/>
          </w:tcPr>
          <w:p>
            <w:pPr>
              <w:rPr>
                <w:rFonts w:ascii="宋体" w:hAnsi="宋体" w:hint="eastAsia"/>
                <w:color w:val="000000"/>
                <w:szCs w:val="21"/>
              </w:rPr>
            </w:pPr>
          </w:p>
        </w:tc>
        <w:tc>
          <w:tcPr>
            <w:tcW w:w="1350" w:type="dxa"/>
            <w:vAlign w:val="top"/>
          </w:tcPr>
          <w:p>
            <w:pPr>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6</w:t>
            </w:r>
          </w:p>
        </w:tc>
        <w:tc>
          <w:tcPr>
            <w:tcW w:w="2811" w:type="dxa"/>
            <w:vAlign w:val="top"/>
          </w:tcPr>
          <w:p>
            <w:pPr>
              <w:rPr>
                <w:rFonts w:ascii="宋体" w:hAnsi="宋体" w:hint="eastAsia"/>
                <w:color w:val="000000"/>
                <w:szCs w:val="21"/>
              </w:rPr>
            </w:pPr>
            <w:r>
              <w:rPr>
                <w:rFonts w:ascii="宋体" w:hAnsi="宋体" w:hint="eastAsia"/>
                <w:color w:val="000000"/>
                <w:szCs w:val="21"/>
              </w:rPr>
              <w:t>室外道路50MM厚</w:t>
            </w:r>
          </w:p>
        </w:tc>
        <w:tc>
          <w:tcPr>
            <w:tcW w:w="1420" w:type="dxa"/>
            <w:vAlign w:val="top"/>
          </w:tcPr>
          <w:p>
            <w:pPr>
              <w:rPr>
                <w:rFonts w:ascii="宋体" w:hAnsi="宋体" w:hint="eastAsia"/>
                <w:color w:val="000000"/>
                <w:szCs w:val="21"/>
              </w:rPr>
            </w:pPr>
          </w:p>
        </w:tc>
        <w:tc>
          <w:tcPr>
            <w:tcW w:w="1349" w:type="dxa"/>
            <w:vAlign w:val="top"/>
          </w:tcPr>
          <w:p>
            <w:pPr>
              <w:rPr>
                <w:rFonts w:ascii="宋体" w:hAnsi="宋体" w:hint="eastAsia"/>
                <w:color w:val="000000"/>
                <w:szCs w:val="21"/>
              </w:rPr>
            </w:pPr>
          </w:p>
        </w:tc>
        <w:tc>
          <w:tcPr>
            <w:tcW w:w="1171" w:type="dxa"/>
            <w:vAlign w:val="top"/>
          </w:tcPr>
          <w:p>
            <w:pPr>
              <w:rPr>
                <w:rFonts w:ascii="宋体" w:hAnsi="宋体" w:hint="eastAsia"/>
                <w:color w:val="000000"/>
                <w:szCs w:val="21"/>
              </w:rPr>
            </w:pPr>
          </w:p>
        </w:tc>
        <w:tc>
          <w:tcPr>
            <w:tcW w:w="1350" w:type="dxa"/>
            <w:vAlign w:val="top"/>
          </w:tcPr>
          <w:p>
            <w:pPr>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7</w:t>
            </w:r>
          </w:p>
        </w:tc>
        <w:tc>
          <w:tcPr>
            <w:tcW w:w="2811" w:type="dxa"/>
            <w:vAlign w:val="top"/>
          </w:tcPr>
          <w:p>
            <w:pPr>
              <w:rPr>
                <w:rFonts w:ascii="宋体" w:hAnsi="宋体" w:hint="eastAsia"/>
                <w:color w:val="000000"/>
                <w:szCs w:val="21"/>
              </w:rPr>
            </w:pPr>
            <w:r>
              <w:rPr>
                <w:rFonts w:ascii="宋体" w:hAnsi="宋体" w:hint="eastAsia"/>
                <w:color w:val="000000"/>
                <w:szCs w:val="21"/>
              </w:rPr>
              <w:t>围墙24MM*1.8M</w:t>
            </w:r>
          </w:p>
        </w:tc>
        <w:tc>
          <w:tcPr>
            <w:tcW w:w="1420" w:type="dxa"/>
            <w:vAlign w:val="top"/>
          </w:tcPr>
          <w:p>
            <w:pPr>
              <w:rPr>
                <w:rFonts w:ascii="宋体" w:hAnsi="宋体" w:hint="eastAsia"/>
                <w:color w:val="000000"/>
                <w:szCs w:val="21"/>
              </w:rPr>
            </w:pPr>
          </w:p>
        </w:tc>
        <w:tc>
          <w:tcPr>
            <w:tcW w:w="1349" w:type="dxa"/>
            <w:vAlign w:val="top"/>
          </w:tcPr>
          <w:p>
            <w:pPr>
              <w:rPr>
                <w:rFonts w:ascii="宋体" w:hAnsi="宋体" w:hint="eastAsia"/>
                <w:color w:val="000000"/>
                <w:szCs w:val="21"/>
              </w:rPr>
            </w:pPr>
          </w:p>
        </w:tc>
        <w:tc>
          <w:tcPr>
            <w:tcW w:w="1171" w:type="dxa"/>
            <w:vAlign w:val="top"/>
          </w:tcPr>
          <w:p>
            <w:pPr>
              <w:rPr>
                <w:rFonts w:ascii="宋体" w:hAnsi="宋体" w:hint="eastAsia"/>
                <w:color w:val="000000"/>
                <w:szCs w:val="21"/>
              </w:rPr>
            </w:pPr>
          </w:p>
        </w:tc>
        <w:tc>
          <w:tcPr>
            <w:tcW w:w="1350" w:type="dxa"/>
            <w:vAlign w:val="top"/>
          </w:tcPr>
          <w:p>
            <w:pPr>
              <w:rPr>
                <w:rStyle w:val="con01"/>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8</w:t>
            </w:r>
          </w:p>
        </w:tc>
        <w:tc>
          <w:tcPr>
            <w:tcW w:w="2811" w:type="dxa"/>
            <w:vAlign w:val="top"/>
          </w:tcPr>
          <w:p>
            <w:pPr>
              <w:rPr>
                <w:rFonts w:ascii="宋体" w:hAnsi="宋体" w:hint="eastAsia"/>
                <w:color w:val="000000"/>
                <w:szCs w:val="21"/>
              </w:rPr>
            </w:pPr>
            <w:r>
              <w:rPr>
                <w:rFonts w:ascii="宋体" w:hAnsi="宋体" w:hint="eastAsia"/>
                <w:color w:val="000000"/>
                <w:szCs w:val="21"/>
              </w:rPr>
              <w:t>路灯工程</w:t>
            </w:r>
          </w:p>
        </w:tc>
        <w:tc>
          <w:tcPr>
            <w:tcW w:w="1420" w:type="dxa"/>
            <w:vAlign w:val="top"/>
          </w:tcPr>
          <w:p>
            <w:pPr>
              <w:rPr>
                <w:rFonts w:ascii="宋体" w:hAnsi="宋体" w:hint="eastAsia"/>
                <w:color w:val="000000"/>
                <w:szCs w:val="21"/>
              </w:rPr>
            </w:pPr>
          </w:p>
        </w:tc>
        <w:tc>
          <w:tcPr>
            <w:tcW w:w="1349" w:type="dxa"/>
            <w:vAlign w:val="top"/>
          </w:tcPr>
          <w:p>
            <w:pPr>
              <w:rPr>
                <w:rFonts w:ascii="宋体" w:hAnsi="宋体" w:hint="eastAsia"/>
                <w:color w:val="000000"/>
                <w:szCs w:val="21"/>
              </w:rPr>
            </w:pPr>
          </w:p>
        </w:tc>
        <w:tc>
          <w:tcPr>
            <w:tcW w:w="1171" w:type="dxa"/>
            <w:vAlign w:val="top"/>
          </w:tcPr>
          <w:p>
            <w:pPr>
              <w:rPr>
                <w:rFonts w:ascii="宋体" w:hAnsi="宋体" w:hint="eastAsia"/>
                <w:color w:val="000000"/>
                <w:szCs w:val="21"/>
              </w:rPr>
            </w:pPr>
          </w:p>
        </w:tc>
        <w:tc>
          <w:tcPr>
            <w:tcW w:w="1350" w:type="dxa"/>
            <w:vAlign w:val="top"/>
          </w:tcPr>
          <w:p>
            <w:pPr>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9</w:t>
            </w:r>
          </w:p>
        </w:tc>
        <w:tc>
          <w:tcPr>
            <w:tcW w:w="2811" w:type="dxa"/>
            <w:vAlign w:val="top"/>
          </w:tcPr>
          <w:p>
            <w:pPr>
              <w:rPr>
                <w:rFonts w:ascii="宋体" w:hAnsi="宋体" w:hint="eastAsia"/>
                <w:color w:val="000000"/>
                <w:szCs w:val="21"/>
              </w:rPr>
            </w:pPr>
            <w:r>
              <w:rPr>
                <w:rFonts w:ascii="宋体" w:hAnsi="宋体" w:hint="eastAsia"/>
                <w:color w:val="000000"/>
                <w:szCs w:val="21"/>
              </w:rPr>
              <w:t>园林、绿化工程</w:t>
            </w:r>
          </w:p>
        </w:tc>
        <w:tc>
          <w:tcPr>
            <w:tcW w:w="1420" w:type="dxa"/>
            <w:vAlign w:val="top"/>
          </w:tcPr>
          <w:p>
            <w:pPr>
              <w:rPr>
                <w:rFonts w:ascii="宋体" w:hAnsi="宋体" w:hint="eastAsia"/>
                <w:color w:val="000000"/>
                <w:szCs w:val="21"/>
              </w:rPr>
            </w:pPr>
          </w:p>
        </w:tc>
        <w:tc>
          <w:tcPr>
            <w:tcW w:w="1349" w:type="dxa"/>
            <w:vAlign w:val="top"/>
          </w:tcPr>
          <w:p>
            <w:pPr>
              <w:rPr>
                <w:rFonts w:ascii="宋体" w:hAnsi="宋体" w:hint="eastAsia"/>
                <w:color w:val="000000"/>
                <w:szCs w:val="21"/>
              </w:rPr>
            </w:pPr>
          </w:p>
        </w:tc>
        <w:tc>
          <w:tcPr>
            <w:tcW w:w="1171" w:type="dxa"/>
            <w:vAlign w:val="top"/>
          </w:tcPr>
          <w:p>
            <w:pPr>
              <w:rPr>
                <w:rFonts w:ascii="宋体" w:hAnsi="宋体" w:hint="eastAsia"/>
                <w:color w:val="000000"/>
                <w:szCs w:val="21"/>
              </w:rPr>
            </w:pPr>
          </w:p>
        </w:tc>
        <w:tc>
          <w:tcPr>
            <w:tcW w:w="1350" w:type="dxa"/>
            <w:vAlign w:val="top"/>
          </w:tcPr>
          <w:p>
            <w:pPr>
              <w:rPr>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10</w:t>
            </w:r>
          </w:p>
        </w:tc>
        <w:tc>
          <w:tcPr>
            <w:tcW w:w="2811" w:type="dxa"/>
            <w:vAlign w:val="top"/>
          </w:tcPr>
          <w:p>
            <w:pPr>
              <w:rPr>
                <w:rFonts w:ascii="宋体" w:hAnsi="宋体" w:hint="eastAsia"/>
                <w:color w:val="000000"/>
                <w:szCs w:val="21"/>
              </w:rPr>
            </w:pPr>
            <w:r>
              <w:rPr>
                <w:rFonts w:ascii="宋体" w:hAnsi="宋体" w:hint="eastAsia"/>
                <w:color w:val="000000"/>
                <w:szCs w:val="21"/>
              </w:rPr>
              <w:t>环卫工程</w:t>
            </w:r>
          </w:p>
        </w:tc>
        <w:tc>
          <w:tcPr>
            <w:tcW w:w="1420" w:type="dxa"/>
            <w:vAlign w:val="top"/>
          </w:tcPr>
          <w:p>
            <w:pPr>
              <w:rPr>
                <w:rFonts w:ascii="宋体" w:hAnsi="宋体" w:hint="eastAsia"/>
                <w:color w:val="000000"/>
                <w:szCs w:val="21"/>
              </w:rPr>
            </w:pPr>
          </w:p>
        </w:tc>
        <w:tc>
          <w:tcPr>
            <w:tcW w:w="1349" w:type="dxa"/>
            <w:vAlign w:val="top"/>
          </w:tcPr>
          <w:p>
            <w:pPr>
              <w:rPr>
                <w:rFonts w:ascii="宋体" w:hAnsi="宋体" w:hint="eastAsia"/>
                <w:color w:val="000000"/>
                <w:szCs w:val="21"/>
              </w:rPr>
            </w:pPr>
          </w:p>
        </w:tc>
        <w:tc>
          <w:tcPr>
            <w:tcW w:w="1171" w:type="dxa"/>
            <w:vAlign w:val="top"/>
          </w:tcPr>
          <w:p>
            <w:pPr>
              <w:rPr>
                <w:rFonts w:ascii="宋体" w:hAnsi="宋体" w:hint="eastAsia"/>
                <w:color w:val="000000"/>
                <w:szCs w:val="21"/>
              </w:rPr>
            </w:pPr>
          </w:p>
        </w:tc>
        <w:tc>
          <w:tcPr>
            <w:tcW w:w="1350" w:type="dxa"/>
            <w:vAlign w:val="top"/>
          </w:tcPr>
          <w:p>
            <w:pPr>
              <w:rPr>
                <w:rStyle w:val="con01"/>
                <w:rFonts w:ascii="宋体" w:hAnsi="宋体" w:hint="eastAsia"/>
                <w:color w:val="000000"/>
                <w:szCs w:val="21"/>
              </w:rPr>
            </w:pPr>
          </w:p>
        </w:tc>
      </w:tr>
      <w:tr>
        <w:tblPrEx>
          <w:tblW w:w="0" w:type="auto"/>
          <w:tblInd w:w="108" w:type="dxa"/>
          <w:tblLayout w:type="fixed"/>
          <w:tblCellMar>
            <w:top w:w="0" w:type="dxa"/>
            <w:left w:w="108" w:type="dxa"/>
            <w:bottom w:w="0" w:type="dxa"/>
            <w:right w:w="108" w:type="dxa"/>
          </w:tblCellMar>
        </w:tblPrEx>
        <w:tc>
          <w:tcPr>
            <w:tcW w:w="720" w:type="dxa"/>
            <w:vAlign w:val="top"/>
          </w:tcPr>
          <w:p>
            <w:pPr>
              <w:jc w:val="center"/>
              <w:rPr>
                <w:rFonts w:ascii="宋体" w:hAnsi="宋体" w:hint="eastAsia"/>
                <w:color w:val="000000"/>
                <w:szCs w:val="21"/>
              </w:rPr>
            </w:pPr>
            <w:r>
              <w:rPr>
                <w:rFonts w:ascii="宋体" w:hAnsi="宋体" w:hint="eastAsia"/>
                <w:color w:val="000000"/>
                <w:szCs w:val="21"/>
              </w:rPr>
              <w:t>11</w:t>
            </w:r>
          </w:p>
        </w:tc>
        <w:tc>
          <w:tcPr>
            <w:tcW w:w="2811" w:type="dxa"/>
            <w:vAlign w:val="top"/>
          </w:tcPr>
          <w:p>
            <w:pPr>
              <w:rPr>
                <w:rFonts w:ascii="宋体" w:hAnsi="宋体" w:hint="eastAsia"/>
                <w:color w:val="000000"/>
                <w:szCs w:val="21"/>
              </w:rPr>
            </w:pPr>
            <w:r>
              <w:rPr>
                <w:rFonts w:ascii="宋体" w:hAnsi="宋体" w:hint="eastAsia"/>
                <w:color w:val="000000"/>
                <w:szCs w:val="21"/>
              </w:rPr>
              <w:t>通讯工程宽带及有线电视</w:t>
            </w:r>
          </w:p>
        </w:tc>
        <w:tc>
          <w:tcPr>
            <w:tcW w:w="1420" w:type="dxa"/>
            <w:vAlign w:val="top"/>
          </w:tcPr>
          <w:p>
            <w:pPr>
              <w:rPr>
                <w:rFonts w:ascii="宋体" w:hAnsi="宋体" w:hint="eastAsia"/>
                <w:color w:val="000000"/>
                <w:szCs w:val="21"/>
              </w:rPr>
            </w:pPr>
          </w:p>
        </w:tc>
        <w:tc>
          <w:tcPr>
            <w:tcW w:w="1349" w:type="dxa"/>
            <w:vAlign w:val="top"/>
          </w:tcPr>
          <w:p>
            <w:pPr>
              <w:rPr>
                <w:rFonts w:ascii="宋体" w:hAnsi="宋体" w:hint="eastAsia"/>
                <w:color w:val="000000"/>
                <w:szCs w:val="21"/>
              </w:rPr>
            </w:pPr>
          </w:p>
        </w:tc>
        <w:tc>
          <w:tcPr>
            <w:tcW w:w="1171" w:type="dxa"/>
            <w:vAlign w:val="top"/>
          </w:tcPr>
          <w:p>
            <w:pPr>
              <w:rPr>
                <w:rFonts w:ascii="宋体" w:hAnsi="宋体" w:hint="eastAsia"/>
                <w:color w:val="000000"/>
                <w:szCs w:val="21"/>
              </w:rPr>
            </w:pPr>
          </w:p>
        </w:tc>
        <w:tc>
          <w:tcPr>
            <w:tcW w:w="1350" w:type="dxa"/>
            <w:vAlign w:val="top"/>
          </w:tcPr>
          <w:p>
            <w:pPr>
              <w:rPr>
                <w:rStyle w:val="con01"/>
                <w:rFonts w:ascii="宋体" w:hAnsi="宋体" w:hint="eastAsia"/>
                <w:color w:val="000000"/>
                <w:szCs w:val="21"/>
              </w:rPr>
            </w:pPr>
          </w:p>
        </w:tc>
      </w:tr>
    </w:tbl>
    <w:p>
      <w:r>
        <w:br/>
      </w:r>
      <w:r>
        <w:br/>
      </w:r>
    </w:p>
    <w:p>
      <w:pPr>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3" w:history="1">
        <w:r>
          <w:rPr>
            <w:rFonts w:ascii="SimSun" w:eastAsia="SimSun" w:hAnsi="SimSun" w:cs="SimSun"/>
            <w:b/>
            <w:bCs/>
            <w:color w:val="0000EE"/>
            <w:kern w:val="0"/>
            <w:sz w:val="30"/>
            <w:szCs w:val="30"/>
            <w:u w:val="single" w:color="0000EE"/>
          </w:rPr>
          <w:t>https://d.book118.com/945122322111011122</w:t>
        </w:r>
      </w:hyperlink>
    </w:p>
    <w:p/>
    <w:sectPr>
      <w:footerReference w:type="default" r:id="rId34"/>
      <w:type w:val="nextPage"/>
      <w:pgSz w:w="11906" w:h="16838"/>
      <w:pgMar w:top="1440" w:right="1287" w:bottom="1559" w:left="1797" w:header="851" w:footer="992" w:gutter="0"/>
      <w:pgNumType w:start="29"/>
      <w:cols w:num="1" w:space="720"/>
      <w:titlePg w:val="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6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方正大黑简体">
    <w:altName w:val="黑体"/>
    <w:panose1 w:val="02010601030101010101"/>
    <w:charset w:val="86"/>
    <w:family w:val="auto"/>
    <w:pitch w:val="default"/>
    <w:sig w:usb0="00000000" w:usb1="00000000" w:usb2="00000010" w:usb3="00000000" w:csb0="00040000" w:csb1="00000000"/>
  </w:font>
  <w:font w:name="汉仪粗黑简">
    <w:altName w:val="宋体"/>
    <w:panose1 w:val="00000000000000000000"/>
    <w:charset w:val="86"/>
    <w:family w:val="roman"/>
    <w:pitch w:val="default"/>
    <w:sig w:usb0="00000000" w:usb1="00000000" w:usb2="00000010" w:usb3="00000000" w:csb0="00040000" w:csb1="00000000"/>
  </w:font>
  <w:font w:name="华文行楷">
    <w:panose1 w:val="02010800040101010101"/>
    <w:charset w:val="86"/>
    <w:family w:val="auto"/>
    <w:pitch w:val="default"/>
    <w:sig w:usb0="00000001" w:usb1="080F0000" w:usb2="00000000" w:usb3="00000000" w:csb0="00040000" w:csb1="00000000"/>
  </w:font>
  <w:font w:name="ˎ̥">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1</w:t>
    </w:r>
    <w:r>
      <w:fldChar w:fldCharType="end"/>
    </w:r>
  </w:p>
  <w:p>
    <w:pPr>
      <w:pStyle w:val="17"/>
      <w:ind w:right="360" w:firstLine="45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2</w:t>
    </w:r>
    <w:r>
      <w:fldChar w:fldCharType="end"/>
    </w:r>
  </w:p>
  <w:p>
    <w:pPr>
      <w:pStyle w:val="17"/>
      <w:ind w:right="360" w:firstLine="45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3</w:t>
    </w:r>
    <w:r>
      <w:fldChar w:fldCharType="end"/>
    </w:r>
  </w:p>
  <w:p>
    <w:pPr>
      <w:pStyle w:val="17"/>
      <w:ind w:right="360" w:firstLine="450"/>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4</w:t>
    </w:r>
    <w:r>
      <w:fldChar w:fldCharType="end"/>
    </w:r>
  </w:p>
  <w:p>
    <w:pPr>
      <w:pStyle w:val="17"/>
      <w:ind w:right="360" w:firstLine="450"/>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6</w:t>
    </w:r>
    <w:r>
      <w:fldChar w:fldCharType="end"/>
    </w:r>
  </w:p>
  <w:p>
    <w:pPr>
      <w:pStyle w:val="17"/>
      <w:ind w:right="360" w:firstLine="450"/>
      <w:rPr>
        <w:rFonts w:hint="eastAsi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6</w:t>
    </w:r>
    <w:r>
      <w:fldChar w:fldCharType="end"/>
    </w:r>
  </w:p>
  <w:p>
    <w:pPr>
      <w:pStyle w:val="17"/>
      <w:ind w:right="360" w:firstLine="450"/>
      <w:rPr>
        <w:rFonts w:hint="eastAsia"/>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7</w:t>
    </w:r>
    <w:r>
      <w:fldChar w:fldCharType="end"/>
    </w:r>
  </w:p>
  <w:p>
    <w:pPr>
      <w:pStyle w:val="17"/>
      <w:ind w:right="360" w:firstLine="450"/>
      <w:rPr>
        <w:rFonts w:hint="eastAsia"/>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8</w:t>
    </w:r>
    <w:r>
      <w:fldChar w:fldCharType="end"/>
    </w:r>
  </w:p>
  <w:p>
    <w:pPr>
      <w:pStyle w:val="17"/>
      <w:ind w:right="360" w:firstLine="450"/>
      <w:rPr>
        <w:rFonts w:hint="eastAsia"/>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9</w:t>
    </w:r>
    <w:r>
      <w:fldChar w:fldCharType="end"/>
    </w:r>
  </w:p>
  <w:p>
    <w:pPr>
      <w:pStyle w:val="17"/>
      <w:ind w:right="360" w:firstLine="450"/>
      <w:rPr>
        <w:rFonts w:hint="eastAsia"/>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11</w:t>
    </w:r>
    <w:r>
      <w:fldChar w:fldCharType="end"/>
    </w:r>
  </w:p>
  <w:p>
    <w:pPr>
      <w:pStyle w:val="17"/>
      <w:ind w:right="360" w:firstLine="450"/>
      <w:rPr>
        <w:rFonts w:hint="eastAsia"/>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11</w:t>
    </w:r>
    <w:r>
      <w:fldChar w:fldCharType="end"/>
    </w:r>
  </w:p>
  <w:p>
    <w:pPr>
      <w:pStyle w:val="17"/>
      <w:ind w:right="360" w:firstLine="450"/>
      <w:rPr>
        <w:rFonts w:hint="eastAsia"/>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12</w:t>
    </w:r>
    <w:r>
      <w:fldChar w:fldCharType="end"/>
    </w:r>
  </w:p>
  <w:p>
    <w:pPr>
      <w:pStyle w:val="17"/>
      <w:ind w:right="360" w:firstLine="450"/>
      <w:rPr>
        <w:rFonts w:hint="eastAsia"/>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14</w:t>
    </w:r>
    <w:r>
      <w:fldChar w:fldCharType="end"/>
    </w:r>
  </w:p>
  <w:p>
    <w:pPr>
      <w:pStyle w:val="17"/>
      <w:ind w:right="360" w:firstLine="450"/>
      <w:rPr>
        <w:rFonts w:hint="eastAsia"/>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14</w:t>
    </w:r>
    <w:r>
      <w:fldChar w:fldCharType="end"/>
    </w:r>
  </w:p>
  <w:p>
    <w:pPr>
      <w:pStyle w:val="17"/>
      <w:ind w:right="360" w:firstLine="450"/>
      <w:rPr>
        <w:rFonts w:hint="eastAsia"/>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16</w:t>
    </w:r>
    <w:r>
      <w:fldChar w:fldCharType="end"/>
    </w:r>
  </w:p>
  <w:p>
    <w:pPr>
      <w:pStyle w:val="17"/>
      <w:ind w:right="360" w:firstLine="450"/>
      <w:rPr>
        <w:rFonts w:hint="eastAsia"/>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16</w:t>
    </w:r>
    <w:r>
      <w:fldChar w:fldCharType="end"/>
    </w:r>
  </w:p>
  <w:p>
    <w:pPr>
      <w:pStyle w:val="17"/>
      <w:ind w:right="360" w:firstLine="450"/>
      <w:rPr>
        <w:rFonts w:hint="eastAsia"/>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17</w:t>
    </w:r>
    <w:r>
      <w:fldChar w:fldCharType="end"/>
    </w:r>
  </w:p>
  <w:p>
    <w:pPr>
      <w:pStyle w:val="17"/>
      <w:ind w:right="360" w:firstLine="450"/>
      <w:rPr>
        <w:rFonts w:hint="eastAsia"/>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19</w:t>
    </w:r>
    <w:r>
      <w:fldChar w:fldCharType="end"/>
    </w:r>
  </w:p>
  <w:p>
    <w:pPr>
      <w:pStyle w:val="17"/>
      <w:ind w:right="360" w:firstLine="450"/>
      <w:rPr>
        <w:rFonts w:hint="eastAsia"/>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20</w:t>
    </w:r>
    <w:r>
      <w:fldChar w:fldCharType="end"/>
    </w:r>
  </w:p>
  <w:p>
    <w:pPr>
      <w:pStyle w:val="17"/>
      <w:ind w:right="360" w:firstLine="450"/>
      <w:rPr>
        <w:rFonts w:hint="eastAsia"/>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21</w:t>
    </w:r>
    <w:r>
      <w:fldChar w:fldCharType="end"/>
    </w:r>
  </w:p>
  <w:p>
    <w:pPr>
      <w:pStyle w:val="17"/>
      <w:ind w:right="360" w:firstLine="450"/>
      <w:rPr>
        <w:rFonts w:hint="eastAsia"/>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21</w:t>
    </w:r>
    <w:r>
      <w:fldChar w:fldCharType="end"/>
    </w:r>
  </w:p>
  <w:p>
    <w:pPr>
      <w:pStyle w:val="17"/>
      <w:ind w:right="360" w:firstLine="450"/>
      <w:rPr>
        <w:rFonts w:hint="eastAsia"/>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22</w:t>
    </w:r>
    <w:r>
      <w:fldChar w:fldCharType="end"/>
    </w:r>
  </w:p>
  <w:p>
    <w:pPr>
      <w:pStyle w:val="17"/>
      <w:ind w:right="360" w:firstLine="450"/>
      <w:rPr>
        <w:rFonts w:hint="eastAsia"/>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23</w:t>
    </w:r>
    <w:r>
      <w:fldChar w:fldCharType="end"/>
    </w:r>
  </w:p>
  <w:p>
    <w:pPr>
      <w:pStyle w:val="17"/>
      <w:ind w:right="360" w:firstLine="450"/>
      <w:rPr>
        <w:rFonts w:hint="eastAsia"/>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24</w:t>
    </w:r>
    <w:r>
      <w:fldChar w:fldCharType="end"/>
    </w:r>
  </w:p>
  <w:p>
    <w:pPr>
      <w:pStyle w:val="17"/>
      <w:ind w:right="360" w:firstLine="450"/>
      <w:rPr>
        <w:rFonts w:hint="eastAsia"/>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25</w:t>
    </w:r>
    <w:r>
      <w:fldChar w:fldCharType="end"/>
    </w:r>
  </w:p>
  <w:p>
    <w:pPr>
      <w:pStyle w:val="17"/>
      <w:ind w:right="360" w:firstLine="450"/>
      <w:rPr>
        <w:rFonts w:hint="eastAsia"/>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27</w:t>
    </w:r>
    <w:r>
      <w:fldChar w:fldCharType="end"/>
    </w:r>
  </w:p>
  <w:p>
    <w:pPr>
      <w:pStyle w:val="17"/>
      <w:ind w:right="360" w:firstLine="450"/>
      <w:rPr>
        <w:rFonts w:hint="eastAsia"/>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27</w:t>
    </w:r>
    <w:r>
      <w:fldChar w:fldCharType="end"/>
    </w:r>
  </w:p>
  <w:p>
    <w:pPr>
      <w:pStyle w:val="17"/>
      <w:ind w:right="360" w:firstLine="450"/>
      <w:rPr>
        <w:rFonts w:hint="eastAsia"/>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28</w:t>
    </w:r>
    <w:r>
      <w:fldChar w:fldCharType="end"/>
    </w:r>
  </w:p>
  <w:p>
    <w:pPr>
      <w:pStyle w:val="17"/>
      <w:ind w:right="360" w:firstLine="450"/>
      <w:rPr>
        <w:rFonts w:hint="eastAsia"/>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17"/>
      <w:jc w:val="center"/>
    </w:pPr>
    <w:r>
      <w:fldChar w:fldCharType="begin"/>
    </w:r>
    <w:r>
      <w:instrText xml:space="preserve"> PAGE   \* MERGEFORMAT </w:instrText>
    </w:r>
    <w:r>
      <w:fldChar w:fldCharType="separate"/>
    </w:r>
    <w:r>
      <w:rPr>
        <w:lang w:val="zh-CN"/>
      </w:rPr>
      <w:t>30</w:t>
    </w:r>
    <w:r>
      <w:fldChar w:fldCharType="end"/>
    </w:r>
  </w:p>
  <w:p>
    <w:pPr>
      <w:pStyle w:val="17"/>
      <w:ind w:right="360" w:firstLine="450"/>
      <w:rPr>
        <w:rFonts w:hint="eastAsia"/>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6"/>
    <w:multiLevelType w:val="multilevel"/>
    <w:tmpl w:val="00000006"/>
    <w:lvl w:ilvl="0">
      <w:start w:val="1"/>
      <w:numFmt w:val="japaneseCounting"/>
      <w:lvlText w:val="第%1章"/>
      <w:lvlJc w:val="left"/>
      <w:pPr>
        <w:tabs>
          <w:tab w:val="left" w:pos="1125"/>
        </w:tabs>
        <w:ind w:left="1125" w:hanging="1125"/>
      </w:pPr>
      <w:rPr>
        <w:rFonts w:hint="eastAsia"/>
        <w:lang w:val="en-US"/>
      </w:rPr>
    </w:lvl>
    <w:lvl w:ilvl="1">
      <w:start w:val="1"/>
      <w:numFmt w:val="japaneseCounting"/>
      <w:lvlText w:val="%2、"/>
      <w:lvlJc w:val="left"/>
      <w:pPr>
        <w:tabs>
          <w:tab w:val="left" w:pos="1140"/>
        </w:tabs>
        <w:ind w:left="1140" w:hanging="72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0CC9238E"/>
    <w:multiLevelType w:val="multilevel"/>
    <w:tmpl w:val="0CC9238E"/>
    <w:lvl w:ilvl="0">
      <w:start w:val="1"/>
      <w:numFmt w:val="decimal"/>
      <w:lvlText w:val="%1)"/>
      <w:lvlJc w:val="left"/>
      <w:pPr>
        <w:ind w:left="840" w:hanging="36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nsid w:val="39E82EBD"/>
    <w:multiLevelType w:val="multilevel"/>
    <w:tmpl w:val="39E82EBD"/>
    <w:lvl w:ilvl="0">
      <w:start w:val="1"/>
      <w:numFmt w:val="decimal"/>
      <w:lvlText w:val="%1"/>
      <w:lvlJc w:val="left"/>
      <w:pPr>
        <w:ind w:left="1015" w:hanging="735"/>
      </w:pPr>
      <w:rPr>
        <w:rFonts w:ascii="宋体" w:eastAsia="宋体" w:hAnsi="宋体"/>
      </w:rPr>
    </w:lvl>
    <w:lvl w:ilvl="1">
      <w:start w:val="1"/>
      <w:numFmt w:val="lowerLetter"/>
      <w:lvlText w:val="%2)"/>
      <w:lvlJc w:val="left"/>
      <w:pPr>
        <w:ind w:left="1120" w:hanging="420"/>
      </w:pPr>
    </w:lvl>
    <w:lvl w:ilvl="2">
      <w:start w:val="1"/>
      <w:numFmt w:val="lowerRoman"/>
      <w:lvlText w:val="%3."/>
      <w:lvlJc w:val="right"/>
      <w:pPr>
        <w:ind w:left="1540" w:hanging="420"/>
      </w:pPr>
    </w:lvl>
    <w:lvl w:ilvl="3">
      <w:start w:val="1"/>
      <w:numFmt w:val="decimal"/>
      <w:lvlText w:val="%4."/>
      <w:lvlJc w:val="left"/>
      <w:pPr>
        <w:ind w:left="1960" w:hanging="420"/>
      </w:pPr>
    </w:lvl>
    <w:lvl w:ilvl="4">
      <w:start w:val="1"/>
      <w:numFmt w:val="lowerLetter"/>
      <w:lvlText w:val="%5)"/>
      <w:lvlJc w:val="left"/>
      <w:pPr>
        <w:ind w:left="2380" w:hanging="420"/>
      </w:pPr>
    </w:lvl>
    <w:lvl w:ilvl="5">
      <w:start w:val="1"/>
      <w:numFmt w:val="lowerRoman"/>
      <w:lvlText w:val="%6."/>
      <w:lvlJc w:val="right"/>
      <w:pPr>
        <w:ind w:left="2800" w:hanging="420"/>
      </w:pPr>
    </w:lvl>
    <w:lvl w:ilvl="6">
      <w:start w:val="1"/>
      <w:numFmt w:val="decimal"/>
      <w:lvlText w:val="%7."/>
      <w:lvlJc w:val="left"/>
      <w:pPr>
        <w:ind w:left="3220" w:hanging="420"/>
      </w:pPr>
    </w:lvl>
    <w:lvl w:ilvl="7">
      <w:start w:val="1"/>
      <w:numFmt w:val="lowerLetter"/>
      <w:lvlText w:val="%8)"/>
      <w:lvlJc w:val="left"/>
      <w:pPr>
        <w:ind w:left="3640" w:hanging="420"/>
      </w:pPr>
    </w:lvl>
    <w:lvl w:ilvl="8">
      <w:start w:val="1"/>
      <w:numFmt w:val="lowerRoman"/>
      <w:lvlText w:val="%9."/>
      <w:lvlJc w:val="right"/>
      <w:pPr>
        <w:ind w:left="4060" w:hanging="420"/>
      </w:pPr>
    </w:lvl>
  </w:abstractNum>
  <w:abstractNum w:abstractNumId="3">
    <w:nsid w:val="3AC7F706"/>
    <w:multiLevelType w:val="multilevel"/>
    <w:tmpl w:val="0CC9238E"/>
    <w:lvl w:ilvl="0">
      <w:start w:val="1"/>
      <w:numFmt w:val="decimal"/>
      <w:lvlText w:val="%1)"/>
      <w:lvlJc w:val="left"/>
      <w:pPr>
        <w:ind w:left="840" w:hanging="36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7E9D2DB9"/>
    <w:multiLevelType w:val="multilevel"/>
    <w:tmpl w:val="7E9D2DB9"/>
    <w:lvl w:ilvl="0">
      <w:start w:val="1"/>
      <w:numFmt w:val="decimalEnclosedCircle"/>
      <w:lvlText w:val="%1"/>
      <w:lvlJc w:val="left"/>
      <w:pPr>
        <w:ind w:left="840" w:hanging="36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420"/>
  <w:displayHorizontalDrawingGridEvery w:val="0"/>
  <w:displayVerticalDrawingGridEvery w:val="2"/>
  <w:characterSpacingControl w:val="doNotCompress"/>
  <w:compat>
    <w:balanceSingleByteDoubleByteWidth/>
    <w:doNotLeaveBackslashAlone/>
    <w:ulTrailSpace/>
    <w:doNotExpandShiftReturn/>
    <w:adjustLineHeightInTabl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3A3A54A4"/>
    <w:rsid w:val="3A5F274A"/>
    <w:rsid w:val="3B2E0A9A"/>
    <w:rsid w:val="4FAF73E7"/>
    <w:rsid w:val="52285DEB"/>
    <w:rsid w:val="53F025CD"/>
    <w:rsid w:val="55605ECC"/>
    <w:rsid w:val="68810FC3"/>
    <w:rsid w:val="6F54013B"/>
  </w:rsids>
  <w:docVars>
    <w:docVar w:name="commondata" w:val="eyJoZGlkIjoiN2Y4ZDIzNGFiMmE2ZDQyYTU5ZmM2YjViMGYyMzczMjIifQ=="/>
    <w:docVar w:name="KSO_WPS_MARK_KEY" w:val="199bb5a4-c8b0-4b36-a696-06f3ba37ae8d"/>
  </w:docVar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FirstIndent2"/>
    <w:link w:val="unnamed11"/>
    <w:rPr>
      <w:rFonts w:ascii="Times New Roman" w:eastAsia="宋体" w:hAnsi="Times New Roman" w:cs="Times New Roman"/>
      <w:kern w:val="2"/>
      <w:sz w:val="21"/>
      <w:szCs w:val="24"/>
      <w:lang w:val="en-US" w:eastAsia="zh-CN" w:bidi="ar-SA"/>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BodyTextFirstIndent2">
    <w:name w:val="Body Text First Indent 2"/>
    <w:basedOn w:val="BodyTextIndent"/>
    <w:pPr>
      <w:ind w:firstLine="420" w:firstLineChars="200"/>
    </w:pPr>
  </w:style>
  <w:style w:type="paragraph" w:styleId="BodyTextIndent">
    <w:name w:val="Body Text Indent"/>
    <w:basedOn w:val="Normal"/>
    <w:pPr>
      <w:spacing w:after="120" w:afterLines="0" w:afterAutospacing="0"/>
      <w:ind w:left="420" w:leftChars="200"/>
    </w:pPr>
  </w:style>
  <w:style w:type="paragraph" w:styleId="Title">
    <w:name w:val="Title"/>
    <w:basedOn w:val="Normal"/>
    <w:qFormat/>
    <w:pPr>
      <w:widowControl/>
      <w:spacing w:before="100" w:beforeAutospacing="1" w:after="100" w:afterAutospacing="1"/>
      <w:jc w:val="left"/>
    </w:pPr>
    <w:rPr>
      <w:rFonts w:ascii="宋体" w:hAnsi="宋体"/>
      <w:color w:val="000000"/>
      <w:kern w:val="0"/>
      <w:sz w:val="24"/>
    </w:rPr>
  </w:style>
  <w:style w:type="paragraph" w:customStyle="1" w:styleId="11">
    <w:name w:val="标题 11"/>
    <w:basedOn w:val="Normal"/>
    <w:pPr>
      <w:keepNext/>
      <w:jc w:val="center"/>
      <w:outlineLvl w:val="0"/>
    </w:pPr>
    <w:rPr>
      <w:rFonts w:ascii="宋体" w:hAnsi="宋体"/>
      <w:sz w:val="28"/>
    </w:rPr>
  </w:style>
  <w:style w:type="paragraph" w:customStyle="1" w:styleId="21">
    <w:name w:val="标题 21"/>
    <w:basedOn w:val="Normal"/>
    <w:pPr>
      <w:widowControl/>
      <w:jc w:val="left"/>
      <w:outlineLvl w:val="1"/>
    </w:pPr>
    <w:rPr>
      <w:rFonts w:ascii="Arial Unicode MS" w:eastAsia="Arial Unicode MS" w:hAnsi="Arial Unicode MS"/>
      <w:b/>
      <w:bCs/>
      <w:kern w:val="0"/>
      <w:sz w:val="36"/>
      <w:szCs w:val="36"/>
    </w:rPr>
  </w:style>
  <w:style w:type="paragraph" w:customStyle="1" w:styleId="31">
    <w:name w:val="标题 31"/>
    <w:basedOn w:val="Normal"/>
    <w:pPr>
      <w:keepNext/>
      <w:keepLines/>
      <w:spacing w:before="260" w:after="260" w:line="413" w:lineRule="auto"/>
      <w:outlineLvl w:val="2"/>
    </w:pPr>
    <w:rPr>
      <w:b/>
      <w:bCs/>
      <w:sz w:val="32"/>
      <w:szCs w:val="32"/>
    </w:rPr>
  </w:style>
  <w:style w:type="paragraph" w:customStyle="1" w:styleId="41">
    <w:name w:val="标题 41"/>
    <w:basedOn w:val="Normal"/>
    <w:pPr>
      <w:keepNext/>
      <w:keepLines/>
      <w:spacing w:before="280" w:after="290" w:line="372" w:lineRule="auto"/>
      <w:outlineLvl w:val="3"/>
    </w:pPr>
    <w:rPr>
      <w:rFonts w:ascii="Arial" w:eastAsia="黑体" w:hAnsi="Arial"/>
      <w:b/>
      <w:bCs/>
      <w:sz w:val="28"/>
      <w:szCs w:val="28"/>
    </w:rPr>
  </w:style>
  <w:style w:type="paragraph" w:customStyle="1" w:styleId="51">
    <w:name w:val="标题 51"/>
    <w:basedOn w:val="Normal"/>
    <w:pPr>
      <w:widowControl/>
      <w:spacing w:before="100" w:beforeAutospacing="1" w:after="100" w:afterAutospacing="1"/>
      <w:jc w:val="left"/>
      <w:outlineLvl w:val="4"/>
    </w:pPr>
    <w:rPr>
      <w:rFonts w:ascii="宋体" w:hAnsi="宋体"/>
      <w:b/>
      <w:bCs/>
      <w:kern w:val="0"/>
      <w:sz w:val="20"/>
      <w:szCs w:val="20"/>
    </w:rPr>
  </w:style>
  <w:style w:type="character" w:customStyle="1" w:styleId="1">
    <w:name w:val="默认段落字体1"/>
    <w:link w:val="Normal"/>
    <w:semiHidden/>
    <w:qFormat/>
  </w:style>
  <w:style w:type="table" w:customStyle="1" w:styleId="10">
    <w:name w:val="普通表格1"/>
    <w:semiHidden/>
    <w:tblPr/>
  </w:style>
  <w:style w:type="character" w:customStyle="1" w:styleId="unnamed21">
    <w:name w:val="unnamed21"/>
    <w:link w:val="Normal"/>
    <w:rPr>
      <w:color w:val="333366"/>
      <w:sz w:val="28"/>
      <w:szCs w:val="28"/>
    </w:rPr>
  </w:style>
  <w:style w:type="character" w:customStyle="1" w:styleId="nongchanhead21">
    <w:name w:val="nongchanhead21"/>
    <w:link w:val="Normal"/>
    <w:qFormat/>
    <w:rPr>
      <w:b/>
      <w:bCs/>
      <w:color w:val="996600"/>
      <w:sz w:val="36"/>
      <w:szCs w:val="36"/>
    </w:rPr>
  </w:style>
  <w:style w:type="character" w:customStyle="1" w:styleId="maintdbg760">
    <w:name w:val="main_tdbg_760"/>
    <w:basedOn w:val="1"/>
    <w:link w:val="Normal"/>
    <w:qFormat/>
  </w:style>
  <w:style w:type="character" w:customStyle="1" w:styleId="font4">
    <w:name w:val="font4"/>
    <w:basedOn w:val="1"/>
    <w:link w:val="Normal"/>
    <w:qFormat/>
  </w:style>
  <w:style w:type="character" w:customStyle="1" w:styleId="con01">
    <w:name w:val="con01"/>
    <w:basedOn w:val="1"/>
    <w:link w:val="Normal"/>
    <w:qFormat/>
  </w:style>
  <w:style w:type="character" w:customStyle="1" w:styleId="p9l1">
    <w:name w:val="p9l1"/>
    <w:basedOn w:val="1"/>
    <w:link w:val="Normal"/>
    <w:qFormat/>
  </w:style>
  <w:style w:type="character" w:customStyle="1" w:styleId="pt92">
    <w:name w:val="pt92"/>
    <w:link w:val="Normal"/>
    <w:rPr>
      <w:color w:val="003333"/>
      <w:sz w:val="22"/>
      <w:szCs w:val="22"/>
    </w:rPr>
  </w:style>
  <w:style w:type="character" w:customStyle="1" w:styleId="11pt">
    <w:name w:val="11pt"/>
    <w:basedOn w:val="1"/>
    <w:link w:val="Normal"/>
    <w:qFormat/>
  </w:style>
  <w:style w:type="character" w:customStyle="1" w:styleId="12">
    <w:name w:val="强调1"/>
    <w:link w:val="Normal"/>
    <w:rPr>
      <w:color w:val="CC0033"/>
      <w:u w:val="single"/>
    </w:rPr>
  </w:style>
  <w:style w:type="character" w:customStyle="1" w:styleId="midtext2">
    <w:name w:val="midtext2"/>
    <w:link w:val="Normal"/>
    <w:rPr>
      <w:sz w:val="30"/>
      <w:szCs w:val="30"/>
    </w:rPr>
  </w:style>
  <w:style w:type="character" w:customStyle="1" w:styleId="s1">
    <w:name w:val="s1"/>
    <w:link w:val="Normal"/>
    <w:qFormat/>
    <w:rPr>
      <w:sz w:val="24"/>
      <w:szCs w:val="24"/>
    </w:rPr>
  </w:style>
  <w:style w:type="character" w:customStyle="1" w:styleId="articletitletext1">
    <w:name w:val="articletitletext1"/>
    <w:link w:val="Normal"/>
    <w:qFormat/>
    <w:rPr>
      <w:b/>
      <w:bCs/>
    </w:rPr>
  </w:style>
  <w:style w:type="character" w:customStyle="1" w:styleId="13">
    <w:name w:val="要点1"/>
    <w:link w:val="Normal"/>
    <w:rPr>
      <w:b/>
      <w:bCs/>
    </w:rPr>
  </w:style>
  <w:style w:type="character" w:customStyle="1" w:styleId="14">
    <w:name w:val="已访问的超链接1"/>
    <w:link w:val="Normal"/>
    <w:qFormat/>
    <w:rPr>
      <w:color w:val="800080"/>
      <w:u w:val="single"/>
    </w:rPr>
  </w:style>
  <w:style w:type="character" w:customStyle="1" w:styleId="keywordcommon2">
    <w:name w:val="keywordcommon2"/>
    <w:basedOn w:val="1"/>
    <w:link w:val="Normal"/>
  </w:style>
  <w:style w:type="character" w:customStyle="1" w:styleId="font14line-height">
    <w:name w:val="font14 line-height"/>
    <w:basedOn w:val="1"/>
    <w:link w:val="Normal"/>
  </w:style>
  <w:style w:type="character" w:customStyle="1" w:styleId="311Char">
    <w:name w:val="样式 标题 3 + 11 磅 Char"/>
    <w:link w:val="Normal"/>
    <w:qFormat/>
    <w:rPr>
      <w:rFonts w:eastAsia="宋体"/>
      <w:b/>
      <w:kern w:val="2"/>
      <w:sz w:val="24"/>
      <w:lang w:val="en-US" w:eastAsia="zh-CN" w:bidi="ar-SA"/>
    </w:rPr>
  </w:style>
  <w:style w:type="character" w:customStyle="1" w:styleId="subtitlesub1">
    <w:name w:val="subtitlesub1"/>
    <w:link w:val="Normal"/>
    <w:rPr>
      <w:sz w:val="20"/>
      <w:szCs w:val="20"/>
    </w:rPr>
  </w:style>
  <w:style w:type="character" w:customStyle="1" w:styleId="a01">
    <w:name w:val="a01"/>
    <w:basedOn w:val="1"/>
    <w:link w:val="Normal"/>
    <w:qFormat/>
  </w:style>
  <w:style w:type="character" w:customStyle="1" w:styleId="text">
    <w:name w:val="text"/>
    <w:basedOn w:val="1"/>
    <w:link w:val="Normal"/>
    <w:qFormat/>
  </w:style>
  <w:style w:type="character" w:customStyle="1" w:styleId="nan1">
    <w:name w:val="nan1"/>
    <w:link w:val="Normal"/>
    <w:qFormat/>
    <w:rPr>
      <w:b/>
      <w:bCs/>
      <w:color w:val="0C0049"/>
      <w:sz w:val="28"/>
      <w:szCs w:val="28"/>
      <w:u w:val="none"/>
    </w:rPr>
  </w:style>
  <w:style w:type="character" w:customStyle="1" w:styleId="style111">
    <w:name w:val="style111"/>
    <w:link w:val="Normal"/>
    <w:rPr>
      <w:b/>
      <w:bCs/>
      <w:color w:val="666666"/>
      <w:sz w:val="40"/>
      <w:szCs w:val="40"/>
    </w:rPr>
  </w:style>
  <w:style w:type="character" w:customStyle="1" w:styleId="a31">
    <w:name w:val="a31"/>
    <w:link w:val="Normal"/>
    <w:rPr>
      <w:rFonts w:ascii="宋体" w:eastAsia="宋体" w:hAnsi="宋体" w:hint="eastAsia"/>
      <w:color w:val="009966"/>
      <w:sz w:val="18"/>
      <w:szCs w:val="18"/>
    </w:rPr>
  </w:style>
  <w:style w:type="character" w:customStyle="1" w:styleId="style41">
    <w:name w:val="style41"/>
    <w:link w:val="Normal"/>
    <w:qFormat/>
    <w:rPr>
      <w:color w:val="FF0000"/>
    </w:rPr>
  </w:style>
  <w:style w:type="character" w:customStyle="1" w:styleId="unnamed2">
    <w:name w:val="unnamed2"/>
    <w:basedOn w:val="1"/>
    <w:link w:val="Normal"/>
  </w:style>
  <w:style w:type="character" w:customStyle="1" w:styleId="defaultfont1">
    <w:name w:val="defaultfont1"/>
    <w:basedOn w:val="1"/>
    <w:link w:val="Normal"/>
  </w:style>
  <w:style w:type="character" w:customStyle="1" w:styleId="lh131">
    <w:name w:val="lh131"/>
    <w:basedOn w:val="1"/>
    <w:link w:val="Normal"/>
    <w:qFormat/>
  </w:style>
  <w:style w:type="character" w:customStyle="1" w:styleId="bold1">
    <w:name w:val="bold1"/>
    <w:link w:val="Normal"/>
    <w:rPr>
      <w:b/>
      <w:bCs/>
    </w:rPr>
  </w:style>
  <w:style w:type="character" w:customStyle="1" w:styleId="15">
    <w:name w:val="超链接1"/>
    <w:link w:val="Normal"/>
    <w:rPr>
      <w:color w:val="000000"/>
      <w:u w:val="none"/>
    </w:rPr>
  </w:style>
  <w:style w:type="character" w:customStyle="1" w:styleId="16">
    <w:name w:val="页码1"/>
    <w:basedOn w:val="1"/>
    <w:link w:val="Normal"/>
  </w:style>
  <w:style w:type="character" w:customStyle="1" w:styleId="a11">
    <w:name w:val="a11"/>
    <w:link w:val="Normal"/>
    <w:qFormat/>
    <w:rPr>
      <w:rFonts w:ascii="宋体" w:eastAsia="宋体" w:hAnsi="宋体" w:hint="eastAsia"/>
      <w:color w:val="000000"/>
      <w:sz w:val="18"/>
      <w:szCs w:val="18"/>
    </w:rPr>
  </w:style>
  <w:style w:type="character" w:customStyle="1" w:styleId="style131">
    <w:name w:val="style131"/>
    <w:link w:val="Normal"/>
    <w:rPr>
      <w:rFonts w:ascii="Verdana" w:hAnsi="Verdana"/>
    </w:rPr>
  </w:style>
  <w:style w:type="character" w:customStyle="1" w:styleId="style101">
    <w:name w:val="style101"/>
    <w:link w:val="Normal"/>
    <w:qFormat/>
    <w:rPr>
      <w:rFonts w:ascii="方正大黑简体" w:eastAsia="方正大黑简体" w:hint="eastAsia"/>
      <w:color w:val="006600"/>
      <w:sz w:val="28"/>
      <w:szCs w:val="28"/>
    </w:rPr>
  </w:style>
  <w:style w:type="character" w:customStyle="1" w:styleId="chf-jianju401">
    <w:name w:val="chf-jianju_4_01"/>
    <w:link w:val="Normal"/>
    <w:qFormat/>
    <w:rPr>
      <w:color w:val="000000"/>
    </w:rPr>
  </w:style>
  <w:style w:type="character" w:customStyle="1" w:styleId="style31">
    <w:name w:val="style31"/>
    <w:link w:val="Normal"/>
    <w:rPr>
      <w:rFonts w:ascii="汉仪粗黑简" w:eastAsia="汉仪粗黑简" w:hint="eastAsia"/>
      <w:b/>
      <w:bCs/>
      <w:color w:val="FF0000"/>
      <w:sz w:val="32"/>
      <w:szCs w:val="32"/>
    </w:rPr>
  </w:style>
  <w:style w:type="character" w:customStyle="1" w:styleId="style11">
    <w:name w:val="style11"/>
    <w:link w:val="Normal"/>
    <w:qFormat/>
    <w:rPr>
      <w:b/>
      <w:bCs/>
      <w:color w:val="FF6600"/>
    </w:rPr>
  </w:style>
  <w:style w:type="character" w:customStyle="1" w:styleId="page">
    <w:name w:val="page"/>
    <w:basedOn w:val="1"/>
    <w:link w:val="Normal"/>
  </w:style>
  <w:style w:type="character" w:customStyle="1" w:styleId="style81">
    <w:name w:val="style81"/>
    <w:link w:val="Normal"/>
    <w:rPr>
      <w:rFonts w:ascii="华文行楷" w:eastAsia="华文行楷" w:hint="eastAsia"/>
    </w:rPr>
  </w:style>
  <w:style w:type="character" w:customStyle="1" w:styleId="ct-left1">
    <w:name w:val="ct-left1"/>
    <w:link w:val="Normal"/>
    <w:qFormat/>
    <w:rPr>
      <w:rFonts w:ascii="ˎ̥" w:hAnsi="ˎ̥"/>
      <w:color w:val="000000"/>
      <w:spacing w:val="0"/>
      <w:sz w:val="24"/>
      <w:szCs w:val="24"/>
    </w:rPr>
  </w:style>
  <w:style w:type="character" w:customStyle="1" w:styleId="hei141">
    <w:name w:val="hei141"/>
    <w:link w:val="Normal"/>
    <w:rPr>
      <w:rFonts w:ascii="宋体" w:eastAsia="宋体" w:hAnsi="宋体" w:hint="eastAsia"/>
      <w:color w:val="000000"/>
      <w:sz w:val="21"/>
      <w:szCs w:val="21"/>
      <w:u w:val="none"/>
    </w:rPr>
  </w:style>
  <w:style w:type="character" w:customStyle="1" w:styleId="font21">
    <w:name w:val="font21"/>
    <w:basedOn w:val="1"/>
    <w:link w:val="Normal"/>
  </w:style>
  <w:style w:type="character" w:customStyle="1" w:styleId="style71">
    <w:name w:val="style71"/>
    <w:link w:val="Normal"/>
    <w:qFormat/>
    <w:rPr>
      <w:color w:val="006600"/>
    </w:rPr>
  </w:style>
  <w:style w:type="character" w:customStyle="1" w:styleId="11p1">
    <w:name w:val="11p1"/>
    <w:link w:val="Normal"/>
    <w:rPr>
      <w:sz w:val="21"/>
      <w:szCs w:val="21"/>
    </w:rPr>
  </w:style>
  <w:style w:type="character" w:customStyle="1" w:styleId="11pt1">
    <w:name w:val="11pt1"/>
    <w:basedOn w:val="1"/>
    <w:link w:val="Normal"/>
    <w:qFormat/>
  </w:style>
  <w:style w:type="character" w:customStyle="1" w:styleId="wz141">
    <w:name w:val="wz141"/>
    <w:link w:val="Normal"/>
    <w:qFormat/>
    <w:rPr>
      <w:rFonts w:ascii="Arial" w:hAnsi="Arial"/>
      <w:color w:val="000000"/>
      <w:sz w:val="28"/>
      <w:szCs w:val="28"/>
    </w:rPr>
  </w:style>
  <w:style w:type="character" w:customStyle="1" w:styleId="px14">
    <w:name w:val="px14"/>
    <w:basedOn w:val="1"/>
    <w:link w:val="Normal"/>
  </w:style>
  <w:style w:type="character" w:customStyle="1" w:styleId="javascript">
    <w:name w:val="javascript"/>
    <w:basedOn w:val="1"/>
    <w:link w:val="Normal"/>
  </w:style>
  <w:style w:type="character" w:customStyle="1" w:styleId="yqlink">
    <w:name w:val="yqlink"/>
    <w:basedOn w:val="1"/>
    <w:link w:val="Normal"/>
  </w:style>
  <w:style w:type="character" w:customStyle="1" w:styleId="p121201">
    <w:name w:val="p12_1201"/>
    <w:link w:val="Normal"/>
    <w:rPr>
      <w:color w:val="3D3D3D"/>
      <w:sz w:val="26"/>
      <w:szCs w:val="26"/>
    </w:rPr>
  </w:style>
  <w:style w:type="character" w:customStyle="1" w:styleId="headline-content2">
    <w:name w:val="headline-content2"/>
    <w:basedOn w:val="1"/>
    <w:link w:val="Normal"/>
  </w:style>
  <w:style w:type="character" w:customStyle="1" w:styleId="ttag">
    <w:name w:val="t_tag"/>
    <w:basedOn w:val="1"/>
    <w:link w:val="Normal"/>
  </w:style>
  <w:style w:type="character" w:customStyle="1" w:styleId="p15">
    <w:name w:val="p15"/>
    <w:basedOn w:val="1"/>
    <w:link w:val="Normal"/>
  </w:style>
  <w:style w:type="character" w:customStyle="1" w:styleId="text1">
    <w:name w:val="text1"/>
    <w:link w:val="Normal"/>
    <w:qFormat/>
    <w:rPr>
      <w:color w:val="000000"/>
      <w:sz w:val="24"/>
      <w:szCs w:val="24"/>
    </w:rPr>
  </w:style>
  <w:style w:type="character" w:customStyle="1" w:styleId="huizi1">
    <w:name w:val="huizi1"/>
    <w:link w:val="Normal"/>
    <w:rPr>
      <w:color w:val="666666"/>
      <w:sz w:val="24"/>
      <w:szCs w:val="24"/>
      <w:u w:val="none"/>
    </w:rPr>
  </w:style>
  <w:style w:type="character" w:customStyle="1" w:styleId="t3">
    <w:name w:val="t3"/>
    <w:basedOn w:val="1"/>
    <w:link w:val="Normal"/>
  </w:style>
  <w:style w:type="character" w:customStyle="1" w:styleId="style22">
    <w:name w:val="style22"/>
    <w:link w:val="Normal"/>
    <w:rPr>
      <w:color w:val="003399"/>
    </w:rPr>
  </w:style>
  <w:style w:type="character" w:customStyle="1" w:styleId="tblue01">
    <w:name w:val="t_blue_01"/>
    <w:basedOn w:val="1"/>
    <w:link w:val="Normal"/>
  </w:style>
  <w:style w:type="character" w:customStyle="1" w:styleId="newsconts1">
    <w:name w:val="newsconts1"/>
    <w:link w:val="Normal"/>
    <w:qFormat/>
    <w:rPr>
      <w:rFonts w:ascii="ˎ̥" w:hAnsi="ˎ̥"/>
      <w:color w:val="333333"/>
      <w:spacing w:val="0"/>
      <w:sz w:val="24"/>
      <w:szCs w:val="24"/>
    </w:rPr>
  </w:style>
  <w:style w:type="character" w:customStyle="1" w:styleId="style61">
    <w:name w:val="style61"/>
    <w:link w:val="Normal"/>
    <w:rPr>
      <w:b/>
      <w:bCs/>
      <w:sz w:val="27"/>
      <w:szCs w:val="27"/>
    </w:rPr>
  </w:style>
  <w:style w:type="character" w:customStyle="1" w:styleId="ju141">
    <w:name w:val="ju141"/>
    <w:link w:val="Normal"/>
    <w:rPr>
      <w:b/>
      <w:bCs/>
      <w:color w:val="FC7301"/>
      <w:sz w:val="28"/>
      <w:szCs w:val="28"/>
      <w:u w:val="none"/>
    </w:rPr>
  </w:style>
  <w:style w:type="character" w:customStyle="1" w:styleId="lh171">
    <w:name w:val="lh171"/>
    <w:basedOn w:val="1"/>
    <w:link w:val="Normal"/>
  </w:style>
  <w:style w:type="character" w:customStyle="1" w:styleId="font3">
    <w:name w:val="font3"/>
    <w:basedOn w:val="1"/>
    <w:link w:val="Normal"/>
  </w:style>
  <w:style w:type="character" w:customStyle="1" w:styleId="unnamed11">
    <w:name w:val="unnamed11"/>
    <w:link w:val="Normal"/>
    <w:rPr>
      <w:rFonts w:ascii="Arial" w:hAnsi="Arial"/>
      <w:color w:val="04049F"/>
      <w:sz w:val="28"/>
      <w:szCs w:val="28"/>
    </w:rPr>
  </w:style>
  <w:style w:type="paragraph" w:customStyle="1" w:styleId="HTML1">
    <w:name w:val="HTML 预设格式1"/>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customStyle="1" w:styleId="none">
    <w:name w:val="none"/>
    <w:basedOn w:val="Normal"/>
    <w:pPr>
      <w:widowControl/>
      <w:spacing w:before="100" w:beforeAutospacing="1" w:after="100" w:afterAutospacing="1"/>
      <w:jc w:val="left"/>
    </w:pPr>
    <w:rPr>
      <w:rFonts w:ascii="Arial Unicode MS" w:hAnsi="Arial Unicode MS"/>
      <w:vanish/>
      <w:kern w:val="0"/>
      <w:sz w:val="24"/>
    </w:rPr>
  </w:style>
  <w:style w:type="paragraph" w:customStyle="1" w:styleId="z-">
    <w:name w:val="z-窗体底端"/>
    <w:basedOn w:val="Normal"/>
    <w:pPr>
      <w:widowControl/>
      <w:pBdr>
        <w:top w:val="single" w:sz="6" w:space="1" w:color="000000"/>
      </w:pBdr>
      <w:jc w:val="center"/>
    </w:pPr>
    <w:rPr>
      <w:rFonts w:ascii="Arial" w:hAnsi="Arial"/>
      <w:vanish/>
      <w:kern w:val="0"/>
      <w:sz w:val="16"/>
      <w:szCs w:val="16"/>
    </w:rPr>
  </w:style>
  <w:style w:type="paragraph" w:customStyle="1" w:styleId="style2">
    <w:name w:val="style2"/>
    <w:basedOn w:val="Normal"/>
    <w:qFormat/>
    <w:pPr>
      <w:widowControl/>
      <w:spacing w:before="100" w:beforeAutospacing="1" w:after="100" w:afterAutospacing="1"/>
      <w:jc w:val="left"/>
    </w:pPr>
    <w:rPr>
      <w:rFonts w:ascii="宋体" w:hAnsi="宋体"/>
      <w:b/>
      <w:bCs/>
      <w:kern w:val="0"/>
      <w:sz w:val="28"/>
      <w:szCs w:val="28"/>
    </w:rPr>
  </w:style>
  <w:style w:type="paragraph" w:customStyle="1" w:styleId="17">
    <w:name w:val="页脚1"/>
    <w:basedOn w:val="Normal"/>
    <w:link w:val="Char"/>
    <w:pPr>
      <w:tabs>
        <w:tab w:val="center" w:pos="4153"/>
        <w:tab w:val="right" w:pos="8306"/>
      </w:tabs>
      <w:snapToGrid w:val="0"/>
      <w:jc w:val="left"/>
    </w:pPr>
    <w:rPr>
      <w:sz w:val="18"/>
      <w:szCs w:val="18"/>
      <w:lang w:val="en-US" w:eastAsia="en-US"/>
    </w:rPr>
  </w:style>
  <w:style w:type="paragraph" w:customStyle="1" w:styleId="210">
    <w:name w:val="正文文本 21"/>
    <w:basedOn w:val="Normal"/>
    <w:qFormat/>
    <w:rPr>
      <w:sz w:val="24"/>
    </w:rPr>
  </w:style>
  <w:style w:type="paragraph" w:customStyle="1" w:styleId="a">
    <w:name w:val="a"/>
    <w:basedOn w:val="Normal"/>
    <w:qFormat/>
    <w:pPr>
      <w:widowControl/>
      <w:spacing w:before="100" w:beforeAutospacing="1" w:after="100" w:afterAutospacing="1"/>
      <w:jc w:val="left"/>
    </w:pPr>
    <w:rPr>
      <w:rFonts w:ascii="Arial Unicode MS" w:hAnsi="Arial Unicode MS"/>
      <w:kern w:val="0"/>
      <w:sz w:val="24"/>
    </w:rPr>
  </w:style>
  <w:style w:type="paragraph" w:customStyle="1" w:styleId="211">
    <w:name w:val="正文文本缩进 21"/>
    <w:basedOn w:val="Normal"/>
    <w:qFormat/>
    <w:pPr>
      <w:spacing w:after="120" w:line="480" w:lineRule="auto"/>
      <w:ind w:left="420" w:leftChars="200"/>
    </w:pPr>
  </w:style>
  <w:style w:type="paragraph" w:customStyle="1" w:styleId="18">
    <w:name w:val="正文文本缩进1"/>
    <w:basedOn w:val="Normal"/>
    <w:qFormat/>
    <w:pPr>
      <w:ind w:firstLine="600" w:firstLineChars="200"/>
    </w:pPr>
    <w:rPr>
      <w:sz w:val="30"/>
    </w:rPr>
  </w:style>
  <w:style w:type="paragraph" w:customStyle="1" w:styleId="310">
    <w:name w:val="正文文本缩进 31"/>
    <w:basedOn w:val="Normal"/>
    <w:qFormat/>
    <w:pPr>
      <w:ind w:firstLine="480" w:firstLineChars="200"/>
    </w:pPr>
    <w:rPr>
      <w:sz w:val="24"/>
    </w:rPr>
  </w:style>
  <w:style w:type="paragraph" w:customStyle="1" w:styleId="newsconts-r">
    <w:name w:val="newsconts-r"/>
    <w:basedOn w:val="Normal"/>
    <w:qFormat/>
    <w:pPr>
      <w:widowControl/>
      <w:spacing w:before="100" w:beforeAutospacing="1" w:after="100" w:afterAutospacing="1"/>
      <w:ind w:firstLine="480"/>
      <w:jc w:val="left"/>
    </w:pPr>
    <w:rPr>
      <w:rFonts w:ascii="ˎ̥" w:hAnsi="ˎ̥"/>
      <w:color w:val="F77838"/>
      <w:kern w:val="0"/>
      <w:sz w:val="24"/>
    </w:rPr>
  </w:style>
  <w:style w:type="paragraph" w:customStyle="1" w:styleId="table1">
    <w:name w:val="table1"/>
    <w:basedOn w:val="Normal"/>
    <w:qFormat/>
    <w:pPr>
      <w:widowControl/>
      <w:spacing w:after="100" w:afterAutospacing="1"/>
      <w:jc w:val="left"/>
    </w:pPr>
    <w:rPr>
      <w:rFonts w:ascii="宋体" w:hAnsi="宋体"/>
      <w:kern w:val="0"/>
      <w:sz w:val="18"/>
      <w:szCs w:val="18"/>
    </w:rPr>
  </w:style>
  <w:style w:type="paragraph" w:customStyle="1" w:styleId="tmpright">
    <w:name w:val="tmpright"/>
    <w:basedOn w:val="Normal"/>
    <w:qFormat/>
    <w:pPr>
      <w:widowControl/>
      <w:spacing w:before="100" w:beforeAutospacing="1" w:after="100" w:afterAutospacing="1"/>
      <w:jc w:val="left"/>
    </w:pPr>
    <w:rPr>
      <w:rFonts w:ascii="Arial Unicode MS" w:hAnsi="Arial Unicode MS"/>
      <w:vanish/>
      <w:kern w:val="0"/>
      <w:sz w:val="24"/>
    </w:rPr>
  </w:style>
  <w:style w:type="paragraph" w:customStyle="1" w:styleId="19">
    <w:name w:val="纯文本1"/>
    <w:basedOn w:val="Normal"/>
    <w:qFormat/>
    <w:pPr>
      <w:widowControl/>
      <w:spacing w:before="100" w:beforeAutospacing="1" w:after="100" w:afterAutospacing="1"/>
      <w:jc w:val="left"/>
    </w:pPr>
    <w:rPr>
      <w:rFonts w:ascii="宋体" w:hAnsi="宋体"/>
      <w:color w:val="666666"/>
      <w:kern w:val="0"/>
      <w:sz w:val="24"/>
    </w:rPr>
  </w:style>
  <w:style w:type="paragraph" w:customStyle="1" w:styleId="311">
    <w:name w:val="正文文本 31"/>
    <w:basedOn w:val="Normal"/>
    <w:qFormat/>
    <w:pPr>
      <w:tabs>
        <w:tab w:val="left" w:pos="0"/>
      </w:tabs>
      <w:ind w:right="25" w:rightChars="12"/>
      <w:jc w:val="left"/>
    </w:pPr>
    <w:rPr>
      <w:rFonts w:ascii="宋体" w:hAnsi="宋体"/>
      <w:color w:val="000000"/>
      <w:sz w:val="28"/>
      <w:szCs w:val="28"/>
    </w:rPr>
  </w:style>
  <w:style w:type="paragraph" w:customStyle="1" w:styleId="draft">
    <w:name w:val="draft"/>
    <w:basedOn w:val="Normal"/>
    <w:qFormat/>
    <w:pPr>
      <w:widowControl/>
      <w:spacing w:before="100" w:beforeAutospacing="1" w:after="100" w:afterAutospacing="1"/>
      <w:jc w:val="left"/>
    </w:pPr>
    <w:rPr>
      <w:rFonts w:ascii="Arial Unicode MS" w:hAnsi="Arial Unicode MS"/>
      <w:vanish/>
      <w:kern w:val="0"/>
      <w:sz w:val="24"/>
    </w:rPr>
  </w:style>
  <w:style w:type="paragraph" w:customStyle="1" w:styleId="110">
    <w:name w:val="页眉1"/>
    <w:basedOn w:val="Normal"/>
    <w:link w:val="Char1"/>
    <w:qFormat/>
    <w:pPr>
      <w:pBdr>
        <w:bottom w:val="single" w:sz="6" w:space="1" w:color="000000"/>
      </w:pBdr>
      <w:tabs>
        <w:tab w:val="center" w:pos="4153"/>
        <w:tab w:val="right" w:pos="8306"/>
      </w:tabs>
      <w:snapToGrid w:val="0"/>
      <w:jc w:val="center"/>
    </w:pPr>
    <w:rPr>
      <w:sz w:val="18"/>
      <w:szCs w:val="18"/>
      <w:lang w:val="en-US" w:eastAsia="en-US"/>
    </w:rPr>
  </w:style>
  <w:style w:type="paragraph" w:customStyle="1" w:styleId="111">
    <w:name w:val="日期1"/>
    <w:basedOn w:val="Normal"/>
    <w:qFormat/>
    <w:pPr>
      <w:ind w:left="100" w:leftChars="2500"/>
    </w:pPr>
  </w:style>
  <w:style w:type="paragraph" w:customStyle="1" w:styleId="112">
    <w:name w:val="正文文本1"/>
    <w:basedOn w:val="Normal"/>
    <w:pPr>
      <w:spacing w:after="120"/>
    </w:pPr>
  </w:style>
  <w:style w:type="paragraph" w:customStyle="1" w:styleId="nongchanhead2">
    <w:name w:val="nongchanhead2"/>
    <w:basedOn w:val="Normal"/>
    <w:qFormat/>
    <w:pPr>
      <w:widowControl/>
      <w:spacing w:before="100" w:beforeAutospacing="1" w:after="100" w:afterAutospacing="1" w:line="600" w:lineRule="atLeast"/>
      <w:jc w:val="left"/>
    </w:pPr>
    <w:rPr>
      <w:rFonts w:ascii="宋体" w:hAnsi="宋体"/>
      <w:b/>
      <w:bCs/>
      <w:color w:val="996600"/>
      <w:kern w:val="0"/>
      <w:sz w:val="36"/>
      <w:szCs w:val="36"/>
    </w:rPr>
  </w:style>
  <w:style w:type="paragraph" w:customStyle="1" w:styleId="ct-left">
    <w:name w:val="ct-left"/>
    <w:basedOn w:val="Normal"/>
    <w:qFormat/>
    <w:pPr>
      <w:widowControl/>
      <w:spacing w:before="100" w:beforeAutospacing="1" w:after="100" w:afterAutospacing="1"/>
      <w:jc w:val="left"/>
    </w:pPr>
    <w:rPr>
      <w:rFonts w:ascii="ˎ̥" w:hAnsi="ˎ̥"/>
      <w:color w:val="000000"/>
      <w:kern w:val="0"/>
      <w:sz w:val="24"/>
    </w:rPr>
  </w:style>
  <w:style w:type="paragraph" w:customStyle="1" w:styleId="3110">
    <w:name w:val="样式 标题 3 + 11 磅"/>
    <w:basedOn w:val="31"/>
    <w:qFormat/>
    <w:pPr>
      <w:spacing w:line="413" w:lineRule="auto"/>
      <w:ind w:firstLine="200" w:firstLineChars="200"/>
    </w:pPr>
    <w:rPr>
      <w:rFonts w:eastAsia="宋体"/>
      <w:kern w:val="2"/>
      <w:sz w:val="24"/>
      <w:lang w:val="en-US" w:eastAsia="zh-CN" w:bidi="ar-SA"/>
    </w:rPr>
  </w:style>
  <w:style w:type="paragraph" w:customStyle="1" w:styleId="Char1CharCharChar">
    <w:name w:val=" Char1 Char Char Char"/>
    <w:basedOn w:val="Normal"/>
  </w:style>
  <w:style w:type="paragraph" w:customStyle="1" w:styleId="newsconts">
    <w:name w:val="newsconts"/>
    <w:basedOn w:val="Normal"/>
    <w:pPr>
      <w:widowControl/>
      <w:spacing w:before="100" w:beforeAutospacing="1" w:after="100" w:afterAutospacing="1"/>
      <w:ind w:firstLine="480"/>
      <w:jc w:val="left"/>
    </w:pPr>
    <w:rPr>
      <w:rFonts w:ascii="ˎ̥" w:hAnsi="ˎ̥"/>
      <w:color w:val="333333"/>
      <w:kern w:val="0"/>
      <w:sz w:val="24"/>
    </w:rPr>
  </w:style>
  <w:style w:type="paragraph" w:customStyle="1" w:styleId="defaultfont">
    <w:name w:val="defaultfont"/>
    <w:basedOn w:val="Normal"/>
    <w:pPr>
      <w:widowControl/>
      <w:spacing w:before="100" w:beforeAutospacing="1" w:after="100" w:afterAutospacing="1"/>
      <w:jc w:val="left"/>
    </w:pPr>
    <w:rPr>
      <w:rFonts w:ascii="宋体" w:hAnsi="宋体"/>
      <w:kern w:val="0"/>
      <w:sz w:val="24"/>
    </w:rPr>
  </w:style>
  <w:style w:type="paragraph" w:customStyle="1" w:styleId="113">
    <w:name w:val="普通(网站)1"/>
    <w:basedOn w:val="Normal"/>
    <w:qFormat/>
    <w:pPr>
      <w:widowControl/>
      <w:spacing w:before="100" w:beforeAutospacing="1" w:after="100" w:afterAutospacing="1"/>
      <w:jc w:val="left"/>
    </w:pPr>
    <w:rPr>
      <w:rFonts w:ascii="宋体" w:hAnsi="宋体"/>
      <w:color w:val="000000"/>
      <w:kern w:val="0"/>
      <w:sz w:val="24"/>
    </w:rPr>
  </w:style>
  <w:style w:type="paragraph" w:customStyle="1" w:styleId="114">
    <w:name w:val="标题1"/>
    <w:basedOn w:val="Normal"/>
    <w:qFormat/>
    <w:pPr>
      <w:widowControl/>
      <w:spacing w:before="100" w:beforeAutospacing="1" w:after="100" w:afterAutospacing="1"/>
      <w:jc w:val="left"/>
    </w:pPr>
    <w:rPr>
      <w:rFonts w:ascii="宋体" w:hAnsi="宋体"/>
      <w:color w:val="000000"/>
      <w:kern w:val="0"/>
      <w:sz w:val="24"/>
    </w:rPr>
  </w:style>
  <w:style w:type="paragraph" w:customStyle="1" w:styleId="z-0">
    <w:name w:val="z-窗体顶端"/>
    <w:basedOn w:val="Normal"/>
    <w:qFormat/>
    <w:pPr>
      <w:widowControl/>
      <w:pBdr>
        <w:bottom w:val="single" w:sz="6" w:space="1" w:color="000000"/>
      </w:pBdr>
      <w:jc w:val="center"/>
    </w:pPr>
    <w:rPr>
      <w:rFonts w:ascii="Arial" w:hAnsi="Arial"/>
      <w:vanish/>
      <w:kern w:val="0"/>
      <w:sz w:val="16"/>
      <w:szCs w:val="16"/>
    </w:rPr>
  </w:style>
  <w:style w:type="paragraph" w:customStyle="1" w:styleId="newscontl">
    <w:name w:val="newscontl"/>
    <w:basedOn w:val="Normal"/>
    <w:qFormat/>
    <w:pPr>
      <w:widowControl/>
      <w:spacing w:before="100" w:beforeAutospacing="1" w:after="100" w:afterAutospacing="1"/>
      <w:ind w:firstLine="480"/>
      <w:jc w:val="left"/>
    </w:pPr>
    <w:rPr>
      <w:rFonts w:ascii="ˎ̥" w:hAnsi="ˎ̥"/>
      <w:color w:val="333333"/>
      <w:kern w:val="0"/>
      <w:sz w:val="29"/>
      <w:szCs w:val="29"/>
    </w:rPr>
  </w:style>
  <w:style w:type="paragraph" w:customStyle="1" w:styleId="contenttable">
    <w:name w:val="contenttable"/>
    <w:basedOn w:val="Normal"/>
    <w:qFormat/>
    <w:pPr>
      <w:widowControl/>
      <w:spacing w:before="100" w:beforeAutospacing="1" w:after="100" w:afterAutospacing="1"/>
      <w:jc w:val="left"/>
    </w:pPr>
    <w:rPr>
      <w:rFonts w:ascii="Arial Unicode MS" w:hAnsi="Arial Unicode MS"/>
      <w:kern w:val="0"/>
      <w:sz w:val="24"/>
    </w:rPr>
  </w:style>
  <w:style w:type="paragraph" w:customStyle="1" w:styleId="a1">
    <w:name w:val="a1"/>
    <w:basedOn w:val="Normal"/>
    <w:pPr>
      <w:widowControl/>
      <w:spacing w:before="100" w:beforeAutospacing="1" w:after="100" w:afterAutospacing="1"/>
      <w:jc w:val="left"/>
    </w:pPr>
    <w:rPr>
      <w:rFonts w:ascii="宋体" w:hAnsi="宋体"/>
      <w:color w:val="000000"/>
      <w:kern w:val="0"/>
      <w:sz w:val="18"/>
      <w:szCs w:val="18"/>
    </w:rPr>
  </w:style>
  <w:style w:type="paragraph" w:customStyle="1" w:styleId="n21">
    <w:name w:val="n21"/>
    <w:basedOn w:val="Normal"/>
    <w:pPr>
      <w:widowControl/>
      <w:wordWrap w:val="0"/>
      <w:spacing w:before="100" w:beforeAutospacing="1" w:after="100" w:afterAutospacing="1" w:line="360" w:lineRule="auto"/>
      <w:jc w:val="left"/>
    </w:pPr>
    <w:rPr>
      <w:rFonts w:ascii="ˎ̥" w:hAnsi="ˎ̥"/>
      <w:kern w:val="0"/>
      <w:sz w:val="18"/>
      <w:szCs w:val="18"/>
    </w:rPr>
  </w:style>
  <w:style w:type="paragraph" w:customStyle="1" w:styleId="owner">
    <w:name w:val="owner"/>
    <w:basedOn w:val="Normal"/>
    <w:pPr>
      <w:widowControl/>
      <w:spacing w:before="100" w:beforeAutospacing="1" w:after="100" w:afterAutospacing="1"/>
      <w:jc w:val="left"/>
    </w:pPr>
    <w:rPr>
      <w:rFonts w:ascii="Arial Unicode MS" w:hAnsi="Arial Unicode MS"/>
      <w:vanish/>
      <w:kern w:val="0"/>
      <w:sz w:val="24"/>
    </w:rPr>
  </w:style>
  <w:style w:type="paragraph" w:customStyle="1" w:styleId="logins">
    <w:name w:val="logins"/>
    <w:basedOn w:val="Normal"/>
    <w:pPr>
      <w:widowControl/>
      <w:spacing w:before="100" w:beforeAutospacing="1" w:after="100" w:afterAutospacing="1"/>
      <w:jc w:val="left"/>
    </w:pPr>
    <w:rPr>
      <w:rFonts w:ascii="Arial Unicode MS" w:hAnsi="Arial Unicode MS"/>
      <w:vanish/>
      <w:kern w:val="0"/>
      <w:sz w:val="24"/>
    </w:rPr>
  </w:style>
  <w:style w:type="paragraph" w:customStyle="1" w:styleId="3">
    <w:name w:val="3"/>
    <w:basedOn w:val="Normal"/>
    <w:pPr>
      <w:widowControl/>
      <w:spacing w:before="100" w:beforeAutospacing="1" w:after="100" w:afterAutospacing="1"/>
      <w:jc w:val="left"/>
    </w:pPr>
    <w:rPr>
      <w:rFonts w:ascii="宋体" w:hAnsi="宋体"/>
      <w:color w:val="000000"/>
      <w:kern w:val="0"/>
      <w:sz w:val="24"/>
    </w:rPr>
  </w:style>
  <w:style w:type="paragraph" w:customStyle="1" w:styleId="p0">
    <w:name w:val="p0"/>
    <w:basedOn w:val="Normal"/>
    <w:pPr>
      <w:widowControl/>
    </w:pPr>
    <w:rPr>
      <w:kern w:val="0"/>
      <w:szCs w:val="21"/>
    </w:rPr>
  </w:style>
  <w:style w:type="character" w:customStyle="1" w:styleId="Char">
    <w:name w:val="页脚 Char"/>
    <w:link w:val="17"/>
    <w:rPr>
      <w:kern w:val="2"/>
      <w:sz w:val="18"/>
      <w:szCs w:val="18"/>
    </w:rPr>
  </w:style>
  <w:style w:type="paragraph" w:customStyle="1" w:styleId="115">
    <w:name w:val="批注框文本1"/>
    <w:basedOn w:val="Normal"/>
    <w:link w:val="Char0"/>
    <w:rPr>
      <w:sz w:val="18"/>
      <w:szCs w:val="18"/>
      <w:lang w:val="en-US" w:eastAsia="en-US"/>
    </w:rPr>
  </w:style>
  <w:style w:type="character" w:customStyle="1" w:styleId="Char0">
    <w:name w:val="批注框文本 Char"/>
    <w:link w:val="115"/>
    <w:rPr>
      <w:kern w:val="2"/>
      <w:sz w:val="18"/>
      <w:szCs w:val="18"/>
    </w:rPr>
  </w:style>
  <w:style w:type="table" w:customStyle="1" w:styleId="116">
    <w:name w:val="网格型1"/>
    <w:basedOn w:val="10"/>
    <w:qFormat/>
    <w:tblPr/>
  </w:style>
  <w:style w:type="character" w:customStyle="1" w:styleId="Char1">
    <w:name w:val="页眉 Char"/>
    <w:link w:val="110"/>
    <w:qFormat/>
    <w:rPr>
      <w:kern w:val="2"/>
      <w:sz w:val="18"/>
      <w:szCs w:val="18"/>
    </w:rPr>
  </w:style>
  <w:style w:type="paragraph" w:customStyle="1" w:styleId="a0">
    <w:name w:val="列出段落"/>
    <w:basedOn w:val="Normal"/>
    <w:pPr>
      <w:snapToGrid w:val="0"/>
      <w:spacing w:after="200"/>
      <w:ind w:firstLine="420" w:firstLineChars="200"/>
    </w:pPr>
    <w:rPr>
      <w:rFonts w:ascii="Tahoma" w:eastAsia="微软雅黑" w:hAnsi="Tahoma"/>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footer" Target="footer13.xml" /><Relationship Id="rId18" Type="http://schemas.openxmlformats.org/officeDocument/2006/relationships/footer" Target="footer14.xm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footer" Target="footer17.xml" /><Relationship Id="rId22" Type="http://schemas.openxmlformats.org/officeDocument/2006/relationships/footer" Target="footer18.xml" /><Relationship Id="rId23" Type="http://schemas.openxmlformats.org/officeDocument/2006/relationships/footer" Target="footer19.xml" /><Relationship Id="rId24" Type="http://schemas.openxmlformats.org/officeDocument/2006/relationships/footer" Target="footer20.xml" /><Relationship Id="rId25" Type="http://schemas.openxmlformats.org/officeDocument/2006/relationships/footer" Target="footer21.xml" /><Relationship Id="rId26" Type="http://schemas.openxmlformats.org/officeDocument/2006/relationships/footer" Target="footer22.xml" /><Relationship Id="rId27" Type="http://schemas.openxmlformats.org/officeDocument/2006/relationships/footer" Target="footer23.xml" /><Relationship Id="rId28" Type="http://schemas.openxmlformats.org/officeDocument/2006/relationships/footer" Target="footer24.xml" /><Relationship Id="rId29" Type="http://schemas.openxmlformats.org/officeDocument/2006/relationships/footer" Target="footer25.xml" /><Relationship Id="rId3" Type="http://schemas.openxmlformats.org/officeDocument/2006/relationships/fontTable" Target="fontTable.xml" /><Relationship Id="rId30" Type="http://schemas.openxmlformats.org/officeDocument/2006/relationships/footer" Target="footer26.xml" /><Relationship Id="rId31" Type="http://schemas.openxmlformats.org/officeDocument/2006/relationships/footer" Target="footer27.xml" /><Relationship Id="rId32" Type="http://schemas.openxmlformats.org/officeDocument/2006/relationships/footer" Target="footer28.xml" /><Relationship Id="rId33" Type="http://schemas.openxmlformats.org/officeDocument/2006/relationships/hyperlink" Target="https://d.book118.com/945122322111011122" TargetMode="External" /><Relationship Id="rId34" Type="http://schemas.openxmlformats.org/officeDocument/2006/relationships/footer" Target="footer29.xml" /><Relationship Id="rId35" Type="http://schemas.openxmlformats.org/officeDocument/2006/relationships/theme" Target="theme/theme1.xml" /><Relationship Id="rId36" Type="http://schemas.openxmlformats.org/officeDocument/2006/relationships/numbering" Target="numbering.xml" /><Relationship Id="rId37"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7</TotalTime>
  <Pages>38</Pages>
  <Words>40265</Words>
  <Characters>43955</Characters>
  <Application>Microsoft Office Word</Application>
  <DocSecurity>0</DocSecurity>
  <Lines>0</Lines>
  <Paragraphs>0</Paragraphs>
  <ScaleCrop>false</ScaleCrop>
  <Company/>
  <LinksUpToDate>false</LinksUpToDate>
  <CharactersWithSpaces>45362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dc:creator>
  <cp:lastModifiedBy>Lamb</cp:lastModifiedBy>
  <cp:revision>0</cp:revision>
  <dcterms:created xsi:type="dcterms:W3CDTF">2024-02-28T07:48:00Z</dcterms:created>
  <dcterms:modified xsi:type="dcterms:W3CDTF">2024-03-12T08:30:34Z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B820AE922B0B44BF817B5F2B23D74ECC_12</vt:lpwstr>
  </property>
  <property fmtid="{D5CDD505-2E9C-101B-9397-08002B2CF9AE}" pid="3" name="KSOProductBuildVer">
    <vt:lpwstr>2052-11.1.0.14036</vt:lpwstr>
  </property>
</Properties>
</file>