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核能及配套产品项目可行性研究分析报告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 w:history="1">
        <w:r>
          <w:rPr>
            <w:rFonts w:ascii="仿宋" w:eastAsia="仿宋" w:hAnsi="仿宋" w:cs="仿宋" w:hint="eastAsia"/>
            <w:lang w:eastAsia="zh-CN"/>
          </w:rPr>
          <w:t>绪论</w:t>
        </w:r>
        <w:r>
          <w:tab/>
        </w:r>
        <w:r>
          <w:fldChar w:fldCharType="begin"/>
        </w:r>
        <w:r>
          <w:instrText xml:space="preserve"> PAGEREF _Toc838 \h </w:instrText>
        </w:r>
        <w:r>
          <w:fldChar w:fldCharType="separate"/>
        </w:r>
        <w:r>
          <w:t>3</w:t>
        </w:r>
        <w:r>
          <w:fldChar w:fldCharType="end"/>
        </w:r>
      </w:hyperlink>
    </w:p>
    <w:p>
      <w:pPr>
        <w:pStyle w:val="TOC1"/>
        <w:tabs>
          <w:tab w:val="right" w:leader="dot" w:pos="8306"/>
        </w:tabs>
      </w:pPr>
      <w:hyperlink w:anchor="_Toc19639" w:history="1">
        <w:r>
          <w:rPr>
            <w:rFonts w:ascii="仿宋" w:eastAsia="仿宋" w:hAnsi="仿宋" w:cs="仿宋" w:hint="eastAsia"/>
            <w:lang w:eastAsia="zh-CN"/>
          </w:rPr>
          <w:t>一、核能及配套产品项目综合评价</w:t>
        </w:r>
        <w:r>
          <w:tab/>
        </w:r>
        <w:r>
          <w:fldChar w:fldCharType="begin"/>
        </w:r>
        <w:r>
          <w:instrText xml:space="preserve"> PAGEREF _Toc19639 \h </w:instrText>
        </w:r>
        <w:r>
          <w:fldChar w:fldCharType="separate"/>
        </w:r>
        <w:r>
          <w:t>3</w:t>
        </w:r>
        <w:r>
          <w:fldChar w:fldCharType="end"/>
        </w:r>
      </w:hyperlink>
    </w:p>
    <w:p>
      <w:pPr>
        <w:pStyle w:val="TOC2"/>
        <w:tabs>
          <w:tab w:val="right" w:leader="dot" w:pos="8306"/>
        </w:tabs>
      </w:pPr>
      <w:hyperlink w:anchor="_Toc7048" w:history="1">
        <w:r>
          <w:rPr>
            <w:rFonts w:ascii="仿宋" w:eastAsia="仿宋" w:hAnsi="仿宋" w:cs="仿宋" w:hint="eastAsia"/>
            <w:lang w:eastAsia="zh-CN"/>
          </w:rPr>
          <w:t>(一)、核能及配套产品项目建设期总体设计</w:t>
        </w:r>
        <w:r>
          <w:tab/>
        </w:r>
        <w:r>
          <w:fldChar w:fldCharType="begin"/>
        </w:r>
        <w:r>
          <w:instrText xml:space="preserve"> PAGEREF _Toc7048 \h </w:instrText>
        </w:r>
        <w:r>
          <w:fldChar w:fldCharType="separate"/>
        </w:r>
        <w:r>
          <w:t>4</w:t>
        </w:r>
        <w:r>
          <w:fldChar w:fldCharType="end"/>
        </w:r>
      </w:hyperlink>
    </w:p>
    <w:p>
      <w:pPr>
        <w:pStyle w:val="TOC2"/>
        <w:tabs>
          <w:tab w:val="right" w:leader="dot" w:pos="8306"/>
        </w:tabs>
      </w:pPr>
      <w:hyperlink w:anchor="_Toc32476" w:history="1">
        <w:r>
          <w:rPr>
            <w:rFonts w:ascii="仿宋" w:eastAsia="仿宋" w:hAnsi="仿宋" w:cs="仿宋" w:hint="eastAsia"/>
            <w:lang w:eastAsia="zh-CN"/>
          </w:rPr>
          <w:t>(二)、核能及配套产品项目实施保障措施</w:t>
        </w:r>
        <w:r>
          <w:tab/>
        </w:r>
        <w:r>
          <w:fldChar w:fldCharType="begin"/>
        </w:r>
        <w:r>
          <w:instrText xml:space="preserve"> PAGEREF _Toc32476 \h </w:instrText>
        </w:r>
        <w:r>
          <w:fldChar w:fldCharType="separate"/>
        </w:r>
        <w:r>
          <w:t>4</w:t>
        </w:r>
        <w:r>
          <w:fldChar w:fldCharType="end"/>
        </w:r>
      </w:hyperlink>
    </w:p>
    <w:p>
      <w:pPr>
        <w:pStyle w:val="TOC1"/>
        <w:tabs>
          <w:tab w:val="right" w:leader="dot" w:pos="8306"/>
        </w:tabs>
      </w:pPr>
      <w:hyperlink w:anchor="_Toc12790" w:history="1">
        <w:r>
          <w:rPr>
            <w:rFonts w:ascii="仿宋" w:eastAsia="仿宋" w:hAnsi="仿宋" w:cs="仿宋" w:hint="eastAsia"/>
            <w:lang w:eastAsia="zh-CN"/>
          </w:rPr>
          <w:t>二、核能及配套产品项目组织机构与人力资源配置</w:t>
        </w:r>
        <w:r>
          <w:tab/>
        </w:r>
        <w:r>
          <w:fldChar w:fldCharType="begin"/>
        </w:r>
        <w:r>
          <w:instrText xml:space="preserve"> PAGEREF _Toc12790 \h </w:instrText>
        </w:r>
        <w:r>
          <w:fldChar w:fldCharType="separate"/>
        </w:r>
        <w:r>
          <w:t>5</w:t>
        </w:r>
        <w:r>
          <w:fldChar w:fldCharType="end"/>
        </w:r>
      </w:hyperlink>
    </w:p>
    <w:p>
      <w:pPr>
        <w:pStyle w:val="TOC2"/>
        <w:tabs>
          <w:tab w:val="right" w:leader="dot" w:pos="8306"/>
        </w:tabs>
      </w:pPr>
      <w:hyperlink w:anchor="_Toc23574" w:history="1">
        <w:r>
          <w:rPr>
            <w:rFonts w:ascii="仿宋" w:eastAsia="仿宋" w:hAnsi="仿宋" w:cs="仿宋" w:hint="eastAsia"/>
            <w:lang w:eastAsia="zh-CN"/>
          </w:rPr>
          <w:t>(一)、核能及配套产品项目组织机构设置</w:t>
        </w:r>
        <w:r>
          <w:tab/>
        </w:r>
        <w:r>
          <w:fldChar w:fldCharType="begin"/>
        </w:r>
        <w:r>
          <w:instrText xml:space="preserve"> PAGEREF _Toc23574 \h </w:instrText>
        </w:r>
        <w:r>
          <w:fldChar w:fldCharType="separate"/>
        </w:r>
        <w:r>
          <w:t>5</w:t>
        </w:r>
        <w:r>
          <w:fldChar w:fldCharType="end"/>
        </w:r>
      </w:hyperlink>
    </w:p>
    <w:p>
      <w:pPr>
        <w:pStyle w:val="TOC2"/>
        <w:tabs>
          <w:tab w:val="right" w:leader="dot" w:pos="8306"/>
        </w:tabs>
      </w:pPr>
      <w:hyperlink w:anchor="_Toc17252" w:history="1">
        <w:r>
          <w:rPr>
            <w:rFonts w:ascii="仿宋" w:eastAsia="仿宋" w:hAnsi="仿宋" w:cs="仿宋" w:hint="eastAsia"/>
            <w:lang w:eastAsia="zh-CN"/>
          </w:rPr>
          <w:t>(二)、人力资源配置计划</w:t>
        </w:r>
        <w:r>
          <w:tab/>
        </w:r>
        <w:r>
          <w:fldChar w:fldCharType="begin"/>
        </w:r>
        <w:r>
          <w:instrText xml:space="preserve"> PAGEREF _Toc17252 \h </w:instrText>
        </w:r>
        <w:r>
          <w:fldChar w:fldCharType="separate"/>
        </w:r>
        <w:r>
          <w:t>7</w:t>
        </w:r>
        <w:r>
          <w:fldChar w:fldCharType="end"/>
        </w:r>
      </w:hyperlink>
    </w:p>
    <w:p>
      <w:pPr>
        <w:pStyle w:val="TOC2"/>
        <w:tabs>
          <w:tab w:val="right" w:leader="dot" w:pos="8306"/>
        </w:tabs>
      </w:pPr>
      <w:hyperlink w:anchor="_Toc3231" w:history="1">
        <w:r>
          <w:rPr>
            <w:rFonts w:ascii="仿宋" w:eastAsia="仿宋" w:hAnsi="仿宋" w:cs="仿宋" w:hint="eastAsia"/>
            <w:lang w:eastAsia="zh-CN"/>
          </w:rPr>
          <w:t>(三)、培训计划</w:t>
        </w:r>
        <w:r>
          <w:tab/>
        </w:r>
        <w:r>
          <w:fldChar w:fldCharType="begin"/>
        </w:r>
        <w:r>
          <w:instrText xml:space="preserve"> PAGEREF _Toc3231 \h </w:instrText>
        </w:r>
        <w:r>
          <w:fldChar w:fldCharType="separate"/>
        </w:r>
        <w:r>
          <w:t>9</w:t>
        </w:r>
        <w:r>
          <w:fldChar w:fldCharType="end"/>
        </w:r>
      </w:hyperlink>
    </w:p>
    <w:p>
      <w:pPr>
        <w:pStyle w:val="TOC1"/>
        <w:tabs>
          <w:tab w:val="right" w:leader="dot" w:pos="8306"/>
        </w:tabs>
      </w:pPr>
      <w:hyperlink w:anchor="_Toc25326" w:history="1">
        <w:r>
          <w:rPr>
            <w:rFonts w:ascii="仿宋" w:eastAsia="仿宋" w:hAnsi="仿宋" w:cs="仿宋" w:hint="eastAsia"/>
            <w:lang w:eastAsia="zh-CN"/>
          </w:rPr>
          <w:t>三、物资采购和管理</w:t>
        </w:r>
        <w:r>
          <w:tab/>
        </w:r>
        <w:r>
          <w:fldChar w:fldCharType="begin"/>
        </w:r>
        <w:r>
          <w:instrText xml:space="preserve"> PAGEREF _Toc25326 \h </w:instrText>
        </w:r>
        <w:r>
          <w:fldChar w:fldCharType="separate"/>
        </w:r>
        <w:r>
          <w:t>10</w:t>
        </w:r>
        <w:r>
          <w:fldChar w:fldCharType="end"/>
        </w:r>
      </w:hyperlink>
    </w:p>
    <w:p>
      <w:pPr>
        <w:pStyle w:val="TOC2"/>
        <w:tabs>
          <w:tab w:val="right" w:leader="dot" w:pos="8306"/>
        </w:tabs>
      </w:pPr>
      <w:hyperlink w:anchor="_Toc31663" w:history="1">
        <w:r>
          <w:rPr>
            <w:rFonts w:ascii="仿宋" w:eastAsia="仿宋" w:hAnsi="仿宋" w:cs="仿宋" w:hint="eastAsia"/>
            <w:lang w:eastAsia="zh-CN"/>
          </w:rPr>
          <w:t>(一)、物资采购的程序和标准</w:t>
        </w:r>
        <w:r>
          <w:tab/>
        </w:r>
        <w:r>
          <w:fldChar w:fldCharType="begin"/>
        </w:r>
        <w:r>
          <w:instrText xml:space="preserve"> PAGEREF _Toc31663 \h </w:instrText>
        </w:r>
        <w:r>
          <w:fldChar w:fldCharType="separate"/>
        </w:r>
        <w:r>
          <w:t>10</w:t>
        </w:r>
        <w:r>
          <w:fldChar w:fldCharType="end"/>
        </w:r>
      </w:hyperlink>
    </w:p>
    <w:p>
      <w:pPr>
        <w:pStyle w:val="TOC2"/>
        <w:tabs>
          <w:tab w:val="right" w:leader="dot" w:pos="8306"/>
        </w:tabs>
      </w:pPr>
      <w:hyperlink w:anchor="_Toc2384" w:history="1">
        <w:r>
          <w:rPr>
            <w:rFonts w:ascii="仿宋" w:eastAsia="仿宋" w:hAnsi="仿宋" w:cs="仿宋" w:hint="eastAsia"/>
            <w:lang w:eastAsia="zh-CN"/>
          </w:rPr>
          <w:t>(二)、物资管理的措施和办法</w:t>
        </w:r>
        <w:r>
          <w:tab/>
        </w:r>
        <w:r>
          <w:fldChar w:fldCharType="begin"/>
        </w:r>
        <w:r>
          <w:instrText xml:space="preserve"> PAGEREF _Toc2384 \h </w:instrText>
        </w:r>
        <w:r>
          <w:fldChar w:fldCharType="separate"/>
        </w:r>
        <w:r>
          <w:t>12</w:t>
        </w:r>
        <w:r>
          <w:fldChar w:fldCharType="end"/>
        </w:r>
      </w:hyperlink>
    </w:p>
    <w:p>
      <w:pPr>
        <w:pStyle w:val="TOC2"/>
        <w:tabs>
          <w:tab w:val="right" w:leader="dot" w:pos="8306"/>
        </w:tabs>
      </w:pPr>
      <w:hyperlink w:anchor="_Toc6124" w:history="1">
        <w:r>
          <w:rPr>
            <w:rFonts w:ascii="仿宋" w:eastAsia="仿宋" w:hAnsi="仿宋" w:cs="仿宋" w:hint="eastAsia"/>
            <w:lang w:eastAsia="zh-CN"/>
          </w:rPr>
          <w:t>(三)、物资质量和库存的控制和监督</w:t>
        </w:r>
        <w:r>
          <w:tab/>
        </w:r>
        <w:r>
          <w:fldChar w:fldCharType="begin"/>
        </w:r>
        <w:r>
          <w:instrText xml:space="preserve"> PAGEREF _Toc6124 \h </w:instrText>
        </w:r>
        <w:r>
          <w:fldChar w:fldCharType="separate"/>
        </w:r>
        <w:r>
          <w:t>13</w:t>
        </w:r>
        <w:r>
          <w:fldChar w:fldCharType="end"/>
        </w:r>
      </w:hyperlink>
    </w:p>
    <w:p>
      <w:pPr>
        <w:pStyle w:val="TOC1"/>
        <w:tabs>
          <w:tab w:val="right" w:leader="dot" w:pos="8306"/>
        </w:tabs>
      </w:pPr>
      <w:hyperlink w:anchor="_Toc18447" w:history="1">
        <w:r>
          <w:rPr>
            <w:rFonts w:ascii="仿宋" w:eastAsia="仿宋" w:hAnsi="仿宋" w:cs="仿宋" w:hint="eastAsia"/>
            <w:lang w:eastAsia="zh-CN"/>
          </w:rPr>
          <w:t>四、市场营销和推广策略</w:t>
        </w:r>
        <w:r>
          <w:tab/>
        </w:r>
        <w:r>
          <w:fldChar w:fldCharType="begin"/>
        </w:r>
        <w:r>
          <w:instrText xml:space="preserve"> PAGEREF _Toc18447 \h </w:instrText>
        </w:r>
        <w:r>
          <w:fldChar w:fldCharType="separate"/>
        </w:r>
        <w:r>
          <w:t>15</w:t>
        </w:r>
        <w:r>
          <w:fldChar w:fldCharType="end"/>
        </w:r>
      </w:hyperlink>
    </w:p>
    <w:p>
      <w:pPr>
        <w:pStyle w:val="TOC2"/>
        <w:tabs>
          <w:tab w:val="right" w:leader="dot" w:pos="8306"/>
        </w:tabs>
      </w:pPr>
      <w:hyperlink w:anchor="_Toc23667" w:history="1">
        <w:r>
          <w:rPr>
            <w:rFonts w:ascii="仿宋" w:eastAsia="仿宋" w:hAnsi="仿宋" w:cs="仿宋" w:hint="eastAsia"/>
            <w:lang w:eastAsia="zh-CN"/>
          </w:rPr>
          <w:t>(一)、核能及配套产品项目产品的市场定位和目标客户分析</w:t>
        </w:r>
        <w:r>
          <w:tab/>
        </w:r>
        <w:r>
          <w:fldChar w:fldCharType="begin"/>
        </w:r>
        <w:r>
          <w:instrText xml:space="preserve"> PAGEREF _Toc23667 \h </w:instrText>
        </w:r>
        <w:r>
          <w:fldChar w:fldCharType="separate"/>
        </w:r>
        <w:r>
          <w:t>15</w:t>
        </w:r>
        <w:r>
          <w:fldChar w:fldCharType="end"/>
        </w:r>
      </w:hyperlink>
    </w:p>
    <w:p>
      <w:pPr>
        <w:pStyle w:val="TOC2"/>
        <w:tabs>
          <w:tab w:val="right" w:leader="dot" w:pos="8306"/>
        </w:tabs>
      </w:pPr>
      <w:hyperlink w:anchor="_Toc18129" w:history="1">
        <w:r>
          <w:rPr>
            <w:rFonts w:ascii="仿宋" w:eastAsia="仿宋" w:hAnsi="仿宋" w:cs="仿宋" w:hint="eastAsia"/>
            <w:lang w:eastAsia="zh-CN"/>
          </w:rPr>
          <w:t>(二)、市场营销策略和推广渠道选择</w:t>
        </w:r>
        <w:r>
          <w:tab/>
        </w:r>
        <w:r>
          <w:fldChar w:fldCharType="begin"/>
        </w:r>
        <w:r>
          <w:instrText xml:space="preserve"> PAGEREF _Toc18129 \h </w:instrText>
        </w:r>
        <w:r>
          <w:fldChar w:fldCharType="separate"/>
        </w:r>
        <w:r>
          <w:t>16</w:t>
        </w:r>
        <w:r>
          <w:fldChar w:fldCharType="end"/>
        </w:r>
      </w:hyperlink>
    </w:p>
    <w:p>
      <w:pPr>
        <w:pStyle w:val="TOC2"/>
        <w:tabs>
          <w:tab w:val="right" w:leader="dot" w:pos="8306"/>
        </w:tabs>
      </w:pPr>
      <w:hyperlink w:anchor="_Toc3913" w:history="1">
        <w:r>
          <w:rPr>
            <w:rFonts w:ascii="仿宋" w:eastAsia="仿宋" w:hAnsi="仿宋" w:cs="仿宋" w:hint="eastAsia"/>
            <w:lang w:eastAsia="zh-CN"/>
          </w:rPr>
          <w:t>(三)、市场调研和竞争对手分析</w:t>
        </w:r>
        <w:r>
          <w:tab/>
        </w:r>
        <w:r>
          <w:fldChar w:fldCharType="begin"/>
        </w:r>
        <w:r>
          <w:instrText xml:space="preserve"> PAGEREF _Toc3913 \h </w:instrText>
        </w:r>
        <w:r>
          <w:fldChar w:fldCharType="separate"/>
        </w:r>
        <w:r>
          <w:t>17</w:t>
        </w:r>
        <w:r>
          <w:fldChar w:fldCharType="end"/>
        </w:r>
      </w:hyperlink>
    </w:p>
    <w:p>
      <w:pPr>
        <w:pStyle w:val="TOC1"/>
        <w:tabs>
          <w:tab w:val="right" w:leader="dot" w:pos="8306"/>
        </w:tabs>
      </w:pPr>
      <w:hyperlink w:anchor="_Toc25753" w:history="1">
        <w:r>
          <w:rPr>
            <w:rFonts w:ascii="仿宋" w:eastAsia="仿宋" w:hAnsi="仿宋" w:cs="仿宋" w:hint="eastAsia"/>
            <w:lang w:eastAsia="zh-CN"/>
          </w:rPr>
          <w:t>五、市场营销和客户体验管理</w:t>
        </w:r>
        <w:r>
          <w:tab/>
        </w:r>
        <w:r>
          <w:fldChar w:fldCharType="begin"/>
        </w:r>
        <w:r>
          <w:instrText xml:space="preserve"> PAGEREF _Toc25753 \h </w:instrText>
        </w:r>
        <w:r>
          <w:fldChar w:fldCharType="separate"/>
        </w:r>
        <w:r>
          <w:t>18</w:t>
        </w:r>
        <w:r>
          <w:fldChar w:fldCharType="end"/>
        </w:r>
      </w:hyperlink>
    </w:p>
    <w:p>
      <w:pPr>
        <w:pStyle w:val="TOC2"/>
        <w:tabs>
          <w:tab w:val="right" w:leader="dot" w:pos="8306"/>
        </w:tabs>
      </w:pPr>
      <w:hyperlink w:anchor="_Toc18481" w:history="1">
        <w:r>
          <w:rPr>
            <w:rFonts w:ascii="仿宋" w:eastAsia="仿宋" w:hAnsi="仿宋" w:cs="仿宋" w:hint="eastAsia"/>
            <w:lang w:eastAsia="zh-CN"/>
          </w:rPr>
          <w:t>(一)、核能及配套产品项目产品的市场定位和目标客户分析</w:t>
        </w:r>
        <w:r>
          <w:tab/>
        </w:r>
        <w:r>
          <w:fldChar w:fldCharType="begin"/>
        </w:r>
        <w:r>
          <w:instrText xml:space="preserve"> PAGEREF _Toc18481 \h </w:instrText>
        </w:r>
        <w:r>
          <w:fldChar w:fldCharType="separate"/>
        </w:r>
        <w:r>
          <w:t>18</w:t>
        </w:r>
        <w:r>
          <w:fldChar w:fldCharType="end"/>
        </w:r>
      </w:hyperlink>
    </w:p>
    <w:p>
      <w:pPr>
        <w:pStyle w:val="TOC2"/>
        <w:tabs>
          <w:tab w:val="right" w:leader="dot" w:pos="8306"/>
        </w:tabs>
      </w:pPr>
      <w:hyperlink w:anchor="_Toc25539" w:history="1">
        <w:r>
          <w:rPr>
            <w:rFonts w:ascii="仿宋" w:eastAsia="仿宋" w:hAnsi="仿宋" w:cs="仿宋" w:hint="eastAsia"/>
            <w:lang w:eastAsia="zh-CN"/>
          </w:rPr>
          <w:t>(二)、市场营销策略和推广渠道选择</w:t>
        </w:r>
        <w:r>
          <w:tab/>
        </w:r>
        <w:r>
          <w:fldChar w:fldCharType="begin"/>
        </w:r>
        <w:r>
          <w:instrText xml:space="preserve"> PAGEREF _Toc25539 \h </w:instrText>
        </w:r>
        <w:r>
          <w:fldChar w:fldCharType="separate"/>
        </w:r>
        <w:r>
          <w:t>19</w:t>
        </w:r>
        <w:r>
          <w:fldChar w:fldCharType="end"/>
        </w:r>
      </w:hyperlink>
    </w:p>
    <w:p>
      <w:pPr>
        <w:pStyle w:val="TOC2"/>
        <w:tabs>
          <w:tab w:val="right" w:leader="dot" w:pos="8306"/>
        </w:tabs>
      </w:pPr>
      <w:hyperlink w:anchor="_Toc11056" w:history="1">
        <w:r>
          <w:rPr>
            <w:rFonts w:ascii="仿宋" w:eastAsia="仿宋" w:hAnsi="仿宋" w:cs="仿宋" w:hint="eastAsia"/>
            <w:lang w:eastAsia="zh-CN"/>
          </w:rPr>
          <w:t>(三)、客户体验管理和反馈机制建设</w:t>
        </w:r>
        <w:r>
          <w:tab/>
        </w:r>
        <w:r>
          <w:fldChar w:fldCharType="begin"/>
        </w:r>
        <w:r>
          <w:instrText xml:space="preserve"> PAGEREF _Toc11056 \h </w:instrText>
        </w:r>
        <w:r>
          <w:fldChar w:fldCharType="separate"/>
        </w:r>
        <w:r>
          <w:t>20</w:t>
        </w:r>
        <w:r>
          <w:fldChar w:fldCharType="end"/>
        </w:r>
      </w:hyperlink>
    </w:p>
    <w:p>
      <w:pPr>
        <w:pStyle w:val="TOC1"/>
        <w:tabs>
          <w:tab w:val="right" w:leader="dot" w:pos="8306"/>
        </w:tabs>
      </w:pPr>
      <w:hyperlink w:anchor="_Toc32495" w:history="1">
        <w:r>
          <w:rPr>
            <w:rFonts w:ascii="仿宋" w:eastAsia="仿宋" w:hAnsi="仿宋" w:cs="仿宋" w:hint="eastAsia"/>
            <w:lang w:eastAsia="zh-CN"/>
          </w:rPr>
          <w:t>六、企业文化和员工培训</w:t>
        </w:r>
        <w:r>
          <w:tab/>
        </w:r>
        <w:r>
          <w:fldChar w:fldCharType="begin"/>
        </w:r>
        <w:r>
          <w:instrText xml:space="preserve"> PAGEREF _Toc32495 \h </w:instrText>
        </w:r>
        <w:r>
          <w:fldChar w:fldCharType="separate"/>
        </w:r>
        <w:r>
          <w:t>22</w:t>
        </w:r>
        <w:r>
          <w:fldChar w:fldCharType="end"/>
        </w:r>
      </w:hyperlink>
    </w:p>
    <w:p>
      <w:pPr>
        <w:pStyle w:val="TOC2"/>
        <w:tabs>
          <w:tab w:val="right" w:leader="dot" w:pos="8306"/>
        </w:tabs>
      </w:pPr>
      <w:hyperlink w:anchor="_Toc23633" w:history="1">
        <w:r>
          <w:rPr>
            <w:rFonts w:ascii="仿宋" w:eastAsia="仿宋" w:hAnsi="仿宋" w:cs="仿宋" w:hint="eastAsia"/>
            <w:lang w:eastAsia="zh-CN"/>
          </w:rPr>
          <w:t>(一)、企业文化的建设和传承</w:t>
        </w:r>
        <w:r>
          <w:tab/>
        </w:r>
        <w:r>
          <w:fldChar w:fldCharType="begin"/>
        </w:r>
        <w:r>
          <w:instrText xml:space="preserve"> PAGEREF _Toc23633 \h </w:instrText>
        </w:r>
        <w:r>
          <w:fldChar w:fldCharType="separate"/>
        </w:r>
        <w:r>
          <w:t>22</w:t>
        </w:r>
        <w:r>
          <w:fldChar w:fldCharType="end"/>
        </w:r>
      </w:hyperlink>
    </w:p>
    <w:p>
      <w:pPr>
        <w:pStyle w:val="TOC2"/>
        <w:tabs>
          <w:tab w:val="right" w:leader="dot" w:pos="8306"/>
        </w:tabs>
      </w:pPr>
      <w:hyperlink w:anchor="_Toc30272" w:history="1">
        <w:r>
          <w:rPr>
            <w:rFonts w:ascii="仿宋" w:eastAsia="仿宋" w:hAnsi="仿宋" w:cs="仿宋" w:hint="eastAsia"/>
            <w:lang w:eastAsia="zh-CN"/>
          </w:rPr>
          <w:t>(二)、员工培训的方案和实施</w:t>
        </w:r>
        <w:r>
          <w:tab/>
        </w:r>
        <w:r>
          <w:fldChar w:fldCharType="begin"/>
        </w:r>
        <w:r>
          <w:instrText xml:space="preserve"> PAGEREF _Toc30272 \h </w:instrText>
        </w:r>
        <w:r>
          <w:fldChar w:fldCharType="separate"/>
        </w:r>
        <w:r>
          <w:t>23</w:t>
        </w:r>
        <w:r>
          <w:fldChar w:fldCharType="end"/>
        </w:r>
      </w:hyperlink>
    </w:p>
    <w:p>
      <w:pPr>
        <w:pStyle w:val="TOC2"/>
        <w:tabs>
          <w:tab w:val="right" w:leader="dot" w:pos="8306"/>
        </w:tabs>
      </w:pPr>
      <w:hyperlink w:anchor="_Toc7778" w:history="1">
        <w:r>
          <w:rPr>
            <w:rFonts w:ascii="仿宋" w:eastAsia="仿宋" w:hAnsi="仿宋" w:cs="仿宋" w:hint="eastAsia"/>
            <w:lang w:eastAsia="zh-CN"/>
          </w:rPr>
          <w:t>(三)、企业文化和员工培训的互动和融合</w:t>
        </w:r>
        <w:r>
          <w:tab/>
        </w:r>
        <w:r>
          <w:fldChar w:fldCharType="begin"/>
        </w:r>
        <w:r>
          <w:instrText xml:space="preserve"> PAGEREF _Toc7778 \h </w:instrText>
        </w:r>
        <w:r>
          <w:fldChar w:fldCharType="separate"/>
        </w:r>
        <w:r>
          <w:t>24</w:t>
        </w:r>
        <w:r>
          <w:fldChar w:fldCharType="end"/>
        </w:r>
      </w:hyperlink>
    </w:p>
    <w:p>
      <w:pPr>
        <w:pStyle w:val="TOC1"/>
        <w:tabs>
          <w:tab w:val="right" w:leader="dot" w:pos="8306"/>
        </w:tabs>
      </w:pPr>
      <w:hyperlink w:anchor="_Toc24474" w:history="1">
        <w:r>
          <w:rPr>
            <w:rFonts w:ascii="仿宋" w:eastAsia="仿宋" w:hAnsi="仿宋" w:cs="仿宋" w:hint="eastAsia"/>
            <w:lang w:eastAsia="zh-CN"/>
          </w:rPr>
          <w:t>七、可行性结论</w:t>
        </w:r>
        <w:r>
          <w:tab/>
        </w:r>
        <w:r>
          <w:fldChar w:fldCharType="begin"/>
        </w:r>
        <w:r>
          <w:instrText xml:space="preserve"> PAGEREF _Toc24474 \h </w:instrText>
        </w:r>
        <w:r>
          <w:fldChar w:fldCharType="separate"/>
        </w:r>
        <w:r>
          <w:t>26</w:t>
        </w:r>
        <w:r>
          <w:fldChar w:fldCharType="end"/>
        </w:r>
      </w:hyperlink>
    </w:p>
    <w:p>
      <w:pPr>
        <w:pStyle w:val="TOC2"/>
        <w:tabs>
          <w:tab w:val="right" w:leader="dot" w:pos="8306"/>
        </w:tabs>
      </w:pPr>
      <w:hyperlink w:anchor="_Toc23748" w:history="1">
        <w:r>
          <w:rPr>
            <w:rFonts w:ascii="仿宋" w:eastAsia="仿宋" w:hAnsi="仿宋" w:cs="仿宋" w:hint="eastAsia"/>
            <w:lang w:eastAsia="zh-CN"/>
          </w:rPr>
          <w:t>(一)、技术可行性总结</w:t>
        </w:r>
        <w:r>
          <w:tab/>
        </w:r>
        <w:r>
          <w:fldChar w:fldCharType="begin"/>
        </w:r>
        <w:r>
          <w:instrText xml:space="preserve"> PAGEREF _Toc23748 \h </w:instrText>
        </w:r>
        <w:r>
          <w:fldChar w:fldCharType="separate"/>
        </w:r>
        <w:r>
          <w:t>26</w:t>
        </w:r>
        <w:r>
          <w:fldChar w:fldCharType="end"/>
        </w:r>
      </w:hyperlink>
    </w:p>
    <w:p>
      <w:pPr>
        <w:pStyle w:val="TOC2"/>
        <w:tabs>
          <w:tab w:val="right" w:leader="dot" w:pos="8306"/>
        </w:tabs>
      </w:pPr>
      <w:hyperlink w:anchor="_Toc6595" w:history="1">
        <w:r>
          <w:rPr>
            <w:rFonts w:ascii="仿宋" w:eastAsia="仿宋" w:hAnsi="仿宋" w:cs="仿宋" w:hint="eastAsia"/>
            <w:lang w:eastAsia="zh-CN"/>
          </w:rPr>
          <w:t>(二)、经济可行性总结</w:t>
        </w:r>
        <w:r>
          <w:tab/>
        </w:r>
        <w:r>
          <w:fldChar w:fldCharType="begin"/>
        </w:r>
        <w:r>
          <w:instrText xml:space="preserve"> PAGEREF _Toc6595 \h </w:instrText>
        </w:r>
        <w:r>
          <w:fldChar w:fldCharType="separate"/>
        </w:r>
        <w:r>
          <w:t>26</w:t>
        </w:r>
        <w:r>
          <w:fldChar w:fldCharType="end"/>
        </w:r>
      </w:hyperlink>
    </w:p>
    <w:p>
      <w:pPr>
        <w:pStyle w:val="TOC2"/>
        <w:tabs>
          <w:tab w:val="right" w:leader="dot" w:pos="8306"/>
        </w:tabs>
      </w:pPr>
      <w:hyperlink w:anchor="_Toc8319" w:history="1">
        <w:r>
          <w:rPr>
            <w:rFonts w:ascii="仿宋" w:eastAsia="仿宋" w:hAnsi="仿宋" w:cs="仿宋" w:hint="eastAsia"/>
            <w:lang w:eastAsia="zh-CN"/>
          </w:rPr>
          <w:t>(三)、法律与政策可行性总结</w:t>
        </w:r>
        <w:r>
          <w:tab/>
        </w:r>
        <w:r>
          <w:fldChar w:fldCharType="begin"/>
        </w:r>
        <w:r>
          <w:instrText xml:space="preserve"> PAGEREF _Toc8319 \h </w:instrText>
        </w:r>
        <w:r>
          <w:fldChar w:fldCharType="separate"/>
        </w:r>
        <w:r>
          <w:t>27</w:t>
        </w:r>
        <w:r>
          <w:fldChar w:fldCharType="end"/>
        </w:r>
      </w:hyperlink>
    </w:p>
    <w:p>
      <w:pPr>
        <w:pStyle w:val="TOC2"/>
        <w:tabs>
          <w:tab w:val="right" w:leader="dot" w:pos="8306"/>
        </w:tabs>
      </w:pPr>
      <w:hyperlink w:anchor="_Toc401" w:history="1">
        <w:r>
          <w:rPr>
            <w:rFonts w:ascii="仿宋" w:eastAsia="仿宋" w:hAnsi="仿宋" w:cs="仿宋" w:hint="eastAsia"/>
            <w:lang w:eastAsia="zh-CN"/>
          </w:rPr>
          <w:t>(四)、风险评估总结</w:t>
        </w:r>
        <w:r>
          <w:tab/>
        </w:r>
        <w:r>
          <w:fldChar w:fldCharType="begin"/>
        </w:r>
        <w:r>
          <w:instrText xml:space="preserve"> PAGEREF _Toc401 \h </w:instrText>
        </w:r>
        <w:r>
          <w:fldChar w:fldCharType="separate"/>
        </w:r>
        <w:r>
          <w:t>28</w:t>
        </w:r>
        <w:r>
          <w:fldChar w:fldCharType="end"/>
        </w:r>
      </w:hyperlink>
    </w:p>
    <w:p>
      <w:pPr>
        <w:pStyle w:val="TOC1"/>
        <w:tabs>
          <w:tab w:val="right" w:leader="dot" w:pos="8306"/>
        </w:tabs>
      </w:pPr>
      <w:hyperlink w:anchor="_Toc13115" w:history="1">
        <w:r>
          <w:rPr>
            <w:rFonts w:ascii="仿宋" w:eastAsia="仿宋" w:hAnsi="仿宋" w:cs="仿宋" w:hint="eastAsia"/>
            <w:lang w:eastAsia="zh-CN"/>
          </w:rPr>
          <w:t>八、组织机构工作制度和劳动定员</w:t>
        </w:r>
        <w:r>
          <w:tab/>
        </w:r>
        <w:r>
          <w:fldChar w:fldCharType="begin"/>
        </w:r>
        <w:r>
          <w:instrText xml:space="preserve"> PAGEREF _Toc13115 \h </w:instrText>
        </w:r>
        <w:r>
          <w:fldChar w:fldCharType="separate"/>
        </w:r>
        <w:r>
          <w:t>29</w:t>
        </w:r>
        <w:r>
          <w:fldChar w:fldCharType="end"/>
        </w:r>
      </w:hyperlink>
    </w:p>
    <w:p>
      <w:pPr>
        <w:pStyle w:val="TOC2"/>
        <w:tabs>
          <w:tab w:val="right" w:leader="dot" w:pos="8306"/>
        </w:tabs>
      </w:pPr>
      <w:hyperlink w:anchor="_Toc16781" w:history="1">
        <w:r>
          <w:rPr>
            <w:rFonts w:ascii="仿宋" w:eastAsia="仿宋" w:hAnsi="仿宋" w:cs="仿宋" w:hint="eastAsia"/>
            <w:lang w:eastAsia="zh-CN"/>
          </w:rPr>
          <w:t>(一)、核能及配套产品项目工作制度</w:t>
        </w:r>
        <w:r>
          <w:tab/>
        </w:r>
        <w:r>
          <w:fldChar w:fldCharType="begin"/>
        </w:r>
        <w:r>
          <w:instrText xml:space="preserve"> PAGEREF _Toc16781 \h </w:instrText>
        </w:r>
        <w:r>
          <w:fldChar w:fldCharType="separate"/>
        </w:r>
        <w:r>
          <w:t>29</w:t>
        </w:r>
        <w:r>
          <w:fldChar w:fldCharType="end"/>
        </w:r>
      </w:hyperlink>
    </w:p>
    <w:p>
      <w:pPr>
        <w:pStyle w:val="TOC2"/>
        <w:tabs>
          <w:tab w:val="right" w:leader="dot" w:pos="8306"/>
        </w:tabs>
      </w:pPr>
      <w:hyperlink w:anchor="_Toc1748" w:history="1">
        <w:r>
          <w:rPr>
            <w:rFonts w:ascii="仿宋" w:eastAsia="仿宋" w:hAnsi="仿宋" w:cs="仿宋" w:hint="eastAsia"/>
            <w:lang w:eastAsia="zh-CN"/>
          </w:rPr>
          <w:t>(二)、劳动定员</w:t>
        </w:r>
        <w:r>
          <w:tab/>
        </w:r>
        <w:r>
          <w:fldChar w:fldCharType="begin"/>
        </w:r>
        <w:r>
          <w:instrText xml:space="preserve"> PAGEREF _Toc1748 \h </w:instrText>
        </w:r>
        <w:r>
          <w:fldChar w:fldCharType="separate"/>
        </w:r>
        <w:r>
          <w:t>29</w:t>
        </w:r>
        <w:r>
          <w:fldChar w:fldCharType="end"/>
        </w:r>
      </w:hyperlink>
    </w:p>
    <w:p>
      <w:pPr>
        <w:pStyle w:val="TOC2"/>
        <w:tabs>
          <w:tab w:val="right" w:leader="dot" w:pos="8306"/>
        </w:tabs>
      </w:pPr>
      <w:hyperlink w:anchor="_Toc6071" w:history="1">
        <w:r>
          <w:rPr>
            <w:rFonts w:ascii="仿宋" w:eastAsia="仿宋" w:hAnsi="仿宋" w:cs="仿宋" w:hint="eastAsia"/>
            <w:lang w:eastAsia="zh-CN"/>
          </w:rPr>
          <w:t>(三)、核能及配套产品项目建设人员培训</w:t>
        </w:r>
        <w:r>
          <w:tab/>
        </w:r>
        <w:r>
          <w:fldChar w:fldCharType="begin"/>
        </w:r>
        <w:r>
          <w:instrText xml:space="preserve"> PAGEREF _Toc6071 \h </w:instrText>
        </w:r>
        <w:r>
          <w:fldChar w:fldCharType="separate"/>
        </w:r>
        <w:r>
          <w:t>29</w:t>
        </w:r>
        <w:r>
          <w:fldChar w:fldCharType="end"/>
        </w:r>
      </w:hyperlink>
    </w:p>
    <w:p>
      <w:pPr>
        <w:pStyle w:val="TOC1"/>
        <w:tabs>
          <w:tab w:val="right" w:leader="dot" w:pos="8306"/>
        </w:tabs>
      </w:pPr>
      <w:hyperlink w:anchor="_Toc28311" w:history="1">
        <w:r>
          <w:rPr>
            <w:rFonts w:ascii="仿宋" w:eastAsia="仿宋" w:hAnsi="仿宋" w:cs="仿宋" w:hint="eastAsia"/>
            <w:lang w:eastAsia="zh-CN"/>
          </w:rPr>
          <w:t>九、工程设计方案</w:t>
        </w:r>
        <w:r>
          <w:tab/>
        </w:r>
        <w:r>
          <w:fldChar w:fldCharType="begin"/>
        </w:r>
        <w:r>
          <w:instrText xml:space="preserve"> PAGEREF _Toc28311 \h </w:instrText>
        </w:r>
        <w:r>
          <w:fldChar w:fldCharType="separate"/>
        </w:r>
        <w:r>
          <w:t>32</w:t>
        </w:r>
        <w:r>
          <w:fldChar w:fldCharType="end"/>
        </w:r>
      </w:hyperlink>
    </w:p>
    <w:p>
      <w:pPr>
        <w:pStyle w:val="TOC2"/>
        <w:tabs>
          <w:tab w:val="right" w:leader="dot" w:pos="8306"/>
        </w:tabs>
      </w:pPr>
      <w:hyperlink w:anchor="_Toc2632" w:history="1">
        <w:r>
          <w:rPr>
            <w:rFonts w:ascii="仿宋" w:eastAsia="仿宋" w:hAnsi="仿宋" w:cs="仿宋" w:hint="eastAsia"/>
            <w:lang w:eastAsia="zh-CN"/>
          </w:rPr>
          <w:t>(一)、总图布置</w:t>
        </w:r>
        <w:r>
          <w:tab/>
        </w:r>
        <w:r>
          <w:fldChar w:fldCharType="begin"/>
        </w:r>
        <w:r>
          <w:instrText xml:space="preserve"> PAGEREF _Toc2632 \h </w:instrText>
        </w:r>
        <w:r>
          <w:fldChar w:fldCharType="separate"/>
        </w:r>
        <w:r>
          <w:t>32</w:t>
        </w:r>
        <w:r>
          <w:fldChar w:fldCharType="end"/>
        </w:r>
      </w:hyperlink>
    </w:p>
    <w:p>
      <w:pPr>
        <w:pStyle w:val="TOC2"/>
        <w:tabs>
          <w:tab w:val="right" w:leader="dot" w:pos="8306"/>
        </w:tabs>
      </w:pPr>
      <w:hyperlink w:anchor="_Toc24436" w:history="1">
        <w:r>
          <w:rPr>
            <w:rFonts w:ascii="仿宋" w:eastAsia="仿宋" w:hAnsi="仿宋" w:cs="仿宋" w:hint="eastAsia"/>
            <w:lang w:eastAsia="zh-CN"/>
          </w:rPr>
          <w:t>(二)、建筑设计</w:t>
        </w:r>
        <w:r>
          <w:tab/>
        </w:r>
        <w:r>
          <w:fldChar w:fldCharType="begin"/>
        </w:r>
        <w:r>
          <w:instrText xml:space="preserve"> PAGEREF _Toc24436 \h </w:instrText>
        </w:r>
        <w:r>
          <w:fldChar w:fldCharType="separate"/>
        </w:r>
        <w:r>
          <w:t>33</w:t>
        </w:r>
        <w:r>
          <w:fldChar w:fldCharType="end"/>
        </w:r>
      </w:hyperlink>
    </w:p>
    <w:p>
      <w:pPr>
        <w:pStyle w:val="TOC2"/>
        <w:tabs>
          <w:tab w:val="right" w:leader="dot" w:pos="8306"/>
        </w:tabs>
      </w:pPr>
      <w:hyperlink w:anchor="_Toc2982" w:history="1">
        <w:r>
          <w:rPr>
            <w:rFonts w:ascii="仿宋" w:eastAsia="仿宋" w:hAnsi="仿宋" w:cs="仿宋" w:hint="eastAsia"/>
            <w:lang w:eastAsia="zh-CN"/>
          </w:rPr>
          <w:t>(三)、结构设计</w:t>
        </w:r>
        <w:r>
          <w:tab/>
        </w:r>
        <w:r>
          <w:fldChar w:fldCharType="begin"/>
        </w:r>
        <w:r>
          <w:instrText xml:space="preserve"> PAGEREF _Toc2982 \h </w:instrText>
        </w:r>
        <w:r>
          <w:fldChar w:fldCharType="separate"/>
        </w:r>
        <w:r>
          <w:t>35</w:t>
        </w:r>
        <w:r>
          <w:fldChar w:fldCharType="end"/>
        </w:r>
      </w:hyperlink>
    </w:p>
    <w:p>
      <w:pPr>
        <w:pStyle w:val="TOC2"/>
        <w:tabs>
          <w:tab w:val="right" w:leader="dot" w:pos="8306"/>
        </w:tabs>
      </w:pPr>
      <w:hyperlink w:anchor="_Toc22177" w:history="1">
        <w:r>
          <w:rPr>
            <w:rFonts w:ascii="仿宋" w:eastAsia="仿宋" w:hAnsi="仿宋" w:cs="仿宋" w:hint="eastAsia"/>
            <w:lang w:eastAsia="zh-CN"/>
          </w:rPr>
          <w:t>(四)、给排水设计</w:t>
        </w:r>
        <w:r>
          <w:tab/>
        </w:r>
        <w:r>
          <w:fldChar w:fldCharType="begin"/>
        </w:r>
        <w:r>
          <w:instrText xml:space="preserve"> PAGEREF _Toc22177 \h </w:instrText>
        </w:r>
        <w:r>
          <w:fldChar w:fldCharType="separate"/>
        </w:r>
        <w:r>
          <w:t>36</w:t>
        </w:r>
        <w:r>
          <w:fldChar w:fldCharType="end"/>
        </w:r>
      </w:hyperlink>
    </w:p>
    <w:p>
      <w:pPr>
        <w:pStyle w:val="TOC2"/>
        <w:tabs>
          <w:tab w:val="right" w:leader="dot" w:pos="8306"/>
        </w:tabs>
      </w:pPr>
      <w:hyperlink w:anchor="_Toc20203" w:history="1">
        <w:r>
          <w:rPr>
            <w:rFonts w:ascii="仿宋" w:eastAsia="仿宋" w:hAnsi="仿宋" w:cs="仿宋" w:hint="eastAsia"/>
            <w:lang w:eastAsia="zh-CN"/>
          </w:rPr>
          <w:t>(五)、电气设计</w:t>
        </w:r>
        <w:r>
          <w:tab/>
        </w:r>
        <w:r>
          <w:fldChar w:fldCharType="begin"/>
        </w:r>
        <w:r>
          <w:instrText xml:space="preserve"> PAGEREF _Toc20203 \h </w:instrText>
        </w:r>
        <w:r>
          <w:fldChar w:fldCharType="separate"/>
        </w:r>
        <w:r>
          <w:t>37</w:t>
        </w:r>
        <w:r>
          <w:fldChar w:fldCharType="end"/>
        </w:r>
      </w:hyperlink>
    </w:p>
    <w:p>
      <w:pPr>
        <w:pStyle w:val="TOC2"/>
        <w:tabs>
          <w:tab w:val="right" w:leader="dot" w:pos="8306"/>
        </w:tabs>
      </w:pPr>
      <w:hyperlink w:anchor="_Toc17034" w:history="1">
        <w:r>
          <w:rPr>
            <w:rFonts w:ascii="仿宋" w:eastAsia="仿宋" w:hAnsi="仿宋" w:cs="仿宋" w:hint="eastAsia"/>
            <w:lang w:eastAsia="zh-CN"/>
          </w:rPr>
          <w:t>(六)、空调通风设计</w:t>
        </w:r>
        <w:r>
          <w:tab/>
        </w:r>
        <w:r>
          <w:fldChar w:fldCharType="begin"/>
        </w:r>
        <w:r>
          <w:instrText xml:space="preserve"> PAGEREF _Toc17034 \h </w:instrText>
        </w:r>
        <w:r>
          <w:fldChar w:fldCharType="separate"/>
        </w:r>
        <w:r>
          <w:t>39</w:t>
        </w:r>
        <w:r>
          <w:fldChar w:fldCharType="end"/>
        </w:r>
      </w:hyperlink>
    </w:p>
    <w:p>
      <w:pPr>
        <w:pStyle w:val="TOC2"/>
        <w:tabs>
          <w:tab w:val="right" w:leader="dot" w:pos="8306"/>
        </w:tabs>
      </w:pPr>
      <w:hyperlink w:anchor="_Toc22955" w:history="1">
        <w:r>
          <w:rPr>
            <w:rFonts w:ascii="仿宋" w:eastAsia="仿宋" w:hAnsi="仿宋" w:cs="仿宋" w:hint="eastAsia"/>
            <w:lang w:eastAsia="zh-CN"/>
          </w:rPr>
          <w:t>(七)、其他专业设计</w:t>
        </w:r>
        <w:r>
          <w:tab/>
        </w:r>
        <w:r>
          <w:fldChar w:fldCharType="begin"/>
        </w:r>
        <w:r>
          <w:instrText xml:space="preserve"> PAGEREF _Toc22955 \h </w:instrText>
        </w:r>
        <w:r>
          <w:fldChar w:fldCharType="separate"/>
        </w:r>
        <w:r>
          <w:t>40</w:t>
        </w:r>
        <w:r>
          <w:fldChar w:fldCharType="end"/>
        </w:r>
      </w:hyperlink>
    </w:p>
    <w:p>
      <w:pPr>
        <w:pStyle w:val="TOC1"/>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26620" w:history="1">
        <w:r>
          <w:rPr>
            <w:rFonts w:ascii="仿宋" w:eastAsia="仿宋" w:hAnsi="仿宋" w:cs="仿宋" w:hint="eastAsia"/>
            <w:lang w:eastAsia="zh-CN"/>
          </w:rPr>
          <w:t>十、社会投资和慈善计划</w:t>
        </w:r>
        <w:r>
          <w:tab/>
        </w:r>
        <w:r>
          <w:fldChar w:fldCharType="begin"/>
        </w:r>
        <w:r>
          <w:instrText xml:space="preserve"> PAGEREF _Toc26620 \h </w:instrText>
        </w:r>
        <w:r>
          <w:fldChar w:fldCharType="separate"/>
        </w:r>
        <w:r>
          <w:t>42</w:t>
        </w:r>
        <w:r>
          <w:fldChar w:fldCharType="end"/>
        </w:r>
      </w:hyperlink>
    </w:p>
    <w:p>
      <w:pPr>
        <w:pStyle w:val="TOC2"/>
        <w:tabs>
          <w:tab w:val="right" w:leader="dot" w:pos="8306"/>
        </w:tabs>
      </w:pPr>
      <w:hyperlink w:anchor="_Toc1245" w:history="1">
        <w:r>
          <w:rPr>
            <w:rFonts w:ascii="仿宋" w:eastAsia="仿宋" w:hAnsi="仿宋" w:cs="仿宋" w:hint="eastAsia"/>
            <w:lang w:eastAsia="zh-CN"/>
          </w:rPr>
          <w:t>(一)、社会责任投资和捐赠计划</w:t>
        </w:r>
        <w:r>
          <w:tab/>
        </w:r>
        <w:r>
          <w:fldChar w:fldCharType="begin"/>
        </w:r>
        <w:r>
          <w:instrText xml:space="preserve"> PAGEREF _Toc1245 \h </w:instrText>
        </w:r>
        <w:r>
          <w:fldChar w:fldCharType="separate"/>
        </w:r>
        <w:r>
          <w:t>42</w:t>
        </w:r>
        <w:r>
          <w:fldChar w:fldCharType="end"/>
        </w:r>
      </w:hyperlink>
    </w:p>
    <w:p>
      <w:pPr>
        <w:pStyle w:val="TOC2"/>
        <w:tabs>
          <w:tab w:val="right" w:leader="dot" w:pos="8306"/>
        </w:tabs>
      </w:pPr>
      <w:hyperlink w:anchor="_Toc19949" w:history="1">
        <w:r>
          <w:rPr>
            <w:rFonts w:ascii="仿宋" w:eastAsia="仿宋" w:hAnsi="仿宋" w:cs="仿宋" w:hint="eastAsia"/>
            <w:lang w:eastAsia="zh-CN"/>
          </w:rPr>
          <w:t>(二)、社会慈善核能及配套产品项目的可行性</w:t>
        </w:r>
        <w:r>
          <w:tab/>
        </w:r>
        <w:r>
          <w:fldChar w:fldCharType="begin"/>
        </w:r>
        <w:r>
          <w:instrText xml:space="preserve"> PAGEREF _Toc19949 \h </w:instrText>
        </w:r>
        <w:r>
          <w:fldChar w:fldCharType="separate"/>
        </w:r>
        <w:r>
          <w:t>43</w:t>
        </w:r>
        <w:r>
          <w:fldChar w:fldCharType="end"/>
        </w:r>
      </w:hyperlink>
    </w:p>
    <w:p>
      <w:pPr>
        <w:pStyle w:val="TOC2"/>
        <w:tabs>
          <w:tab w:val="right" w:leader="dot" w:pos="8306"/>
        </w:tabs>
      </w:pPr>
      <w:hyperlink w:anchor="_Toc28177" w:history="1">
        <w:r>
          <w:rPr>
            <w:rFonts w:ascii="仿宋" w:eastAsia="仿宋" w:hAnsi="仿宋" w:cs="仿宋" w:hint="eastAsia"/>
            <w:lang w:eastAsia="zh-CN"/>
          </w:rPr>
          <w:t>(三)、社会影响投资的测量和报告</w:t>
        </w:r>
        <w:r>
          <w:tab/>
        </w:r>
        <w:r>
          <w:fldChar w:fldCharType="begin"/>
        </w:r>
        <w:r>
          <w:instrText xml:space="preserve"> PAGEREF _Toc28177 \h </w:instrText>
        </w:r>
        <w:r>
          <w:fldChar w:fldCharType="separate"/>
        </w:r>
        <w:r>
          <w:t>45</w:t>
        </w:r>
        <w:r>
          <w:fldChar w:fldCharType="end"/>
        </w:r>
      </w:hyperlink>
    </w:p>
    <w:p>
      <w:pPr>
        <w:pStyle w:val="TOC1"/>
        <w:tabs>
          <w:tab w:val="right" w:leader="dot" w:pos="8306"/>
        </w:tabs>
      </w:pPr>
      <w:hyperlink w:anchor="_Toc19544" w:history="1">
        <w:r>
          <w:rPr>
            <w:rFonts w:ascii="仿宋" w:eastAsia="仿宋" w:hAnsi="仿宋" w:cs="仿宋" w:hint="eastAsia"/>
            <w:lang w:eastAsia="zh-CN"/>
          </w:rPr>
          <w:t>十一、安全生产评估报告书</w:t>
        </w:r>
        <w:r>
          <w:tab/>
        </w:r>
        <w:r>
          <w:fldChar w:fldCharType="begin"/>
        </w:r>
        <w:r>
          <w:instrText xml:space="preserve"> PAGEREF _Toc19544 \h </w:instrText>
        </w:r>
        <w:r>
          <w:fldChar w:fldCharType="separate"/>
        </w:r>
        <w:r>
          <w:t>46</w:t>
        </w:r>
        <w:r>
          <w:fldChar w:fldCharType="end"/>
        </w:r>
      </w:hyperlink>
    </w:p>
    <w:p>
      <w:pPr>
        <w:pStyle w:val="TOC2"/>
        <w:tabs>
          <w:tab w:val="right" w:leader="dot" w:pos="8306"/>
        </w:tabs>
      </w:pPr>
      <w:hyperlink w:anchor="_Toc9053" w:history="1">
        <w:r>
          <w:rPr>
            <w:rFonts w:ascii="仿宋" w:eastAsia="仿宋" w:hAnsi="仿宋" w:cs="仿宋" w:hint="eastAsia"/>
            <w:lang w:eastAsia="zh-CN"/>
          </w:rPr>
          <w:t>(一)、核能及配套产品项目安全生产评估的目的和依据</w:t>
        </w:r>
        <w:r>
          <w:tab/>
        </w:r>
        <w:r>
          <w:fldChar w:fldCharType="begin"/>
        </w:r>
        <w:r>
          <w:instrText xml:space="preserve"> PAGEREF _Toc9053 \h </w:instrText>
        </w:r>
        <w:r>
          <w:fldChar w:fldCharType="separate"/>
        </w:r>
        <w:r>
          <w:t>46</w:t>
        </w:r>
        <w:r>
          <w:fldChar w:fldCharType="end"/>
        </w:r>
      </w:hyperlink>
    </w:p>
    <w:p>
      <w:pPr>
        <w:pStyle w:val="TOC2"/>
        <w:tabs>
          <w:tab w:val="right" w:leader="dot" w:pos="8306"/>
        </w:tabs>
      </w:pPr>
      <w:hyperlink w:anchor="_Toc32501" w:history="1">
        <w:r>
          <w:rPr>
            <w:rFonts w:ascii="仿宋" w:eastAsia="仿宋" w:hAnsi="仿宋" w:cs="仿宋" w:hint="eastAsia"/>
            <w:lang w:eastAsia="zh-CN"/>
          </w:rPr>
          <w:t>(二)、核能及配套产品项目安全生产条件和现状评估</w:t>
        </w:r>
        <w:r>
          <w:tab/>
        </w:r>
        <w:r>
          <w:fldChar w:fldCharType="begin"/>
        </w:r>
        <w:r>
          <w:instrText xml:space="preserve"> PAGEREF _Toc32501 \h </w:instrText>
        </w:r>
        <w:r>
          <w:fldChar w:fldCharType="separate"/>
        </w:r>
        <w:r>
          <w:t>47</w:t>
        </w:r>
        <w:r>
          <w:fldChar w:fldCharType="end"/>
        </w:r>
      </w:hyperlink>
    </w:p>
    <w:p>
      <w:pPr>
        <w:pStyle w:val="TOC2"/>
        <w:tabs>
          <w:tab w:val="right" w:leader="dot" w:pos="8306"/>
        </w:tabs>
      </w:pPr>
      <w:hyperlink w:anchor="_Toc26531" w:history="1">
        <w:r>
          <w:rPr>
            <w:rFonts w:ascii="仿宋" w:eastAsia="仿宋" w:hAnsi="仿宋" w:cs="仿宋" w:hint="eastAsia"/>
            <w:lang w:eastAsia="zh-CN"/>
          </w:rPr>
          <w:t>(三)、安全生产风险评估和预测</w:t>
        </w:r>
        <w:r>
          <w:tab/>
        </w:r>
        <w:r>
          <w:fldChar w:fldCharType="begin"/>
        </w:r>
        <w:r>
          <w:instrText xml:space="preserve"> PAGEREF _Toc26531 \h </w:instrText>
        </w:r>
        <w:r>
          <w:fldChar w:fldCharType="separate"/>
        </w:r>
        <w:r>
          <w:t>48</w:t>
        </w:r>
        <w:r>
          <w:fldChar w:fldCharType="end"/>
        </w:r>
      </w:hyperlink>
    </w:p>
    <w:p>
      <w:pPr>
        <w:pStyle w:val="TOC2"/>
        <w:tabs>
          <w:tab w:val="right" w:leader="dot" w:pos="8306"/>
        </w:tabs>
      </w:pPr>
      <w:hyperlink w:anchor="_Toc8935" w:history="1">
        <w:r>
          <w:rPr>
            <w:rFonts w:ascii="仿宋" w:eastAsia="仿宋" w:hAnsi="仿宋" w:cs="仿宋" w:hint="eastAsia"/>
            <w:lang w:eastAsia="zh-CN"/>
          </w:rPr>
          <w:t>(四)、安全生产对策措施和实施方案</w:t>
        </w:r>
        <w:r>
          <w:tab/>
        </w:r>
        <w:r>
          <w:fldChar w:fldCharType="begin"/>
        </w:r>
        <w:r>
          <w:instrText xml:space="preserve"> PAGEREF _Toc8935 \h </w:instrText>
        </w:r>
        <w:r>
          <w:fldChar w:fldCharType="separate"/>
        </w:r>
        <w:r>
          <w:t>50</w:t>
        </w:r>
        <w:r>
          <w:fldChar w:fldCharType="end"/>
        </w:r>
      </w:hyperlink>
    </w:p>
    <w:p>
      <w:pPr>
        <w:pStyle w:val="TOC1"/>
        <w:tabs>
          <w:tab w:val="right" w:leader="dot" w:pos="8306"/>
        </w:tabs>
      </w:pPr>
      <w:hyperlink w:anchor="_Toc6689" w:history="1">
        <w:r>
          <w:rPr>
            <w:rFonts w:ascii="仿宋" w:eastAsia="仿宋" w:hAnsi="仿宋" w:cs="仿宋" w:hint="eastAsia"/>
            <w:lang w:eastAsia="zh-CN"/>
          </w:rPr>
          <w:t>十二、合同管理和法务咨询</w:t>
        </w:r>
        <w:r>
          <w:tab/>
        </w:r>
        <w:r>
          <w:fldChar w:fldCharType="begin"/>
        </w:r>
        <w:r>
          <w:instrText xml:space="preserve"> PAGEREF _Toc6689 \h </w:instrText>
        </w:r>
        <w:r>
          <w:fldChar w:fldCharType="separate"/>
        </w:r>
        <w:r>
          <w:t>51</w:t>
        </w:r>
        <w:r>
          <w:fldChar w:fldCharType="end"/>
        </w:r>
      </w:hyperlink>
    </w:p>
    <w:p>
      <w:pPr>
        <w:pStyle w:val="TOC2"/>
        <w:tabs>
          <w:tab w:val="right" w:leader="dot" w:pos="8306"/>
        </w:tabs>
      </w:pPr>
      <w:hyperlink w:anchor="_Toc24206" w:history="1">
        <w:r>
          <w:rPr>
            <w:rFonts w:ascii="仿宋" w:eastAsia="仿宋" w:hAnsi="仿宋" w:cs="仿宋" w:hint="eastAsia"/>
            <w:lang w:eastAsia="zh-CN"/>
          </w:rPr>
          <w:t>(一)、合同管理体系的建立和管理</w:t>
        </w:r>
        <w:r>
          <w:tab/>
        </w:r>
        <w:r>
          <w:fldChar w:fldCharType="begin"/>
        </w:r>
        <w:r>
          <w:instrText xml:space="preserve"> PAGEREF _Toc24206 \h </w:instrText>
        </w:r>
        <w:r>
          <w:fldChar w:fldCharType="separate"/>
        </w:r>
        <w:r>
          <w:t>51</w:t>
        </w:r>
        <w:r>
          <w:fldChar w:fldCharType="end"/>
        </w:r>
      </w:hyperlink>
    </w:p>
    <w:p>
      <w:pPr>
        <w:pStyle w:val="TOC2"/>
        <w:tabs>
          <w:tab w:val="right" w:leader="dot" w:pos="8306"/>
        </w:tabs>
      </w:pPr>
      <w:hyperlink w:anchor="_Toc25452" w:history="1">
        <w:r>
          <w:rPr>
            <w:rFonts w:ascii="仿宋" w:eastAsia="仿宋" w:hAnsi="仿宋" w:cs="仿宋" w:hint="eastAsia"/>
            <w:lang w:eastAsia="zh-CN"/>
          </w:rPr>
          <w:t>(二)、法务咨询的程序和标准</w:t>
        </w:r>
        <w:r>
          <w:tab/>
        </w:r>
        <w:r>
          <w:fldChar w:fldCharType="begin"/>
        </w:r>
        <w:r>
          <w:instrText xml:space="preserve"> PAGEREF _Toc25452 \h </w:instrText>
        </w:r>
        <w:r>
          <w:fldChar w:fldCharType="separate"/>
        </w:r>
        <w:r>
          <w:t>53</w:t>
        </w:r>
        <w:r>
          <w:fldChar w:fldCharType="end"/>
        </w:r>
      </w:hyperlink>
    </w:p>
    <w:p>
      <w:pPr>
        <w:pStyle w:val="TOC2"/>
        <w:tabs>
          <w:tab w:val="right" w:leader="dot" w:pos="8306"/>
        </w:tabs>
      </w:pPr>
      <w:hyperlink w:anchor="_Toc11541" w:history="1">
        <w:r>
          <w:rPr>
            <w:rFonts w:ascii="仿宋" w:eastAsia="仿宋" w:hAnsi="仿宋" w:cs="仿宋" w:hint="eastAsia"/>
            <w:lang w:eastAsia="zh-CN"/>
          </w:rPr>
          <w:t>(三)、合同风险的控制和应对</w:t>
        </w:r>
        <w:r>
          <w:tab/>
        </w:r>
        <w:r>
          <w:fldChar w:fldCharType="begin"/>
        </w:r>
        <w:r>
          <w:instrText xml:space="preserve"> PAGEREF _Toc11541 \h </w:instrText>
        </w:r>
        <w:r>
          <w:fldChar w:fldCharType="separate"/>
        </w:r>
        <w:r>
          <w:t>55</w:t>
        </w:r>
        <w:r>
          <w:fldChar w:fldCharType="end"/>
        </w:r>
      </w:hyperlink>
    </w:p>
    <w:p>
      <w:pPr>
        <w:pStyle w:val="TOC1"/>
        <w:tabs>
          <w:tab w:val="right" w:leader="dot" w:pos="8306"/>
        </w:tabs>
      </w:pPr>
      <w:hyperlink w:anchor="_Toc6973" w:history="1">
        <w:r>
          <w:rPr>
            <w:rFonts w:ascii="仿宋" w:eastAsia="仿宋" w:hAnsi="仿宋" w:cs="仿宋" w:hint="eastAsia"/>
            <w:lang w:eastAsia="zh-CN"/>
          </w:rPr>
          <w:t>十三、组织架构和人力资源配置</w:t>
        </w:r>
        <w:r>
          <w:tab/>
        </w:r>
        <w:r>
          <w:fldChar w:fldCharType="begin"/>
        </w:r>
        <w:r>
          <w:instrText xml:space="preserve"> PAGEREF _Toc6973 \h </w:instrText>
        </w:r>
        <w:r>
          <w:fldChar w:fldCharType="separate"/>
        </w:r>
        <w:r>
          <w:t>57</w:t>
        </w:r>
        <w:r>
          <w:fldChar w:fldCharType="end"/>
        </w:r>
      </w:hyperlink>
    </w:p>
    <w:p>
      <w:pPr>
        <w:pStyle w:val="TOC2"/>
        <w:tabs>
          <w:tab w:val="right" w:leader="dot" w:pos="8306"/>
        </w:tabs>
      </w:pPr>
      <w:hyperlink w:anchor="_Toc13194" w:history="1">
        <w:r>
          <w:rPr>
            <w:rFonts w:ascii="仿宋" w:eastAsia="仿宋" w:hAnsi="仿宋" w:cs="仿宋" w:hint="eastAsia"/>
            <w:lang w:eastAsia="zh-CN"/>
          </w:rPr>
          <w:t>(一)、核能及配套产品项目组织架构和运行机制设计</w:t>
        </w:r>
        <w:r>
          <w:tab/>
        </w:r>
        <w:r>
          <w:fldChar w:fldCharType="begin"/>
        </w:r>
        <w:r>
          <w:instrText xml:space="preserve"> PAGEREF _Toc13194 \h </w:instrText>
        </w:r>
        <w:r>
          <w:fldChar w:fldCharType="separate"/>
        </w:r>
        <w:r>
          <w:t>57</w:t>
        </w:r>
        <w:r>
          <w:fldChar w:fldCharType="end"/>
        </w:r>
      </w:hyperlink>
    </w:p>
    <w:p>
      <w:pPr>
        <w:pStyle w:val="TOC2"/>
        <w:tabs>
          <w:tab w:val="right" w:leader="dot" w:pos="8306"/>
        </w:tabs>
      </w:pPr>
      <w:hyperlink w:anchor="_Toc13761" w:history="1">
        <w:r>
          <w:rPr>
            <w:rFonts w:ascii="仿宋" w:eastAsia="仿宋" w:hAnsi="仿宋" w:cs="仿宋" w:hint="eastAsia"/>
            <w:lang w:eastAsia="zh-CN"/>
          </w:rPr>
          <w:t>(二)、人力资源配置和岗位责任划分</w:t>
        </w:r>
        <w:r>
          <w:tab/>
        </w:r>
        <w:r>
          <w:fldChar w:fldCharType="begin"/>
        </w:r>
        <w:r>
          <w:instrText xml:space="preserve"> PAGEREF _Toc13761 \h </w:instrText>
        </w:r>
        <w:r>
          <w:fldChar w:fldCharType="separate"/>
        </w:r>
        <w:r>
          <w:t>58</w:t>
        </w:r>
        <w:r>
          <w:fldChar w:fldCharType="end"/>
        </w:r>
      </w:hyperlink>
    </w:p>
    <w:p>
      <w:pPr>
        <w:pStyle w:val="TOC2"/>
        <w:tabs>
          <w:tab w:val="right" w:leader="dot" w:pos="8306"/>
        </w:tabs>
      </w:pPr>
      <w:hyperlink w:anchor="_Toc13172" w:history="1">
        <w:r>
          <w:rPr>
            <w:rFonts w:ascii="仿宋" w:eastAsia="仿宋" w:hAnsi="仿宋" w:cs="仿宋" w:hint="eastAsia"/>
            <w:lang w:eastAsia="zh-CN"/>
          </w:rPr>
          <w:t>(三)、人员培训计划和绩效考核方案</w:t>
        </w:r>
        <w:r>
          <w:tab/>
        </w:r>
        <w:r>
          <w:fldChar w:fldCharType="begin"/>
        </w:r>
        <w:r>
          <w:instrText xml:space="preserve"> PAGEREF _Toc13172 \h </w:instrText>
        </w:r>
        <w:r>
          <w:fldChar w:fldCharType="separate"/>
        </w:r>
        <w:r>
          <w:t>59</w:t>
        </w:r>
        <w:r>
          <w:fldChar w:fldCharType="end"/>
        </w:r>
      </w:hyperlink>
    </w:p>
    <w:p>
      <w:pPr>
        <w:pStyle w:val="TOC1"/>
        <w:tabs>
          <w:tab w:val="right" w:leader="dot" w:pos="8306"/>
        </w:tabs>
      </w:pPr>
      <w:hyperlink w:anchor="_Toc15431" w:history="1">
        <w:r>
          <w:rPr>
            <w:rFonts w:ascii="仿宋" w:eastAsia="仿宋" w:hAnsi="仿宋" w:cs="仿宋" w:hint="eastAsia"/>
            <w:lang w:eastAsia="zh-CN"/>
          </w:rPr>
          <w:t>十四、绿色建筑和生态环保设计</w:t>
        </w:r>
        <w:r>
          <w:tab/>
        </w:r>
        <w:r>
          <w:fldChar w:fldCharType="begin"/>
        </w:r>
        <w:r>
          <w:instrText xml:space="preserve"> PAGEREF _Toc15431 \h </w:instrText>
        </w:r>
        <w:r>
          <w:fldChar w:fldCharType="separate"/>
        </w:r>
        <w:r>
          <w:t>61</w:t>
        </w:r>
        <w:r>
          <w:fldChar w:fldCharType="end"/>
        </w:r>
      </w:hyperlink>
    </w:p>
    <w:p>
      <w:pPr>
        <w:pStyle w:val="TOC2"/>
        <w:tabs>
          <w:tab w:val="right" w:leader="dot" w:pos="8306"/>
        </w:tabs>
      </w:pPr>
      <w:hyperlink w:anchor="_Toc12092" w:history="1">
        <w:r>
          <w:rPr>
            <w:rFonts w:ascii="仿宋" w:eastAsia="仿宋" w:hAnsi="仿宋" w:cs="仿宋" w:hint="eastAsia"/>
            <w:lang w:eastAsia="zh-CN"/>
          </w:rPr>
          <w:t>(一)、绿色建筑和生态环保设计的理念和实践</w:t>
        </w:r>
        <w:r>
          <w:tab/>
        </w:r>
        <w:r>
          <w:fldChar w:fldCharType="begin"/>
        </w:r>
        <w:r>
          <w:instrText xml:space="preserve"> PAGEREF _Toc12092 \h </w:instrText>
        </w:r>
        <w:r>
          <w:fldChar w:fldCharType="separate"/>
        </w:r>
        <w:r>
          <w:t>61</w:t>
        </w:r>
        <w:r>
          <w:fldChar w:fldCharType="end"/>
        </w:r>
      </w:hyperlink>
    </w:p>
    <w:p>
      <w:pPr>
        <w:pStyle w:val="TOC2"/>
        <w:tabs>
          <w:tab w:val="right" w:leader="dot" w:pos="8306"/>
        </w:tabs>
      </w:pPr>
      <w:hyperlink w:anchor="_Toc13442" w:history="1">
        <w:r>
          <w:rPr>
            <w:rFonts w:ascii="仿宋" w:eastAsia="仿宋" w:hAnsi="仿宋" w:cs="仿宋" w:hint="eastAsia"/>
            <w:lang w:eastAsia="zh-CN"/>
          </w:rPr>
          <w:t>(二)、核能及配套产品项目如何应用绿色建筑和生态环保设计</w:t>
        </w:r>
        <w:r>
          <w:tab/>
        </w:r>
        <w:r>
          <w:fldChar w:fldCharType="begin"/>
        </w:r>
        <w:r>
          <w:instrText xml:space="preserve"> PAGEREF _Toc13442 \h </w:instrText>
        </w:r>
        <w:r>
          <w:fldChar w:fldCharType="separate"/>
        </w:r>
        <w:r>
          <w:t>62</w:t>
        </w:r>
        <w:r>
          <w:fldChar w:fldCharType="end"/>
        </w:r>
      </w:hyperlink>
    </w:p>
    <w:p>
      <w:pPr>
        <w:pStyle w:val="TOC2"/>
        <w:tabs>
          <w:tab w:val="right" w:leader="dot" w:pos="8306"/>
        </w:tabs>
      </w:pPr>
      <w:hyperlink w:anchor="_Toc14069" w:history="1">
        <w:r>
          <w:rPr>
            <w:rFonts w:ascii="仿宋" w:eastAsia="仿宋" w:hAnsi="仿宋" w:cs="仿宋" w:hint="eastAsia"/>
            <w:lang w:eastAsia="zh-CN"/>
          </w:rPr>
          <w:t>(三)、绿色建筑和生态环保设计对核能及配套产品项目的影响和价值</w:t>
        </w:r>
        <w:r>
          <w:tab/>
        </w:r>
        <w:r>
          <w:fldChar w:fldCharType="begin"/>
        </w:r>
        <w:r>
          <w:instrText xml:space="preserve"> PAGEREF _Toc14069 \h </w:instrText>
        </w:r>
        <w:r>
          <w:fldChar w:fldCharType="separate"/>
        </w:r>
        <w:r>
          <w:t>63</w:t>
        </w:r>
        <w:r>
          <w:fldChar w:fldCharType="end"/>
        </w:r>
      </w:hyperlink>
    </w:p>
    <w:p>
      <w:pPr>
        <w:pStyle w:val="TOC1"/>
        <w:tabs>
          <w:tab w:val="right" w:leader="dot" w:pos="8306"/>
        </w:tabs>
      </w:pPr>
      <w:hyperlink w:anchor="_Toc12985" w:history="1">
        <w:r>
          <w:rPr>
            <w:rFonts w:ascii="仿宋" w:eastAsia="仿宋" w:hAnsi="仿宋" w:cs="仿宋" w:hint="eastAsia"/>
            <w:lang w:eastAsia="zh-CN"/>
          </w:rPr>
          <w:t>十五、供应链管理和合作伙伴选择</w:t>
        </w:r>
        <w:r>
          <w:tab/>
        </w:r>
        <w:r>
          <w:fldChar w:fldCharType="begin"/>
        </w:r>
        <w:r>
          <w:instrText xml:space="preserve"> PAGEREF _Toc12985 \h </w:instrText>
        </w:r>
        <w:r>
          <w:fldChar w:fldCharType="separate"/>
        </w:r>
        <w:r>
          <w:t>65</w:t>
        </w:r>
        <w:r>
          <w:fldChar w:fldCharType="end"/>
        </w:r>
      </w:hyperlink>
    </w:p>
    <w:p>
      <w:pPr>
        <w:pStyle w:val="TOC2"/>
        <w:tabs>
          <w:tab w:val="right" w:leader="dot" w:pos="8306"/>
        </w:tabs>
      </w:pPr>
      <w:hyperlink w:anchor="_Toc18498" w:history="1">
        <w:r>
          <w:rPr>
            <w:rFonts w:ascii="仿宋" w:eastAsia="仿宋" w:hAnsi="仿宋" w:cs="仿宋" w:hint="eastAsia"/>
            <w:lang w:eastAsia="zh-CN"/>
          </w:rPr>
          <w:t>(一)、供应链管理和合作伙伴关系概述</w:t>
        </w:r>
        <w:r>
          <w:tab/>
        </w:r>
        <w:r>
          <w:fldChar w:fldCharType="begin"/>
        </w:r>
        <w:r>
          <w:instrText xml:space="preserve"> PAGEREF _Toc18498 \h </w:instrText>
        </w:r>
        <w:r>
          <w:fldChar w:fldCharType="separate"/>
        </w:r>
        <w:r>
          <w:t>65</w:t>
        </w:r>
        <w:r>
          <w:fldChar w:fldCharType="end"/>
        </w:r>
      </w:hyperlink>
    </w:p>
    <w:p>
      <w:pPr>
        <w:pStyle w:val="TOC2"/>
        <w:tabs>
          <w:tab w:val="right" w:leader="dot" w:pos="8306"/>
        </w:tabs>
      </w:pPr>
      <w:hyperlink w:anchor="_Toc30364" w:history="1">
        <w:r>
          <w:rPr>
            <w:rFonts w:ascii="仿宋" w:eastAsia="仿宋" w:hAnsi="仿宋" w:cs="仿宋" w:hint="eastAsia"/>
            <w:lang w:eastAsia="zh-CN"/>
          </w:rPr>
          <w:t>(二)、供应商选择和评估标准</w:t>
        </w:r>
        <w:r>
          <w:tab/>
        </w:r>
        <w:r>
          <w:fldChar w:fldCharType="begin"/>
        </w:r>
        <w:r>
          <w:instrText xml:space="preserve"> PAGEREF _Toc30364 \h </w:instrText>
        </w:r>
        <w:r>
          <w:fldChar w:fldCharType="separate"/>
        </w:r>
        <w:r>
          <w:t>66</w:t>
        </w:r>
        <w:r>
          <w:fldChar w:fldCharType="end"/>
        </w:r>
      </w:hyperlink>
    </w:p>
    <w:p>
      <w:pPr>
        <w:pStyle w:val="TOC2"/>
        <w:tabs>
          <w:tab w:val="right" w:leader="dot" w:pos="8306"/>
        </w:tabs>
      </w:pPr>
      <w:hyperlink w:anchor="_Toc16990" w:history="1">
        <w:r>
          <w:rPr>
            <w:rFonts w:ascii="仿宋" w:eastAsia="仿宋" w:hAnsi="仿宋" w:cs="仿宋" w:hint="eastAsia"/>
            <w:lang w:eastAsia="zh-CN"/>
          </w:rPr>
          <w:t>(三)、物流和运输方案</w:t>
        </w:r>
        <w:r>
          <w:tab/>
        </w:r>
        <w:r>
          <w:fldChar w:fldCharType="begin"/>
        </w:r>
        <w:r>
          <w:instrText xml:space="preserve"> PAGEREF _Toc16990 \h </w:instrText>
        </w:r>
        <w:r>
          <w:fldChar w:fldCharType="separate"/>
        </w:r>
        <w:r>
          <w:t>67</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
      <w:r>
        <w:rPr>
          <w:rFonts w:ascii="仿宋" w:eastAsia="仿宋" w:hAnsi="仿宋" w:cs="仿宋" w:hint="eastAsia"/>
          <w:lang w:eastAsia="zh-CN"/>
        </w:rPr>
        <w:t>绪论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pPr>
        <w:pStyle w:val="Heading1"/>
        <w:ind w:firstLine="560" w:firstLineChars="200"/>
        <w:rPr>
          <w:rFonts w:ascii="仿宋" w:eastAsia="仿宋" w:hAnsi="仿宋" w:cs="仿宋" w:hint="eastAsia"/>
          <w:sz w:val="28"/>
          <w:lang w:eastAsia="zh-CN"/>
        </w:rPr>
      </w:pPr>
      <w:bookmarkStart w:id="2" w:name="_Toc19639"/>
      <w:r>
        <w:rPr>
          <w:rFonts w:ascii="仿宋" w:eastAsia="仿宋" w:hAnsi="仿宋" w:cs="仿宋" w:hint="eastAsia"/>
          <w:sz w:val="28"/>
          <w:lang w:eastAsia="zh-CN"/>
        </w:rPr>
        <w:t>一、核能及配套产品项目综合评价</w:t>
      </w:r>
      <w:bookmarkEnd w:id="2"/>
    </w:p>
    <w:p>
      <w:pPr>
        <w:ind w:firstLine="560" w:firstLineChars="200"/>
        <w:rPr>
          <w:rFonts w:ascii="仿宋" w:eastAsia="仿宋" w:hAnsi="仿宋" w:cs="仿宋" w:hint="eastAsia"/>
          <w:sz w:val="28"/>
        </w:rPr>
      </w:pPr>
      <w:r>
        <w:rPr>
          <w:rFonts w:ascii="仿宋" w:eastAsia="仿宋" w:hAnsi="仿宋" w:cs="仿宋" w:hint="eastAsia"/>
          <w:sz w:val="28"/>
          <w:lang w:eastAsia="zh-CN"/>
        </w:rPr>
        <w:t>经过深入而细致的市场调研与政策咨询，XXXX有限公司深刻洞察了当前市场的风貌以及政策环境。这样的调查使我们坚信，核能及配套产品项目不仅与国家产业政策紧密契合，还与地方产品规划相互呼应，同时也与公司的长远经营愿景高度一致。这使得核能及配套产品项目不仅在经济层面，更在战略规划层面成为公司未来的主要利润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原料供应充足，技术方案成熟稳定，市场需求广泛，这为核能及配套产品项目的可持续发展提供了坚实基础，保障了产品的供应链畅通和价格的稳定性。核能及配套产品项目预计将创造丰厚的经济效益，并产生显著的社会效益，为地方经济的蓬勃发展和人民生活水平的提升贡献积极力量。</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和分析显示，核能及配套产品项目有清晰的市场定位和明确的目标客户群体，足以满足广泛的消费者需求。环保分析表明，核能及配套产品项目的生产过程符合环保要求，将不会对周围环境造成负面影响。投资分析则揭示出核能及配套产品项目的高投资回报率以及较短的投资回收期，凸显了其投资价值的高度。</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所需的公用工程和配套设施充足，如水、电、气等，能够满足核能及配套产品项目的正常运营需求。针对工艺技术和主要设备的选型方案，充分的分析表明，所采用的技术和设备都是成熟可靠的，能够保障高效率的生产和卓越品质的产品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综上所述，核能及配套产品项目拥有明显的市场竞争优势，不仅能够带来显著的经济效益，还将产生积极的社会效益。这使得它成为一个备受投资和发展的有前景的核能及配套产品项目。</w:t>
      </w:r>
    </w:p>
    <w:p>
      <w:pPr>
        <w:pStyle w:val="Heading2"/>
        <w:ind w:firstLine="560" w:firstLineChars="200"/>
        <w:rPr>
          <w:rFonts w:ascii="仿宋" w:eastAsia="仿宋" w:hAnsi="仿宋" w:cs="仿宋" w:hint="eastAsia"/>
          <w:sz w:val="28"/>
          <w:lang w:eastAsia="zh-CN"/>
        </w:rPr>
      </w:pPr>
      <w:bookmarkStart w:id="3" w:name="_Toc7048"/>
      <w:r>
        <w:rPr>
          <w:rFonts w:ascii="仿宋" w:eastAsia="仿宋" w:hAnsi="仿宋" w:cs="仿宋" w:hint="eastAsia"/>
          <w:sz w:val="28"/>
          <w:lang w:eastAsia="zh-CN"/>
        </w:rPr>
        <w:t>(一)、核能及配套产品项目建设期总体设计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能及配套产品项目的建设计划跨越XXX个月，从核能及配套产品项目可行性研究报告的制定起，延伸至工程竣工验收和投产运营的完结，预计整个过程将耗时约XXX个月。在这期间，将同时进行土建施工和设备安装，并兼顾施工计划的策划、人员的聘用和培训等各项工作。所有这些步骤将在工程完成后顺利过渡，实现核能及配套产品项目的正式投产。</w:t>
      </w:r>
    </w:p>
    <w:p>
      <w:pPr>
        <w:pStyle w:val="Heading2"/>
        <w:ind w:firstLine="560" w:firstLineChars="200"/>
        <w:rPr>
          <w:rFonts w:ascii="仿宋" w:eastAsia="仿宋" w:hAnsi="仿宋" w:cs="仿宋" w:hint="eastAsia"/>
          <w:sz w:val="28"/>
          <w:lang w:eastAsia="zh-CN"/>
        </w:rPr>
      </w:pPr>
      <w:bookmarkStart w:id="4" w:name="_Toc32476"/>
      <w:r>
        <w:rPr>
          <w:rFonts w:ascii="仿宋" w:eastAsia="仿宋" w:hAnsi="仿宋" w:cs="仿宋" w:hint="eastAsia"/>
          <w:sz w:val="28"/>
          <w:lang w:eastAsia="zh-CN"/>
        </w:rPr>
        <w:t>(二)、核能及配套产品项目实施保障措施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核能及配套产品项目实施的保障措施如下：</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织与管理保障：我们将建立一个完备的组织管理体系，制定详细的核能及配套产品项目实施计划和时间安排，并明晰每位团队成员的职责和任务。此外，定期召开核能及配套产品项目进展会议，以确保对核能及配套产品项目进展情况有持续的了解，并及时解决所遇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技术支持保障：为确保核能及配套产品项目的技术落地和稳定运行，我们将提供专业的技术支持。这包括相关技术领域的专家指导和解决方案，以应对可能出现的挑战。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人力资源保障：我们将充分调配人力资源，以确保核能及配套产品项目团队成员具备必要的技能和经验。通过定期培训和技能提升，我们将持续提高团队的综合素质。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资金保障：为确保核能及配套产品项目不受资金问题影响，我们将提供充足的资金支持，以保障核能及配套产品项目开支的及时支付。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风险管理保障：我们将制定全面的风险管理计划，预测并应对核能及配套产品项目实施过程中可能出现的各类风险。通过这些措施，我们将确保核能及配套产品项目能够稳健推进并取得成功。</w:t>
      </w:r>
    </w:p>
    <w:p>
      <w:pPr>
        <w:pStyle w:val="Heading1"/>
        <w:ind w:firstLine="560" w:firstLineChars="200"/>
        <w:rPr>
          <w:rFonts w:ascii="仿宋" w:eastAsia="仿宋" w:hAnsi="仿宋" w:cs="仿宋" w:hint="eastAsia"/>
          <w:sz w:val="28"/>
          <w:lang w:eastAsia="zh-CN"/>
        </w:rPr>
      </w:pPr>
      <w:bookmarkStart w:id="5" w:name="_Toc12790"/>
      <w:r>
        <w:rPr>
          <w:rFonts w:ascii="仿宋" w:eastAsia="仿宋" w:hAnsi="仿宋" w:cs="仿宋" w:hint="eastAsia"/>
          <w:sz w:val="28"/>
          <w:lang w:eastAsia="zh-CN"/>
        </w:rPr>
        <w:t>二、核能及配套产品项目组织机构与人力资源配置</w:t>
      </w:r>
      <w:bookmarkEnd w:id="5"/>
    </w:p>
    <w:p>
      <w:pPr>
        <w:pStyle w:val="Heading2"/>
        <w:rPr>
          <w:rFonts w:ascii="仿宋" w:eastAsia="仿宋" w:hAnsi="仿宋" w:cs="仿宋" w:hint="eastAsia"/>
          <w:lang w:eastAsia="zh-CN"/>
        </w:rPr>
      </w:pPr>
      <w:bookmarkStart w:id="6" w:name="_Toc23574"/>
      <w:r>
        <w:rPr>
          <w:rFonts w:ascii="仿宋" w:eastAsia="仿宋" w:hAnsi="仿宋" w:cs="仿宋" w:hint="eastAsia"/>
          <w:lang w:eastAsia="zh-CN"/>
        </w:rPr>
        <w:t>(一)、核能及配套产品项目组织机构设置</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核能及配套产品项目组织架构：</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描述核能及配套产品项目的组织架构，包括核能及配套产品项目的层级结构和各个部门或团队的职责和职能。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强调核能及配套产品项目组织架构的合理性和高效性，确保核能及配套产品项目的顺利实施和管理。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核能及配套产品项目经理和团队：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介绍核能及配套产品项目经理和核能及配套产品项目团队的角色和职责，包括核能及配套产品项目经理的领导和决策能力，团队成员的专业能力和协作能力。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强调核能及配套产品项目经理的重要性，作为核能及配套产品项目的核心管理者，负责核能及配套产品项目的整体规划、执行和控制。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部门或团队设置：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描述各个部门或团队的设置和职责，包括技术研发、市场推广、运营管理等。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强调部门或团队之间的协作和沟通，确保核能及配套产品项目各个方面的顺利推进和协调。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职责和权限：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明确各个职位的职责和权限，确保核能及配套产品项目成员清楚自己的工作范围和责任。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强调职责和权限的合理分配，避免决策权过于集中或模糊不清的情况发生。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沟通与协作机制：</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描述核能及配套产品项目内部沟通和协作的机制，包括定期会议、工作报告、沟通平台等。</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强调沟通与协作的重要性，促进核能及配套产品项目团队之间的信息共享和问题解决。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强调监督与评估的重要性，确保核能及配套产品项目的进展和绩效符合预期。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描述监督与评估的机制和流程，包括定期检查、绩效评估和风险管理等。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强调培训与发展的重要性，提高核能及配套产品项目团队成员的专业能力和素质水平。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描述培训与发展计划，包括内部培训、外部培训和知识分享等。</w:t>
      </w:r>
    </w:p>
    <w:p>
      <w:pPr>
        <w:pStyle w:val="Heading2"/>
        <w:ind w:firstLine="560" w:firstLineChars="200"/>
        <w:rPr>
          <w:rFonts w:ascii="仿宋" w:eastAsia="仿宋" w:hAnsi="仿宋" w:cs="仿宋" w:hint="eastAsia"/>
          <w:sz w:val="28"/>
          <w:lang w:eastAsia="zh-CN"/>
        </w:rPr>
      </w:pPr>
      <w:bookmarkStart w:id="7" w:name="_Toc17252"/>
      <w:r>
        <w:rPr>
          <w:rFonts w:ascii="仿宋" w:eastAsia="仿宋" w:hAnsi="仿宋" w:cs="仿宋" w:hint="eastAsia"/>
          <w:sz w:val="28"/>
          <w:lang w:eastAsia="zh-CN"/>
        </w:rPr>
        <w:t>(二)、人力资源配置计划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核能及配套产品项目人力资源需求分析：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对核能及配套产品项目进行人力资源需求分析，确定所需的各类岗位和人员数量。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考虑核能及配套产品项目的规模、复杂性、时间要求等因素，合理估计人力资源需求。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岗位职责和要求：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明确各个岗位的职责和要求，包括技术能力、工作经验、沟通能力等。</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根据核能及配套产品项目的需要，制定岗位职责和要求的详细描述，以便后续的招聘和评估。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制定人员招聘计划，包括招聘渠道、招聘方式和招聘时间表等。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考虑到核能及配套产品项目的紧迫性和特殊性，制定合理的招聘计划，确保招聘工作的顺利进行。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根据核能及配套产品项目的需求和人员的能力缺口，制定人员培训计划。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确定培训内容、培训方式和培训时间，提高人员的专业能力和适应能力。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设计绩效评估和激励机制，以激发人员的积极性和创造力。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确定评估指标、评估周期和激励方式，建立公正、公平的绩效评估体系。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确定人力资源管理的责任部门和人员，负责人员招聘、培训、绩效评估等工作。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建立人力资源管理的流程和制度，保证人力资源的合理配置和管理。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人员离职和补充计划：</w:t>
      </w:r>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考虑到核能及配套产品项目的变化和人员流动的情况，制定人员离职和补充计划。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确定离职手续和补充人员的招聘计划，保持核能及配套产品项目团队的稳定性和连续性。</w:t>
      </w:r>
    </w:p>
    <w:p>
      <w:pPr>
        <w:pStyle w:val="Heading2"/>
        <w:ind w:firstLine="560" w:firstLineChars="200"/>
        <w:rPr>
          <w:rFonts w:ascii="仿宋" w:eastAsia="仿宋" w:hAnsi="仿宋" w:cs="仿宋" w:hint="eastAsia"/>
          <w:sz w:val="28"/>
          <w:lang w:eastAsia="zh-CN"/>
        </w:rPr>
      </w:pPr>
      <w:bookmarkStart w:id="8" w:name="_Toc3231"/>
      <w:r>
        <w:rPr>
          <w:rFonts w:ascii="仿宋" w:eastAsia="仿宋" w:hAnsi="仿宋" w:cs="仿宋" w:hint="eastAsia"/>
          <w:sz w:val="28"/>
          <w:lang w:eastAsia="zh-CN"/>
        </w:rPr>
        <w:t>(三)、培训计划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对核能及配套产品项目团队成员的现有技能和知识进行评估，确定培训的需求和重点领域。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考虑核能及配套产品项目的特点和要求，确定培训的范围和目标，确保培训计划的针对性和有效性。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根据培训需求分析的结果，确定培训的具体内容和形式。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包括技术培训、管理培训、沟通培训等方面，可以结合内部培训、外部培训、在线培训等形式进行。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制定培训计划和时间表，明确培训的安排和持续时间。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考虑到核能及配套产品项目的进度和团队成员的工作安排，合理安排培训时间，确保培训的顺利进行。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培训资源和合作伙伴：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确定培训所需的资源和合作伙伴，包括培训师资、培训设施和培训材料等。</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可以考虑与专业培训机构、高校合作，利用外部资源提供高质量的培训服务。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设计培训评估和反馈机制，以衡量培训效果和满意度。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可以采用问卷调查、培训成果展示等方式，收集参训人员的反馈和意见，为后续的培训改进提供参考。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持续学习和知识分享：</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强调持续学习和知识分享的重要性，鼓励团队成员在核能及配套产品项目过程中不断学习和成长。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可以建立知识分享平台、组织内部讲座等方式，促进知识的传递和共享。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培训成本和预算：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评估培训计划的成本和预算，确保培训的经济合理性和可行性。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综合考虑培训资源、培训时间和培训形式等因素，制定合理的培训预算。</w:t>
      </w:r>
    </w:p>
    <w:p>
      <w:pPr>
        <w:pStyle w:val="Heading1"/>
        <w:ind w:firstLine="560" w:firstLineChars="200"/>
        <w:rPr>
          <w:rFonts w:ascii="仿宋" w:eastAsia="仿宋" w:hAnsi="仿宋" w:cs="仿宋" w:hint="eastAsia"/>
          <w:sz w:val="28"/>
          <w:lang w:eastAsia="zh-CN"/>
        </w:rPr>
      </w:pPr>
      <w:bookmarkStart w:id="9" w:name="_Toc25326"/>
      <w:r>
        <w:rPr>
          <w:rFonts w:ascii="仿宋" w:eastAsia="仿宋" w:hAnsi="仿宋" w:cs="仿宋" w:hint="eastAsia"/>
          <w:sz w:val="28"/>
          <w:lang w:eastAsia="zh-CN"/>
        </w:rPr>
        <w:t>三、物资采购和管理</w:t>
      </w:r>
      <w:bookmarkEnd w:id="9"/>
    </w:p>
    <w:p>
      <w:pPr>
        <w:pStyle w:val="Heading2"/>
        <w:rPr>
          <w:rFonts w:ascii="仿宋" w:eastAsia="仿宋" w:hAnsi="仿宋" w:cs="仿宋" w:hint="eastAsia"/>
          <w:lang w:eastAsia="zh-CN"/>
        </w:rPr>
      </w:pPr>
      <w:bookmarkStart w:id="10" w:name="_Toc31663"/>
      <w:r>
        <w:rPr>
          <w:rFonts w:ascii="仿宋" w:eastAsia="仿宋" w:hAnsi="仿宋" w:cs="仿宋" w:hint="eastAsia"/>
          <w:lang w:eastAsia="zh-CN"/>
        </w:rPr>
        <w:t>(一)、物资采购的程序和标准</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采购程序：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需求确认：明确物资采购的需求，包括数量、规格、质量要求等，与相关部门和人员进行沟通和确认，确保采购的准确性和满足性。</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供应商选择：根据采购需求，进行供应商的筛选和评估，考虑供应商的信誉、价格、交货能力等因素，选择合适的供应商进行采购。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报价和谈判：向供应商索取报价，进行价格谈判和合同条款的商议，确保采购的价格合理和合同条款明确。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订单确认：根据谈判结果，与供应商签订采购订单，明确物资的数量、价格、交货时间等，确保采购的准确性和合法性。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交货和验收：监督供应商按照订单要求进行物资的交货，进行验收和质量检查，确保物资的质量和符合要求。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结算和支付：根据供应商提供的发票和交货单据，进行结算和支付，确保采购的合规性和及时性。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质量标准：明确物资采购的质量标准和要求，包括产品的质量认证、检验标准、合规要求等，确保采购的物资符合质量标准。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价格标准：根据市场行情和供需情况，制定合理的价格标准，确保采购的价格合理和公平。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交货期标准：明确物资采购的交货期要求，与供应商协商确定合理的交货时间，确保采购的及时性和供应链的顺畅性。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合规标准：遵守相关法律法规和政策要求，包括环境保护、劳工权益、知识产权等方面的合规标准，确保采购的合法性和道德性。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注意事项和建议：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供应商评估：建立供应商评估机制，定期对供应商进行评估和监督，确保供应商的稳定性和可靠性。</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合同管理：建立健全的合同管理制度，明确合同条款和责任，加强对合同履行的监督和管理。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风险管理：识别和评估采购过程中的风险，制定相应的风险管理措施，减少采购风险对核能及配套产品项目的影响。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信息化支持：利用信息化技术，建立物资采购的信息管理系统，提高采购流程的效率和透明度。</w:t>
      </w:r>
    </w:p>
    <w:p>
      <w:pPr>
        <w:pStyle w:val="Heading2"/>
        <w:ind w:firstLine="560" w:firstLineChars="200"/>
        <w:rPr>
          <w:rFonts w:ascii="仿宋" w:eastAsia="仿宋" w:hAnsi="仿宋" w:cs="仿宋" w:hint="eastAsia"/>
          <w:sz w:val="28"/>
          <w:lang w:eastAsia="zh-CN"/>
        </w:rPr>
      </w:pPr>
      <w:bookmarkStart w:id="11" w:name="_Toc2384"/>
      <w:r>
        <w:rPr>
          <w:rFonts w:ascii="仿宋" w:eastAsia="仿宋" w:hAnsi="仿宋" w:cs="仿宋" w:hint="eastAsia"/>
          <w:sz w:val="28"/>
          <w:lang w:eastAsia="zh-CN"/>
        </w:rPr>
        <w:t>(二)、物资管理的措施和办法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物资分类和编码：</w:t>
      </w:r>
    </w:p>
    <w:p>
      <w:pPr>
        <w:ind w:firstLine="560" w:firstLineChars="200"/>
        <w:rPr>
          <w:rFonts w:ascii="仿宋" w:eastAsia="仿宋" w:hAnsi="仿宋" w:cs="仿宋" w:hint="eastAsia"/>
          <w:sz w:val="28"/>
        </w:rPr>
      </w:pPr>
      <w:r>
        <w:rPr>
          <w:rFonts w:ascii="仿宋" w:eastAsia="仿宋" w:hAnsi="仿宋" w:cs="仿宋" w:hint="eastAsia"/>
          <w:sz w:val="28"/>
          <w:lang w:eastAsia="zh-CN"/>
        </w:rPr>
        <w:t>分类体系：建立适合核能及配套产品项目需求的物资分类体系，根据物资的属性、用途、特性等进行分类，便于管理和查询。</w:t>
      </w:r>
    </w:p>
    <w:p>
      <w:pPr>
        <w:ind w:firstLine="560" w:firstLineChars="200"/>
        <w:rPr>
          <w:rFonts w:ascii="仿宋" w:eastAsia="仿宋" w:hAnsi="仿宋" w:cs="仿宋" w:hint="eastAsia"/>
          <w:sz w:val="28"/>
        </w:rPr>
      </w:pPr>
      <w:r>
        <w:rPr>
          <w:rFonts w:ascii="仿宋" w:eastAsia="仿宋" w:hAnsi="仿宋" w:cs="仿宋" w:hint="eastAsia"/>
          <w:sz w:val="28"/>
          <w:lang w:eastAsia="zh-CN"/>
        </w:rPr>
        <w:t>编码系统：制定统一的物资编码系统，为每种物资分配唯一的编码，方便识别、追踪和管理。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采购计划：制定合理的采购计划，根据核能及配套产品项目需求和库存情况，合理安排物资的采购时间和数量。</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供应链合作：与供应商建立良好的合作关系，加强沟通和协调，确保物资供应的及时性和稳定性。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质量控制：建立质量控制体系，包括物资的质量检验、抽样检测等，确保物资的质量符合要求。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不合格品处理：建立不合格品处理流程，对不合格品进行分类、记录和处理，防止不合格品流入使用环节。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报废和处置：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报废管理：建立报废物资的管理程序，对过期、损坏或无法使用的物资进行及时报废处理，避免资源浪费和库存积压。</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环境友好处置：根据物资的性质和特点，选择合适的环境友好的处置方式，如回收利用、再利用等，降低对环境的影响。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技术支持和信息化：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技术支持：引入适当的物资管理技术和工具，如条码识别、RFID等，提高物资管理的效率和准确性。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信息化系统：建立物资管理的信息化系统，实现物资信息的集中管理、查询和分析，提升管理的智能化和科学化。</w:t>
      </w:r>
    </w:p>
    <w:p>
      <w:pPr>
        <w:pStyle w:val="Heading2"/>
        <w:ind w:firstLine="560" w:firstLineChars="200"/>
        <w:rPr>
          <w:rFonts w:ascii="仿宋" w:eastAsia="仿宋" w:hAnsi="仿宋" w:cs="仿宋" w:hint="eastAsia"/>
          <w:sz w:val="28"/>
          <w:lang w:eastAsia="zh-CN"/>
        </w:rPr>
      </w:pPr>
      <w:bookmarkStart w:id="12" w:name="_Toc6124"/>
      <w:r>
        <w:rPr>
          <w:rFonts w:ascii="仿宋" w:eastAsia="仿宋" w:hAnsi="仿宋" w:cs="仿宋" w:hint="eastAsia"/>
          <w:sz w:val="28"/>
          <w:lang w:eastAsia="zh-CN"/>
        </w:rPr>
        <w:t>(三)、物资质量和库存的控制和监督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质量标准：明确物资的质量标准和要求，包括产品的质量认证、检验标准、合规要求等，确保物资的质量符合标准。</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质量检验：建立质量检验程序和流程，对进货物资进行抽样检测、实验室测试等，确保物资的质量符合要求。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不合格品处理：建立不合格品处理流程，对不符合质量标准的物资进行分类、记录和处理，防止不合格品流入使用环节。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供应商评估：建立供应商质量评估机制，对供应商的质量管理能力进行评估和监督，确保供应商提供的物资符合质量标准。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库存控制和监督：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库存优化：通过优化库存管理策略，如采用先进的库存管理模型和技术，合理控制物资的进货、出货和补货，降低库存成本和风险。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监督措施和建议：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内部监督机制：建立内部监督机制，包括设立专门的物资管理部门或岗位，明确责任和权限，加强对物资质量和库存的监督和管理。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外部监督和认证：与第三方机构合作，进行物资质量的外部监督和认证，确保物资符合国家标准和法规要求。</w:t>
      </w:r>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数据分析和报告：利用数据分析工具和技术，对物资质量和库存数据进行分析和报告，发现问题和改进机会，提高管理决策的科学性和准确性。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培训计划：制定物资质量和库存管理的培训计划，对相关人员进行培训，提升其质量控制和库存管理的专业能力。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培养团队文化：建立积极的团队文化，强调质量意识和库存管理的重要性，激发团队成员的积极性和责任感。</w:t>
      </w:r>
    </w:p>
    <w:p>
      <w:pPr>
        <w:pStyle w:val="Heading1"/>
        <w:ind w:firstLine="560" w:firstLineChars="200"/>
        <w:rPr>
          <w:rFonts w:ascii="仿宋" w:eastAsia="仿宋" w:hAnsi="仿宋" w:cs="仿宋" w:hint="eastAsia"/>
          <w:sz w:val="28"/>
          <w:lang w:eastAsia="zh-CN"/>
        </w:rPr>
      </w:pPr>
      <w:bookmarkStart w:id="13" w:name="_Toc18447"/>
      <w:r>
        <w:rPr>
          <w:rFonts w:ascii="仿宋" w:eastAsia="仿宋" w:hAnsi="仿宋" w:cs="仿宋" w:hint="eastAsia"/>
          <w:sz w:val="28"/>
          <w:lang w:eastAsia="zh-CN"/>
        </w:rPr>
        <w:t>四、市场营销和推广策略</w:t>
      </w:r>
      <w:bookmarkEnd w:id="13"/>
    </w:p>
    <w:p>
      <w:pPr>
        <w:pStyle w:val="Heading2"/>
        <w:rPr>
          <w:rFonts w:ascii="仿宋" w:eastAsia="仿宋" w:hAnsi="仿宋" w:cs="仿宋" w:hint="eastAsia"/>
          <w:lang w:eastAsia="zh-CN"/>
        </w:rPr>
      </w:pPr>
      <w:bookmarkStart w:id="14" w:name="_Toc23667"/>
      <w:r>
        <w:rPr>
          <w:rFonts w:ascii="仿宋" w:eastAsia="仿宋" w:hAnsi="仿宋" w:cs="仿宋" w:hint="eastAsia"/>
          <w:lang w:eastAsia="zh-CN"/>
        </w:rPr>
        <w:t>(一)、核能及配套产品项目产品的市场定位和目标客户分析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描述核能及配套产品项目产品在市场中的定位和定位策略。这包括确定核能及配套产品项目产品的市场定位，即产品在市场中所占据的独特位置和竞争优势。市场定位还包括确定目标市场细分和目标市场定位策略，即将产品定位于哪些特定的市场细分和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分析：对核能及配套产品项目产品的目标客户进行详细分析和描述。这包括确定目标客户的特征和特点，例如年龄、性别、地理位置、职业等方面的信息。目标客户分析还包括对目标客户需求和偏好的分析，以了解他们对产品的需求和购买决策因素。</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分析：对核能及配套产品项目产品的竞争环境进行分析。这包括识别和分析核能及配套产品项目产品的主要竞争对手，以及他们的产品特点、定位和市场份额等方面的信息。竞争分析还包括评估竞争对手的优势和劣势，以及核能及配套产品项目产品相对于竞争对手的竞争优势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评估：评估目标市场对核能及配套产品项目产品的需求和潜在市场规模。这包括收集和分析市场数据、行业报告和市场调研数据，以了解目标市场的需求趋势和增长潜力。通过对市场需求的评估，可以确定核能及配套产品项目产品的市场机会和潜在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营销策略：根据市场定位和目标客户分析的结果，制定相应的市场营销策略。这包括确定产品的定价策略、推广和宣传策略、渠道选择和销售策略等方面的内容。市场营销策略的制定旨在吸引目标客户、提高产品的市场知名度和认可度，并实现销售和市场份额的增长。</w:t>
      </w:r>
    </w:p>
    <w:p>
      <w:pPr>
        <w:pStyle w:val="Heading2"/>
        <w:ind w:firstLine="560" w:firstLineChars="200"/>
        <w:rPr>
          <w:rFonts w:ascii="仿宋" w:eastAsia="仿宋" w:hAnsi="仿宋" w:cs="仿宋" w:hint="eastAsia"/>
          <w:sz w:val="28"/>
          <w:lang w:eastAsia="zh-CN"/>
        </w:rPr>
      </w:pPr>
      <w:bookmarkStart w:id="15" w:name="_Toc18129"/>
      <w:r>
        <w:rPr>
          <w:rFonts w:ascii="仿宋" w:eastAsia="仿宋" w:hAnsi="仿宋" w:cs="仿宋" w:hint="eastAsia"/>
          <w:sz w:val="28"/>
          <w:lang w:eastAsia="zh-CN"/>
        </w:rPr>
        <w:t>(二)、市场营销策略和推广渠道选择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描述核能及配套产品项目产品的定价策略和定价模型。这包括确定产品的价格区间和定价策略，例如高端定价、中端定价和低端定价等。定价策略的制定应该考虑到目标市场的需求和偏好，以及竞争对手的定价策略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推广和宣传策略：制定核能及配套产品项目产品的推广和宣传策略，以提高产品的市场知名度和认可度。这包括确定推广和宣传渠道，例如广告、促销、公关和内容营销等方面的内容。推广和宣传策略的制定应该考虑到目标客户的特征和需求，以及竞争对手的推广和宣传策略和市场份额等因素。</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选择适合核能及配套产品项目产品的销售渠道和分销渠道，以实现产品的销售和市场份额的增长。这包括直接销售、代理销售、电子商务和实体店销售等方面的内容。渠道选择应该考虑到目标客户的购买习惯和渠道偏好，以及竞争对手的销售渠道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策略：制定核能及配套产品项目产品的品牌策略，以提高产品的品牌知名度和认可度。这包括确定品牌名称、品牌形象和品牌定位等方面的内容。品牌策略的制定应该考虑到目标客户的特征和需求，以及竞争对手的品牌策略和市场份额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建立监测和评估机制，对市场营销策略和推广渠道选择的实施效果进行监测和评估。通过监测和评估，及时发现和解决问题，优化市场营销策略和推广渠道选择，以提高核能及配套产品项目产品的市场竞争力和商业成功率。</w:t>
      </w:r>
    </w:p>
    <w:p>
      <w:pPr>
        <w:pStyle w:val="Heading2"/>
        <w:ind w:firstLine="560" w:firstLineChars="200"/>
        <w:rPr>
          <w:rFonts w:ascii="仿宋" w:eastAsia="仿宋" w:hAnsi="仿宋" w:cs="仿宋" w:hint="eastAsia"/>
          <w:sz w:val="28"/>
          <w:lang w:eastAsia="zh-CN"/>
        </w:rPr>
      </w:pPr>
      <w:bookmarkStart w:id="16" w:name="_Toc3913"/>
      <w:r>
        <w:rPr>
          <w:rFonts w:ascii="仿宋" w:eastAsia="仿宋" w:hAnsi="仿宋" w:cs="仿宋" w:hint="eastAsia"/>
          <w:sz w:val="28"/>
          <w:lang w:eastAsia="zh-CN"/>
        </w:rPr>
        <w:t>(三)、市场调研和竞争对手分析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进行全面的市场调研，收集和分析与核能及配套产品项目产品相关的市场数据和信息。市场调研可以包括定性和定量研究方法，例如市场调查、焦点小组讨论、访谈和数据分析等。通过市场调研，可以了解目标市场的规模、增长趋势、市场细分、客户需求和偏好等方面的信息。</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细分：根据市场调研的结果，将目标市场进行细分，确定适合核能及配套产品项目产品的目标市场细分和目标客户群体。目标市场细分可以根据客户特征、需求和行为等因素进行划分，以便更好地了解目标客户的特点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对核能及配套产品项目产品的主要竞争对手进行分析和评估。竞争对手分析可以包括竞争对手的产品特点、定价策略、市场份额、销售渠道、品牌形象和市场反应等方面的信息。通过竞争对手分析，可以了解竞争对手的优势和劣势，以及核能及配套产品项目产品相对于竞争对手的竞争优势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评估：基于市场调研和竞争对手分析的结果，评估核能及配套产品项目产品在目标市场中的市场机会和潜在收益。这包括确定核能及配套产品项目产品的市场空白和差距，分析市场趋势和增长预测，以及评估核能及配套产品项目产品的市场份额和增长潜力等方面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和差异化：根据市场调研和竞争对手分析的结果，确定核能及配套产品项目产品的市场定位和差异化策略。市场定位和差异化策略应该能够突出核能及配套产品项目产品的独特性和竞争优势，吸引目标客户并与竞争对手区分开来。</w:t>
      </w:r>
    </w:p>
    <w:p>
      <w:pPr>
        <w:pStyle w:val="Heading1"/>
        <w:ind w:firstLine="560" w:firstLineChars="200"/>
        <w:rPr>
          <w:rFonts w:ascii="仿宋" w:eastAsia="仿宋" w:hAnsi="仿宋" w:cs="仿宋" w:hint="eastAsia"/>
          <w:sz w:val="28"/>
          <w:lang w:eastAsia="zh-CN"/>
        </w:rPr>
      </w:pPr>
      <w:bookmarkStart w:id="17" w:name="_Toc25753"/>
      <w:r>
        <w:rPr>
          <w:rFonts w:ascii="仿宋" w:eastAsia="仿宋" w:hAnsi="仿宋" w:cs="仿宋" w:hint="eastAsia"/>
          <w:sz w:val="28"/>
          <w:lang w:eastAsia="zh-CN"/>
        </w:rPr>
        <w:t>五、市场营销和客户体验管理</w:t>
      </w:r>
      <w:bookmarkEnd w:id="17"/>
    </w:p>
    <w:p>
      <w:pPr>
        <w:pStyle w:val="Heading2"/>
        <w:rPr>
          <w:rFonts w:ascii="仿宋" w:eastAsia="仿宋" w:hAnsi="仿宋" w:cs="仿宋" w:hint="eastAsia"/>
          <w:lang w:eastAsia="zh-CN"/>
        </w:rPr>
      </w:pPr>
      <w:bookmarkStart w:id="18" w:name="_Toc18481"/>
      <w:r>
        <w:rPr>
          <w:rFonts w:ascii="仿宋" w:eastAsia="仿宋" w:hAnsi="仿宋" w:cs="仿宋" w:hint="eastAsia"/>
          <w:lang w:eastAsia="zh-CN"/>
        </w:rPr>
        <w:t>(一)、核能及配套产品项目产品的市场定位和目标客户分析</w:t>
      </w:r>
      <w:bookmarkEnd w:id="18"/>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我们需要确定核能及配套产品项目产品的市场定位，即确定产品在市场上的位置和竞争优势。这包括确定产品的特点、独特卖点和目标市场。我们可以通过市场调研、竞争分析和消费者洞察来确定产品的市场定位，并将其与竞争对手进行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分析：我们需要对目标客户进行详细分析，以了解他们的需求、喜好、行为和购买能力。这可以通过市场调研、消费者调查和数据分析等方式来实现。我们可以确定目标客户的人口统计数据、兴趣爱好、购买习惯等，并将其与产品的特点和市场定位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和增长趋势：我们需要评估目标市场的规模和增长趋势，以确定核能及配套产品项目产品的市场潜力和机会。这包括分析市场的总体规模、市场份额和增长率等指标，并预测未来的市场趋势和发展方向。我们可以使用市场数据和行业报告来支持我们的分析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分析：我们需要对竞争对手进行分析，了解他们的产品、定价、市场份额和营销策略等。这可以帮助我们确定核能及配套产品项目产品的竞争优势和差异化点，并制定相应的市场推广和营销策略。我们可以通过市场调研、竞争对手分析和行业报告等方式来获取竞争情报。</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推广和销售策略：基于市场定位和目标客户分析的结果，我们需要制定相应的市场推广和销售策略。这包括确定适合目标客户的渠道和媒体、制定定价策略、开展促销活动、建立品牌形象等。我们可以参考市场营销的最佳实践和成功案例，并根据实际情况进行调整和优化。</w:t>
      </w:r>
    </w:p>
    <w:p>
      <w:pPr>
        <w:pStyle w:val="Heading2"/>
        <w:ind w:firstLine="560" w:firstLineChars="200"/>
        <w:rPr>
          <w:rFonts w:ascii="仿宋" w:eastAsia="仿宋" w:hAnsi="仿宋" w:cs="仿宋" w:hint="eastAsia"/>
          <w:sz w:val="28"/>
          <w:lang w:eastAsia="zh-CN"/>
        </w:rPr>
      </w:pPr>
      <w:bookmarkStart w:id="19" w:name="_Toc25539"/>
      <w:r>
        <w:rPr>
          <w:rFonts w:ascii="仿宋" w:eastAsia="仿宋" w:hAnsi="仿宋" w:cs="仿宋" w:hint="eastAsia"/>
          <w:sz w:val="28"/>
          <w:lang w:eastAsia="zh-CN"/>
        </w:rPr>
        <w:t>(二)、市场营销策略和推广渠道选择</w:t>
      </w:r>
      <w:bookmarkEnd w:id="19"/>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营销策略：我们需要制定相应的市场营销策略，以确保核能及配套产品项目产品在市场上成功推广和销售。这包括确定产品的独特卖点、定价策略、促销策略、品牌形象和营销目标等方面。我们可以参考市场营销的最佳实践和成功案例，并根据实际情况进行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推广渠道选择：我们需要选择适合目标客户的推广渠道，以确保核能及配套产品项目产品能够被目标客户知晓和购买。这包括线上和线下推广渠道，如社交媒体、搜索引擎优化、电子邮件营销、展会、广告等。我们可以根据目标客户的特点和行为习惯，选择最适合的推广渠道，并通过市场测试和数据分析来优化推广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建设：我们需要建立和维护核能及配套产品项目产品的品牌形象，以提高产品的知名度和美誉度。这包括设计和制作品牌标识、制定品牌口号、建立品牌故事等方面。我们可以通过市场调研和消费者反馈来了解目标客户对品牌形象的看法，并根据反馈结果进行品牌形象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和优化：我们需要通过数据分析来评估市场营销策略和推广效果，并进行相应的优化和调整。这包括分析市场营销数据、了解目标客户的反馈和行为、评估推广渠道的效果等方面。我们可以使用现代数据分析工具和技术，如Google Analytics、社交媒体分析工具等，来支持我们的数据分析和优化工作。</w:t>
      </w:r>
    </w:p>
    <w:p>
      <w:pPr>
        <w:pStyle w:val="Heading2"/>
        <w:ind w:firstLine="560" w:firstLineChars="200"/>
        <w:rPr>
          <w:rFonts w:ascii="仿宋" w:eastAsia="仿宋" w:hAnsi="仿宋" w:cs="仿宋" w:hint="eastAsia"/>
          <w:sz w:val="28"/>
          <w:lang w:eastAsia="zh-CN"/>
        </w:rPr>
      </w:pPr>
      <w:bookmarkStart w:id="20" w:name="_Toc11056"/>
      <w:r>
        <w:rPr>
          <w:rFonts w:ascii="仿宋" w:eastAsia="仿宋" w:hAnsi="仿宋" w:cs="仿宋" w:hint="eastAsia"/>
          <w:sz w:val="28"/>
          <w:lang w:eastAsia="zh-CN"/>
        </w:rPr>
        <w:t>(三)、客户体验管理和反馈机制建设</w:t>
      </w:r>
      <w:bookmarkEnd w:id="20"/>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体验管理：我们需要重视客户体验，确保核能及配套产品项目产品能够提供令客户满意的使用体验。这包括产品设计的易用性、功能完善性、品质可靠性等方面。我们可以通过用户研究、原型测试和用户反馈等方式来了解客户需求和期望，并将其融入产品设计和改进过程中。</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机制建设：建立有效的反馈机制可以帮助我们及时了解客户的意见、建议和问题，并采取相应的措施进行改进。我们可以通过多种渠道收集客户反馈，如在线调查、用户评价、社交媒体互动等。同时，我们需要确保反馈机制的透明性和及时性，以便能够快速响应客户的需求并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关系管理：建立良好的客户关系是核能及配套产品项目成功的关键之一。我们需要建立客户数据库，并进行有效的客户管理和维护。这包括跟进客户需求、提供个性化的服务、定期与客户进行沟通等方面。通过建立稳固的客户关系，我们能够增加客户的忠诚度和口碑传播，进而促进核能及配套产品项目的长期发展。</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持续改进：客户体验管理和反馈机制建设是一个持续改进的过程。我们需要不断收集、分析和应用客户反馈的数据，以识别潜在的问题和改进机会。同时，我们还可以借鉴其他行业的最佳实践，关注市场趋势和客户需求的变化，不断优化核能及配套产品项目产品和服务，以提供更好的客户体验。</w:t>
      </w:r>
    </w:p>
    <w:p>
      <w:pPr>
        <w:pStyle w:val="Heading1"/>
        <w:ind w:firstLine="560" w:firstLineChars="200"/>
        <w:rPr>
          <w:rFonts w:ascii="仿宋" w:eastAsia="仿宋" w:hAnsi="仿宋" w:cs="仿宋" w:hint="eastAsia"/>
          <w:sz w:val="28"/>
          <w:lang w:eastAsia="zh-CN"/>
        </w:rPr>
      </w:pPr>
      <w:bookmarkStart w:id="21" w:name="_Toc32495"/>
      <w:r>
        <w:rPr>
          <w:rFonts w:ascii="仿宋" w:eastAsia="仿宋" w:hAnsi="仿宋" w:cs="仿宋" w:hint="eastAsia"/>
          <w:sz w:val="28"/>
          <w:lang w:eastAsia="zh-CN"/>
        </w:rPr>
        <w:t>六、企业文化和员工培训</w:t>
      </w:r>
      <w:bookmarkEnd w:id="21"/>
    </w:p>
    <w:p>
      <w:pPr>
        <w:pStyle w:val="Heading2"/>
        <w:rPr>
          <w:rFonts w:ascii="仿宋" w:eastAsia="仿宋" w:hAnsi="仿宋" w:cs="仿宋" w:hint="eastAsia"/>
          <w:lang w:eastAsia="zh-CN"/>
        </w:rPr>
      </w:pPr>
      <w:bookmarkStart w:id="22" w:name="_Toc23633"/>
      <w:r>
        <w:rPr>
          <w:rFonts w:ascii="仿宋" w:eastAsia="仿宋" w:hAnsi="仿宋" w:cs="仿宋" w:hint="eastAsia"/>
          <w:lang w:eastAsia="zh-CN"/>
        </w:rPr>
        <w:t>(一)、企业文化的建设和传承</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文化建设目标和价值观：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确定文化建设目标：明确企业文化建设的目标，例如增强员工凝聚力、塑造积极向上的工作氛围、提升员工满意度等。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确立核心价值观：制定企业的核心价值观和行为准则，以引导员工的行为和决策，构建积极向上的企业文化。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文化传承和弘扬：</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内部传播和教育：通过内部培训、员工手册、团队建设等方式，向员工传达企业文化的核心价值观、历史传承和行为规范。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领导示范和激励：企业领导要以身作则，积极践行企业文化，通过激励机制和奖励制度，鼓励员工积极参与和传承企业文化。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沟通渠道和平台：建立畅通的沟通渠道，包括员工反馈机制、员工代表会议、内部社交平台等，促进员工之间的交流和参与。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员工参与和贡献：鼓励员工参与企业文化建设，例如组织员工活动、设立奖励制度、提供发展机会等，激发员工的归属感和参与度。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文化体现和落地：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员工行为和工作环境：通过制定明确的行为规范和工作标准，引导员工在工作中体现企业文化，同时创造积极向上的工作环境。</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对外形象和品牌建设：将企业文化体现在对外宣传、产品和服务中，塑造积极的企业形象和品牌形象，提升企业的竞争力和声誉。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文化评估指标：制定文化评估指标，例如员工满意度调查、文化传承度评估等，定期评估企业文化的效果和改进空间。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持续改进措施：根据评估结果，采取相应的改进措施，例如调整管理制度、改善员工福利、加强培训等，不断优化企业文化建设和传承的效果。</w:t>
      </w:r>
    </w:p>
    <w:p>
      <w:pPr>
        <w:pStyle w:val="Heading2"/>
        <w:ind w:firstLine="560" w:firstLineChars="200"/>
        <w:rPr>
          <w:rFonts w:ascii="仿宋" w:eastAsia="仿宋" w:hAnsi="仿宋" w:cs="仿宋" w:hint="eastAsia"/>
          <w:sz w:val="28"/>
          <w:lang w:eastAsia="zh-CN"/>
        </w:rPr>
      </w:pPr>
      <w:bookmarkStart w:id="23" w:name="_Toc30272"/>
      <w:r>
        <w:rPr>
          <w:rFonts w:ascii="仿宋" w:eastAsia="仿宋" w:hAnsi="仿宋" w:cs="仿宋" w:hint="eastAsia"/>
          <w:sz w:val="28"/>
          <w:lang w:eastAsia="zh-CN"/>
        </w:rPr>
        <w:t>(二)、员工培训的方案和实施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确定培训目标：明确培训的目标和期望结果，例如提升员工技能、增强专业知识、改善沟通能力等。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进行需求调研：通过员工调研、岗位分析等方式，了解员工的培训需求和优先级，确定培训内容和重点。</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内部培训：根据员工的需求和岗位要求，开展内部培训课程，包括技能培训、管理培训、沟通培训等，提升员工的专业素养和综合能力。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外部培训：与专业培训机构或顾问合作，组织外部培训课程，引入行业先进的知识和技术，提供员工全面的发展机会。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培训计划和安排：</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制定培训计划：根据培训需求和公司战略目标，制定年度或季度的培训计划，明确培训内容、时间和参与人员。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安排培训资源：确定培训预算、培训场地和设备等资源，确保培训的顺利进行。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培训方法和工具：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面授培训：组织传统的面对面培训课程，通过讲座、研讨会、案例分析等形式，向员工传授知识和技能。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在线培训：利用网络平台和学习管理系统，提供在线培训课程，让员工可以根据自己的时间和需求进行学习，提高培训的灵活性和效率。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培训工具和资料：提供培训所需的教材、手册、视频教程等培训工具和资料，帮助员工更好地理解和应用所学知识。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培训评估指标：制定培训评估指标，例如员工满意度调查、培训成果考核等，评估培训效果和质量。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反馈和改进措施：根据评估结果，及时反馈培训效果，针对性地调整培训方案和方法，不断改进培训质量和效果。</w:t>
      </w:r>
    </w:p>
    <w:p>
      <w:pPr>
        <w:pStyle w:val="Heading2"/>
        <w:ind w:firstLine="560" w:firstLineChars="200"/>
        <w:rPr>
          <w:rFonts w:ascii="仿宋" w:eastAsia="仿宋" w:hAnsi="仿宋" w:cs="仿宋" w:hint="eastAsia"/>
          <w:sz w:val="28"/>
          <w:lang w:eastAsia="zh-CN"/>
        </w:rPr>
      </w:pPr>
      <w:bookmarkStart w:id="24" w:name="_Toc7778"/>
      <w:r>
        <w:rPr>
          <w:rFonts w:ascii="仿宋" w:eastAsia="仿宋" w:hAnsi="仿宋" w:cs="仿宋" w:hint="eastAsia"/>
          <w:sz w:val="28"/>
          <w:lang w:eastAsia="zh-CN"/>
        </w:rPr>
        <w:t>(三)、企业文化和员工培训的互动和融合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文化引领培训：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文化价值观贯穿培训：将企业文化的核心价值观和行为准则融入员工培训中，引导员工在培训过程中树立正确的工作态度和价值观。</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培训课程与文化一致：确保培训课程的内容与企业文化相一致，强调企业的核心价值观和行为规范，帮助员工理解和践行企业文化。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培训促进文化建设：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培训活动与文化活动结合：将员工培训与企业文化活动相结合，例如在培训过程中组织团队建设活动、文化体验等，加强员工之间的交流与合作，营造融洽的工作氛围。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培训内容传递文化信息：在培训中传递企业文化的信息和故事，让员工了解企业的历史、价值观和成功案例，增强对企业文化的认同感和归属感。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培训中鼓励员工参与：在培训过程中鼓励员工参与讨论、分享经验和观点，促进员工之间的互动和交流，培养积极向上的企业文化。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培训激发员工创新：通过培训激发员工的创新思维和能力，鼓励员工提出改进建议和创新方案，推动企业文化的不断演进和提升。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文化评估与培训反馈：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培训评估中考虑文化因素：在培训评估中考虑企业文化的影响，评估培训对企业文化的贡献和融合程度，进一步优化培训方案和实施效果。</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培训反馈与文化建设结合：通过培训反馈机制，收集员工对企业文化的认知和理解，及时调整培训策略和内容，不断提升培训与文化的互动效果。</w:t>
      </w:r>
    </w:p>
    <w:p>
      <w:pPr>
        <w:pStyle w:val="Heading1"/>
        <w:ind w:firstLine="560" w:firstLineChars="200"/>
        <w:rPr>
          <w:rFonts w:ascii="仿宋" w:eastAsia="仿宋" w:hAnsi="仿宋" w:cs="仿宋" w:hint="eastAsia"/>
          <w:sz w:val="28"/>
          <w:lang w:eastAsia="zh-CN"/>
        </w:rPr>
      </w:pPr>
      <w:bookmarkStart w:id="25" w:name="_Toc24474"/>
      <w:r>
        <w:rPr>
          <w:rFonts w:ascii="仿宋" w:eastAsia="仿宋" w:hAnsi="仿宋" w:cs="仿宋" w:hint="eastAsia"/>
          <w:sz w:val="28"/>
          <w:lang w:eastAsia="zh-CN"/>
        </w:rPr>
        <w:t>七、可行性结论</w:t>
      </w:r>
      <w:bookmarkEnd w:id="25"/>
    </w:p>
    <w:p>
      <w:pPr>
        <w:pStyle w:val="Heading2"/>
        <w:rPr>
          <w:rFonts w:ascii="仿宋" w:eastAsia="仿宋" w:hAnsi="仿宋" w:cs="仿宋" w:hint="eastAsia"/>
          <w:lang w:eastAsia="zh-CN"/>
        </w:rPr>
      </w:pPr>
      <w:bookmarkStart w:id="26" w:name="_Toc23748"/>
      <w:r>
        <w:rPr>
          <w:rFonts w:ascii="仿宋" w:eastAsia="仿宋" w:hAnsi="仿宋" w:cs="仿宋" w:hint="eastAsia"/>
          <w:lang w:eastAsia="zh-CN"/>
        </w:rPr>
        <w:t>(一)、技术可行性总结</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对现有技术方案进行了广泛的调研和比较。我们评估了这些技术方案的成熟度、可靠性、安全性、可维护性和可扩展性等方面，并与核能及配套产品项目需求进行了比较和匹配。我们还对技术方案的可行性进行了评估和分析，包括技术实现的难度、时间、成本和风险等方面。我们评估了技术实现所需的资源和人员，以确保核能及配套产品项目的技术实现能够按时、按质、按量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未来发展方面，我们对技术的更新换代、市场需求的变化和竞争环境的变化等方面进行了分析和展望。我们提出了相应的建议和措施，以确保核能及配套产品项目的技术方案能够持续满足市场需求和核能及配套产品项目需求。在技术可行性的总结中，我们认为核能及配套产品项目所涉及的技术方案是成熟、可靠且满足核能及配套产品项目需求的。我们相信，在技术方案的支持下，核能及配套产品项目能够实现成功和可持续发展。</w:t>
      </w:r>
    </w:p>
    <w:p>
      <w:pPr>
        <w:pStyle w:val="Heading2"/>
        <w:ind w:firstLine="560" w:firstLineChars="200"/>
        <w:rPr>
          <w:rFonts w:ascii="仿宋" w:eastAsia="仿宋" w:hAnsi="仿宋" w:cs="仿宋" w:hint="eastAsia"/>
          <w:sz w:val="28"/>
          <w:lang w:eastAsia="zh-CN"/>
        </w:rPr>
      </w:pPr>
      <w:bookmarkStart w:id="27" w:name="_Toc6595"/>
      <w:r>
        <w:rPr>
          <w:rFonts w:ascii="仿宋" w:eastAsia="仿宋" w:hAnsi="仿宋" w:cs="仿宋" w:hint="eastAsia"/>
          <w:sz w:val="28"/>
          <w:lang w:eastAsia="zh-CN"/>
        </w:rPr>
        <w:t>(二)、经济可行性总结</w:t>
      </w:r>
      <w:bookmarkEnd w:id="27"/>
    </w:p>
    <w:p>
      <w:pPr>
        <w:ind w:firstLine="560" w:firstLineChars="200"/>
        <w:rPr>
          <w:rFonts w:ascii="仿宋" w:eastAsia="仿宋" w:hAnsi="仿宋" w:cs="仿宋" w:hint="eastAsia"/>
          <w:sz w:val="28"/>
        </w:rPr>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对核能及配套产品项目的成本进行了评估，包括开发成本、运营成本、维护成本和升级成本等方面。我们考虑了不同场景下的成本变化，以确保核能及配套产品项目能够在不同的市场环境下保持经济可行性。其次，我们对核能及配套产品项目的收益进行了评估，包括市场需求、用户数量、用户付费意愿和竞争情况等方面。我们考虑了不同市场环境下的收益变化，以确保核能及配套产品项目能够在不同的市场环境下保持经济可行性。最后，我们对核能及配套产品项目的盈利能力进行了评估，考虑了核能及配套产品项目的成本和收益之间的关系，以及核能及配套产品项目的盈利能力和市场份额之间的关系。我们还考虑了核能及配套产品项目的长期发展和可持续性，以确保核能及配套产品项目能够长期保持盈利能力和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可行性总结中，我们认为经济可行性是核能及配套产品项目成功的关键之一。我们相信，通过对核能及配套产品项目的成本、收益和盈利能力进行全面评估和分析，并采取相应的措施和策略，我们能够确保核能及配套产品项目的经济可行性和长期发展。我们建议在核能及配套产品项目的不同阶段进行经济可行性评估，并根据评估结果调整核能及配套产品项目的策略和方向，以确保核能及配套产品项目的经济可行性和市场竞争力。</w:t>
      </w:r>
    </w:p>
    <w:p>
      <w:pPr>
        <w:pStyle w:val="Heading2"/>
        <w:ind w:firstLine="560" w:firstLineChars="200"/>
        <w:rPr>
          <w:rFonts w:ascii="仿宋" w:eastAsia="仿宋" w:hAnsi="仿宋" w:cs="仿宋" w:hint="eastAsia"/>
          <w:sz w:val="28"/>
          <w:lang w:eastAsia="zh-CN"/>
        </w:rPr>
      </w:pPr>
      <w:bookmarkStart w:id="28" w:name="_Toc8319"/>
      <w:r>
        <w:rPr>
          <w:rFonts w:ascii="仿宋" w:eastAsia="仿宋" w:hAnsi="仿宋" w:cs="仿宋" w:hint="eastAsia"/>
          <w:sz w:val="28"/>
          <w:lang w:eastAsia="zh-CN"/>
        </w:rPr>
        <w:t>(三)、法律与政策可行性总结</w:t>
      </w:r>
      <w:bookmarkEnd w:id="28"/>
    </w:p>
    <w:p>
      <w:pPr>
        <w:ind w:firstLine="560" w:firstLineChars="200"/>
        <w:rPr>
          <w:rFonts w:ascii="仿宋" w:eastAsia="仿宋" w:hAnsi="仿宋" w:cs="仿宋" w:hint="eastAsia"/>
          <w:sz w:val="28"/>
        </w:rPr>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对核能及配套产品项目所涉及的法律法规进行了评估，考虑了核能及配套产品项目所在地的国家和地区的法律法规，以及核能及配套产品项目所涉及的行业标准和规范。我们还考虑了核能及配套产品项目的合规性和风险因素，以确保核能及配套产品项目能够在法律法规的框架内合法运营。同时，我们对核能及配套产品项目所涉及的政策进行了评估，考虑了政府的政策导向和政策支持，以及政策变化对核能及配套产品项目的影响。我们还考虑了政策风险和政策不确定性，以确保核能及配套产品项目能够在政策环境的变化中保持稳定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与政策可行性总结中，我们认为法律和政策可行性是核能及配套产品项目成功的关键之一。我们建议在核能及配套产品项目的不同阶段进行法律和政策可行性评估，并根据评估结果调整核能及配套产品项目的策略和方向，以确保核能及配套产品项目的法律和政策可行性和市场竞争力。同时，我们强调核能及配套产品项目的社会责任，考虑了核能及配套产品项目对社会的影响，包括环境保护、公共安全和社会稳定等方面。我们还考虑了核能及配套产品项目的社会责任和企业形象之间的关系，以确保核能及配套产品项目能够在社会责任的框架内合法运营。</w:t>
      </w:r>
    </w:p>
    <w:p>
      <w:pPr>
        <w:pStyle w:val="Heading2"/>
        <w:ind w:firstLine="560" w:firstLineChars="200"/>
        <w:rPr>
          <w:rFonts w:ascii="仿宋" w:eastAsia="仿宋" w:hAnsi="仿宋" w:cs="仿宋" w:hint="eastAsia"/>
          <w:sz w:val="28"/>
          <w:lang w:eastAsia="zh-CN"/>
        </w:rPr>
      </w:pPr>
      <w:bookmarkStart w:id="29" w:name="_Toc401"/>
      <w:r>
        <w:rPr>
          <w:rFonts w:ascii="仿宋" w:eastAsia="仿宋" w:hAnsi="仿宋" w:cs="仿宋" w:hint="eastAsia"/>
          <w:sz w:val="28"/>
          <w:lang w:eastAsia="zh-CN"/>
        </w:rPr>
        <w:t>(四)、风险评估总结</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我们对核能及配套产品项目可能面临的风险进行了分类和分析。我们考虑了技术风险、市场风险、政策风险、财务风险、法律风险、环境风险和安全风险等方面。我们对每种风险进行了评估和分析，包括风险的概率、影响和后果等方面，以确定风险的严重程度和优先级。</w:t>
      </w:r>
    </w:p>
    <w:p>
      <w:pPr>
        <w:ind w:firstLine="560" w:firstLineChars="200"/>
        <w:rPr>
          <w:rFonts w:ascii="仿宋" w:eastAsia="仿宋" w:hAnsi="仿宋" w:cs="仿宋" w:hint="eastAsia"/>
          <w:sz w:val="28"/>
        </w:rPr>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险评估总结中，我们提出了相应的风险管理策略和措施。我们建议采取多种风险管理策略，包括风险规避、风险转移、风险缓解和风险承担等方面。我们还建议建立风险管理机制和体系，确保风险管理措施的实施和效果。同时，我们强调了风险管理的重要性，并建议在核能及配套产品项目的不同阶段进行风险评估和管理，以确保核能及配套产品项目的稳定和可持续发展。</w:t>
      </w:r>
    </w:p>
    <w:p>
      <w:pPr>
        <w:pStyle w:val="Heading1"/>
        <w:ind w:firstLine="560" w:firstLineChars="200"/>
        <w:rPr>
          <w:rFonts w:ascii="仿宋" w:eastAsia="仿宋" w:hAnsi="仿宋" w:cs="仿宋" w:hint="eastAsia"/>
          <w:sz w:val="28"/>
          <w:lang w:eastAsia="zh-CN"/>
        </w:rPr>
      </w:pPr>
      <w:bookmarkStart w:id="30" w:name="_Toc13115"/>
      <w:r>
        <w:rPr>
          <w:rFonts w:ascii="仿宋" w:eastAsia="仿宋" w:hAnsi="仿宋" w:cs="仿宋" w:hint="eastAsia"/>
          <w:sz w:val="28"/>
          <w:lang w:eastAsia="zh-CN"/>
        </w:rPr>
        <w:t>八、组织机构工作制度和劳动定员</w:t>
      </w:r>
      <w:bookmarkEnd w:id="30"/>
    </w:p>
    <w:p>
      <w:pPr>
        <w:pStyle w:val="Heading2"/>
        <w:rPr>
          <w:rFonts w:ascii="仿宋" w:eastAsia="仿宋" w:hAnsi="仿宋" w:cs="仿宋" w:hint="eastAsia"/>
          <w:lang w:eastAsia="zh-CN"/>
        </w:rPr>
      </w:pPr>
      <w:bookmarkStart w:id="31" w:name="_Toc16781"/>
      <w:r>
        <w:rPr>
          <w:rFonts w:ascii="仿宋" w:eastAsia="仿宋" w:hAnsi="仿宋" w:cs="仿宋" w:hint="eastAsia"/>
          <w:lang w:eastAsia="zh-CN"/>
        </w:rPr>
        <w:t>(一)、核能及配套产品项目工作制度</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根据实际情况，在核能及配套产品行业中，我们严格执行国家有关劳动法律、法规，充分考虑员工的身心健康和工作效率。为了保障员工有足够的休息时间，我们实行六日双休工作制。这种工作制度有利于提高工作效率和生产质量。</w:t>
      </w:r>
    </w:p>
    <w:p>
      <w:pPr>
        <w:pStyle w:val="Heading2"/>
        <w:ind w:firstLine="560" w:firstLineChars="200"/>
        <w:rPr>
          <w:rFonts w:ascii="仿宋" w:eastAsia="仿宋" w:hAnsi="仿宋" w:cs="仿宋" w:hint="eastAsia"/>
          <w:sz w:val="28"/>
          <w:lang w:eastAsia="zh-CN"/>
        </w:rPr>
      </w:pPr>
      <w:bookmarkStart w:id="32" w:name="_Toc1748"/>
      <w:r>
        <w:rPr>
          <w:rFonts w:ascii="仿宋" w:eastAsia="仿宋" w:hAnsi="仿宋" w:cs="仿宋" w:hint="eastAsia"/>
          <w:sz w:val="28"/>
          <w:lang w:eastAsia="zh-CN"/>
        </w:rPr>
        <w:t>(二)、劳动定员</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核能及配套产品项目建成投产后，将为XXX人提供服务。</w:t>
      </w:r>
    </w:p>
    <w:p>
      <w:pPr>
        <w:pStyle w:val="Heading2"/>
        <w:ind w:firstLine="560" w:firstLineChars="200"/>
        <w:rPr>
          <w:rFonts w:ascii="仿宋" w:eastAsia="仿宋" w:hAnsi="仿宋" w:cs="仿宋" w:hint="eastAsia"/>
          <w:sz w:val="28"/>
          <w:lang w:eastAsia="zh-CN"/>
        </w:rPr>
      </w:pPr>
      <w:bookmarkStart w:id="33" w:name="_Toc6071"/>
      <w:r>
        <w:rPr>
          <w:rFonts w:ascii="仿宋" w:eastAsia="仿宋" w:hAnsi="仿宋" w:cs="仿宋" w:hint="eastAsia"/>
          <w:sz w:val="28"/>
          <w:lang w:eastAsia="zh-CN"/>
        </w:rPr>
        <w:t>(三)、核能及配套产品项目建设人员培训</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一、核能及配套产品项目人员技术水平与要求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核能及配套产品项目要求人员具备高水平的技术能力，定期培训持证上岗，以应对复杂的业务场景和严苛的技术挑战。核能及配套产品项目人员应定期接受技术培训，并获得相应的证书，以应对核能及配套产品项目的复杂业务场景和严苛的技术挑战。</w:t>
      </w:r>
    </w:p>
    <w:p>
      <w:pPr>
        <w:ind w:firstLine="560" w:firstLineChars="200"/>
        <w:rPr>
          <w:rFonts w:ascii="仿宋" w:eastAsia="仿宋" w:hAnsi="仿宋" w:cs="仿宋" w:hint="eastAsia"/>
          <w:sz w:val="28"/>
        </w:rPr>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2、为了确保核能及配套产品项目能够按照既定的时间表和预算成功完成，核能及配套产品项目人员必须具备卓越的技术实力和丰富的经验。他们需要深入理解核能及配套产品项目需求，并能够有效地将客户需求转化为实际的技术解决方案。核能及配套产品项目人员应具备卓越的技术实力和丰富的经验，以便能够深入理解核能及配套产品项目需求，并能够有效地将客户需求转化为实际的技术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3、核能及配套产品项目人员需要具备创新思维和快速学习能力，以便在面对新的技术挑战时能够迅速适应并解决相关问题。此外，他们还需要具备良好的沟通和团队协作能力，以确保与团队成员和客户之间的有效沟通。核能及配套产品项目人员应具备创新思维和快速学习能力，以便能够迅速适应并解决新的技术挑战。此外，他们还需要具备良好的沟通和团队协作能力，以确保与团队成员和客户之间的有效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4、在核能及配套产品项目中，人员的技术水平是至关重要的。只有具备相应技术实力的团队成员才能够确保核能及配套产品项目的成功实施，为客户创造最大的价值。只有具备相应技术实力的团队成员才能够确保核能及配套产品项目的成功实施，为客户创造最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二、核能及配套产品项目培训规划建议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1、为了提高核能及配套产品项目团队的技术水平和整体素质，制定一份全面的培训计划。该计划应该涵盖各种技能和知识领域，包括但不限于核能及配套产品项目管理、团队合作、沟通技巧、业务领域知识以及具体的技术技能。核能及配套产品项目培训计划应涵盖各种技能和知识领域，包括核能及配套产品项目管理、团队合作、沟通技巧、业务领域知识以及具体的技术技能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5" w:history="1">
        <w:r>
          <w:rPr>
            <w:rFonts w:ascii="SimSun" w:eastAsia="SimSun" w:hAnsi="SimSun" w:cs="SimSun"/>
            <w:b/>
            <w:bCs/>
            <w:color w:val="0000EE"/>
            <w:kern w:val="0"/>
            <w:sz w:val="30"/>
            <w:szCs w:val="30"/>
            <w:u w:val="single" w:color="0000EE"/>
          </w:rPr>
          <w:t>https://d.book118.com/945140042003011034</w:t>
        </w:r>
      </w:hyperlink>
    </w:p>
    <w:p>
      <w:pPr>
        <w:ind w:firstLine="560" w:firstLineChars="200"/>
        <w:rPr>
          <w:rFonts w:ascii="仿宋" w:eastAsia="仿宋" w:hAnsi="仿宋" w:cs="仿宋" w:hint="eastAsia"/>
          <w:sz w:val="28"/>
        </w:rPr>
      </w:pPr>
    </w:p>
    <w:sectPr>
      <w:headerReference w:type="default" r:id="rId66"/>
      <w:footerReference w:type="default" r:id="rId67"/>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E6F8F"/>
    <w:rsid w:val="08DE6F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yperlink" Target="https://d.book118.com/945140042003011034" TargetMode="External" /><Relationship Id="rId66" Type="http://schemas.openxmlformats.org/officeDocument/2006/relationships/header" Target="header31.xml" /><Relationship Id="rId67" Type="http://schemas.openxmlformats.org/officeDocument/2006/relationships/footer" Target="footer31.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2023-12-15T20:02:00Z</dcterms:created>
  <dcterms:modified xsi:type="dcterms:W3CDTF">2023-12-15T20:02:33Z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