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专业设计服务相关行业公司成立方案及可行性研究报告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(七)、专业设计服务项目建设必要性分析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(一)、专业设计服务项目选址原则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(五)、专业设计服务项目选址综合评价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(五)、专业设计服务项目总投资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_Toc14566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七、专业设计服务项目经济效益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(三)、专业设计服务项目盈利能力分析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(一)、专业设计服务项目背景分析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(二)、专业设计服务项目建设必要性分析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十一、专业设计服务项目总结分析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0" w:history="1">
        <w:r>
          <w:rPr>
            <w:rFonts w:ascii="仿宋" w:eastAsia="仿宋" w:hAnsi="仿宋" w:cs="仿宋" w:hint="eastAsia"/>
            <w:lang w:eastAsia="zh-CN"/>
          </w:rPr>
          <w:t>(一)、社会责任专业设计服务项目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4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https://d.book118.com/945142043323011110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专业设计服务相关行业公司成立方案及可行性研究报告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专业设计服务相关行业公司成立方案及可行性研究报告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专业设计服务相关行业公司成立方案及可行性研究报告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专业设计服务相关行业公司成立方案及可行性研究报告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专业设计服务相关行业公司成立方案及可行性研究报告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514204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2024-02-03T19:41:00Z</dcterms:created>
  <dcterms:modified xsi:type="dcterms:W3CDTF">2024-02-03T19:41:36Z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547741E1CAAF4D1F8C0F4E9DFA0564B2_11</vt:lpwstr>
  </property>
  <property fmtid="{D5CDD505-2E9C-101B-9397-08002B2CF9AE}" pid="3" name="KSOProductBuildVer">
    <vt:lpwstr>2052-12.1.0.16250</vt:lpwstr>
  </property>
</Properties>
</file>