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Title"/>
      </w:pPr>
      <w:r>
        <w:rPr>
          <w:w w:val="105"/>
        </w:rPr>
        <w:t>大模型在政务领域应用的实践及前景</w:t>
      </w: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spacing w:before="3"/>
        <w:rPr>
          <w:rFonts w:ascii="黑体"/>
          <w:b/>
          <w:sz w:val="26"/>
        </w:rPr>
      </w:pPr>
    </w:p>
    <w:p>
      <w:pPr>
        <w:spacing w:before="45"/>
        <w:ind w:left="0" w:right="203" w:firstLine="0"/>
        <w:jc w:val="center"/>
        <w:rPr>
          <w:rFonts w:ascii="黑体" w:eastAsia="黑体" w:hint="eastAsia"/>
          <w:b/>
          <w:sz w:val="40"/>
        </w:rPr>
      </w:pPr>
      <w:r>
        <w:rPr>
          <w:rFonts w:ascii="黑体" w:eastAsia="黑体" w:hint="eastAsia"/>
          <w:b/>
          <w:sz w:val="40"/>
        </w:rPr>
        <w:t>(2023 年)</w:t>
      </w:r>
    </w:p>
    <w:p>
      <w:pPr>
        <w:spacing w:after="0"/>
        <w:jc w:val="center"/>
        <w:rPr>
          <w:rFonts w:ascii="黑体" w:eastAsia="黑体" w:hint="eastAsia"/>
          <w:sz w:val="40"/>
        </w:rPr>
        <w:sectPr>
          <w:type w:val="continuous"/>
          <w:pgSz w:w="11910" w:h="16840"/>
          <w:pgMar w:top="1580" w:right="1340" w:bottom="280" w:left="1540" w:header="720" w:footer="720" w:gutter="0"/>
          <w:cols w:num="1" w:space="720"/>
        </w:sectPr>
      </w:pPr>
    </w:p>
    <w:p>
      <w:pPr>
        <w:pStyle w:val="BodyText"/>
        <w:spacing w:before="7"/>
        <w:rPr>
          <w:rFonts w:ascii="黑体"/>
          <w:b/>
          <w:sz w:val="26"/>
        </w:rPr>
      </w:pPr>
    </w:p>
    <w:p>
      <w:pPr>
        <w:pStyle w:val="Heading1"/>
        <w:tabs>
          <w:tab w:val="left" w:pos="643"/>
        </w:tabs>
        <w:spacing w:before="55"/>
        <w:ind w:left="0" w:right="197"/>
        <w:jc w:val="center"/>
        <w:rPr>
          <w:rFonts w:ascii="黑体" w:eastAsia="黑体" w:hint="eastAsia"/>
        </w:rPr>
      </w:pPr>
      <w:r>
        <w:rPr>
          <w:rFonts w:ascii="黑体" w:eastAsia="黑体" w:hint="eastAsia"/>
        </w:rPr>
        <w:t>目</w:t>
      </w:r>
      <w:r>
        <w:rPr>
          <w:rFonts w:ascii="黑体" w:eastAsia="黑体" w:hint="eastAsia"/>
        </w:rPr>
        <w:tab/>
      </w:r>
      <w:r>
        <w:rPr>
          <w:rFonts w:ascii="黑体" w:eastAsia="黑体" w:hint="eastAsia"/>
        </w:rPr>
        <w:t>录</w:t>
      </w:r>
    </w:p>
    <w:sdt>
      <w:sdtPr>
        <w:id w:val="1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8561"/>
            </w:tabs>
            <w:spacing w:before="764"/>
            <w:rPr>
              <w:rFonts w:ascii="Times New Roman" w:eastAsia="Times New Roman"/>
            </w:rPr>
          </w:pPr>
          <w:hyperlink w:anchor="_bookmark0" w:history="1">
            <w:r>
              <w:t>一、</w:t>
            </w:r>
            <w:r>
              <w:rPr>
                <w:rFonts w:ascii="Times New Roman" w:eastAsia="Times New Roman"/>
              </w:rPr>
              <w:t>AI</w:t>
            </w:r>
            <w:r>
              <w:rPr>
                <w:rFonts w:ascii="Times New Roman" w:eastAsia="Times New Roman"/>
                <w:spacing w:val="-1"/>
              </w:rPr>
              <w:t xml:space="preserve"> </w:t>
            </w:r>
            <w:r>
              <w:t>大模型带来政府治理变革新机遇</w:t>
            </w:r>
            <w:r>
              <w:tab/>
            </w:r>
            <w:r>
              <w:rPr>
                <w:rFonts w:ascii="Times New Roman" w:eastAsia="Times New Roman"/>
              </w:rPr>
              <w:t>1</w:t>
            </w:r>
          </w:hyperlink>
        </w:p>
        <w:p>
          <w:pPr>
            <w:pStyle w:val="TOC1"/>
            <w:tabs>
              <w:tab w:val="right" w:leader="dot" w:pos="8561"/>
            </w:tabs>
            <w:spacing w:before="161"/>
            <w:rPr>
              <w:rFonts w:ascii="Times New Roman" w:eastAsia="Times New Roman"/>
            </w:rPr>
          </w:pPr>
          <w:hyperlink w:anchor="_bookmark3" w:history="1">
            <w:r>
              <w:t>二、全球掀起政务领域大模型应用浪潮</w:t>
            </w:r>
            <w:r>
              <w:tab/>
            </w:r>
            <w:r>
              <w:rPr>
                <w:rFonts w:ascii="Times New Roman" w:eastAsia="Times New Roman"/>
              </w:rPr>
              <w:t>2</w:t>
            </w:r>
          </w:hyperlink>
        </w:p>
        <w:p>
          <w:pPr>
            <w:pStyle w:val="TOC2"/>
            <w:tabs>
              <w:tab w:val="right" w:leader="dot" w:pos="8561"/>
            </w:tabs>
            <w:rPr>
              <w:rFonts w:ascii="Times New Roman" w:eastAsia="Times New Roman"/>
            </w:rPr>
          </w:pPr>
          <w:hyperlink w:anchor="_bookmark4" w:history="1">
            <w:r>
              <w:t>（一）探索推进较快，应用前景广阔</w:t>
            </w:r>
            <w:r>
              <w:tab/>
            </w:r>
            <w:r>
              <w:rPr>
                <w:rFonts w:ascii="Times New Roman" w:eastAsia="Times New Roman"/>
              </w:rPr>
              <w:t>2</w:t>
            </w:r>
          </w:hyperlink>
        </w:p>
        <w:p>
          <w:pPr>
            <w:pStyle w:val="TOC2"/>
            <w:tabs>
              <w:tab w:val="right" w:leader="dot" w:pos="8561"/>
            </w:tabs>
            <w:spacing w:before="160"/>
            <w:rPr>
              <w:rFonts w:ascii="Times New Roman" w:eastAsia="Times New Roman"/>
            </w:rPr>
          </w:pPr>
          <w:hyperlink w:anchor="_bookmark11" w:history="1">
            <w:r>
              <w:t>（二）覆盖场景丰富，技术潜能初现</w:t>
            </w:r>
            <w:r>
              <w:tab/>
            </w:r>
            <w:r>
              <w:rPr>
                <w:rFonts w:ascii="Times New Roman" w:eastAsia="Times New Roman"/>
              </w:rPr>
              <w:t>5</w:t>
            </w:r>
          </w:hyperlink>
        </w:p>
        <w:p>
          <w:pPr>
            <w:pStyle w:val="TOC2"/>
            <w:tabs>
              <w:tab w:val="right" w:leader="dot" w:pos="8561"/>
            </w:tabs>
            <w:rPr>
              <w:rFonts w:ascii="Times New Roman" w:eastAsia="Times New Roman"/>
            </w:rPr>
          </w:pPr>
          <w:hyperlink w:anchor="_bookmark21" w:history="1">
            <w:r>
              <w:t>（三）部署方式多元，尚无统一路径</w:t>
            </w:r>
            <w:r>
              <w:tab/>
            </w:r>
            <w:r>
              <w:rPr>
                <w:rFonts w:ascii="Times New Roman" w:eastAsia="Times New Roman"/>
              </w:rPr>
              <w:t>14</w:t>
            </w:r>
          </w:hyperlink>
        </w:p>
        <w:p>
          <w:pPr>
            <w:pStyle w:val="TOC2"/>
            <w:tabs>
              <w:tab w:val="right" w:leader="dot" w:pos="8561"/>
            </w:tabs>
            <w:spacing w:before="161"/>
            <w:rPr>
              <w:rFonts w:ascii="Times New Roman" w:eastAsia="Times New Roman"/>
            </w:rPr>
          </w:pPr>
          <w:hyperlink w:anchor="_bookmark24" w:history="1">
            <w:r>
              <w:t>（四）配套措施全面，力度持续强化</w:t>
            </w:r>
            <w:r>
              <w:tab/>
            </w:r>
            <w:r>
              <w:rPr>
                <w:rFonts w:ascii="Times New Roman" w:eastAsia="Times New Roman"/>
              </w:rPr>
              <w:t>17</w:t>
            </w:r>
          </w:hyperlink>
        </w:p>
        <w:p>
          <w:pPr>
            <w:pStyle w:val="TOC1"/>
            <w:tabs>
              <w:tab w:val="right" w:leader="dot" w:pos="8561"/>
            </w:tabs>
            <w:spacing w:before="160"/>
            <w:rPr>
              <w:rFonts w:ascii="Times New Roman" w:eastAsia="Times New Roman"/>
            </w:rPr>
          </w:pPr>
          <w:hyperlink w:anchor="_bookmark26" w:history="1">
            <w:r>
              <w:t>三、各国加快政务领域大模型应用规范</w:t>
            </w:r>
            <w:r>
              <w:tab/>
            </w:r>
            <w:r>
              <w:rPr>
                <w:rFonts w:ascii="Times New Roman" w:eastAsia="Times New Roman"/>
              </w:rPr>
              <w:t>19</w:t>
            </w:r>
          </w:hyperlink>
        </w:p>
        <w:p>
          <w:pPr>
            <w:pStyle w:val="TOC2"/>
            <w:tabs>
              <w:tab w:val="right" w:leader="dot" w:pos="8561"/>
            </w:tabs>
            <w:rPr>
              <w:rFonts w:ascii="Times New Roman" w:eastAsia="Times New Roman"/>
            </w:rPr>
          </w:pPr>
          <w:hyperlink w:anchor="_bookmark27" w:history="1">
            <w:r>
              <w:t>（一）发布临时指南，使用趋向合规</w:t>
            </w:r>
            <w:r>
              <w:tab/>
            </w:r>
            <w:r>
              <w:rPr>
                <w:rFonts w:ascii="Times New Roman" w:eastAsia="Times New Roman"/>
              </w:rPr>
              <w:t>19</w:t>
            </w:r>
          </w:hyperlink>
        </w:p>
        <w:p>
          <w:pPr>
            <w:pStyle w:val="TOC2"/>
            <w:tabs>
              <w:tab w:val="right" w:leader="dot" w:pos="8561"/>
            </w:tabs>
            <w:spacing w:before="161"/>
            <w:rPr>
              <w:rFonts w:ascii="Times New Roman" w:eastAsia="Times New Roman"/>
            </w:rPr>
          </w:pPr>
          <w:hyperlink w:anchor="_bookmark29" w:history="1">
            <w:r>
              <w:t>（二）厘清关键风险，提出管控原则</w:t>
            </w:r>
            <w:r>
              <w:tab/>
            </w:r>
            <w:r>
              <w:rPr>
                <w:rFonts w:ascii="Times New Roman" w:eastAsia="Times New Roman"/>
              </w:rPr>
              <w:t>22</w:t>
            </w:r>
          </w:hyperlink>
        </w:p>
        <w:p>
          <w:pPr>
            <w:pStyle w:val="TOC2"/>
            <w:tabs>
              <w:tab w:val="right" w:leader="dot" w:pos="8561"/>
            </w:tabs>
            <w:rPr>
              <w:rFonts w:ascii="Times New Roman" w:eastAsia="Times New Roman"/>
            </w:rPr>
          </w:pPr>
          <w:hyperlink w:anchor="_bookmark33" w:history="1">
            <w:r>
              <w:t>（三）框定场景范围，分类推进应用</w:t>
            </w:r>
            <w:r>
              <w:tab/>
            </w:r>
            <w:r>
              <w:rPr>
                <w:rFonts w:ascii="Times New Roman" w:eastAsia="Times New Roman"/>
              </w:rPr>
              <w:t>25</w:t>
            </w:r>
          </w:hyperlink>
        </w:p>
        <w:p>
          <w:pPr>
            <w:pStyle w:val="TOC2"/>
            <w:tabs>
              <w:tab w:val="right" w:leader="dot" w:pos="8561"/>
            </w:tabs>
            <w:spacing w:before="161"/>
            <w:rPr>
              <w:rFonts w:ascii="Times New Roman" w:eastAsia="Times New Roman"/>
            </w:rPr>
          </w:pPr>
          <w:hyperlink w:anchor="_bookmark35" w:history="1">
            <w:r>
              <w:t>（四）建立使用规范，形成监管闭环</w:t>
            </w:r>
            <w:r>
              <w:tab/>
            </w:r>
            <w:r>
              <w:rPr>
                <w:rFonts w:ascii="Times New Roman" w:eastAsia="Times New Roman"/>
              </w:rPr>
              <w:t>27</w:t>
            </w:r>
          </w:hyperlink>
        </w:p>
        <w:p>
          <w:pPr>
            <w:pStyle w:val="TOC1"/>
            <w:tabs>
              <w:tab w:val="right" w:leader="dot" w:pos="8561"/>
            </w:tabs>
            <w:rPr>
              <w:rFonts w:ascii="Times New Roman" w:eastAsia="Times New Roman"/>
            </w:rPr>
          </w:pPr>
          <w:hyperlink w:anchor="_bookmark37" w:history="1">
            <w:r>
              <w:t>四、我国政务领域大模型技术应用进展</w:t>
            </w:r>
            <w:r>
              <w:tab/>
            </w:r>
            <w:r>
              <w:rPr>
                <w:rFonts w:ascii="Times New Roman" w:eastAsia="Times New Roman"/>
              </w:rPr>
              <w:t>29</w:t>
            </w:r>
          </w:hyperlink>
        </w:p>
        <w:p>
          <w:pPr>
            <w:pStyle w:val="TOC2"/>
            <w:tabs>
              <w:tab w:val="right" w:leader="dot" w:pos="8561"/>
            </w:tabs>
            <w:spacing w:before="160"/>
            <w:rPr>
              <w:rFonts w:ascii="Times New Roman" w:eastAsia="Times New Roman"/>
            </w:rPr>
          </w:pPr>
          <w:hyperlink w:anchor="_bookmark38" w:history="1">
            <w:r>
              <w:t>（一）整体尚处起步探索阶段</w:t>
            </w:r>
            <w:r>
              <w:tab/>
            </w:r>
            <w:r>
              <w:rPr>
                <w:rFonts w:ascii="Times New Roman" w:eastAsia="Times New Roman"/>
              </w:rPr>
              <w:t>29</w:t>
            </w:r>
          </w:hyperlink>
        </w:p>
        <w:p>
          <w:pPr>
            <w:pStyle w:val="TOC2"/>
            <w:tabs>
              <w:tab w:val="right" w:leader="dot" w:pos="8561"/>
            </w:tabs>
            <w:rPr>
              <w:rFonts w:ascii="Times New Roman" w:eastAsia="Times New Roman"/>
            </w:rPr>
          </w:pPr>
          <w:hyperlink w:anchor="_bookmark43" w:history="1">
            <w:r>
              <w:t>（二）政策规范有待细化完善</w:t>
            </w:r>
            <w:r>
              <w:tab/>
            </w:r>
            <w:r>
              <w:rPr>
                <w:rFonts w:ascii="Times New Roman" w:eastAsia="Times New Roman"/>
              </w:rPr>
              <w:t>34</w:t>
            </w:r>
          </w:hyperlink>
        </w:p>
        <w:p>
          <w:pPr>
            <w:pStyle w:val="TOC2"/>
            <w:tabs>
              <w:tab w:val="right" w:leader="dot" w:pos="8561"/>
            </w:tabs>
            <w:spacing w:before="161"/>
            <w:rPr>
              <w:rFonts w:ascii="Times New Roman" w:eastAsia="Times New Roman"/>
            </w:rPr>
          </w:pPr>
          <w:hyperlink w:anchor="_bookmark45" w:history="1">
            <w:r>
              <w:t>（三）国内典型应用实践</w:t>
            </w:r>
            <w:r>
              <w:tab/>
            </w:r>
            <w:r>
              <w:rPr>
                <w:rFonts w:ascii="Times New Roman" w:eastAsia="Times New Roman"/>
              </w:rPr>
              <w:t>36</w:t>
            </w:r>
          </w:hyperlink>
        </w:p>
        <w:p>
          <w:pPr>
            <w:pStyle w:val="TOC1"/>
            <w:tabs>
              <w:tab w:val="right" w:leader="dot" w:pos="8561"/>
            </w:tabs>
            <w:rPr>
              <w:rFonts w:ascii="Times New Roman" w:eastAsia="Times New Roman"/>
            </w:rPr>
          </w:pPr>
          <w:hyperlink w:anchor="_bookmark46" w:history="1">
            <w:r>
              <w:t>五、趋势展望</w:t>
            </w:r>
            <w:r>
              <w:tab/>
            </w:r>
            <w:r>
              <w:rPr>
                <w:rFonts w:ascii="Times New Roman" w:eastAsia="Times New Roman"/>
              </w:rPr>
              <w:t>40</w:t>
            </w:r>
          </w:hyperlink>
        </w:p>
        <w:p>
          <w:pPr>
            <w:pStyle w:val="TOC2"/>
            <w:tabs>
              <w:tab w:val="right" w:leader="dot" w:pos="8561"/>
            </w:tabs>
            <w:spacing w:before="160"/>
            <w:rPr>
              <w:rFonts w:ascii="Times New Roman" w:eastAsia="Times New Roman"/>
            </w:rPr>
          </w:pPr>
          <w:hyperlink w:anchor="_bookmark47" w:history="1">
            <w:r>
              <w:t>（一）平衡应用风险与收益</w:t>
            </w:r>
            <w:r>
              <w:tab/>
            </w:r>
            <w:r>
              <w:rPr>
                <w:rFonts w:ascii="Times New Roman" w:eastAsia="Times New Roman"/>
              </w:rPr>
              <w:t>41</w:t>
            </w:r>
          </w:hyperlink>
        </w:p>
        <w:p>
          <w:pPr>
            <w:pStyle w:val="TOC2"/>
            <w:tabs>
              <w:tab w:val="right" w:leader="dot" w:pos="8561"/>
            </w:tabs>
            <w:rPr>
              <w:rFonts w:ascii="Times New Roman" w:eastAsia="Times New Roman"/>
            </w:rPr>
          </w:pPr>
          <w:hyperlink w:anchor="_bookmark48" w:history="1">
            <w:r>
              <w:t>（二）强化技术与场景融合</w:t>
            </w:r>
            <w:r>
              <w:tab/>
            </w:r>
            <w:r>
              <w:rPr>
                <w:rFonts w:ascii="Times New Roman" w:eastAsia="Times New Roman"/>
              </w:rPr>
              <w:t>41</w:t>
            </w:r>
          </w:hyperlink>
        </w:p>
        <w:p>
          <w:pPr>
            <w:pStyle w:val="TOC2"/>
            <w:tabs>
              <w:tab w:val="right" w:leader="dot" w:pos="8561"/>
            </w:tabs>
            <w:spacing w:before="161"/>
            <w:rPr>
              <w:rFonts w:ascii="Times New Roman" w:eastAsia="Times New Roman"/>
            </w:rPr>
          </w:pPr>
          <w:hyperlink w:anchor="_bookmark49" w:history="1">
            <w:r>
              <w:t>（三）推动内外部生态建立</w:t>
            </w:r>
            <w:r>
              <w:tab/>
            </w:r>
            <w:r>
              <w:rPr>
                <w:rFonts w:ascii="Times New Roman" w:eastAsia="Times New Roman"/>
              </w:rPr>
              <w:t>42</w:t>
            </w:r>
          </w:hyperlink>
        </w:p>
        <w:p>
          <w:pPr>
            <w:pStyle w:val="TOC2"/>
            <w:tabs>
              <w:tab w:val="right" w:leader="dot" w:pos="8561"/>
            </w:tabs>
            <w:rPr>
              <w:rFonts w:ascii="Times New Roman" w:eastAsia="Times New Roman"/>
            </w:rPr>
          </w:pPr>
          <w:hyperlink w:anchor="_bookmark50" w:history="1">
            <w:r>
              <w:t>（四）加大高质量数据供给</w:t>
            </w:r>
            <w:r>
              <w:tab/>
            </w:r>
            <w:r>
              <w:rPr>
                <w:rFonts w:ascii="Times New Roman" w:eastAsia="Times New Roman"/>
              </w:rPr>
              <w:t>43</w:t>
            </w:r>
          </w:hyperlink>
        </w:p>
      </w:sdtContent>
    </w:sdt>
    <w:p>
      <w:pPr>
        <w:spacing w:after="0"/>
        <w:rPr>
          <w:rFonts w:ascii="Times New Roman" w:eastAsia="Times New Roman"/>
        </w:rPr>
        <w:sectPr>
          <w:pgSz w:w="11910" w:h="16840"/>
          <w:pgMar w:top="1580" w:right="1340" w:bottom="280" w:left="1540" w:header="720" w:footer="720" w:gutter="0"/>
          <w:pgNumType w:start="2"/>
          <w:cols w:num="1" w:space="720"/>
        </w:sectPr>
      </w:pPr>
    </w:p>
    <w:p>
      <w:pPr>
        <w:spacing w:before="43"/>
        <w:ind w:left="0" w:right="197" w:firstLine="0"/>
        <w:jc w:val="center"/>
        <w:rPr>
          <w:rFonts w:ascii="黑体" w:eastAsia="黑体" w:hint="eastAsia"/>
          <w:b/>
          <w:sz w:val="32"/>
        </w:rPr>
      </w:pPr>
      <w:r>
        <w:rPr>
          <w:rFonts w:ascii="黑体" w:eastAsia="黑体" w:hint="eastAsia"/>
          <w:b/>
          <w:sz w:val="32"/>
        </w:rPr>
        <w:t>图 目 录</w:t>
      </w:r>
    </w:p>
    <w:p>
      <w:pPr>
        <w:tabs>
          <w:tab w:val="left" w:leader="dot" w:pos="8441"/>
        </w:tabs>
        <w:spacing w:before="212"/>
        <w:ind w:left="257" w:right="0" w:firstLine="0"/>
        <w:jc w:val="left"/>
        <w:rPr>
          <w:rFonts w:ascii="Times New Roman" w:eastAsia="Times New Roman"/>
          <w:sz w:val="24"/>
        </w:rPr>
      </w:pPr>
      <w:hyperlink w:anchor="_bookmark7" w:history="1">
        <w:r>
          <w:rPr>
            <w:sz w:val="24"/>
          </w:rPr>
          <w:t xml:space="preserve">图 </w:t>
        </w:r>
        <w:r>
          <w:rPr>
            <w:rFonts w:ascii="Times New Roman" w:eastAsia="Times New Roman"/>
            <w:sz w:val="24"/>
          </w:rPr>
          <w:t xml:space="preserve">1  </w:t>
        </w:r>
        <w:r>
          <w:rPr>
            <w:sz w:val="24"/>
          </w:rPr>
          <w:t>生成式人工智能的产业影响波次顺序</w:t>
        </w:r>
        <w:r>
          <w:rPr>
            <w:sz w:val="24"/>
          </w:rPr>
          <w:tab/>
        </w:r>
        <w:r>
          <w:rPr>
            <w:rFonts w:ascii="Times New Roman" w:eastAsia="Times New Roman"/>
            <w:sz w:val="24"/>
          </w:rPr>
          <w:t>4</w:t>
        </w:r>
      </w:hyperlink>
    </w:p>
    <w:p>
      <w:pPr>
        <w:tabs>
          <w:tab w:val="left" w:leader="dot" w:pos="8441"/>
        </w:tabs>
        <w:spacing w:before="161"/>
        <w:ind w:left="257" w:right="0" w:firstLine="0"/>
        <w:jc w:val="left"/>
        <w:rPr>
          <w:rFonts w:ascii="Times New Roman" w:eastAsia="Times New Roman"/>
          <w:sz w:val="24"/>
        </w:rPr>
      </w:pPr>
      <w:hyperlink w:anchor="_bookmark16" w:history="1">
        <w:r>
          <w:rPr>
            <w:sz w:val="24"/>
          </w:rPr>
          <w:t>图</w:t>
        </w:r>
        <w:r>
          <w:rPr>
            <w:spacing w:val="-1"/>
            <w:sz w:val="24"/>
          </w:rPr>
          <w:t xml:space="preserve"> </w:t>
        </w:r>
        <w:r>
          <w:rPr>
            <w:rFonts w:ascii="Times New Roman" w:eastAsia="Times New Roman"/>
            <w:sz w:val="24"/>
          </w:rPr>
          <w:t xml:space="preserve">2  </w:t>
        </w:r>
        <w:r>
          <w:rPr>
            <w:sz w:val="24"/>
          </w:rPr>
          <w:t>新加坡</w:t>
        </w:r>
        <w:r>
          <w:rPr>
            <w:spacing w:val="-60"/>
            <w:sz w:val="24"/>
          </w:rPr>
          <w:t xml:space="preserve"> </w:t>
        </w:r>
        <w:r>
          <w:rPr>
            <w:rFonts w:ascii="Times New Roman" w:eastAsia="Times New Roman"/>
            <w:sz w:val="24"/>
          </w:rPr>
          <w:t>Pair</w:t>
        </w:r>
        <w:r>
          <w:rPr>
            <w:rFonts w:ascii="Times New Roman" w:eastAsia="Times New Roman"/>
            <w:spacing w:val="-1"/>
            <w:sz w:val="24"/>
          </w:rPr>
          <w:t xml:space="preserve"> </w:t>
        </w:r>
        <w:r>
          <w:rPr>
            <w:sz w:val="24"/>
          </w:rPr>
          <w:t>公务员文书写作系统</w:t>
        </w:r>
        <w:r>
          <w:rPr>
            <w:sz w:val="24"/>
          </w:rPr>
          <w:tab/>
        </w:r>
        <w:r>
          <w:rPr>
            <w:rFonts w:ascii="Times New Roman" w:eastAsia="Times New Roman"/>
            <w:sz w:val="24"/>
          </w:rPr>
          <w:t>8</w:t>
        </w:r>
      </w:hyperlink>
    </w:p>
    <w:p>
      <w:pPr>
        <w:tabs>
          <w:tab w:val="left" w:leader="dot" w:pos="8441"/>
        </w:tabs>
        <w:spacing w:before="158"/>
        <w:ind w:left="257" w:right="0" w:firstLine="0"/>
        <w:jc w:val="left"/>
        <w:rPr>
          <w:rFonts w:ascii="Times New Roman" w:eastAsia="Times New Roman"/>
          <w:sz w:val="24"/>
        </w:rPr>
      </w:pPr>
      <w:hyperlink w:anchor="_bookmark18" w:history="1">
        <w:r>
          <w:rPr>
            <w:sz w:val="24"/>
          </w:rPr>
          <w:t>图</w:t>
        </w:r>
        <w:r>
          <w:rPr>
            <w:spacing w:val="-1"/>
            <w:sz w:val="24"/>
          </w:rPr>
          <w:t xml:space="preserve"> </w:t>
        </w:r>
        <w:r>
          <w:rPr>
            <w:rFonts w:ascii="Times New Roman" w:eastAsia="Times New Roman"/>
            <w:sz w:val="24"/>
          </w:rPr>
          <w:t xml:space="preserve">3  </w:t>
        </w:r>
        <w:r>
          <w:rPr>
            <w:sz w:val="24"/>
          </w:rPr>
          <w:t>日本横须贺市发布由</w:t>
        </w:r>
        <w:r>
          <w:rPr>
            <w:spacing w:val="-61"/>
            <w:sz w:val="24"/>
          </w:rPr>
          <w:t xml:space="preserve"> </w:t>
        </w:r>
        <w:r>
          <w:rPr>
            <w:rFonts w:ascii="Times New Roman" w:eastAsia="Times New Roman"/>
            <w:sz w:val="24"/>
          </w:rPr>
          <w:t>ChatGPT</w:t>
        </w:r>
        <w:r>
          <w:rPr>
            <w:rFonts w:ascii="Times New Roman" w:eastAsia="Times New Roman"/>
            <w:spacing w:val="-1"/>
            <w:sz w:val="24"/>
          </w:rPr>
          <w:t xml:space="preserve"> </w:t>
        </w:r>
        <w:r>
          <w:rPr>
            <w:sz w:val="24"/>
          </w:rPr>
          <w:t>撰写的新闻</w:t>
        </w:r>
        <w:r>
          <w:rPr>
            <w:sz w:val="24"/>
          </w:rPr>
          <w:tab/>
        </w:r>
        <w:r>
          <w:rPr>
            <w:rFonts w:ascii="Times New Roman" w:eastAsia="Times New Roman"/>
            <w:sz w:val="24"/>
          </w:rPr>
          <w:t>9</w:t>
        </w:r>
      </w:hyperlink>
    </w:p>
    <w:p>
      <w:pPr>
        <w:tabs>
          <w:tab w:val="left" w:leader="dot" w:pos="8321"/>
        </w:tabs>
        <w:spacing w:before="160"/>
        <w:ind w:left="257" w:right="0" w:firstLine="0"/>
        <w:jc w:val="left"/>
        <w:rPr>
          <w:rFonts w:ascii="Times New Roman" w:eastAsia="Times New Roman"/>
          <w:sz w:val="24"/>
        </w:rPr>
      </w:pPr>
      <w:hyperlink w:anchor="_bookmark20" w:history="1">
        <w:r>
          <w:rPr>
            <w:sz w:val="24"/>
          </w:rPr>
          <w:t xml:space="preserve">图 </w:t>
        </w:r>
        <w:r>
          <w:rPr>
            <w:rFonts w:ascii="Times New Roman" w:eastAsia="Times New Roman"/>
            <w:sz w:val="24"/>
          </w:rPr>
          <w:t xml:space="preserve">4  </w:t>
        </w:r>
        <w:r>
          <w:rPr>
            <w:sz w:val="24"/>
          </w:rPr>
          <w:t>葡萄牙司法使用指南项目</w:t>
        </w:r>
        <w:r>
          <w:rPr>
            <w:sz w:val="24"/>
          </w:rPr>
          <w:tab/>
        </w:r>
        <w:r>
          <w:rPr>
            <w:rFonts w:ascii="Times New Roman" w:eastAsia="Times New Roman"/>
            <w:sz w:val="24"/>
          </w:rPr>
          <w:t>12</w:t>
        </w:r>
      </w:hyperlink>
    </w:p>
    <w:p>
      <w:pPr>
        <w:tabs>
          <w:tab w:val="left" w:leader="dot" w:pos="8321"/>
        </w:tabs>
        <w:spacing w:before="161"/>
        <w:ind w:left="257" w:right="0" w:firstLine="0"/>
        <w:jc w:val="left"/>
        <w:rPr>
          <w:rFonts w:ascii="Times New Roman" w:eastAsia="Times New Roman"/>
          <w:sz w:val="24"/>
        </w:rPr>
      </w:pPr>
      <w:hyperlink w:anchor="_bookmark30" w:history="1">
        <w:r>
          <w:rPr>
            <w:sz w:val="24"/>
          </w:rPr>
          <w:t>图</w:t>
        </w:r>
        <w:r>
          <w:rPr>
            <w:spacing w:val="-1"/>
            <w:sz w:val="24"/>
          </w:rPr>
          <w:t xml:space="preserve"> </w:t>
        </w:r>
        <w:r>
          <w:rPr>
            <w:rFonts w:ascii="Times New Roman" w:eastAsia="Times New Roman"/>
            <w:sz w:val="24"/>
          </w:rPr>
          <w:t xml:space="preserve">5  </w:t>
        </w:r>
        <w:r>
          <w:rPr>
            <w:sz w:val="24"/>
          </w:rPr>
          <w:t>日本横须贺市机关人员关于</w:t>
        </w:r>
        <w:r>
          <w:rPr>
            <w:spacing w:val="-61"/>
            <w:sz w:val="24"/>
          </w:rPr>
          <w:t xml:space="preserve"> </w:t>
        </w:r>
        <w:r>
          <w:rPr>
            <w:rFonts w:ascii="Times New Roman" w:eastAsia="Times New Roman"/>
            <w:sz w:val="24"/>
          </w:rPr>
          <w:t>ChatGPT</w:t>
        </w:r>
        <w:r>
          <w:rPr>
            <w:rFonts w:ascii="Times New Roman" w:eastAsia="Times New Roman"/>
            <w:spacing w:val="-1"/>
            <w:sz w:val="24"/>
          </w:rPr>
          <w:t xml:space="preserve"> </w:t>
        </w:r>
        <w:r>
          <w:rPr>
            <w:sz w:val="24"/>
          </w:rPr>
          <w:t>回复准确性的调查结果</w:t>
        </w:r>
        <w:r>
          <w:rPr>
            <w:sz w:val="24"/>
          </w:rPr>
          <w:tab/>
        </w:r>
        <w:r>
          <w:rPr>
            <w:rFonts w:ascii="Times New Roman" w:eastAsia="Times New Roman"/>
            <w:sz w:val="24"/>
          </w:rPr>
          <w:t>23</w:t>
        </w:r>
      </w:hyperlink>
    </w:p>
    <w:p>
      <w:pPr>
        <w:tabs>
          <w:tab w:val="left" w:leader="dot" w:pos="8321"/>
        </w:tabs>
        <w:spacing w:before="158"/>
        <w:ind w:left="257" w:right="0" w:firstLine="0"/>
        <w:jc w:val="left"/>
        <w:rPr>
          <w:rFonts w:ascii="Times New Roman" w:eastAsia="Times New Roman"/>
          <w:sz w:val="24"/>
        </w:rPr>
      </w:pPr>
      <w:hyperlink w:anchor="_bookmark34" w:history="1">
        <w:r>
          <w:rPr>
            <w:sz w:val="24"/>
          </w:rPr>
          <w:t>图</w:t>
        </w:r>
        <w:r>
          <w:rPr>
            <w:spacing w:val="-1"/>
            <w:sz w:val="24"/>
          </w:rPr>
          <w:t xml:space="preserve"> </w:t>
        </w:r>
        <w:r>
          <w:rPr>
            <w:rFonts w:ascii="Times New Roman" w:eastAsia="Times New Roman"/>
            <w:sz w:val="24"/>
          </w:rPr>
          <w:t>6</w:t>
        </w:r>
        <w:r>
          <w:rPr>
            <w:rFonts w:ascii="Times New Roman" w:eastAsia="Times New Roman"/>
            <w:spacing w:val="-15"/>
            <w:sz w:val="24"/>
          </w:rPr>
          <w:t xml:space="preserve"> </w:t>
        </w:r>
        <w:r>
          <w:rPr>
            <w:rFonts w:ascii="Times New Roman" w:eastAsia="Times New Roman"/>
            <w:sz w:val="24"/>
          </w:rPr>
          <w:t xml:space="preserve">AIGC </w:t>
        </w:r>
        <w:r>
          <w:rPr>
            <w:sz w:val="24"/>
          </w:rPr>
          <w:t>在公共部门应用的风险矩阵</w:t>
        </w:r>
        <w:r>
          <w:rPr>
            <w:sz w:val="24"/>
          </w:rPr>
          <w:tab/>
        </w:r>
        <w:r>
          <w:rPr>
            <w:rFonts w:ascii="Times New Roman" w:eastAsia="Times New Roman"/>
            <w:sz w:val="24"/>
          </w:rPr>
          <w:t>26</w:t>
        </w:r>
      </w:hyperlink>
    </w:p>
    <w:p>
      <w:pPr>
        <w:tabs>
          <w:tab w:val="left" w:leader="dot" w:pos="8321"/>
        </w:tabs>
        <w:spacing w:before="161"/>
        <w:ind w:left="257" w:right="0" w:firstLine="0"/>
        <w:jc w:val="left"/>
        <w:rPr>
          <w:rFonts w:ascii="Times New Roman" w:eastAsia="Times New Roman"/>
          <w:sz w:val="24"/>
        </w:rPr>
      </w:pPr>
      <w:hyperlink w:anchor="_bookmark36" w:history="1">
        <w:r>
          <w:rPr>
            <w:sz w:val="24"/>
          </w:rPr>
          <w:t>图</w:t>
        </w:r>
        <w:r>
          <w:rPr>
            <w:spacing w:val="-1"/>
            <w:sz w:val="24"/>
          </w:rPr>
          <w:t xml:space="preserve"> </w:t>
        </w:r>
        <w:r>
          <w:rPr>
            <w:rFonts w:ascii="Times New Roman" w:eastAsia="Times New Roman"/>
            <w:sz w:val="24"/>
          </w:rPr>
          <w:t xml:space="preserve">7  </w:t>
        </w:r>
        <w:r>
          <w:rPr>
            <w:sz w:val="24"/>
          </w:rPr>
          <w:t>公务人员使用文本生成</w:t>
        </w:r>
        <w:r>
          <w:rPr>
            <w:spacing w:val="-60"/>
            <w:sz w:val="24"/>
          </w:rPr>
          <w:t xml:space="preserve"> </w:t>
        </w:r>
        <w:r>
          <w:rPr>
            <w:rFonts w:ascii="Times New Roman" w:eastAsia="Times New Roman"/>
            <w:sz w:val="24"/>
          </w:rPr>
          <w:t>AI</w:t>
        </w:r>
        <w:r>
          <w:rPr>
            <w:rFonts w:ascii="Times New Roman" w:eastAsia="Times New Roman"/>
            <w:spacing w:val="-1"/>
            <w:sz w:val="24"/>
          </w:rPr>
          <w:t xml:space="preserve"> </w:t>
        </w:r>
        <w:r>
          <w:rPr>
            <w:sz w:val="24"/>
          </w:rPr>
          <w:t>的提示技巧</w:t>
        </w:r>
        <w:r>
          <w:rPr>
            <w:sz w:val="24"/>
          </w:rPr>
          <w:tab/>
        </w:r>
        <w:r>
          <w:rPr>
            <w:rFonts w:ascii="Times New Roman" w:eastAsia="Times New Roman"/>
            <w:sz w:val="24"/>
          </w:rPr>
          <w:t>29</w:t>
        </w:r>
      </w:hyperlink>
    </w:p>
    <w:p>
      <w:pPr>
        <w:tabs>
          <w:tab w:val="left" w:leader="dot" w:pos="8321"/>
        </w:tabs>
        <w:spacing w:before="158"/>
        <w:ind w:left="257" w:right="0" w:firstLine="0"/>
        <w:jc w:val="left"/>
        <w:rPr>
          <w:rFonts w:ascii="Times New Roman" w:eastAsia="Times New Roman"/>
          <w:sz w:val="24"/>
        </w:rPr>
      </w:pPr>
      <w:hyperlink w:anchor="_bookmark41" w:history="1">
        <w:r>
          <w:rPr>
            <w:sz w:val="24"/>
          </w:rPr>
          <w:t xml:space="preserve">图 </w:t>
        </w:r>
        <w:r>
          <w:rPr>
            <w:rFonts w:ascii="Times New Roman" w:eastAsia="Times New Roman"/>
            <w:sz w:val="24"/>
          </w:rPr>
          <w:t xml:space="preserve">8  </w:t>
        </w:r>
        <w:r>
          <w:rPr>
            <w:sz w:val="24"/>
          </w:rPr>
          <w:t>政务领域相关场景厂商数量分布</w:t>
        </w:r>
        <w:r>
          <w:rPr>
            <w:sz w:val="24"/>
          </w:rPr>
          <w:tab/>
        </w:r>
        <w:r>
          <w:rPr>
            <w:rFonts w:ascii="Times New Roman" w:eastAsia="Times New Roman"/>
            <w:sz w:val="24"/>
          </w:rPr>
          <w:t>30</w:t>
        </w:r>
      </w:hyperlink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Heading1"/>
        <w:spacing w:before="227"/>
        <w:ind w:left="0" w:right="197"/>
        <w:jc w:val="center"/>
        <w:rPr>
          <w:rFonts w:ascii="黑体" w:eastAsia="黑体" w:hint="eastAsia"/>
        </w:rPr>
      </w:pPr>
      <w:r>
        <w:rPr>
          <w:rFonts w:ascii="黑体" w:eastAsia="黑体" w:hint="eastAsia"/>
        </w:rPr>
        <w:t>表 目 录</w:t>
      </w:r>
    </w:p>
    <w:p>
      <w:pPr>
        <w:tabs>
          <w:tab w:val="left" w:leader="dot" w:pos="8441"/>
        </w:tabs>
        <w:spacing w:before="213"/>
        <w:ind w:left="257" w:right="0" w:firstLine="0"/>
        <w:jc w:val="left"/>
        <w:rPr>
          <w:rFonts w:ascii="Times New Roman" w:eastAsia="Times New Roman"/>
          <w:sz w:val="24"/>
        </w:rPr>
      </w:pPr>
      <w:hyperlink w:anchor="_bookmark6" w:history="1">
        <w:r>
          <w:rPr>
            <w:sz w:val="24"/>
          </w:rPr>
          <w:t xml:space="preserve">表 </w:t>
        </w:r>
        <w:r>
          <w:rPr>
            <w:rFonts w:ascii="Times New Roman" w:eastAsia="Times New Roman"/>
            <w:sz w:val="24"/>
          </w:rPr>
          <w:t xml:space="preserve">1  </w:t>
        </w:r>
        <w:r>
          <w:rPr>
            <w:sz w:val="24"/>
          </w:rPr>
          <w:t>各国（地区）政府对大模型技术的应用情况</w:t>
        </w:r>
        <w:r>
          <w:rPr>
            <w:sz w:val="24"/>
          </w:rPr>
          <w:tab/>
        </w:r>
        <w:r>
          <w:rPr>
            <w:rFonts w:ascii="Times New Roman" w:eastAsia="Times New Roman"/>
            <w:sz w:val="24"/>
          </w:rPr>
          <w:t>3</w:t>
        </w:r>
      </w:hyperlink>
    </w:p>
    <w:p>
      <w:pPr>
        <w:tabs>
          <w:tab w:val="left" w:leader="dot" w:pos="8441"/>
        </w:tabs>
        <w:spacing w:before="160"/>
        <w:ind w:left="257" w:right="0" w:firstLine="0"/>
        <w:jc w:val="left"/>
        <w:rPr>
          <w:rFonts w:ascii="Times New Roman" w:eastAsia="Times New Roman"/>
          <w:sz w:val="24"/>
        </w:rPr>
      </w:pPr>
      <w:hyperlink w:anchor="_bookmark12" w:history="1">
        <w:r>
          <w:rPr>
            <w:sz w:val="24"/>
          </w:rPr>
          <w:t xml:space="preserve">表 </w:t>
        </w:r>
        <w:r>
          <w:rPr>
            <w:rFonts w:ascii="Times New Roman" w:eastAsia="Times New Roman"/>
            <w:sz w:val="24"/>
          </w:rPr>
          <w:t xml:space="preserve">2  </w:t>
        </w:r>
        <w:r>
          <w:rPr>
            <w:sz w:val="24"/>
          </w:rPr>
          <w:t>大模型在政府治理中的应用场景分布</w:t>
        </w:r>
        <w:r>
          <w:rPr>
            <w:sz w:val="24"/>
          </w:rPr>
          <w:tab/>
        </w:r>
        <w:r>
          <w:rPr>
            <w:rFonts w:ascii="Times New Roman" w:eastAsia="Times New Roman"/>
            <w:sz w:val="24"/>
          </w:rPr>
          <w:t>5</w:t>
        </w:r>
      </w:hyperlink>
    </w:p>
    <w:p>
      <w:pPr>
        <w:tabs>
          <w:tab w:val="left" w:leader="dot" w:pos="8321"/>
        </w:tabs>
        <w:spacing w:before="161"/>
        <w:ind w:left="257" w:right="0" w:firstLine="0"/>
        <w:jc w:val="left"/>
        <w:rPr>
          <w:rFonts w:ascii="Times New Roman" w:eastAsia="Times New Roman"/>
          <w:sz w:val="24"/>
        </w:rPr>
      </w:pPr>
      <w:hyperlink w:anchor="_bookmark28" w:history="1">
        <w:r>
          <w:rPr>
            <w:sz w:val="24"/>
          </w:rPr>
          <w:t>表</w:t>
        </w:r>
        <w:r>
          <w:rPr>
            <w:spacing w:val="-1"/>
            <w:sz w:val="24"/>
          </w:rPr>
          <w:t xml:space="preserve"> </w:t>
        </w:r>
        <w:r>
          <w:rPr>
            <w:rFonts w:ascii="Times New Roman" w:eastAsia="Times New Roman"/>
            <w:sz w:val="24"/>
          </w:rPr>
          <w:t>3</w:t>
        </w:r>
        <w:r>
          <w:rPr>
            <w:rFonts w:ascii="Times New Roman" w:eastAsia="Times New Roman"/>
            <w:spacing w:val="59"/>
            <w:sz w:val="24"/>
          </w:rPr>
          <w:t xml:space="preserve"> </w:t>
        </w:r>
        <w:r>
          <w:rPr>
            <w:sz w:val="24"/>
          </w:rPr>
          <w:t>主要国家（地区）发布的政府机构应用</w:t>
        </w:r>
        <w:r>
          <w:rPr>
            <w:spacing w:val="-60"/>
            <w:sz w:val="24"/>
          </w:rPr>
          <w:t xml:space="preserve"> </w:t>
        </w:r>
        <w:r>
          <w:rPr>
            <w:rFonts w:ascii="Times New Roman" w:eastAsia="Times New Roman"/>
            <w:sz w:val="24"/>
          </w:rPr>
          <w:t>AIGC</w:t>
        </w:r>
        <w:r>
          <w:rPr>
            <w:rFonts w:ascii="Times New Roman" w:eastAsia="Times New Roman"/>
            <w:spacing w:val="-1"/>
            <w:sz w:val="24"/>
          </w:rPr>
          <w:t xml:space="preserve"> </w:t>
        </w:r>
        <w:r>
          <w:rPr>
            <w:sz w:val="24"/>
          </w:rPr>
          <w:t>指南</w:t>
        </w:r>
        <w:r>
          <w:rPr>
            <w:sz w:val="24"/>
          </w:rPr>
          <w:tab/>
        </w:r>
        <w:r>
          <w:rPr>
            <w:rFonts w:ascii="Times New Roman" w:eastAsia="Times New Roman"/>
            <w:sz w:val="24"/>
          </w:rPr>
          <w:t>21</w:t>
        </w:r>
      </w:hyperlink>
    </w:p>
    <w:p>
      <w:pPr>
        <w:tabs>
          <w:tab w:val="left" w:leader="dot" w:pos="8321"/>
        </w:tabs>
        <w:spacing w:before="158"/>
        <w:ind w:left="257" w:right="0" w:firstLine="0"/>
        <w:jc w:val="left"/>
        <w:rPr>
          <w:rFonts w:ascii="Times New Roman" w:eastAsia="Times New Roman"/>
          <w:sz w:val="24"/>
        </w:rPr>
      </w:pPr>
      <w:hyperlink w:anchor="_bookmark32" w:history="1">
        <w:r>
          <w:rPr>
            <w:sz w:val="24"/>
          </w:rPr>
          <w:t>表</w:t>
        </w:r>
        <w:r>
          <w:rPr>
            <w:spacing w:val="-1"/>
            <w:sz w:val="24"/>
          </w:rPr>
          <w:t xml:space="preserve"> </w:t>
        </w:r>
        <w:r>
          <w:rPr>
            <w:rFonts w:ascii="Times New Roman" w:eastAsia="Times New Roman"/>
            <w:sz w:val="24"/>
          </w:rPr>
          <w:t>4</w:t>
        </w:r>
        <w:r>
          <w:rPr>
            <w:rFonts w:ascii="Times New Roman" w:eastAsia="Times New Roman"/>
            <w:spacing w:val="59"/>
            <w:sz w:val="24"/>
          </w:rPr>
          <w:t xml:space="preserve"> </w:t>
        </w:r>
        <w:r>
          <w:rPr>
            <w:sz w:val="24"/>
          </w:rPr>
          <w:t>主要国家（地区）关于政务领域</w:t>
        </w:r>
        <w:r>
          <w:rPr>
            <w:spacing w:val="-60"/>
            <w:sz w:val="24"/>
          </w:rPr>
          <w:t xml:space="preserve"> </w:t>
        </w:r>
        <w:r>
          <w:rPr>
            <w:rFonts w:ascii="Times New Roman" w:eastAsia="Times New Roman"/>
            <w:sz w:val="24"/>
          </w:rPr>
          <w:t>AIGC</w:t>
        </w:r>
        <w:r>
          <w:rPr>
            <w:rFonts w:ascii="Times New Roman" w:eastAsia="Times New Roman"/>
            <w:spacing w:val="2"/>
            <w:sz w:val="24"/>
          </w:rPr>
          <w:t xml:space="preserve"> </w:t>
        </w:r>
        <w:r>
          <w:rPr>
            <w:sz w:val="24"/>
          </w:rPr>
          <w:t>应用原则</w:t>
        </w:r>
        <w:r>
          <w:rPr>
            <w:sz w:val="24"/>
          </w:rPr>
          <w:tab/>
        </w:r>
        <w:r>
          <w:rPr>
            <w:rFonts w:ascii="Times New Roman" w:eastAsia="Times New Roman"/>
            <w:sz w:val="24"/>
          </w:rPr>
          <w:t>24</w:t>
        </w:r>
      </w:hyperlink>
    </w:p>
    <w:p>
      <w:pPr>
        <w:tabs>
          <w:tab w:val="left" w:leader="dot" w:pos="8321"/>
        </w:tabs>
        <w:spacing w:before="160"/>
        <w:ind w:left="257" w:right="0" w:firstLine="0"/>
        <w:jc w:val="left"/>
        <w:rPr>
          <w:rFonts w:ascii="Times New Roman" w:eastAsia="Times New Roman"/>
          <w:sz w:val="24"/>
        </w:rPr>
      </w:pPr>
      <w:hyperlink w:anchor="_bookmark42" w:history="1">
        <w:r>
          <w:rPr>
            <w:sz w:val="24"/>
          </w:rPr>
          <w:t xml:space="preserve">表 </w:t>
        </w:r>
        <w:r>
          <w:rPr>
            <w:rFonts w:ascii="Times New Roman" w:eastAsia="Times New Roman"/>
            <w:sz w:val="24"/>
          </w:rPr>
          <w:t xml:space="preserve">5  </w:t>
        </w:r>
        <w:r>
          <w:rPr>
            <w:sz w:val="24"/>
          </w:rPr>
          <w:t>国内大模型厂商在政务领域的布局情况</w:t>
        </w:r>
        <w:r>
          <w:rPr>
            <w:sz w:val="24"/>
          </w:rPr>
          <w:tab/>
        </w:r>
        <w:r>
          <w:rPr>
            <w:rFonts w:ascii="Times New Roman" w:eastAsia="Times New Roman"/>
            <w:sz w:val="24"/>
          </w:rPr>
          <w:t>31</w:t>
        </w:r>
      </w:hyperlink>
    </w:p>
    <w:p>
      <w:pPr>
        <w:tabs>
          <w:tab w:val="left" w:leader="dot" w:pos="8321"/>
        </w:tabs>
        <w:spacing w:before="158"/>
        <w:ind w:left="257" w:right="0" w:firstLine="0"/>
        <w:jc w:val="left"/>
        <w:rPr>
          <w:rFonts w:ascii="Times New Roman" w:eastAsia="Times New Roman"/>
          <w:sz w:val="24"/>
        </w:rPr>
      </w:pPr>
      <w:hyperlink w:anchor="_bookmark44" w:history="1">
        <w:r>
          <w:rPr>
            <w:sz w:val="24"/>
          </w:rPr>
          <w:t xml:space="preserve">表 </w:t>
        </w:r>
        <w:r>
          <w:rPr>
            <w:rFonts w:ascii="Times New Roman" w:eastAsia="Times New Roman"/>
            <w:sz w:val="24"/>
          </w:rPr>
          <w:t xml:space="preserve">6  </w:t>
        </w:r>
        <w:r>
          <w:rPr>
            <w:sz w:val="24"/>
          </w:rPr>
          <w:t>我国各地区发布的政务领域大模型应用政策</w:t>
        </w:r>
        <w:r>
          <w:rPr>
            <w:sz w:val="24"/>
          </w:rPr>
          <w:tab/>
        </w:r>
        <w:r>
          <w:rPr>
            <w:rFonts w:ascii="Times New Roman" w:eastAsia="Times New Roman"/>
            <w:sz w:val="24"/>
          </w:rPr>
          <w:t>34</w:t>
        </w:r>
      </w:hyperlink>
    </w:p>
    <w:p>
      <w:pPr>
        <w:spacing w:after="0"/>
        <w:jc w:val="left"/>
        <w:rPr>
          <w:rFonts w:ascii="Times New Roman" w:eastAsia="Times New Roman"/>
          <w:sz w:val="24"/>
        </w:rPr>
        <w:sectPr>
          <w:pgSz w:w="11910" w:h="16840"/>
          <w:pgMar w:top="1380" w:right="1340" w:bottom="280" w:left="1540" w:header="720" w:footer="720" w:gutter="0"/>
          <w:pgNumType w:start="3"/>
          <w:cols w:num="1" w:space="720"/>
        </w:sectPr>
      </w:pPr>
    </w:p>
    <w:p>
      <w:pPr>
        <w:pStyle w:val="Heading2"/>
        <w:spacing w:before="129"/>
        <w:ind w:left="900" w:firstLine="0"/>
        <w:rPr>
          <w:rFonts w:ascii="黑体" w:eastAsia="黑体" w:hint="eastAsia"/>
        </w:rPr>
      </w:pPr>
      <w:bookmarkStart w:id="0" w:name="_bookmark1"/>
      <w:bookmarkEnd w:id="0"/>
      <w:bookmarkStart w:id="1" w:name="一、AI大模型带来政府治理变革新机遇"/>
      <w:bookmarkEnd w:id="1"/>
      <w:bookmarkStart w:id="2" w:name="_bookmark2"/>
      <w:bookmarkEnd w:id="2"/>
      <w:bookmarkStart w:id="3" w:name="_bookmark0"/>
      <w:bookmarkEnd w:id="3"/>
      <w:r>
        <w:rPr>
          <w:rFonts w:ascii="黑体" w:eastAsia="黑体" w:hint="eastAsia"/>
        </w:rPr>
        <w:t>一、</w:t>
      </w:r>
      <w:r>
        <w:rPr>
          <w:rFonts w:ascii="Times New Roman" w:eastAsia="Times New Roman"/>
        </w:rPr>
        <w:t xml:space="preserve">AI </w:t>
      </w:r>
      <w:r>
        <w:rPr>
          <w:rFonts w:ascii="黑体" w:eastAsia="黑体" w:hint="eastAsia"/>
        </w:rPr>
        <w:t>大模型带来政府治理变革新机遇</w:t>
      </w:r>
    </w:p>
    <w:p>
      <w:pPr>
        <w:pStyle w:val="BodyText"/>
        <w:spacing w:before="273" w:line="364" w:lineRule="auto"/>
        <w:ind w:left="259" w:right="319" w:firstLine="559"/>
      </w:pPr>
      <w:r>
        <w:rPr>
          <w:spacing w:val="-11"/>
        </w:rPr>
        <w:t>当前，人工智能领域科技创新异常活跃，日益成为改变世界竞争</w:t>
      </w:r>
      <w:r>
        <w:rPr>
          <w:spacing w:val="-14"/>
        </w:rPr>
        <w:t xml:space="preserve">格局的重要力量。一批里程碑意义的前沿成果陆续突破，以 </w:t>
      </w:r>
      <w:r>
        <w:rPr>
          <w:rFonts w:ascii="Times New Roman" w:eastAsia="Times New Roman"/>
        </w:rPr>
        <w:t xml:space="preserve">ChatGPT </w:t>
      </w:r>
      <w:r>
        <w:rPr>
          <w:spacing w:val="-7"/>
        </w:rPr>
        <w:t>为代表的大模型技术引发通用人工智能新一轮发展热潮。凭借强智能</w:t>
      </w:r>
      <w:r>
        <w:rPr>
          <w:spacing w:val="-11"/>
        </w:rPr>
        <w:t>性、强通用性、强交互性优势，大模型与交通、医疗、工业等传统行</w:t>
      </w:r>
      <w:r>
        <w:rPr>
          <w:spacing w:val="-12"/>
        </w:rPr>
        <w:t>业深入融合，成为进一步推动产业发展和治理变革的关键力量。在工</w:t>
      </w:r>
      <w:r>
        <w:rPr>
          <w:spacing w:val="-13"/>
        </w:rPr>
        <w:t>业领域，大模型实现汽车、建模等设计的自动优化，通过物流、安防实现智能化管理；在医疗领域，大模型实现蛋白分子的结构预测，辅</w:t>
      </w:r>
      <w:r>
        <w:rPr>
          <w:spacing w:val="-11"/>
        </w:rPr>
        <w:t xml:space="preserve">助医生影像读片与分析病例报告，推出 </w:t>
      </w:r>
      <w:r>
        <w:rPr>
          <w:rFonts w:ascii="Times New Roman" w:eastAsia="Times New Roman"/>
        </w:rPr>
        <w:t xml:space="preserve">AI </w:t>
      </w:r>
      <w:r>
        <w:rPr>
          <w:spacing w:val="-3"/>
        </w:rPr>
        <w:t xml:space="preserve">陪护与交互式心理咨询； </w:t>
      </w:r>
      <w:r>
        <w:rPr>
          <w:spacing w:val="-5"/>
        </w:rPr>
        <w:t xml:space="preserve">在金融领域，大模型催生了数字员工，借助 </w:t>
      </w:r>
      <w:r>
        <w:rPr>
          <w:rFonts w:ascii="Times New Roman" w:eastAsia="Times New Roman"/>
        </w:rPr>
        <w:t xml:space="preserve">AI </w:t>
      </w:r>
      <w:r>
        <w:rPr>
          <w:spacing w:val="-2"/>
        </w:rPr>
        <w:t>客服、</w:t>
      </w:r>
      <w:r>
        <w:rPr>
          <w:rFonts w:ascii="Times New Roman" w:eastAsia="Times New Roman"/>
        </w:rPr>
        <w:t xml:space="preserve">AI </w:t>
      </w:r>
      <w:r>
        <w:rPr>
          <w:spacing w:val="-1"/>
        </w:rPr>
        <w:t>投资顾问、</w:t>
      </w:r>
      <w:r>
        <w:rPr>
          <w:rFonts w:ascii="Times New Roman" w:eastAsia="Times New Roman"/>
          <w:spacing w:val="-1"/>
        </w:rPr>
        <w:t xml:space="preserve">AI </w:t>
      </w:r>
      <w:r>
        <w:rPr>
          <w:spacing w:val="-3"/>
        </w:rPr>
        <w:t>财务实现服务的自动化，并进一步优化投资管理与风险管理。</w:t>
      </w:r>
    </w:p>
    <w:p>
      <w:pPr>
        <w:pStyle w:val="BodyText"/>
        <w:spacing w:line="364" w:lineRule="auto"/>
        <w:ind w:left="259" w:right="313" w:firstLine="559"/>
      </w:pPr>
      <w:r>
        <w:rPr>
          <w:rFonts w:ascii="黑体" w:eastAsia="黑体" w:hint="eastAsia"/>
          <w:spacing w:val="-5"/>
        </w:rPr>
        <w:t xml:space="preserve">政务领域涉及大量内容生产及人与人交互环节，与生成式 </w:t>
      </w:r>
      <w:r>
        <w:rPr>
          <w:rFonts w:ascii="黑体" w:eastAsia="黑体" w:hint="eastAsia"/>
        </w:rPr>
        <w:t>AI</w:t>
      </w:r>
      <w:r>
        <w:rPr>
          <w:rFonts w:ascii="黑体" w:eastAsia="黑体" w:hint="eastAsia"/>
          <w:spacing w:val="-21"/>
        </w:rPr>
        <w:t xml:space="preserve"> 高</w:t>
      </w:r>
      <w:r>
        <w:rPr>
          <w:rFonts w:ascii="黑体" w:eastAsia="黑体" w:hint="eastAsia"/>
          <w:spacing w:val="-14"/>
        </w:rPr>
        <w:t>度的信息收集、文本总结、智能交互能力重叠较高，是未来大模型应</w:t>
      </w:r>
      <w:r>
        <w:rPr>
          <w:rFonts w:ascii="黑体" w:eastAsia="黑体" w:hint="eastAsia"/>
          <w:spacing w:val="-9"/>
        </w:rPr>
        <w:t>用的肥沃土壤。</w:t>
      </w:r>
      <w:r>
        <w:rPr>
          <w:spacing w:val="-5"/>
        </w:rPr>
        <w:t>一方面，政府应用人工智能技术具备良好基础。</w:t>
      </w:r>
      <w:r>
        <w:rPr>
          <w:rFonts w:ascii="Times New Roman" w:eastAsia="Times New Roman"/>
        </w:rPr>
        <w:t xml:space="preserve">IDC </w:t>
      </w:r>
      <w:r>
        <w:rPr>
          <w:spacing w:val="-1"/>
        </w:rPr>
        <w:t>数据显示，</w:t>
      </w:r>
      <w:r>
        <w:rPr>
          <w:rFonts w:ascii="Times New Roman" w:eastAsia="Times New Roman"/>
        </w:rPr>
        <w:t>2022</w:t>
      </w:r>
      <w:r>
        <w:rPr>
          <w:rFonts w:ascii="Times New Roman" w:eastAsia="Times New Roman"/>
          <w:spacing w:val="50"/>
        </w:rPr>
        <w:t xml:space="preserve"> </w:t>
      </w:r>
      <w:r>
        <w:rPr>
          <w:spacing w:val="-5"/>
        </w:rPr>
        <w:t xml:space="preserve">年中国人工智能政府行业应用渗透度为 </w:t>
      </w:r>
      <w:r>
        <w:rPr>
          <w:rFonts w:ascii="Times New Roman" w:eastAsia="Times New Roman"/>
        </w:rPr>
        <w:t>52%</w:t>
      </w:r>
      <w:r>
        <w:t>，仅次</w:t>
      </w:r>
      <w:r>
        <w:rPr>
          <w:spacing w:val="-5"/>
        </w:rPr>
        <w:t>于互联网行业</w:t>
      </w:r>
      <w:r>
        <w:rPr>
          <w:spacing w:val="-6"/>
        </w:rPr>
        <w:t>（</w:t>
      </w:r>
      <w:r>
        <w:rPr>
          <w:rFonts w:ascii="Times New Roman" w:eastAsia="Times New Roman"/>
          <w:spacing w:val="-6"/>
        </w:rPr>
        <w:t>83%</w:t>
      </w:r>
      <w:r>
        <w:rPr>
          <w:spacing w:val="-6"/>
        </w:rPr>
        <w:t>）和金融行业</w:t>
      </w:r>
      <w:r>
        <w:rPr>
          <w:spacing w:val="-5"/>
        </w:rPr>
        <w:t>（</w:t>
      </w:r>
      <w:r>
        <w:rPr>
          <w:rFonts w:ascii="Times New Roman" w:eastAsia="Times New Roman"/>
          <w:spacing w:val="-5"/>
        </w:rPr>
        <w:t>62%</w:t>
      </w:r>
      <w:r>
        <w:rPr>
          <w:spacing w:val="-5"/>
        </w:rPr>
        <w:t>）</w:t>
      </w:r>
      <w:r>
        <w:rPr>
          <w:spacing w:val="-13"/>
        </w:rPr>
        <w:t>。</w:t>
      </w:r>
      <w:hyperlink w:anchor="_bookmark2" w:history="1">
        <w:r>
          <w:rPr>
            <w:rFonts w:ascii="Times New Roman" w:eastAsia="Times New Roman"/>
            <w:vertAlign w:val="superscript"/>
          </w:rPr>
          <w:t>1</w:t>
        </w:r>
      </w:hyperlink>
      <w:r>
        <w:rPr>
          <w:spacing w:val="-2"/>
          <w:vertAlign w:val="baseline"/>
        </w:rPr>
        <w:t>据国家发展改革委官方</w:t>
      </w:r>
      <w:r>
        <w:rPr>
          <w:spacing w:val="-4"/>
          <w:vertAlign w:val="baseline"/>
        </w:rPr>
        <w:t xml:space="preserve">披露，我国政府数据资源占全国数据资源的比重超过 </w:t>
      </w:r>
      <w:r>
        <w:rPr>
          <w:rFonts w:ascii="Times New Roman" w:eastAsia="Times New Roman"/>
          <w:vertAlign w:val="baseline"/>
        </w:rPr>
        <w:t>3/4</w:t>
      </w:r>
      <w:r>
        <w:rPr>
          <w:spacing w:val="-1"/>
          <w:vertAlign w:val="baseline"/>
        </w:rPr>
        <w:t>，将为大模型训练和持续更迭提供丰富的基础燃料。</w:t>
      </w:r>
      <w:hyperlink w:anchor="_bookmark1" w:history="1">
        <w:r>
          <w:rPr>
            <w:rFonts w:ascii="Times New Roman" w:eastAsia="Times New Roman"/>
            <w:spacing w:val="3"/>
            <w:vertAlign w:val="superscript"/>
          </w:rPr>
          <w:t>2</w:t>
        </w:r>
      </w:hyperlink>
      <w:r>
        <w:rPr>
          <w:vertAlign w:val="baseline"/>
        </w:rPr>
        <w:t>另一方面，随着数字政府</w:t>
      </w:r>
      <w:r>
        <w:rPr>
          <w:spacing w:val="-10"/>
          <w:vertAlign w:val="baseline"/>
        </w:rPr>
        <w:t>建设深入，政务服务的普惠化便利化水平不断提升，线上线下服务量</w:t>
      </w:r>
      <w:r>
        <w:rPr>
          <w:spacing w:val="-11"/>
          <w:vertAlign w:val="baseline"/>
        </w:rPr>
        <w:t>随之激增，迫切需要运用新的技术手段解决政府回应能力不足问题。</w:t>
      </w:r>
      <w:r>
        <w:rPr>
          <w:spacing w:val="-31"/>
          <w:vertAlign w:val="baseline"/>
        </w:rPr>
        <w:t xml:space="preserve">以 </w:t>
      </w:r>
      <w:r>
        <w:rPr>
          <w:rFonts w:ascii="Times New Roman" w:eastAsia="Times New Roman"/>
          <w:vertAlign w:val="baseline"/>
        </w:rPr>
        <w:t>12345</w:t>
      </w:r>
      <w:r>
        <w:rPr>
          <w:rFonts w:ascii="Times New Roman" w:eastAsia="Times New Roman"/>
          <w:spacing w:val="10"/>
          <w:vertAlign w:val="baseline"/>
        </w:rPr>
        <w:t xml:space="preserve"> </w:t>
      </w:r>
      <w:r>
        <w:rPr>
          <w:spacing w:val="-3"/>
          <w:vertAlign w:val="baseline"/>
        </w:rPr>
        <w:t>政务服务热线为例，</w:t>
      </w:r>
      <w:r>
        <w:rPr>
          <w:rFonts w:ascii="Times New Roman" w:eastAsia="Times New Roman"/>
          <w:vertAlign w:val="baseline"/>
        </w:rPr>
        <w:t>2020-2022</w:t>
      </w:r>
      <w:r>
        <w:rPr>
          <w:rFonts w:ascii="Times New Roman" w:eastAsia="Times New Roman"/>
          <w:spacing w:val="11"/>
          <w:vertAlign w:val="baseline"/>
        </w:rPr>
        <w:t xml:space="preserve"> </w:t>
      </w:r>
      <w:r>
        <w:rPr>
          <w:spacing w:val="-3"/>
          <w:vertAlign w:val="baseline"/>
        </w:rPr>
        <w:t>年北京市受理群众热线反映</w:t>
      </w:r>
      <w:r>
        <w:rPr>
          <w:spacing w:val="-19"/>
          <w:vertAlign w:val="baseline"/>
        </w:rPr>
        <w:t xml:space="preserve">分别为 </w:t>
      </w:r>
      <w:r>
        <w:rPr>
          <w:rFonts w:ascii="Times New Roman" w:eastAsia="Times New Roman"/>
          <w:spacing w:val="-4"/>
          <w:vertAlign w:val="baseline"/>
        </w:rPr>
        <w:t>1104</w:t>
      </w:r>
      <w:r>
        <w:rPr>
          <w:spacing w:val="-24"/>
          <w:vertAlign w:val="baseline"/>
        </w:rPr>
        <w:t>、</w:t>
      </w:r>
      <w:r>
        <w:rPr>
          <w:rFonts w:ascii="Times New Roman" w:eastAsia="Times New Roman"/>
          <w:vertAlign w:val="baseline"/>
        </w:rPr>
        <w:t>1485</w:t>
      </w:r>
      <w:r>
        <w:rPr>
          <w:spacing w:val="-22"/>
          <w:vertAlign w:val="baseline"/>
        </w:rPr>
        <w:t>、</w:t>
      </w:r>
      <w:r>
        <w:rPr>
          <w:rFonts w:ascii="Times New Roman" w:eastAsia="Times New Roman"/>
          <w:vertAlign w:val="baseline"/>
        </w:rPr>
        <w:t>7592</w:t>
      </w:r>
      <w:r>
        <w:rPr>
          <w:rFonts w:ascii="Times New Roman" w:eastAsia="Times New Roman"/>
          <w:spacing w:val="4"/>
          <w:vertAlign w:val="baseline"/>
        </w:rPr>
        <w:t xml:space="preserve"> </w:t>
      </w:r>
      <w:r>
        <w:rPr>
          <w:spacing w:val="-14"/>
          <w:vertAlign w:val="baseline"/>
        </w:rPr>
        <w:t xml:space="preserve">万件，三年增长 </w:t>
      </w:r>
      <w:r>
        <w:rPr>
          <w:rFonts w:ascii="Times New Roman" w:eastAsia="Times New Roman"/>
          <w:spacing w:val="-6"/>
          <w:vertAlign w:val="baseline"/>
        </w:rPr>
        <w:t>588%</w:t>
      </w:r>
      <w:r>
        <w:rPr>
          <w:spacing w:val="-6"/>
          <w:vertAlign w:val="baseline"/>
        </w:rPr>
        <w:t>，其中，简单的咨询</w:t>
      </w:r>
      <w:r>
        <w:rPr>
          <w:spacing w:val="-17"/>
          <w:vertAlign w:val="baseline"/>
        </w:rPr>
        <w:t xml:space="preserve">答复类热线 </w:t>
      </w:r>
      <w:r>
        <w:rPr>
          <w:rFonts w:ascii="Times New Roman" w:eastAsia="Times New Roman"/>
          <w:vertAlign w:val="baseline"/>
        </w:rPr>
        <w:t>2022</w:t>
      </w:r>
      <w:r>
        <w:rPr>
          <w:rFonts w:ascii="Times New Roman" w:eastAsia="Times New Roman"/>
          <w:spacing w:val="2"/>
          <w:vertAlign w:val="baseline"/>
        </w:rPr>
        <w:t xml:space="preserve"> </w:t>
      </w:r>
      <w:r>
        <w:rPr>
          <w:spacing w:val="-16"/>
          <w:vertAlign w:val="baseline"/>
        </w:rPr>
        <w:t xml:space="preserve">年占比达 </w:t>
      </w:r>
      <w:r>
        <w:rPr>
          <w:rFonts w:ascii="Times New Roman" w:eastAsia="Times New Roman"/>
          <w:vertAlign w:val="baseline"/>
        </w:rPr>
        <w:t>88%</w:t>
      </w:r>
      <w:r>
        <w:rPr>
          <w:spacing w:val="-22"/>
          <w:vertAlign w:val="baseline"/>
        </w:rPr>
        <w:t xml:space="preserve">。利用生成式 </w:t>
      </w:r>
      <w:r>
        <w:rPr>
          <w:rFonts w:ascii="Times New Roman" w:eastAsia="Times New Roman"/>
          <w:vertAlign w:val="baseline"/>
        </w:rPr>
        <w:t>AI</w:t>
      </w:r>
      <w:r>
        <w:rPr>
          <w:rFonts w:ascii="Times New Roman" w:eastAsia="Times New Roman"/>
          <w:spacing w:val="1"/>
          <w:vertAlign w:val="baseline"/>
        </w:rPr>
        <w:t xml:space="preserve"> </w:t>
      </w:r>
      <w:r>
        <w:rPr>
          <w:spacing w:val="-10"/>
          <w:vertAlign w:val="baseline"/>
        </w:rPr>
        <w:t>智能交互、文档制作</w:t>
      </w:r>
    </w:p>
    <w:p>
      <w:pPr>
        <w:spacing w:after="0" w:line="364" w:lineRule="auto"/>
        <w:sectPr>
          <w:headerReference w:type="default" r:id="rId5"/>
          <w:footerReference w:type="default" r:id="rId6"/>
          <w:pgSz w:w="11910" w:h="16840"/>
          <w:pgMar w:top="1360" w:right="1340" w:bottom="1280" w:left="1540" w:header="874" w:footer="1096" w:gutter="0"/>
          <w:pgNumType w:start="1"/>
          <w:cols w:num="1" w:space="720"/>
        </w:sectPr>
      </w:pPr>
    </w:p>
    <w:p>
      <w:pPr>
        <w:pStyle w:val="BodyText"/>
        <w:spacing w:before="71"/>
        <w:ind w:left="260"/>
        <w:rPr>
          <w:rFonts w:ascii="Times New Roman" w:eastAsia="Times New Roman"/>
        </w:rPr>
      </w:pPr>
      <w:bookmarkStart w:id="4" w:name="_bookmark5"/>
      <w:bookmarkEnd w:id="4"/>
      <w:r>
        <w:t>等核心能力，能大幅缓解超大城市热线咨询激增带来的服务压力。</w:t>
      </w:r>
      <w:hyperlink w:anchor="_bookmark5" w:history="1">
        <w:r>
          <w:rPr>
            <w:rFonts w:ascii="Times New Roman" w:eastAsia="Times New Roman"/>
            <w:vertAlign w:val="superscript"/>
          </w:rPr>
          <w:t>3</w:t>
        </w:r>
      </w:hyperlink>
    </w:p>
    <w:p>
      <w:pPr>
        <w:pStyle w:val="BodyText"/>
        <w:spacing w:before="186" w:line="364" w:lineRule="auto"/>
        <w:ind w:left="260" w:right="437" w:firstLine="559"/>
        <w:jc w:val="both"/>
      </w:pPr>
      <w:r>
        <w:rPr>
          <w:rFonts w:ascii="Times New Roman" w:eastAsia="Times New Roman" w:hAnsi="Times New Roman"/>
        </w:rPr>
        <w:t xml:space="preserve">AIGC </w:t>
      </w:r>
      <w:r>
        <w:rPr>
          <w:spacing w:val="-4"/>
        </w:rPr>
        <w:t>时代数字政府建设也将面临新的变革机遇。</w:t>
      </w:r>
      <w:r>
        <w:rPr>
          <w:rFonts w:ascii="黑体" w:eastAsia="黑体" w:hAnsi="黑体" w:hint="eastAsia"/>
        </w:rPr>
        <w:t>其一</w:t>
      </w:r>
      <w:r>
        <w:rPr>
          <w:spacing w:val="-3"/>
        </w:rPr>
        <w:t>，改变现</w:t>
      </w:r>
      <w:r>
        <w:rPr>
          <w:spacing w:val="-9"/>
        </w:rPr>
        <w:t>有人机互动模式，推动“互联网</w:t>
      </w:r>
      <w:r>
        <w:rPr>
          <w:rFonts w:ascii="Times New Roman" w:eastAsia="Times New Roman" w:hAnsi="Times New Roman"/>
        </w:rPr>
        <w:t>+</w:t>
      </w:r>
      <w:r>
        <w:rPr>
          <w:spacing w:val="-8"/>
        </w:rPr>
        <w:t>政务服务”向“智能</w:t>
      </w:r>
      <w:r>
        <w:rPr>
          <w:rFonts w:ascii="Times New Roman" w:eastAsia="Times New Roman" w:hAnsi="Times New Roman"/>
        </w:rPr>
        <w:t>+</w:t>
      </w:r>
      <w:r>
        <w:rPr>
          <w:spacing w:val="-6"/>
        </w:rPr>
        <w:t>政务服务”演</w:t>
      </w:r>
      <w:r>
        <w:rPr>
          <w:spacing w:val="-12"/>
        </w:rPr>
        <w:t>进升级。在服务需求端，通过拟人化交流、类人化互动，大模型能够</w:t>
      </w:r>
      <w:r>
        <w:rPr>
          <w:spacing w:val="-11"/>
        </w:rPr>
        <w:t>增强问询系统对用户自然语言和问询上下文的理解能力，自动精准抽</w:t>
      </w:r>
      <w:r>
        <w:rPr>
          <w:spacing w:val="-12"/>
        </w:rPr>
        <w:t>取用户需求，提高回复准确性和办事成功率；在服务供给端，能够实现对服务引导、咨询等重复性工作的取代或智能辅助，大规模替代和</w:t>
      </w:r>
      <w:r>
        <w:rPr>
          <w:spacing w:val="-11"/>
        </w:rPr>
        <w:t>优化政务服务前端人力劳动，减轻服务压力。</w:t>
      </w:r>
      <w:r>
        <w:rPr>
          <w:rFonts w:ascii="黑体" w:eastAsia="黑体" w:hAnsi="黑体" w:hint="eastAsia"/>
        </w:rPr>
        <w:t>其二</w:t>
      </w:r>
      <w:r>
        <w:rPr>
          <w:spacing w:val="-7"/>
        </w:rPr>
        <w:t>，革新内容生产方</w:t>
      </w:r>
      <w:r>
        <w:rPr>
          <w:spacing w:val="-11"/>
        </w:rPr>
        <w:t>式，实现会议记录、文书撰写等部分行政活动的自动化替代，消解不</w:t>
      </w:r>
      <w:r>
        <w:rPr>
          <w:spacing w:val="-12"/>
        </w:rPr>
        <w:t>必要的行政负担，让政府人员尤其是基层人员从“繁文缛节”中解放出来，投入到前瞻性、全局性、创新性的工作之中，更多地扮演回应</w:t>
      </w:r>
      <w:r>
        <w:rPr>
          <w:spacing w:val="14"/>
        </w:rPr>
        <w:t>复杂问题的综合协调者和最终决断者。</w:t>
      </w:r>
      <w:r>
        <w:rPr>
          <w:rFonts w:ascii="黑体" w:eastAsia="黑体" w:hAnsi="黑体" w:hint="eastAsia"/>
          <w:spacing w:val="16"/>
        </w:rPr>
        <w:t>其三</w:t>
      </w:r>
      <w:r>
        <w:rPr>
          <w:spacing w:val="15"/>
        </w:rPr>
        <w:t>，形成“模型即服务</w:t>
      </w:r>
    </w:p>
    <w:p>
      <w:pPr>
        <w:pStyle w:val="BodyText"/>
        <w:spacing w:line="364" w:lineRule="auto"/>
        <w:ind w:left="259" w:right="453"/>
        <w:jc w:val="both"/>
      </w:pPr>
      <w:r>
        <w:t>（</w:t>
      </w:r>
      <w:r>
        <w:rPr>
          <w:rFonts w:ascii="Times New Roman" w:eastAsia="Times New Roman" w:hAnsi="Times New Roman"/>
        </w:rPr>
        <w:t>MaaS</w:t>
      </w:r>
      <w:r>
        <w:t>）”</w:t>
      </w:r>
      <w:r>
        <w:rPr>
          <w:spacing w:val="-1"/>
        </w:rPr>
        <w:t xml:space="preserve">的新型服务形态，与传统的 </w:t>
      </w:r>
      <w:r>
        <w:rPr>
          <w:rFonts w:ascii="Times New Roman" w:eastAsia="Times New Roman" w:hAnsi="Times New Roman"/>
        </w:rPr>
        <w:t>IaaS</w:t>
      </w:r>
      <w:r>
        <w:t>（</w:t>
      </w:r>
      <w:r>
        <w:rPr>
          <w:spacing w:val="-1"/>
        </w:rPr>
        <w:t>基础设施即服务</w:t>
      </w:r>
      <w:r>
        <w:t>）、</w:t>
      </w:r>
      <w:r>
        <w:rPr>
          <w:rFonts w:ascii="Times New Roman" w:eastAsia="Times New Roman" w:hAnsi="Times New Roman"/>
          <w:spacing w:val="-5"/>
        </w:rPr>
        <w:t>PaaS</w:t>
      </w:r>
      <w:r>
        <w:rPr>
          <w:spacing w:val="-5"/>
        </w:rPr>
        <w:t>（</w:t>
      </w:r>
      <w:r>
        <w:rPr>
          <w:spacing w:val="-3"/>
        </w:rPr>
        <w:t>平台即服务</w:t>
      </w:r>
      <w:r>
        <w:rPr>
          <w:spacing w:val="-20"/>
        </w:rPr>
        <w:t>）、</w:t>
      </w:r>
      <w:r>
        <w:rPr>
          <w:rFonts w:ascii="Times New Roman" w:eastAsia="Times New Roman" w:hAnsi="Times New Roman"/>
          <w:spacing w:val="-5"/>
        </w:rPr>
        <w:t>SaaS</w:t>
      </w:r>
      <w:r>
        <w:rPr>
          <w:spacing w:val="-5"/>
        </w:rPr>
        <w:t>（</w:t>
      </w:r>
      <w:r>
        <w:rPr>
          <w:spacing w:val="-3"/>
        </w:rPr>
        <w:t>应用即服务</w:t>
      </w:r>
      <w:r>
        <w:rPr>
          <w:spacing w:val="-20"/>
        </w:rPr>
        <w:t>）</w:t>
      </w:r>
      <w:r>
        <w:rPr>
          <w:spacing w:val="-3"/>
        </w:rPr>
        <w:t>一起成为政务云平台的构</w:t>
      </w:r>
      <w:r>
        <w:rPr>
          <w:spacing w:val="-12"/>
        </w:rPr>
        <w:t>成要素，共同为“一网通办”“一网统管”“一网协同”等上层政务</w:t>
      </w:r>
      <w:r>
        <w:rPr>
          <w:spacing w:val="-7"/>
        </w:rPr>
        <w:t>应用系统赋能，改变现有数字政府建设格局。</w:t>
      </w:r>
    </w:p>
    <w:p>
      <w:pPr>
        <w:pStyle w:val="Heading2"/>
        <w:spacing w:before="49"/>
        <w:ind w:left="900" w:firstLine="0"/>
        <w:rPr>
          <w:rFonts w:ascii="黑体" w:eastAsia="黑体" w:hint="eastAsia"/>
        </w:rPr>
      </w:pPr>
      <w:bookmarkStart w:id="5" w:name="_bookmark3"/>
      <w:bookmarkEnd w:id="5"/>
      <w:bookmarkStart w:id="6" w:name="二、全球掀起政务领域大模型应用浪潮"/>
      <w:bookmarkEnd w:id="6"/>
      <w:r>
        <w:rPr>
          <w:rFonts w:ascii="黑体" w:eastAsia="黑体" w:hint="eastAsia"/>
        </w:rPr>
        <w:t>二、全球掀起政务领域大模型应用浪潮</w:t>
      </w:r>
    </w:p>
    <w:p>
      <w:pPr>
        <w:pStyle w:val="Heading1"/>
        <w:spacing w:before="168"/>
      </w:pPr>
      <w:bookmarkStart w:id="7" w:name="_bookmark4"/>
      <w:bookmarkEnd w:id="7"/>
      <w:bookmarkStart w:id="8" w:name="（一）探索推进较快，应用前景广阔"/>
      <w:bookmarkEnd w:id="8"/>
      <w:r>
        <w:t>（一）探索推进较快，应用前景广阔</w:t>
      </w:r>
    </w:p>
    <w:p>
      <w:pPr>
        <w:pStyle w:val="BodyText"/>
        <w:spacing w:before="200" w:line="364" w:lineRule="auto"/>
        <w:ind w:left="259" w:right="453" w:firstLine="559"/>
        <w:jc w:val="both"/>
      </w:pPr>
      <w:r>
        <w:rPr>
          <w:spacing w:val="-4"/>
        </w:rPr>
        <w:t xml:space="preserve">自以 </w:t>
      </w:r>
      <w:r>
        <w:rPr>
          <w:rFonts w:ascii="Times New Roman" w:eastAsia="Times New Roman"/>
        </w:rPr>
        <w:t>ChatGPT</w:t>
      </w:r>
      <w:r>
        <w:rPr>
          <w:rFonts w:ascii="Times New Roman" w:eastAsia="Times New Roman"/>
          <w:spacing w:val="60"/>
        </w:rPr>
        <w:t xml:space="preserve"> </w:t>
      </w:r>
      <w:r>
        <w:rPr>
          <w:spacing w:val="-3"/>
        </w:rPr>
        <w:t>为代表的大模型工具出现以来，全球各国纷纷探</w:t>
      </w:r>
      <w:r>
        <w:rPr>
          <w:spacing w:val="-9"/>
        </w:rPr>
        <w:t>索新技术在政府治理中的应用可能，推动形成新的一波以智能化为主</w:t>
      </w:r>
      <w:r>
        <w:rPr>
          <w:spacing w:val="-6"/>
        </w:rPr>
        <w:t>要特征的数字政府改革浪潮。</w:t>
      </w:r>
      <w:r>
        <w:rPr>
          <w:rFonts w:ascii="黑体" w:eastAsia="黑体" w:hint="eastAsia"/>
          <w:spacing w:val="-7"/>
        </w:rPr>
        <w:t xml:space="preserve">从应用广度看，生成式 </w:t>
      </w:r>
      <w:r>
        <w:rPr>
          <w:rFonts w:ascii="黑体" w:eastAsia="黑体" w:hint="eastAsia"/>
        </w:rPr>
        <w:t>AI</w:t>
      </w:r>
      <w:r>
        <w:rPr>
          <w:rFonts w:ascii="黑体" w:eastAsia="黑体" w:hint="eastAsia"/>
          <w:spacing w:val="-8"/>
        </w:rPr>
        <w:t xml:space="preserve"> 大模型在政</w:t>
      </w:r>
      <w:r>
        <w:rPr>
          <w:rFonts w:ascii="黑体" w:eastAsia="黑体" w:hint="eastAsia"/>
          <w:spacing w:val="-7"/>
        </w:rPr>
        <w:t>务领域的应用探索已较为普遍。</w:t>
      </w:r>
      <w:r>
        <w:rPr>
          <w:spacing w:val="-23"/>
        </w:rPr>
        <w:t xml:space="preserve">截至 </w:t>
      </w:r>
      <w:r>
        <w:rPr>
          <w:rFonts w:ascii="Times New Roman" w:eastAsia="Times New Roman"/>
        </w:rPr>
        <w:t xml:space="preserve">2023 </w:t>
      </w:r>
      <w:r>
        <w:rPr>
          <w:spacing w:val="-34"/>
        </w:rPr>
        <w:t xml:space="preserve">年 </w:t>
      </w:r>
      <w:r>
        <w:rPr>
          <w:rFonts w:ascii="Times New Roman" w:eastAsia="Times New Roman"/>
        </w:rPr>
        <w:t xml:space="preserve">10 </w:t>
      </w:r>
      <w:r>
        <w:rPr>
          <w:spacing w:val="-9"/>
        </w:rPr>
        <w:t>月，已有美国、葡萄</w:t>
      </w:r>
      <w:r>
        <w:rPr>
          <w:spacing w:val="-12"/>
        </w:rPr>
        <w:t>牙、英国、爱尔兰、丹麦、澳大利亚、加拿大、阿联酋、卡塔尔、以</w:t>
      </w:r>
    </w:p>
    <w:p>
      <w:pPr>
        <w:spacing w:after="0" w:line="364" w:lineRule="auto"/>
        <w:jc w:val="both"/>
        <w:sectPr>
          <w:headerReference w:type="default" r:id="rId7"/>
          <w:footerReference w:type="default" r:id="rId8"/>
          <w:pgSz w:w="11910" w:h="16840"/>
          <w:pgMar w:top="1360" w:right="1340" w:bottom="1280" w:left="1540" w:header="874" w:footer="1096" w:gutter="0"/>
          <w:pgNumType w:start="2"/>
          <w:cols w:num="1" w:space="720"/>
        </w:sectPr>
      </w:pPr>
    </w:p>
    <w:p>
      <w:pPr>
        <w:pStyle w:val="BodyText"/>
        <w:spacing w:before="71" w:line="364" w:lineRule="auto"/>
        <w:ind w:left="260" w:right="314"/>
      </w:pPr>
      <w:r>
        <w:rPr>
          <w:spacing w:val="-5"/>
        </w:rPr>
        <w:t xml:space="preserve">色列、新加坡、日本、韩国、印度、马来西亚、柬埔寨等 </w:t>
      </w:r>
      <w:r>
        <w:rPr>
          <w:rFonts w:ascii="Times New Roman" w:eastAsia="Times New Roman"/>
        </w:rPr>
        <w:t xml:space="preserve">18 </w:t>
      </w:r>
      <w:r>
        <w:rPr>
          <w:spacing w:val="-2"/>
        </w:rPr>
        <w:t>个国家</w:t>
      </w:r>
      <w:r>
        <w:rPr>
          <w:spacing w:val="-8"/>
        </w:rPr>
        <w:t>或地区将大模型应用在政府事务管理中。在应用层级上，既包括当地</w:t>
      </w:r>
      <w:r>
        <w:rPr>
          <w:spacing w:val="-9"/>
        </w:rPr>
        <w:t>中央政府部门，也包括地方机构，如美国联邦政府机构总务管理局、</w:t>
      </w:r>
      <w:r>
        <w:rPr>
          <w:spacing w:val="-10"/>
        </w:rPr>
        <w:t>华盛顿州政府、波士顿市等同步推进大模型技术应用，日本中央政府</w:t>
      </w:r>
      <w:r>
        <w:rPr>
          <w:spacing w:val="-13"/>
        </w:rPr>
        <w:t>部门农林水产省、一级行政区划东京都、地方政府横须贺市等也均在</w:t>
      </w:r>
      <w:r>
        <w:rPr>
          <w:spacing w:val="-8"/>
        </w:rPr>
        <w:t xml:space="preserve">政府办公中使用 </w:t>
      </w:r>
      <w:r>
        <w:rPr>
          <w:rFonts w:ascii="Times New Roman" w:eastAsia="Times New Roman"/>
        </w:rPr>
        <w:t>ChatGPT</w:t>
      </w:r>
      <w:r>
        <w:rPr>
          <w:rFonts w:ascii="Times New Roman" w:eastAsia="Times New Roman"/>
          <w:spacing w:val="58"/>
        </w:rPr>
        <w:t xml:space="preserve"> </w:t>
      </w:r>
      <w:r>
        <w:rPr>
          <w:spacing w:val="-3"/>
        </w:rPr>
        <w:t>等大模型工具。在应用场景上，覆盖了文</w:t>
      </w:r>
      <w:r>
        <w:rPr>
          <w:spacing w:val="-11"/>
        </w:rPr>
        <w:t>本生成、服务提供、决策分析到科研创新等多类场景，大模型作为辅</w:t>
      </w:r>
      <w:r>
        <w:rPr>
          <w:spacing w:val="-13"/>
        </w:rPr>
        <w:t>助工具融入到政府活动的方方面面。此外，也有个别地区或部门出于</w:t>
      </w:r>
      <w:r>
        <w:rPr>
          <w:spacing w:val="-15"/>
        </w:rPr>
        <w:t>数据安全风险等原因颁布指令，有期限地禁止公务人员使用大模型工</w:t>
      </w:r>
      <w:r>
        <w:rPr>
          <w:spacing w:val="-8"/>
        </w:rPr>
        <w:t>具，如美国环保局、缅因州政府等。</w:t>
      </w:r>
    </w:p>
    <w:p>
      <w:pPr>
        <w:spacing w:before="0" w:line="302" w:lineRule="exact"/>
        <w:ind w:left="1832" w:right="0" w:firstLine="0"/>
        <w:jc w:val="left"/>
        <w:rPr>
          <w:sz w:val="24"/>
        </w:rPr>
      </w:pPr>
      <w:bookmarkStart w:id="9" w:name="_bookmark6"/>
      <w:bookmarkEnd w:id="9"/>
      <w:r>
        <w:rPr>
          <w:sz w:val="24"/>
        </w:rPr>
        <w:t xml:space="preserve">表 </w:t>
      </w:r>
      <w:r>
        <w:rPr>
          <w:rFonts w:ascii="Times New Roman" w:eastAsia="Times New Roman"/>
          <w:sz w:val="24"/>
        </w:rPr>
        <w:t xml:space="preserve">1 </w:t>
      </w:r>
      <w:r>
        <w:rPr>
          <w:sz w:val="24"/>
        </w:rPr>
        <w:t>各国（地区）政府对大模型技术的应用情况</w:t>
      </w:r>
    </w:p>
    <w:p>
      <w:pPr>
        <w:pStyle w:val="BodyText"/>
        <w:spacing w:before="2"/>
        <w:rPr>
          <w:sz w:val="12"/>
        </w:rPr>
      </w:pPr>
    </w:p>
    <w:tbl>
      <w:tblPr>
        <w:tblStyle w:val="TableNormal"/>
        <w:tblW w:w="0" w:type="auto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3"/>
        <w:gridCol w:w="1277"/>
        <w:gridCol w:w="6317"/>
      </w:tblGrid>
      <w:tr>
        <w:tblPrEx>
          <w:tblW w:w="0" w:type="auto"/>
          <w:tblInd w:w="27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/>
        </w:trPr>
        <w:tc>
          <w:tcPr>
            <w:tcW w:w="703" w:type="dxa"/>
          </w:tcPr>
          <w:p>
            <w:pPr>
              <w:pStyle w:val="TableParagraph"/>
              <w:spacing w:line="292" w:lineRule="exact"/>
              <w:ind w:left="92" w:right="80"/>
              <w:rPr>
                <w:rFonts w:ascii="Microsoft JhengHei" w:eastAsia="Microsoft JhengHei" w:hint="eastAsia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t>序号</w:t>
            </w:r>
          </w:p>
        </w:tc>
        <w:tc>
          <w:tcPr>
            <w:tcW w:w="1277" w:type="dxa"/>
          </w:tcPr>
          <w:p>
            <w:pPr>
              <w:pStyle w:val="TableParagraph"/>
              <w:spacing w:line="292" w:lineRule="exact"/>
              <w:ind w:left="103" w:right="96"/>
              <w:rPr>
                <w:rFonts w:ascii="Microsoft JhengHei" w:eastAsia="Microsoft JhengHei" w:hint="eastAsia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t>国家</w:t>
            </w:r>
            <w:r>
              <w:rPr>
                <w:rFonts w:ascii="Times New Roman" w:eastAsia="Times New Roman"/>
                <w:b/>
                <w:sz w:val="24"/>
              </w:rPr>
              <w:t>/</w:t>
            </w:r>
            <w:r>
              <w:rPr>
                <w:rFonts w:ascii="Microsoft JhengHei" w:eastAsia="Microsoft JhengHei" w:hint="eastAsia"/>
                <w:b/>
                <w:sz w:val="24"/>
              </w:rPr>
              <w:t>地区</w:t>
            </w:r>
          </w:p>
        </w:tc>
        <w:tc>
          <w:tcPr>
            <w:tcW w:w="6317" w:type="dxa"/>
          </w:tcPr>
          <w:p>
            <w:pPr>
              <w:pStyle w:val="TableParagraph"/>
              <w:spacing w:line="292" w:lineRule="exact"/>
              <w:ind w:left="108" w:right="97"/>
              <w:rPr>
                <w:rFonts w:ascii="Microsoft JhengHei" w:eastAsia="Microsoft JhengHei" w:hint="eastAsia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t>应用范围</w:t>
            </w:r>
          </w:p>
        </w:tc>
      </w:tr>
      <w:tr>
        <w:tblPrEx>
          <w:tblW w:w="0" w:type="auto"/>
          <w:tblInd w:w="2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/>
        </w:trPr>
        <w:tc>
          <w:tcPr>
            <w:tcW w:w="703" w:type="dxa"/>
          </w:tcPr>
          <w:p>
            <w:pPr>
              <w:pStyle w:val="TableParagraph"/>
              <w:spacing w:before="174"/>
              <w:ind w:left="7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1277" w:type="dxa"/>
          </w:tcPr>
          <w:p>
            <w:pPr>
              <w:pStyle w:val="TableParagraph"/>
              <w:spacing w:before="158"/>
              <w:ind w:left="103" w:right="94"/>
              <w:rPr>
                <w:sz w:val="24"/>
              </w:rPr>
            </w:pPr>
            <w:r>
              <w:rPr>
                <w:sz w:val="24"/>
              </w:rPr>
              <w:t>美国</w:t>
            </w:r>
          </w:p>
        </w:tc>
        <w:tc>
          <w:tcPr>
            <w:tcW w:w="6317" w:type="dxa"/>
          </w:tcPr>
          <w:p>
            <w:pPr>
              <w:pStyle w:val="TableParagraph"/>
              <w:spacing w:before="2"/>
              <w:ind w:left="108" w:right="99"/>
              <w:rPr>
                <w:sz w:val="24"/>
              </w:rPr>
            </w:pPr>
            <w:r>
              <w:rPr>
                <w:sz w:val="24"/>
              </w:rPr>
              <w:t>众议院、国防部、国家航空航天局（</w:t>
            </w:r>
            <w:r>
              <w:rPr>
                <w:rFonts w:ascii="Times New Roman" w:eastAsia="Times New Roman"/>
                <w:sz w:val="24"/>
              </w:rPr>
              <w:t>NASA</w:t>
            </w:r>
            <w:r>
              <w:rPr>
                <w:sz w:val="24"/>
              </w:rPr>
              <w:t>）、</w:t>
            </w:r>
          </w:p>
          <w:p>
            <w:pPr>
              <w:pStyle w:val="TableParagraph"/>
              <w:spacing w:before="4" w:line="289" w:lineRule="exact"/>
              <w:ind w:left="108" w:right="99"/>
              <w:rPr>
                <w:sz w:val="24"/>
              </w:rPr>
            </w:pPr>
            <w:r>
              <w:rPr>
                <w:sz w:val="24"/>
              </w:rPr>
              <w:t xml:space="preserve">卫生与公共服务部、总务管理局，以及 </w:t>
            </w:r>
            <w:r>
              <w:rPr>
                <w:rFonts w:ascii="Times New Roman" w:eastAsia="Times New Roman"/>
                <w:sz w:val="24"/>
              </w:rPr>
              <w:t xml:space="preserve">8 </w:t>
            </w:r>
            <w:r>
              <w:rPr>
                <w:sz w:val="24"/>
              </w:rPr>
              <w:t>个州、市、县等</w:t>
            </w:r>
          </w:p>
        </w:tc>
      </w:tr>
      <w:tr>
        <w:tblPrEx>
          <w:tblW w:w="0" w:type="auto"/>
          <w:tblInd w:w="2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/>
        </w:trPr>
        <w:tc>
          <w:tcPr>
            <w:tcW w:w="703" w:type="dxa"/>
          </w:tcPr>
          <w:p>
            <w:pPr>
              <w:pStyle w:val="TableParagraph"/>
              <w:spacing w:before="20" w:line="273" w:lineRule="exact"/>
              <w:ind w:left="7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</w:t>
            </w:r>
          </w:p>
        </w:tc>
        <w:tc>
          <w:tcPr>
            <w:tcW w:w="1277" w:type="dxa"/>
          </w:tcPr>
          <w:p>
            <w:pPr>
              <w:pStyle w:val="TableParagraph"/>
              <w:spacing w:before="4" w:line="289" w:lineRule="exact"/>
              <w:ind w:left="103" w:right="94"/>
              <w:rPr>
                <w:sz w:val="24"/>
              </w:rPr>
            </w:pPr>
            <w:r>
              <w:rPr>
                <w:sz w:val="24"/>
              </w:rPr>
              <w:t>加拿大</w:t>
            </w:r>
          </w:p>
        </w:tc>
        <w:tc>
          <w:tcPr>
            <w:tcW w:w="6317" w:type="dxa"/>
          </w:tcPr>
          <w:p>
            <w:pPr>
              <w:pStyle w:val="TableParagraph"/>
              <w:spacing w:before="4" w:line="289" w:lineRule="exact"/>
              <w:ind w:left="108" w:right="99"/>
              <w:rPr>
                <w:sz w:val="24"/>
              </w:rPr>
            </w:pPr>
            <w:r>
              <w:rPr>
                <w:sz w:val="24"/>
              </w:rPr>
              <w:t>公务人员使用大模型产品进行办公</w:t>
            </w:r>
          </w:p>
        </w:tc>
      </w:tr>
      <w:tr>
        <w:tblPrEx>
          <w:tblW w:w="0" w:type="auto"/>
          <w:tblInd w:w="2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/>
        </w:trPr>
        <w:tc>
          <w:tcPr>
            <w:tcW w:w="703" w:type="dxa"/>
          </w:tcPr>
          <w:p>
            <w:pPr>
              <w:pStyle w:val="TableParagraph"/>
              <w:spacing w:before="18" w:line="273" w:lineRule="exact"/>
              <w:ind w:left="7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3</w:t>
            </w:r>
          </w:p>
        </w:tc>
        <w:tc>
          <w:tcPr>
            <w:tcW w:w="1277" w:type="dxa"/>
          </w:tcPr>
          <w:p>
            <w:pPr>
              <w:pStyle w:val="TableParagraph"/>
              <w:spacing w:before="2" w:line="289" w:lineRule="exact"/>
              <w:ind w:left="103" w:right="94"/>
              <w:rPr>
                <w:sz w:val="24"/>
              </w:rPr>
            </w:pPr>
            <w:r>
              <w:rPr>
                <w:sz w:val="24"/>
              </w:rPr>
              <w:t>英国</w:t>
            </w:r>
          </w:p>
        </w:tc>
        <w:tc>
          <w:tcPr>
            <w:tcW w:w="6317" w:type="dxa"/>
          </w:tcPr>
          <w:p>
            <w:pPr>
              <w:pStyle w:val="TableParagraph"/>
              <w:spacing w:before="2" w:line="289" w:lineRule="exact"/>
              <w:ind w:left="108" w:right="99"/>
              <w:rPr>
                <w:sz w:val="24"/>
              </w:rPr>
            </w:pPr>
            <w:r>
              <w:rPr>
                <w:sz w:val="24"/>
              </w:rPr>
              <w:t xml:space="preserve">财政大臣使用 </w:t>
            </w:r>
            <w:r>
              <w:rPr>
                <w:rFonts w:ascii="Times New Roman" w:eastAsia="Times New Roman"/>
                <w:sz w:val="24"/>
              </w:rPr>
              <w:t xml:space="preserve">ChatGPT </w:t>
            </w:r>
            <w:r>
              <w:rPr>
                <w:sz w:val="24"/>
              </w:rPr>
              <w:t>撰写演讲稿</w:t>
            </w:r>
          </w:p>
        </w:tc>
      </w:tr>
      <w:tr>
        <w:tblPrEx>
          <w:tblW w:w="0" w:type="auto"/>
          <w:tblInd w:w="2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/>
        </w:trPr>
        <w:tc>
          <w:tcPr>
            <w:tcW w:w="703" w:type="dxa"/>
          </w:tcPr>
          <w:p>
            <w:pPr>
              <w:pStyle w:val="TableParagraph"/>
              <w:spacing w:before="18" w:line="273" w:lineRule="exact"/>
              <w:ind w:left="7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4</w:t>
            </w:r>
          </w:p>
        </w:tc>
        <w:tc>
          <w:tcPr>
            <w:tcW w:w="1277" w:type="dxa"/>
          </w:tcPr>
          <w:p>
            <w:pPr>
              <w:pStyle w:val="TableParagraph"/>
              <w:spacing w:before="2" w:line="289" w:lineRule="exact"/>
              <w:ind w:left="103" w:right="94"/>
              <w:rPr>
                <w:sz w:val="24"/>
              </w:rPr>
            </w:pPr>
            <w:r>
              <w:rPr>
                <w:sz w:val="24"/>
              </w:rPr>
              <w:t>丹麦</w:t>
            </w:r>
          </w:p>
        </w:tc>
        <w:tc>
          <w:tcPr>
            <w:tcW w:w="6317" w:type="dxa"/>
          </w:tcPr>
          <w:p>
            <w:pPr>
              <w:pStyle w:val="TableParagraph"/>
              <w:spacing w:before="2" w:line="289" w:lineRule="exact"/>
              <w:ind w:left="108" w:right="99"/>
              <w:rPr>
                <w:sz w:val="24"/>
              </w:rPr>
            </w:pPr>
            <w:r>
              <w:rPr>
                <w:sz w:val="24"/>
              </w:rPr>
              <w:t xml:space="preserve">首相使用 </w:t>
            </w:r>
            <w:r>
              <w:rPr>
                <w:rFonts w:ascii="Times New Roman" w:eastAsia="Times New Roman"/>
                <w:sz w:val="24"/>
              </w:rPr>
              <w:t xml:space="preserve">ChatGPT </w:t>
            </w:r>
            <w:r>
              <w:rPr>
                <w:sz w:val="24"/>
              </w:rPr>
              <w:t>撰写演讲稿</w:t>
            </w:r>
          </w:p>
        </w:tc>
      </w:tr>
      <w:tr>
        <w:tblPrEx>
          <w:tblW w:w="0" w:type="auto"/>
          <w:tblInd w:w="2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/>
        </w:trPr>
        <w:tc>
          <w:tcPr>
            <w:tcW w:w="703" w:type="dxa"/>
          </w:tcPr>
          <w:p>
            <w:pPr>
              <w:pStyle w:val="TableParagraph"/>
              <w:spacing w:before="18" w:line="273" w:lineRule="exact"/>
              <w:ind w:left="7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5</w:t>
            </w:r>
          </w:p>
        </w:tc>
        <w:tc>
          <w:tcPr>
            <w:tcW w:w="1277" w:type="dxa"/>
          </w:tcPr>
          <w:p>
            <w:pPr>
              <w:pStyle w:val="TableParagraph"/>
              <w:spacing w:before="2" w:line="289" w:lineRule="exact"/>
              <w:ind w:left="103" w:right="94"/>
              <w:rPr>
                <w:sz w:val="24"/>
              </w:rPr>
            </w:pPr>
            <w:r>
              <w:rPr>
                <w:sz w:val="24"/>
              </w:rPr>
              <w:t>葡萄牙</w:t>
            </w:r>
          </w:p>
        </w:tc>
        <w:tc>
          <w:tcPr>
            <w:tcW w:w="6317" w:type="dxa"/>
          </w:tcPr>
          <w:p>
            <w:pPr>
              <w:pStyle w:val="TableParagraph"/>
              <w:spacing w:before="2" w:line="289" w:lineRule="exact"/>
              <w:ind w:left="106" w:right="99"/>
              <w:rPr>
                <w:sz w:val="24"/>
              </w:rPr>
            </w:pPr>
            <w:r>
              <w:rPr>
                <w:sz w:val="24"/>
              </w:rPr>
              <w:t>司法部、</w:t>
            </w:r>
            <w:r>
              <w:rPr>
                <w:rFonts w:ascii="Times New Roman" w:eastAsia="Times New Roman"/>
                <w:sz w:val="24"/>
              </w:rPr>
              <w:t xml:space="preserve">112 </w:t>
            </w:r>
            <w:r>
              <w:rPr>
                <w:sz w:val="24"/>
              </w:rPr>
              <w:t>政府紧急热线</w:t>
            </w:r>
          </w:p>
        </w:tc>
      </w:tr>
      <w:tr>
        <w:tblPrEx>
          <w:tblW w:w="0" w:type="auto"/>
          <w:tblInd w:w="2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/>
        </w:trPr>
        <w:tc>
          <w:tcPr>
            <w:tcW w:w="703" w:type="dxa"/>
          </w:tcPr>
          <w:p>
            <w:pPr>
              <w:pStyle w:val="TableParagraph"/>
              <w:spacing w:before="18" w:line="273" w:lineRule="exact"/>
              <w:ind w:left="7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6</w:t>
            </w:r>
          </w:p>
        </w:tc>
        <w:tc>
          <w:tcPr>
            <w:tcW w:w="1277" w:type="dxa"/>
          </w:tcPr>
          <w:p>
            <w:pPr>
              <w:pStyle w:val="TableParagraph"/>
              <w:spacing w:before="2" w:line="289" w:lineRule="exact"/>
              <w:ind w:left="103" w:right="94"/>
              <w:rPr>
                <w:sz w:val="24"/>
              </w:rPr>
            </w:pPr>
            <w:r>
              <w:rPr>
                <w:sz w:val="24"/>
              </w:rPr>
              <w:t>爱尔兰</w:t>
            </w:r>
          </w:p>
        </w:tc>
        <w:tc>
          <w:tcPr>
            <w:tcW w:w="6317" w:type="dxa"/>
          </w:tcPr>
          <w:p>
            <w:pPr>
              <w:pStyle w:val="TableParagraph"/>
              <w:spacing w:before="2" w:line="289" w:lineRule="exact"/>
              <w:ind w:left="108" w:right="99"/>
              <w:rPr>
                <w:sz w:val="24"/>
              </w:rPr>
            </w:pPr>
            <w:r>
              <w:rPr>
                <w:sz w:val="24"/>
              </w:rPr>
              <w:t>农业部、交通部</w:t>
            </w:r>
          </w:p>
        </w:tc>
      </w:tr>
      <w:tr>
        <w:tblPrEx>
          <w:tblW w:w="0" w:type="auto"/>
          <w:tblInd w:w="2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/>
        </w:trPr>
        <w:tc>
          <w:tcPr>
            <w:tcW w:w="703" w:type="dxa"/>
          </w:tcPr>
          <w:p>
            <w:pPr>
              <w:pStyle w:val="TableParagraph"/>
              <w:spacing w:before="18" w:line="273" w:lineRule="exact"/>
              <w:ind w:left="7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7</w:t>
            </w:r>
          </w:p>
        </w:tc>
        <w:tc>
          <w:tcPr>
            <w:tcW w:w="1277" w:type="dxa"/>
          </w:tcPr>
          <w:p>
            <w:pPr>
              <w:pStyle w:val="TableParagraph"/>
              <w:spacing w:before="2" w:line="289" w:lineRule="exact"/>
              <w:ind w:left="103" w:right="94"/>
              <w:rPr>
                <w:sz w:val="24"/>
              </w:rPr>
            </w:pPr>
            <w:r>
              <w:rPr>
                <w:sz w:val="24"/>
              </w:rPr>
              <w:t>罗马尼亚</w:t>
            </w:r>
          </w:p>
        </w:tc>
        <w:tc>
          <w:tcPr>
            <w:tcW w:w="6317" w:type="dxa"/>
          </w:tcPr>
          <w:p>
            <w:pPr>
              <w:pStyle w:val="TableParagraph"/>
              <w:spacing w:before="2" w:line="289" w:lineRule="exact"/>
              <w:ind w:left="106" w:right="99"/>
              <w:rPr>
                <w:sz w:val="24"/>
              </w:rPr>
            </w:pPr>
            <w:r>
              <w:rPr>
                <w:sz w:val="24"/>
              </w:rPr>
              <w:t xml:space="preserve">总理使用类 </w:t>
            </w:r>
            <w:r>
              <w:rPr>
                <w:rFonts w:ascii="Times New Roman" w:eastAsia="Times New Roman"/>
                <w:sz w:val="24"/>
              </w:rPr>
              <w:t xml:space="preserve">ChatGPT </w:t>
            </w:r>
            <w:r>
              <w:rPr>
                <w:sz w:val="24"/>
              </w:rPr>
              <w:t xml:space="preserve">的 </w:t>
            </w:r>
            <w:r>
              <w:rPr>
                <w:rFonts w:ascii="Times New Roman" w:eastAsia="Times New Roman"/>
                <w:sz w:val="24"/>
              </w:rPr>
              <w:t xml:space="preserve">AI </w:t>
            </w:r>
            <w:r>
              <w:rPr>
                <w:sz w:val="24"/>
              </w:rPr>
              <w:t>助手</w:t>
            </w:r>
          </w:p>
        </w:tc>
      </w:tr>
      <w:tr>
        <w:tblPrEx>
          <w:tblW w:w="0" w:type="auto"/>
          <w:tblInd w:w="2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/>
        </w:trPr>
        <w:tc>
          <w:tcPr>
            <w:tcW w:w="703" w:type="dxa"/>
          </w:tcPr>
          <w:p>
            <w:pPr>
              <w:pStyle w:val="TableParagraph"/>
              <w:spacing w:before="20" w:line="273" w:lineRule="exact"/>
              <w:ind w:left="7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8</w:t>
            </w:r>
          </w:p>
        </w:tc>
        <w:tc>
          <w:tcPr>
            <w:tcW w:w="1277" w:type="dxa"/>
          </w:tcPr>
          <w:p>
            <w:pPr>
              <w:pStyle w:val="TableParagraph"/>
              <w:spacing w:before="4" w:line="289" w:lineRule="exact"/>
              <w:ind w:left="103" w:right="94"/>
              <w:rPr>
                <w:sz w:val="24"/>
              </w:rPr>
            </w:pPr>
            <w:r>
              <w:rPr>
                <w:sz w:val="24"/>
              </w:rPr>
              <w:t>澳大利亚</w:t>
            </w:r>
          </w:p>
        </w:tc>
        <w:tc>
          <w:tcPr>
            <w:tcW w:w="6317" w:type="dxa"/>
          </w:tcPr>
          <w:p>
            <w:pPr>
              <w:pStyle w:val="TableParagraph"/>
              <w:spacing w:before="4" w:line="289" w:lineRule="exact"/>
              <w:ind w:left="108" w:right="99"/>
              <w:rPr>
                <w:sz w:val="24"/>
              </w:rPr>
            </w:pPr>
            <w:r>
              <w:rPr>
                <w:sz w:val="24"/>
              </w:rPr>
              <w:t>内政部</w:t>
            </w:r>
          </w:p>
        </w:tc>
      </w:tr>
      <w:tr>
        <w:tblPrEx>
          <w:tblW w:w="0" w:type="auto"/>
          <w:tblInd w:w="2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/>
        </w:trPr>
        <w:tc>
          <w:tcPr>
            <w:tcW w:w="703" w:type="dxa"/>
          </w:tcPr>
          <w:p>
            <w:pPr>
              <w:pStyle w:val="TableParagraph"/>
              <w:spacing w:before="18" w:line="273" w:lineRule="exact"/>
              <w:ind w:left="7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9</w:t>
            </w:r>
          </w:p>
        </w:tc>
        <w:tc>
          <w:tcPr>
            <w:tcW w:w="1277" w:type="dxa"/>
          </w:tcPr>
          <w:p>
            <w:pPr>
              <w:pStyle w:val="TableParagraph"/>
              <w:spacing w:before="2" w:line="289" w:lineRule="exact"/>
              <w:ind w:left="103" w:right="94"/>
              <w:rPr>
                <w:sz w:val="24"/>
              </w:rPr>
            </w:pPr>
            <w:r>
              <w:rPr>
                <w:sz w:val="24"/>
              </w:rPr>
              <w:t>新加坡</w:t>
            </w:r>
          </w:p>
        </w:tc>
        <w:tc>
          <w:tcPr>
            <w:tcW w:w="6317" w:type="dxa"/>
          </w:tcPr>
          <w:p>
            <w:pPr>
              <w:pStyle w:val="TableParagraph"/>
              <w:spacing w:before="2" w:line="289" w:lineRule="exact"/>
              <w:ind w:left="108" w:right="99"/>
              <w:rPr>
                <w:sz w:val="24"/>
              </w:rPr>
            </w:pPr>
            <w:r>
              <w:rPr>
                <w:sz w:val="24"/>
              </w:rPr>
              <w:t>科技研究局、劳动力局、卫生部等</w:t>
            </w:r>
          </w:p>
        </w:tc>
      </w:tr>
      <w:tr>
        <w:tblPrEx>
          <w:tblW w:w="0" w:type="auto"/>
          <w:tblInd w:w="2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/>
        </w:trPr>
        <w:tc>
          <w:tcPr>
            <w:tcW w:w="703" w:type="dxa"/>
          </w:tcPr>
          <w:p>
            <w:pPr>
              <w:pStyle w:val="TableParagraph"/>
              <w:spacing w:before="222"/>
              <w:ind w:left="87" w:right="8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10</w:t>
            </w:r>
          </w:p>
        </w:tc>
        <w:tc>
          <w:tcPr>
            <w:tcW w:w="1277" w:type="dxa"/>
          </w:tcPr>
          <w:p>
            <w:pPr>
              <w:pStyle w:val="TableParagraph"/>
              <w:spacing w:before="206"/>
              <w:ind w:left="103" w:right="94"/>
              <w:rPr>
                <w:sz w:val="24"/>
              </w:rPr>
            </w:pPr>
            <w:r>
              <w:rPr>
                <w:sz w:val="24"/>
              </w:rPr>
              <w:t>日本</w:t>
            </w:r>
          </w:p>
        </w:tc>
        <w:tc>
          <w:tcPr>
            <w:tcW w:w="6317" w:type="dxa"/>
          </w:tcPr>
          <w:p>
            <w:pPr>
              <w:pStyle w:val="TableParagraph"/>
              <w:spacing w:line="419" w:lineRule="exact"/>
              <w:ind w:left="108" w:right="99"/>
              <w:rPr>
                <w:sz w:val="24"/>
              </w:rPr>
            </w:pPr>
            <w:r>
              <w:rPr>
                <w:sz w:val="24"/>
              </w:rPr>
              <w:t>农林水产省、东京都、福岛县、</w:t>
            </w:r>
            <w:r>
              <w:rPr>
                <w:rFonts w:ascii="微软雅黑" w:eastAsia="微软雅黑" w:hint="eastAsia"/>
                <w:sz w:val="24"/>
              </w:rPr>
              <w:t>栃</w:t>
            </w:r>
            <w:r>
              <w:rPr>
                <w:sz w:val="24"/>
              </w:rPr>
              <w:t>木县、神奈川县横须贺</w:t>
            </w:r>
          </w:p>
          <w:p>
            <w:pPr>
              <w:pStyle w:val="TableParagraph"/>
              <w:spacing w:line="283" w:lineRule="exact"/>
              <w:ind w:left="108" w:right="99"/>
              <w:rPr>
                <w:sz w:val="24"/>
              </w:rPr>
            </w:pPr>
            <w:r>
              <w:rPr>
                <w:sz w:val="24"/>
              </w:rPr>
              <w:t>市、北海道当别町等</w:t>
            </w:r>
          </w:p>
        </w:tc>
      </w:tr>
      <w:tr>
        <w:tblPrEx>
          <w:tblW w:w="0" w:type="auto"/>
          <w:tblInd w:w="2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/>
        </w:trPr>
        <w:tc>
          <w:tcPr>
            <w:tcW w:w="703" w:type="dxa"/>
          </w:tcPr>
          <w:p>
            <w:pPr>
              <w:pStyle w:val="TableParagraph"/>
              <w:spacing w:before="18" w:line="273" w:lineRule="exact"/>
              <w:ind w:left="80" w:right="8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11</w:t>
            </w:r>
          </w:p>
        </w:tc>
        <w:tc>
          <w:tcPr>
            <w:tcW w:w="1277" w:type="dxa"/>
          </w:tcPr>
          <w:p>
            <w:pPr>
              <w:pStyle w:val="TableParagraph"/>
              <w:spacing w:before="2" w:line="289" w:lineRule="exact"/>
              <w:ind w:left="103" w:right="94"/>
              <w:rPr>
                <w:sz w:val="24"/>
              </w:rPr>
            </w:pPr>
            <w:r>
              <w:rPr>
                <w:sz w:val="24"/>
              </w:rPr>
              <w:t>韩国</w:t>
            </w:r>
          </w:p>
        </w:tc>
        <w:tc>
          <w:tcPr>
            <w:tcW w:w="6317" w:type="dxa"/>
          </w:tcPr>
          <w:p>
            <w:pPr>
              <w:pStyle w:val="TableParagraph"/>
              <w:spacing w:before="2" w:line="289" w:lineRule="exact"/>
              <w:ind w:left="108" w:right="99"/>
              <w:rPr>
                <w:sz w:val="24"/>
              </w:rPr>
            </w:pPr>
            <w:r>
              <w:rPr>
                <w:sz w:val="24"/>
              </w:rPr>
              <w:t xml:space="preserve">首尔 </w:t>
            </w:r>
            <w:r>
              <w:rPr>
                <w:rFonts w:ascii="Times New Roman" w:eastAsia="Times New Roman"/>
                <w:sz w:val="24"/>
              </w:rPr>
              <w:t xml:space="preserve">120 </w:t>
            </w:r>
            <w:r>
              <w:rPr>
                <w:sz w:val="24"/>
              </w:rPr>
              <w:t>山茶呼叫中心</w:t>
            </w:r>
          </w:p>
        </w:tc>
      </w:tr>
      <w:tr>
        <w:tblPrEx>
          <w:tblW w:w="0" w:type="auto"/>
          <w:tblInd w:w="2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/>
        </w:trPr>
        <w:tc>
          <w:tcPr>
            <w:tcW w:w="703" w:type="dxa"/>
          </w:tcPr>
          <w:p>
            <w:pPr>
              <w:pStyle w:val="TableParagraph"/>
              <w:spacing w:before="18" w:line="273" w:lineRule="exact"/>
              <w:ind w:left="87" w:right="8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12</w:t>
            </w:r>
          </w:p>
        </w:tc>
        <w:tc>
          <w:tcPr>
            <w:tcW w:w="1277" w:type="dxa"/>
          </w:tcPr>
          <w:p>
            <w:pPr>
              <w:pStyle w:val="TableParagraph"/>
              <w:spacing w:before="2" w:line="289" w:lineRule="exact"/>
              <w:ind w:left="103" w:right="94"/>
              <w:rPr>
                <w:sz w:val="24"/>
              </w:rPr>
            </w:pPr>
            <w:r>
              <w:rPr>
                <w:sz w:val="24"/>
              </w:rPr>
              <w:t>印度</w:t>
            </w:r>
          </w:p>
        </w:tc>
        <w:tc>
          <w:tcPr>
            <w:tcW w:w="6317" w:type="dxa"/>
          </w:tcPr>
          <w:p>
            <w:pPr>
              <w:pStyle w:val="TableParagraph"/>
              <w:spacing w:before="2" w:line="289" w:lineRule="exact"/>
              <w:ind w:left="108" w:right="99"/>
              <w:rPr>
                <w:sz w:val="24"/>
              </w:rPr>
            </w:pPr>
            <w:r>
              <w:rPr>
                <w:sz w:val="24"/>
              </w:rPr>
              <w:t>电子和信息技术部、教育部</w:t>
            </w:r>
          </w:p>
        </w:tc>
      </w:tr>
      <w:tr>
        <w:tblPrEx>
          <w:tblW w:w="0" w:type="auto"/>
          <w:tblInd w:w="2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/>
        </w:trPr>
        <w:tc>
          <w:tcPr>
            <w:tcW w:w="703" w:type="dxa"/>
          </w:tcPr>
          <w:p>
            <w:pPr>
              <w:pStyle w:val="TableParagraph"/>
              <w:spacing w:before="20" w:line="273" w:lineRule="exact"/>
              <w:ind w:left="87" w:right="8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13</w:t>
            </w:r>
          </w:p>
        </w:tc>
        <w:tc>
          <w:tcPr>
            <w:tcW w:w="1277" w:type="dxa"/>
          </w:tcPr>
          <w:p>
            <w:pPr>
              <w:pStyle w:val="TableParagraph"/>
              <w:spacing w:before="4" w:line="289" w:lineRule="exact"/>
              <w:ind w:left="103" w:right="94"/>
              <w:rPr>
                <w:sz w:val="24"/>
              </w:rPr>
            </w:pPr>
            <w:r>
              <w:rPr>
                <w:sz w:val="24"/>
              </w:rPr>
              <w:t>马来西亚</w:t>
            </w:r>
          </w:p>
        </w:tc>
        <w:tc>
          <w:tcPr>
            <w:tcW w:w="6317" w:type="dxa"/>
          </w:tcPr>
          <w:p>
            <w:pPr>
              <w:pStyle w:val="TableParagraph"/>
              <w:spacing w:before="4" w:line="289" w:lineRule="exact"/>
              <w:ind w:left="108" w:right="99"/>
              <w:rPr>
                <w:sz w:val="24"/>
              </w:rPr>
            </w:pPr>
            <w:r>
              <w:rPr>
                <w:sz w:val="24"/>
              </w:rPr>
              <w:t>科学、技术和创新部</w:t>
            </w:r>
          </w:p>
        </w:tc>
      </w:tr>
      <w:tr>
        <w:tblPrEx>
          <w:tblW w:w="0" w:type="auto"/>
          <w:tblInd w:w="2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/>
        </w:trPr>
        <w:tc>
          <w:tcPr>
            <w:tcW w:w="703" w:type="dxa"/>
          </w:tcPr>
          <w:p>
            <w:pPr>
              <w:pStyle w:val="TableParagraph"/>
              <w:spacing w:before="18" w:line="273" w:lineRule="exact"/>
              <w:ind w:left="87" w:right="8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14</w:t>
            </w:r>
          </w:p>
        </w:tc>
        <w:tc>
          <w:tcPr>
            <w:tcW w:w="1277" w:type="dxa"/>
          </w:tcPr>
          <w:p>
            <w:pPr>
              <w:pStyle w:val="TableParagraph"/>
              <w:spacing w:before="2" w:line="289" w:lineRule="exact"/>
              <w:ind w:left="103" w:right="94"/>
              <w:rPr>
                <w:sz w:val="24"/>
              </w:rPr>
            </w:pPr>
            <w:r>
              <w:rPr>
                <w:sz w:val="24"/>
              </w:rPr>
              <w:t>柬埔寨</w:t>
            </w:r>
          </w:p>
        </w:tc>
        <w:tc>
          <w:tcPr>
            <w:tcW w:w="6317" w:type="dxa"/>
          </w:tcPr>
          <w:p>
            <w:pPr>
              <w:pStyle w:val="TableParagraph"/>
              <w:spacing w:before="2" w:line="289" w:lineRule="exact"/>
              <w:ind w:left="108" w:right="99"/>
              <w:rPr>
                <w:sz w:val="24"/>
              </w:rPr>
            </w:pPr>
            <w:r>
              <w:rPr>
                <w:sz w:val="24"/>
              </w:rPr>
              <w:t>数字政府委员会</w:t>
            </w:r>
          </w:p>
        </w:tc>
      </w:tr>
      <w:tr>
        <w:tblPrEx>
          <w:tblW w:w="0" w:type="auto"/>
          <w:tblInd w:w="2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/>
        </w:trPr>
        <w:tc>
          <w:tcPr>
            <w:tcW w:w="70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277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6317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tblInd w:w="2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/>
        </w:trPr>
        <w:tc>
          <w:tcPr>
            <w:tcW w:w="703" w:type="dxa"/>
          </w:tcPr>
          <w:p>
            <w:pPr>
              <w:pStyle w:val="TableParagraph"/>
              <w:spacing w:before="174"/>
              <w:ind w:left="87" w:right="8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16</w:t>
            </w:r>
          </w:p>
        </w:tc>
        <w:tc>
          <w:tcPr>
            <w:tcW w:w="1277" w:type="dxa"/>
          </w:tcPr>
          <w:p>
            <w:pPr>
              <w:pStyle w:val="TableParagraph"/>
              <w:spacing w:before="158"/>
              <w:ind w:left="103" w:right="94"/>
              <w:rPr>
                <w:sz w:val="24"/>
              </w:rPr>
            </w:pPr>
            <w:r>
              <w:rPr>
                <w:sz w:val="24"/>
              </w:rPr>
              <w:t>阿联酋</w:t>
            </w:r>
          </w:p>
        </w:tc>
        <w:tc>
          <w:tcPr>
            <w:tcW w:w="6317" w:type="dxa"/>
          </w:tcPr>
          <w:p>
            <w:pPr>
              <w:pStyle w:val="TableParagraph"/>
              <w:spacing w:before="2"/>
              <w:ind w:left="108" w:right="99"/>
              <w:rPr>
                <w:sz w:val="24"/>
              </w:rPr>
            </w:pPr>
            <w:r>
              <w:rPr>
                <w:sz w:val="24"/>
              </w:rPr>
              <w:t>迪拜水电局、电信和数字政府监管局、</w:t>
            </w:r>
          </w:p>
          <w:p>
            <w:pPr>
              <w:pStyle w:val="TableParagraph"/>
              <w:spacing w:before="4" w:line="289" w:lineRule="exact"/>
              <w:ind w:left="108" w:right="99"/>
              <w:rPr>
                <w:sz w:val="24"/>
              </w:rPr>
            </w:pPr>
            <w:r>
              <w:rPr>
                <w:sz w:val="24"/>
              </w:rPr>
              <w:t>国家政府门户网站</w:t>
            </w:r>
          </w:p>
        </w:tc>
      </w:tr>
      <w:tr>
        <w:tblPrEx>
          <w:tblW w:w="0" w:type="auto"/>
          <w:tblInd w:w="2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/>
        </w:trPr>
        <w:tc>
          <w:tcPr>
            <w:tcW w:w="703" w:type="dxa"/>
          </w:tcPr>
          <w:p>
            <w:pPr>
              <w:pStyle w:val="TableParagraph"/>
              <w:spacing w:before="18" w:line="273" w:lineRule="exact"/>
              <w:ind w:left="87" w:right="8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17</w:t>
            </w:r>
          </w:p>
        </w:tc>
        <w:tc>
          <w:tcPr>
            <w:tcW w:w="1277" w:type="dxa"/>
          </w:tcPr>
          <w:p>
            <w:pPr>
              <w:pStyle w:val="TableParagraph"/>
              <w:spacing w:before="2" w:line="289" w:lineRule="exact"/>
              <w:ind w:left="103" w:right="94"/>
              <w:rPr>
                <w:sz w:val="24"/>
              </w:rPr>
            </w:pPr>
            <w:r>
              <w:rPr>
                <w:sz w:val="24"/>
              </w:rPr>
              <w:t>卡塔尔</w:t>
            </w:r>
          </w:p>
        </w:tc>
        <w:tc>
          <w:tcPr>
            <w:tcW w:w="6317" w:type="dxa"/>
          </w:tcPr>
          <w:p>
            <w:pPr>
              <w:pStyle w:val="TableParagraph"/>
              <w:spacing w:before="2" w:line="289" w:lineRule="exact"/>
              <w:ind w:left="108" w:right="99"/>
              <w:rPr>
                <w:sz w:val="24"/>
              </w:rPr>
            </w:pPr>
            <w:r>
              <w:rPr>
                <w:sz w:val="24"/>
              </w:rPr>
              <w:t>国家政府门户网站</w:t>
            </w:r>
          </w:p>
        </w:tc>
      </w:tr>
      <w:tr>
        <w:tblPrEx>
          <w:tblW w:w="0" w:type="auto"/>
          <w:tblInd w:w="2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/>
        </w:trPr>
        <w:tc>
          <w:tcPr>
            <w:tcW w:w="703" w:type="dxa"/>
          </w:tcPr>
          <w:p>
            <w:pPr>
              <w:pStyle w:val="TableParagraph"/>
              <w:spacing w:before="18"/>
              <w:ind w:left="87" w:right="8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18</w:t>
            </w:r>
          </w:p>
        </w:tc>
        <w:tc>
          <w:tcPr>
            <w:tcW w:w="1277" w:type="dxa"/>
          </w:tcPr>
          <w:p>
            <w:pPr>
              <w:pStyle w:val="TableParagraph"/>
              <w:spacing w:before="2" w:line="292" w:lineRule="exact"/>
              <w:ind w:left="103" w:right="94"/>
              <w:rPr>
                <w:sz w:val="24"/>
              </w:rPr>
            </w:pPr>
            <w:r>
              <w:rPr>
                <w:sz w:val="24"/>
              </w:rPr>
              <w:t>以色列</w:t>
            </w:r>
          </w:p>
        </w:tc>
        <w:tc>
          <w:tcPr>
            <w:tcW w:w="6317" w:type="dxa"/>
          </w:tcPr>
          <w:p>
            <w:pPr>
              <w:pStyle w:val="TableParagraph"/>
              <w:spacing w:before="2" w:line="292" w:lineRule="exact"/>
              <w:ind w:left="108" w:right="99"/>
              <w:rPr>
                <w:sz w:val="24"/>
              </w:rPr>
            </w:pPr>
            <w:r>
              <w:rPr>
                <w:sz w:val="24"/>
              </w:rPr>
              <w:t xml:space="preserve">总统使用 </w:t>
            </w:r>
            <w:r>
              <w:rPr>
                <w:rFonts w:ascii="Times New Roman" w:eastAsia="Times New Roman"/>
                <w:sz w:val="24"/>
              </w:rPr>
              <w:t xml:space="preserve">ChatGPT </w:t>
            </w:r>
            <w:r>
              <w:rPr>
                <w:sz w:val="24"/>
              </w:rPr>
              <w:t>撰写会议致辞</w:t>
            </w:r>
          </w:p>
        </w:tc>
      </w:tr>
    </w:tbl>
    <w:p>
      <w:pPr>
        <w:spacing w:before="157"/>
        <w:ind w:left="0" w:right="455" w:firstLine="0"/>
        <w:jc w:val="right"/>
        <w:rPr>
          <w:sz w:val="21"/>
        </w:rPr>
      </w:pPr>
      <w:r>
        <w:rPr>
          <w:sz w:val="21"/>
        </w:rPr>
        <w:t>来源：根据公开资料整理</w:t>
      </w:r>
    </w:p>
    <w:p>
      <w:pPr>
        <w:spacing w:after="0"/>
        <w:jc w:val="right"/>
        <w:rPr>
          <w:sz w:val="21"/>
        </w:rPr>
        <w:sectPr>
          <w:headerReference w:type="default" r:id="rId9"/>
          <w:footerReference w:type="default" r:id="rId10"/>
          <w:pgSz w:w="11910" w:h="16840"/>
          <w:pgMar w:top="1360" w:right="1340" w:bottom="1280" w:left="1540" w:header="874" w:footer="1096" w:gutter="0"/>
          <w:pgNumType w:start="3"/>
          <w:cols w:num="1" w:space="720"/>
        </w:sectPr>
      </w:pPr>
    </w:p>
    <w:p>
      <w:pPr>
        <w:pStyle w:val="BodyText"/>
        <w:spacing w:before="71" w:line="364" w:lineRule="auto"/>
        <w:ind w:left="259" w:right="177" w:firstLine="559"/>
      </w:pPr>
      <w:bookmarkStart w:id="10" w:name="_bookmark10"/>
      <w:bookmarkEnd w:id="10"/>
      <w:bookmarkStart w:id="11" w:name="_bookmark9"/>
      <w:bookmarkEnd w:id="11"/>
      <w:bookmarkStart w:id="12" w:name="_bookmark8"/>
      <w:bookmarkEnd w:id="12"/>
      <w:r>
        <w:rPr>
          <w:rFonts w:ascii="黑体" w:eastAsia="黑体" w:hint="eastAsia"/>
          <w:spacing w:val="-19"/>
        </w:rPr>
        <w:t xml:space="preserve">从应用深度看，大模型在政务领域的认知率、利用率达较高水平， </w:t>
      </w:r>
      <w:r>
        <w:rPr>
          <w:rFonts w:ascii="黑体" w:eastAsia="黑体" w:hint="eastAsia"/>
          <w:spacing w:val="-9"/>
        </w:rPr>
        <w:t>应用前景广阔。</w:t>
      </w:r>
      <w:r>
        <w:rPr>
          <w:spacing w:val="-3"/>
        </w:rPr>
        <w:t xml:space="preserve">人工智能研究公司 </w:t>
      </w:r>
      <w:r>
        <w:rPr>
          <w:rFonts w:ascii="Times New Roman" w:eastAsia="Times New Roman"/>
        </w:rPr>
        <w:t xml:space="preserve">Goatman </w:t>
      </w:r>
      <w:r>
        <w:rPr>
          <w:spacing w:val="-3"/>
        </w:rPr>
        <w:t xml:space="preserve">发布的调研数据显示， </w:t>
      </w:r>
      <w:r>
        <w:rPr>
          <w:rFonts w:ascii="Times New Roman" w:eastAsia="Times New Roman"/>
          <w:spacing w:val="-3"/>
        </w:rPr>
        <w:t>50%</w:t>
      </w:r>
      <w:r>
        <w:rPr>
          <w:spacing w:val="1"/>
        </w:rPr>
        <w:t xml:space="preserve">以上的日本都道府县政府在使用 </w:t>
      </w:r>
      <w:r>
        <w:rPr>
          <w:rFonts w:ascii="Times New Roman" w:eastAsia="Times New Roman"/>
        </w:rPr>
        <w:t>ChatGPT</w:t>
      </w:r>
      <w:r>
        <w:rPr>
          <w:spacing w:val="11"/>
        </w:rPr>
        <w:t>。</w:t>
      </w:r>
      <w:hyperlink w:anchor="_bookmark10" w:history="1">
        <w:r>
          <w:rPr>
            <w:rFonts w:ascii="Times New Roman" w:eastAsia="Times New Roman"/>
            <w:spacing w:val="3"/>
            <w:vertAlign w:val="superscript"/>
          </w:rPr>
          <w:t>4</w:t>
        </w:r>
      </w:hyperlink>
      <w:r>
        <w:rPr>
          <w:vertAlign w:val="baseline"/>
        </w:rPr>
        <w:t>日本野村综合研究所</w:t>
      </w:r>
      <w:r>
        <w:rPr>
          <w:spacing w:val="-16"/>
          <w:vertAlign w:val="baseline"/>
        </w:rPr>
        <w:t xml:space="preserve">开展的网络问卷调查显示，政府部门对 </w:t>
      </w:r>
      <w:r>
        <w:rPr>
          <w:rFonts w:ascii="Times New Roman" w:eastAsia="Times New Roman"/>
          <w:vertAlign w:val="baseline"/>
        </w:rPr>
        <w:t xml:space="preserve">ChatGPT </w:t>
      </w:r>
      <w:r>
        <w:rPr>
          <w:spacing w:val="-12"/>
          <w:vertAlign w:val="baseline"/>
        </w:rPr>
        <w:t xml:space="preserve">的利用率达 </w:t>
      </w:r>
      <w:r>
        <w:rPr>
          <w:rFonts w:ascii="Times New Roman" w:eastAsia="Times New Roman"/>
          <w:vertAlign w:val="baseline"/>
        </w:rPr>
        <w:t>17.5%</w:t>
      </w:r>
      <w:r>
        <w:rPr>
          <w:vertAlign w:val="baseline"/>
        </w:rPr>
        <w:t xml:space="preserve">， </w:t>
      </w:r>
      <w:r>
        <w:rPr>
          <w:spacing w:val="-9"/>
          <w:vertAlign w:val="baseline"/>
        </w:rPr>
        <w:t>仅次于信息通信业</w:t>
      </w:r>
      <w:r>
        <w:rPr>
          <w:spacing w:val="-8"/>
          <w:vertAlign w:val="baseline"/>
        </w:rPr>
        <w:t>（</w:t>
      </w:r>
      <w:r>
        <w:rPr>
          <w:rFonts w:ascii="Times New Roman" w:eastAsia="Times New Roman"/>
          <w:spacing w:val="-8"/>
          <w:vertAlign w:val="baseline"/>
        </w:rPr>
        <w:t>32.8%</w:t>
      </w:r>
      <w:r>
        <w:rPr>
          <w:spacing w:val="-8"/>
          <w:vertAlign w:val="baseline"/>
        </w:rPr>
        <w:t>）</w:t>
      </w:r>
      <w:r>
        <w:rPr>
          <w:spacing w:val="-14"/>
          <w:vertAlign w:val="baseline"/>
        </w:rPr>
        <w:t>和制造业</w:t>
      </w:r>
      <w:r>
        <w:rPr>
          <w:spacing w:val="-8"/>
          <w:vertAlign w:val="baseline"/>
        </w:rPr>
        <w:t>（</w:t>
      </w:r>
      <w:r>
        <w:rPr>
          <w:rFonts w:ascii="Times New Roman" w:eastAsia="Times New Roman"/>
          <w:spacing w:val="-8"/>
          <w:vertAlign w:val="baseline"/>
        </w:rPr>
        <w:t>19.2%</w:t>
      </w:r>
      <w:r>
        <w:rPr>
          <w:spacing w:val="-8"/>
          <w:vertAlign w:val="baseline"/>
        </w:rPr>
        <w:t>）</w:t>
      </w:r>
      <w:r>
        <w:rPr>
          <w:spacing w:val="-41"/>
          <w:vertAlign w:val="baseline"/>
        </w:rPr>
        <w:t>。</w:t>
      </w:r>
      <w:hyperlink w:anchor="_bookmark9" w:history="1">
        <w:r>
          <w:rPr>
            <w:rFonts w:ascii="Times New Roman" w:eastAsia="Times New Roman"/>
            <w:vertAlign w:val="superscript"/>
          </w:rPr>
          <w:t>5</w:t>
        </w:r>
      </w:hyperlink>
      <w:r>
        <w:rPr>
          <w:spacing w:val="-1"/>
          <w:vertAlign w:val="baseline"/>
        </w:rPr>
        <w:t xml:space="preserve">针对加拿大公共服 </w:t>
      </w:r>
      <w:r>
        <w:rPr>
          <w:spacing w:val="7"/>
          <w:vertAlign w:val="baseline"/>
        </w:rPr>
        <w:t xml:space="preserve">务部门 </w:t>
      </w:r>
      <w:r>
        <w:rPr>
          <w:rFonts w:ascii="Times New Roman" w:eastAsia="Times New Roman"/>
          <w:vertAlign w:val="baseline"/>
        </w:rPr>
        <w:t xml:space="preserve">1320 </w:t>
      </w:r>
      <w:r>
        <w:rPr>
          <w:spacing w:val="7"/>
          <w:vertAlign w:val="baseline"/>
        </w:rPr>
        <w:t>名公务员的调查显示，</w:t>
      </w:r>
      <w:r>
        <w:rPr>
          <w:rFonts w:ascii="Times New Roman" w:eastAsia="Times New Roman"/>
          <w:vertAlign w:val="baseline"/>
        </w:rPr>
        <w:t>11%</w:t>
      </w:r>
      <w:r>
        <w:rPr>
          <w:spacing w:val="8"/>
          <w:vertAlign w:val="baseline"/>
        </w:rPr>
        <w:t>的公务员在工作中使用过</w:t>
      </w:r>
      <w:r>
        <w:rPr>
          <w:rFonts w:ascii="Times New Roman" w:eastAsia="Times New Roman"/>
          <w:vertAlign w:val="baseline"/>
        </w:rPr>
        <w:t>ChatGPT</w:t>
      </w:r>
      <w:r>
        <w:rPr>
          <w:spacing w:val="12"/>
          <w:vertAlign w:val="baseline"/>
        </w:rPr>
        <w:t>、</w:t>
      </w:r>
      <w:r>
        <w:rPr>
          <w:rFonts w:ascii="Times New Roman" w:eastAsia="Times New Roman"/>
          <w:vertAlign w:val="baseline"/>
        </w:rPr>
        <w:t xml:space="preserve">Bard </w:t>
      </w:r>
      <w:r>
        <w:rPr>
          <w:spacing w:val="6"/>
          <w:vertAlign w:val="baseline"/>
        </w:rPr>
        <w:t xml:space="preserve">等 </w:t>
      </w:r>
      <w:r>
        <w:rPr>
          <w:rFonts w:ascii="Times New Roman" w:eastAsia="Times New Roman"/>
          <w:vertAlign w:val="baseline"/>
        </w:rPr>
        <w:t xml:space="preserve">AI </w:t>
      </w:r>
      <w:r>
        <w:rPr>
          <w:spacing w:val="14"/>
          <w:vertAlign w:val="baseline"/>
        </w:rPr>
        <w:t>大模型工具。</w:t>
      </w:r>
      <w:hyperlink w:anchor="_bookmark8" w:history="1">
        <w:r>
          <w:rPr>
            <w:rFonts w:ascii="Times New Roman" w:eastAsia="Times New Roman"/>
            <w:spacing w:val="13"/>
            <w:vertAlign w:val="superscript"/>
          </w:rPr>
          <w:t>6</w:t>
        </w:r>
      </w:hyperlink>
      <w:r>
        <w:rPr>
          <w:spacing w:val="12"/>
          <w:vertAlign w:val="baseline"/>
        </w:rPr>
        <w:t>著名管理咨询公司罗兰贝格</w:t>
      </w:r>
    </w:p>
    <w:p>
      <w:pPr>
        <w:pStyle w:val="BodyText"/>
        <w:spacing w:line="364" w:lineRule="auto"/>
        <w:ind w:left="259" w:right="455"/>
        <w:jc w:val="both"/>
      </w:pPr>
      <w:r>
        <w:t>（</w:t>
      </w:r>
      <w:r>
        <w:rPr>
          <w:rFonts w:ascii="Times New Roman" w:eastAsia="Times New Roman"/>
        </w:rPr>
        <w:t xml:space="preserve">Roland </w:t>
      </w:r>
      <w:r>
        <w:rPr>
          <w:rFonts w:ascii="Times New Roman" w:eastAsia="Times New Roman"/>
          <w:spacing w:val="-4"/>
        </w:rPr>
        <w:t>Berger</w:t>
      </w:r>
      <w:r>
        <w:rPr>
          <w:spacing w:val="-4"/>
        </w:rPr>
        <w:t>）</w:t>
      </w:r>
      <w:r>
        <w:rPr>
          <w:spacing w:val="-5"/>
        </w:rPr>
        <w:t>预计，生成式人工智能大模型落地的第二波就是教</w:t>
      </w:r>
      <w:r>
        <w:rPr>
          <w:spacing w:val="-12"/>
        </w:rPr>
        <w:t>育、通信、公共服务等行业，这些行业虽然信息化投入相对较少，但</w:t>
      </w:r>
      <w:r>
        <w:rPr>
          <w:spacing w:val="-8"/>
        </w:rPr>
        <w:t>生成式人工智能技术带来的价值空间广阔。在充分应用的前提下，预</w:t>
      </w:r>
      <w:r>
        <w:rPr>
          <w:spacing w:val="-10"/>
        </w:rPr>
        <w:t xml:space="preserve">计大模型将推动公共服务行业降低 </w:t>
      </w:r>
      <w:r>
        <w:rPr>
          <w:rFonts w:ascii="Times New Roman" w:eastAsia="Times New Roman"/>
        </w:rPr>
        <w:t>1.8%</w:t>
      </w:r>
      <w:r>
        <w:rPr>
          <w:spacing w:val="-1"/>
        </w:rPr>
        <w:t>的经营成本。</w:t>
      </w:r>
    </w:p>
    <w:p>
      <w:pPr>
        <w:pStyle w:val="BodyText"/>
        <w:ind w:left="1557"/>
        <w:rPr>
          <w:sz w:val="20"/>
        </w:rPr>
      </w:pPr>
      <w:r>
        <w:rPr>
          <w:sz w:val="20"/>
        </w:rPr>
        <w:drawing>
          <wp:inline distT="0" distB="0" distL="0" distR="0">
            <wp:extent cx="3658235" cy="3477895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8590" cy="34784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5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12"/>
          <w:footerReference w:type="default" r:id="rId13"/>
          <w:pgSz w:w="11910" w:h="16840"/>
          <w:pgMar w:top="1360" w:right="1340" w:bottom="1280" w:left="1540" w:header="874" w:footer="1096" w:gutter="0"/>
          <w:pgNumType w:start="4"/>
          <w:cols w:num="1" w:space="720"/>
        </w:sectPr>
      </w:pPr>
    </w:p>
    <w:p>
      <w:pPr>
        <w:pStyle w:val="BodyText"/>
        <w:spacing w:before="8"/>
        <w:rPr>
          <w:sz w:val="34"/>
        </w:rPr>
      </w:pPr>
    </w:p>
    <w:p>
      <w:pPr>
        <w:spacing w:before="0"/>
        <w:ind w:left="2192" w:right="0" w:firstLine="0"/>
        <w:jc w:val="left"/>
        <w:rPr>
          <w:sz w:val="24"/>
        </w:rPr>
      </w:pPr>
      <w:bookmarkStart w:id="13" w:name="_bookmark7"/>
      <w:bookmarkEnd w:id="13"/>
      <w:r>
        <w:rPr>
          <w:sz w:val="24"/>
        </w:rPr>
        <w:t xml:space="preserve">图 </w:t>
      </w:r>
      <w:r>
        <w:rPr>
          <w:rFonts w:ascii="Times New Roman" w:eastAsia="Times New Roman"/>
          <w:sz w:val="24"/>
        </w:rPr>
        <w:t xml:space="preserve">1 </w:t>
      </w:r>
      <w:r>
        <w:rPr>
          <w:sz w:val="24"/>
        </w:rPr>
        <w:t>生成式人工智能的产业影响波次顺序</w:t>
      </w:r>
    </w:p>
    <w:p>
      <w:pPr>
        <w:spacing w:before="35"/>
        <w:ind w:left="423" w:right="0" w:firstLine="0"/>
        <w:jc w:val="left"/>
        <w:rPr>
          <w:sz w:val="21"/>
        </w:rPr>
      </w:pPr>
      <w:r>
        <w:br w:type="column"/>
      </w:r>
      <w:r>
        <w:rPr>
          <w:sz w:val="21"/>
        </w:rPr>
        <w:t>来源：罗兰贝格</w:t>
      </w:r>
    </w:p>
    <w:p>
      <w:pPr>
        <w:spacing w:after="0"/>
        <w:jc w:val="left"/>
        <w:rPr>
          <w:sz w:val="21"/>
        </w:rPr>
      </w:pPr>
      <w:r>
        <w:rPr>
          <w:sz w:val="21"/>
        </w:rPr>
        <w:br/>
      </w:r>
      <w:r>
        <w:rPr>
          <w:sz w:val="2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https://d.book118.com/946033211100010044</w:t>
        </w:r>
      </w:hyperlink>
    </w:p>
    <w:p>
      <w:pPr>
        <w:spacing w:after="0"/>
        <w:jc w:val="left"/>
        <w:rPr>
          <w:sz w:val="21"/>
        </w:rPr>
      </w:pPr>
    </w:p>
    <w:sectPr>
      <w:headerReference w:type="default" r:id="rId15"/>
      <w:footerReference w:type="default" r:id="rId16"/>
      <w:type w:val="continuous"/>
      <w:pgSz w:w="11910" w:h="16840"/>
      <w:pgMar w:top="1580" w:right="1340" w:bottom="280" w:left="1540" w:header="720" w:footer="720" w:gutter="0"/>
      <w:pgNumType w:start="5"/>
      <w:cols w:num="2" w:space="708" w:equalWidth="0">
        <w:col w:w="6633" w:space="40"/>
        <w:col w:w="235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4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o:spid="_x0000_s2051" type="#_x0000_t202" style="width:15.15pt;height:12pt;margin-top:776.1pt;margin-left:290.15pt;mso-height-relative:page;mso-position-horizontal-relative:page;mso-position-vertical-relative:page;mso-width-relative:page;position:absolute;z-index:-251658240" coordsize="21600,21600" filled="f" stroked="f">
          <v:stroke joinstyle="miter"/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18"/>
                  </w:rP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o:spid="_x0000_s2054" type="#_x0000_t202" style="width:15.15pt;height:12pt;margin-top:776.1pt;margin-left:290.15pt;mso-height-relative:page;mso-position-horizontal-relative:page;mso-position-vertical-relative:page;mso-width-relative:page;position:absolute;z-index:-251657216" coordsize="21600,21600" filled="f" stroked="f">
          <v:stroke joinstyle="miter"/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18"/>
                  </w:rP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o:spid="_x0000_s2057" type="#_x0000_t202" style="width:15.15pt;height:12pt;margin-top:776.1pt;margin-left:290.15pt;mso-height-relative:page;mso-position-horizontal-relative:page;mso-position-vertical-relative:page;mso-width-relative:page;position:absolute;z-index:-251656192" coordsize="21600,21600" filled="f" stroked="f">
          <v:stroke joinstyle="miter"/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18"/>
                  </w:rP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o:spid="_x0000_s2060" type="#_x0000_t202" style="width:15.15pt;height:12pt;margin-top:776.1pt;margin-left:290.15pt;mso-height-relative:page;mso-position-horizontal-relative:page;mso-position-vertical-relative:page;mso-width-relative:page;position:absolute;z-index:-251655168" coordsize="21600,21600" filled="f" stroked="f">
          <v:stroke joinstyle="miter"/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18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o:spid="_x0000_s2063" type="#_x0000_t202" style="width:15.15pt;height:12pt;margin-top:776.1pt;margin-left:290.15pt;mso-height-relative:page;mso-position-horizontal-relative:page;mso-position-vertical-relative:page;mso-width-relative:page;position:absolute;z-index:-251654144" coordsize="21600,21600" filled="f" stroked="f">
          <v:stroke joinstyle="miter"/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18"/>
                  </w:rPr>
                  <w:t>30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49" o:spid="_x0000_s2049" style="mso-height-relative:page;mso-position-horizontal-relative:page;mso-position-vertical-relative:page;mso-width-relative:page;position:absolute;z-index:-251658240" from="88.55pt,61.4pt" to="506.75pt,61.4pt" coordsize="21600,21600" stroked="t" strokecolor="black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o:spid="_x0000_s2050" type="#_x0000_t202" style="width:166.45pt;height:12pt;margin-top:42.65pt;margin-left:214.5pt;mso-height-relative:page;mso-position-horizontal-relative:page;mso-position-vertical-relative:page;mso-width-relative:page;position:absolute;z-index:-251657216" coordsize="21600,21600" filled="f" stroked="f">
          <v:stroke joinstyle="miter"/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z w:val="18"/>
                  </w:rPr>
                  <w:t>数字时代治理现代化研究报告（</w:t>
                </w:r>
                <w:r>
                  <w:rPr>
                    <w:rFonts w:ascii="Times New Roman" w:eastAsia="Times New Roman"/>
                    <w:sz w:val="18"/>
                  </w:rPr>
                  <w:t xml:space="preserve">2023 </w:t>
                </w:r>
                <w:r>
                  <w:rPr>
                    <w:sz w:val="18"/>
                  </w:rPr>
                  <w:t>年）</w:t>
                </w:r>
              </w:p>
            </w:txbxContent>
          </v:textbox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49" o:spid="_x0000_s2052" style="mso-height-relative:page;mso-position-horizontal-relative:page;mso-position-vertical-relative:page;mso-width-relative:page;position:absolute;z-index:-251656192" from="88.55pt,61.4pt" to="506.75pt,61.4pt" coordsize="21600,21600" stroked="t" strokecolor="black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o:spid="_x0000_s2053" type="#_x0000_t202" style="width:166.45pt;height:12pt;margin-top:42.65pt;margin-left:214.5pt;mso-height-relative:page;mso-position-horizontal-relative:page;mso-position-vertical-relative:page;mso-width-relative:page;position:absolute;z-index:-251655168" coordsize="21600,21600" filled="f" stroked="f">
          <v:stroke joinstyle="miter"/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z w:val="18"/>
                  </w:rPr>
                  <w:t>数字时代治理现代化研究报告（</w:t>
                </w:r>
                <w:r>
                  <w:rPr>
                    <w:rFonts w:ascii="Times New Roman" w:eastAsia="Times New Roman"/>
                    <w:sz w:val="18"/>
                  </w:rPr>
                  <w:t xml:space="preserve">2023 </w:t>
                </w:r>
                <w:r>
                  <w:rPr>
                    <w:sz w:val="18"/>
                  </w:rPr>
                  <w:t>年）</w:t>
                </w:r>
              </w:p>
            </w:txbxContent>
          </v:textbox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49" o:spid="_x0000_s2055" style="mso-height-relative:page;mso-position-horizontal-relative:page;mso-position-vertical-relative:page;mso-width-relative:page;position:absolute;z-index:-251654144" from="88.55pt,61.4pt" to="506.75pt,61.4pt" coordsize="21600,21600" stroked="t" strokecolor="black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o:spid="_x0000_s2056" type="#_x0000_t202" style="width:166.45pt;height:12pt;margin-top:42.65pt;margin-left:214.5pt;mso-height-relative:page;mso-position-horizontal-relative:page;mso-position-vertical-relative:page;mso-width-relative:page;position:absolute;z-index:-251653120" coordsize="21600,21600" filled="f" stroked="f">
          <v:stroke joinstyle="miter"/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z w:val="18"/>
                  </w:rPr>
                  <w:t>数字时代治理现代化研究报告（</w:t>
                </w:r>
                <w:r>
                  <w:rPr>
                    <w:rFonts w:ascii="Times New Roman" w:eastAsia="Times New Roman"/>
                    <w:sz w:val="18"/>
                  </w:rPr>
                  <w:t xml:space="preserve">2023 </w:t>
                </w:r>
                <w:r>
                  <w:rPr>
                    <w:sz w:val="18"/>
                  </w:rPr>
                  <w:t>年）</w:t>
                </w:r>
              </w:p>
            </w:txbxContent>
          </v:textbox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49" o:spid="_x0000_s2058" style="mso-height-relative:page;mso-position-horizontal-relative:page;mso-position-vertical-relative:page;mso-width-relative:page;position:absolute;z-index:-251652096" from="88.55pt,61.4pt" to="506.75pt,61.4pt" coordsize="21600,21600" stroked="t" strokecolor="black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o:spid="_x0000_s2059" type="#_x0000_t202" style="width:166.45pt;height:12pt;margin-top:42.65pt;margin-left:214.5pt;mso-height-relative:page;mso-position-horizontal-relative:page;mso-position-vertical-relative:page;mso-width-relative:page;position:absolute;z-index:-251651072" coordsize="21600,21600" filled="f" stroked="f">
          <v:stroke joinstyle="miter"/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z w:val="18"/>
                  </w:rPr>
                  <w:t>数字时代治理现代化研究报告（</w:t>
                </w:r>
                <w:r>
                  <w:rPr>
                    <w:rFonts w:ascii="Times New Roman" w:eastAsia="Times New Roman"/>
                    <w:sz w:val="18"/>
                  </w:rPr>
                  <w:t xml:space="preserve">2023 </w:t>
                </w:r>
                <w:r>
                  <w:rPr>
                    <w:sz w:val="18"/>
                  </w:rPr>
                  <w:t>年）</w:t>
                </w:r>
              </w:p>
            </w:txbxContent>
          </v:textbox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49" o:spid="_x0000_s2061" style="mso-height-relative:page;mso-position-horizontal-relative:page;mso-position-vertical-relative:page;mso-width-relative:page;position:absolute;z-index:-251650048" from="88.55pt,61.4pt" to="506.75pt,61.4pt" coordsize="21600,21600" stroked="t" strokecolor="black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o:spid="_x0000_s2062" type="#_x0000_t202" style="width:166.45pt;height:12pt;margin-top:42.65pt;margin-left:214.5pt;mso-height-relative:page;mso-position-horizontal-relative:page;mso-position-vertical-relative:page;mso-width-relative:page;position:absolute;z-index:-251649024" coordsize="21600,21600" filled="f" stroked="f">
          <v:stroke joinstyle="miter"/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z w:val="18"/>
                  </w:rPr>
                  <w:t>数字时代治理现代化研究报告（</w:t>
                </w:r>
                <w:r>
                  <w:rPr>
                    <w:rFonts w:ascii="Times New Roman" w:eastAsia="Times New Roman"/>
                    <w:sz w:val="18"/>
                  </w:rPr>
                  <w:t xml:space="preserve">2023 </w:t>
                </w:r>
                <w:r>
                  <w:rPr>
                    <w:sz w:val="18"/>
                  </w:rPr>
                  <w:t>年）</w:t>
                </w:r>
              </w:p>
            </w:txbxContent>
          </v:textbox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BF205925"/>
    <w:multiLevelType w:val="multilevel"/>
    <w:tmpl w:val="BF205925"/>
    <w:lvl w:ilvl="0">
      <w:start w:val="1"/>
      <w:numFmt w:val="decimal"/>
      <w:lvlText w:val="%1."/>
      <w:lvlJc w:val="left"/>
      <w:pPr>
        <w:ind w:left="1002" w:hanging="242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0"/>
        <w:szCs w:val="30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782" w:hanging="242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565" w:hanging="242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347" w:hanging="242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130" w:hanging="242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913" w:hanging="242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695" w:hanging="242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478" w:hanging="242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7261" w:hanging="242"/>
      </w:pPr>
      <w:rPr>
        <w:rFonts w:hint="default"/>
        <w:lang w:val="zh-CN" w:eastAsia="zh-CN" w:bidi="zh-CN"/>
      </w:rPr>
    </w:lvl>
  </w:abstractNum>
  <w:abstractNum w:abstractNumId="1">
    <w:nsid w:val="CF092B84"/>
    <w:multiLevelType w:val="multilevel"/>
    <w:tmpl w:val="CF092B84"/>
    <w:lvl w:ilvl="0">
      <w:start w:val="1"/>
      <w:numFmt w:val="decimal"/>
      <w:lvlText w:val="%1."/>
      <w:lvlJc w:val="left"/>
      <w:pPr>
        <w:ind w:left="1229" w:hanging="329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000" w:hanging="32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781" w:hanging="32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561" w:hanging="32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342" w:hanging="32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123" w:hanging="32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903" w:hanging="32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684" w:hanging="32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7465" w:hanging="329"/>
      </w:pPr>
      <w:rPr>
        <w:rFonts w:hint="default"/>
        <w:lang w:val="zh-CN" w:eastAsia="zh-CN" w:bidi="zh-CN"/>
      </w:rPr>
    </w:lvl>
  </w:abstractNum>
  <w:abstractNum w:abstractNumId="2">
    <w:nsid w:val="0053208E"/>
    <w:multiLevelType w:val="multilevel"/>
    <w:tmpl w:val="0053208E"/>
    <w:lvl w:ilvl="0">
      <w:start w:val="1"/>
      <w:numFmt w:val="decimal"/>
      <w:lvlText w:val="%1."/>
      <w:lvlJc w:val="left"/>
      <w:pPr>
        <w:ind w:left="1229" w:hanging="329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480" w:hanging="32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741" w:hanging="32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002" w:hanging="32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263" w:hanging="32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523" w:hanging="32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784" w:hanging="32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3045" w:hanging="32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306" w:hanging="329"/>
      </w:pPr>
      <w:rPr>
        <w:rFonts w:hint="default"/>
        <w:lang w:val="zh-CN" w:eastAsia="zh-CN" w:bidi="zh-CN"/>
      </w:rPr>
    </w:lvl>
  </w:abstractNum>
  <w:abstractNum w:abstractNumId="3">
    <w:nsid w:val="59ADCABA"/>
    <w:multiLevelType w:val="multilevel"/>
    <w:tmpl w:val="59ADCABA"/>
    <w:lvl w:ilvl="0">
      <w:start w:val="1"/>
      <w:numFmt w:val="decimal"/>
      <w:lvlText w:val="%1."/>
      <w:lvlJc w:val="left"/>
      <w:pPr>
        <w:ind w:left="1060" w:hanging="242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0"/>
        <w:szCs w:val="30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856" w:hanging="242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653" w:hanging="242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449" w:hanging="242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246" w:hanging="242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043" w:hanging="242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839" w:hanging="242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636" w:hanging="242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7433" w:hanging="242"/>
      </w:pPr>
      <w:rPr>
        <w:rFonts w:hint="default"/>
        <w:lang w:val="zh-CN" w:eastAsia="zh-CN" w:bidi="zh-CN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5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39FF123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1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1" w:unhideWhenUsed="0" w:qFormat="1"/>
    <w:lsdException w:name="toc 2" w:semiHidden="0" w:uiPriority="1" w:unhideWhenUsed="0" w:qFormat="1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1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1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1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eastAsia="宋体" w:hAnsi="宋体" w:cs="宋体"/>
      <w:sz w:val="22"/>
      <w:szCs w:val="22"/>
      <w:lang w:val="zh-CN" w:eastAsia="zh-CN" w:bidi="zh-CN"/>
    </w:rPr>
  </w:style>
  <w:style w:type="paragraph" w:styleId="Heading1">
    <w:name w:val="heading 1"/>
    <w:basedOn w:val="Normal"/>
    <w:next w:val="Normal"/>
    <w:uiPriority w:val="1"/>
    <w:qFormat/>
    <w:pPr>
      <w:ind w:left="903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zh-CN" w:eastAsia="zh-CN" w:bidi="zh-CN"/>
    </w:rPr>
  </w:style>
  <w:style w:type="paragraph" w:styleId="Heading2">
    <w:name w:val="heading 2"/>
    <w:basedOn w:val="Normal"/>
    <w:next w:val="Normal"/>
    <w:uiPriority w:val="1"/>
    <w:qFormat/>
    <w:pPr>
      <w:spacing w:before="52"/>
      <w:ind w:left="1229" w:hanging="330"/>
      <w:outlineLvl w:val="1"/>
    </w:pPr>
    <w:rPr>
      <w:rFonts w:ascii="宋体" w:eastAsia="宋体" w:hAnsi="宋体" w:cs="宋体"/>
      <w:sz w:val="32"/>
      <w:szCs w:val="32"/>
      <w:lang w:val="zh-CN" w:eastAsia="zh-CN" w:bidi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8"/>
      <w:szCs w:val="28"/>
      <w:lang w:val="zh-CN" w:eastAsia="zh-CN" w:bidi="zh-CN"/>
    </w:rPr>
  </w:style>
  <w:style w:type="paragraph" w:styleId="TOC1">
    <w:name w:val="toc 1"/>
    <w:basedOn w:val="Normal"/>
    <w:next w:val="Normal"/>
    <w:uiPriority w:val="1"/>
    <w:qFormat/>
    <w:pPr>
      <w:spacing w:before="158"/>
      <w:ind w:left="257"/>
    </w:pPr>
    <w:rPr>
      <w:rFonts w:ascii="宋体" w:eastAsia="宋体" w:hAnsi="宋体" w:cs="宋体"/>
      <w:sz w:val="24"/>
      <w:szCs w:val="24"/>
      <w:lang w:val="zh-CN" w:eastAsia="zh-CN" w:bidi="zh-CN"/>
    </w:rPr>
  </w:style>
  <w:style w:type="paragraph" w:styleId="TOC2">
    <w:name w:val="toc 2"/>
    <w:basedOn w:val="Normal"/>
    <w:next w:val="Normal"/>
    <w:uiPriority w:val="1"/>
    <w:qFormat/>
    <w:pPr>
      <w:spacing w:before="158"/>
      <w:ind w:left="816"/>
    </w:pPr>
    <w:rPr>
      <w:rFonts w:ascii="宋体" w:eastAsia="宋体" w:hAnsi="宋体" w:cs="宋体"/>
      <w:sz w:val="24"/>
      <w:szCs w:val="24"/>
      <w:lang w:val="zh-CN" w:eastAsia="zh-CN" w:bidi="zh-CN"/>
    </w:rPr>
  </w:style>
  <w:style w:type="paragraph" w:styleId="Title">
    <w:name w:val="Title"/>
    <w:basedOn w:val="Normal"/>
    <w:uiPriority w:val="1"/>
    <w:qFormat/>
    <w:pPr>
      <w:spacing w:before="209"/>
      <w:ind w:left="974"/>
    </w:pPr>
    <w:rPr>
      <w:rFonts w:ascii="黑体" w:eastAsia="黑体" w:hAnsi="黑体" w:cs="黑体"/>
      <w:b/>
      <w:bCs/>
      <w:sz w:val="43"/>
      <w:szCs w:val="43"/>
      <w:lang w:val="zh-CN" w:eastAsia="zh-CN" w:bidi="zh-CN"/>
    </w:rPr>
  </w:style>
  <w:style w:type="table" w:customStyle="1" w:styleId="TableNormal0">
    <w:name w:val="Table Normal_0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1"/>
    <w:qFormat/>
    <w:pPr>
      <w:spacing w:before="52"/>
      <w:ind w:left="1229" w:hanging="330"/>
    </w:pPr>
    <w:rPr>
      <w:rFonts w:ascii="宋体" w:eastAsia="宋体" w:hAnsi="宋体" w:cs="宋体"/>
      <w:lang w:val="zh-CN" w:eastAsia="zh-CN" w:bidi="zh-CN"/>
    </w:rPr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宋体" w:eastAsia="宋体" w:hAnsi="宋体" w:cs="宋体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image" Target="media/image1.jpeg" /><Relationship Id="rId12" Type="http://schemas.openxmlformats.org/officeDocument/2006/relationships/header" Target="header4.xml" /><Relationship Id="rId13" Type="http://schemas.openxmlformats.org/officeDocument/2006/relationships/footer" Target="footer4.xml" /><Relationship Id="rId14" Type="http://schemas.openxmlformats.org/officeDocument/2006/relationships/hyperlink" Target="https://d.book118.com/946033211100010044" TargetMode="External" /><Relationship Id="rId15" Type="http://schemas.openxmlformats.org/officeDocument/2006/relationships/header" Target="header5.xml" /><Relationship Id="rId16" Type="http://schemas.openxmlformats.org/officeDocument/2006/relationships/footer" Target="footer5.xml" /><Relationship Id="rId17" Type="http://schemas.openxmlformats.org/officeDocument/2006/relationships/theme" Target="theme/theme1.xml" /><Relationship Id="rId18" Type="http://schemas.openxmlformats.org/officeDocument/2006/relationships/numbering" Target="numbering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0744</dc:creator>
  <cp:lastModifiedBy>0744</cp:lastModifiedBy>
  <cp:revision>0</cp:revision>
  <dcterms:created xsi:type="dcterms:W3CDTF">2024-02-06T08:16:00Z</dcterms:created>
  <dcterms:modified xsi:type="dcterms:W3CDTF">2024-02-06T08:17:52Z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2024-02-04T00:00:00Z</vt:filetime>
  </property>
  <property fmtid="{D5CDD505-2E9C-101B-9397-08002B2CF9AE}" pid="3" name="Creator">
    <vt:lpwstr>Acrobat PDFMaker 17 Word 版</vt:lpwstr>
  </property>
  <property fmtid="{D5CDD505-2E9C-101B-9397-08002B2CF9AE}" pid="4" name="ICV">
    <vt:lpwstr>1ED22C612E3B4C79B4C71B7FE5E287CA</vt:lpwstr>
  </property>
  <property fmtid="{D5CDD505-2E9C-101B-9397-08002B2CF9AE}" pid="5" name="KSOProductBuildVer">
    <vt:lpwstr>2052-11.8.2.11718</vt:lpwstr>
  </property>
  <property fmtid="{D5CDD505-2E9C-101B-9397-08002B2CF9AE}" pid="6" name="LastSaved">
    <vt:filetime>2024-02-06T00:00:00Z</vt:filetime>
  </property>
</Properties>
</file>