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377"/>
        </w:tabs>
        <w:rPr>
          <w:rFonts w:ascii="黑体" w:eastAsia="黑体" w:hAnsi="宋体" w:hint="eastAsia"/>
          <w:sz w:val="36"/>
          <w:szCs w:val="36"/>
        </w:rPr>
      </w:pPr>
      <w:r>
        <w:rPr>
          <w:rFonts w:hint="eastAsia"/>
        </w:rPr>
        <w:t xml:space="preserve"> </w:t>
      </w:r>
    </w:p>
    <w:p>
      <w:pPr>
        <w:tabs>
          <w:tab w:val="left" w:pos="377"/>
        </w:tabs>
        <w:rPr>
          <w:rFonts w:ascii="黑体" w:eastAsia="黑体" w:hAnsi="宋体" w:hint="eastAsia"/>
          <w:sz w:val="36"/>
          <w:szCs w:val="36"/>
        </w:rPr>
      </w:pPr>
    </w:p>
    <w:p>
      <w:pPr>
        <w:tabs>
          <w:tab w:val="left" w:pos="377"/>
        </w:tabs>
        <w:rPr>
          <w:rFonts w:ascii="黑体" w:eastAsia="黑体" w:hAnsi="宋体" w:hint="eastAsia"/>
          <w:sz w:val="36"/>
          <w:szCs w:val="36"/>
        </w:rPr>
      </w:pPr>
    </w:p>
    <w:p>
      <w:pPr>
        <w:tabs>
          <w:tab w:val="left" w:pos="377"/>
        </w:tabs>
        <w:jc w:val="center"/>
        <w:rPr>
          <w:rFonts w:ascii="黑体" w:eastAsia="黑体" w:hAnsi="宋体" w:hint="eastAsia"/>
          <w:sz w:val="36"/>
          <w:szCs w:val="36"/>
        </w:rPr>
      </w:pPr>
    </w:p>
    <w:p>
      <w:pPr>
        <w:tabs>
          <w:tab w:val="left" w:pos="377"/>
        </w:tabs>
        <w:jc w:val="center"/>
        <w:rPr>
          <w:rFonts w:ascii="黑体" w:eastAsia="黑体" w:hAnsi="宋体" w:hint="eastAsia"/>
          <w:sz w:val="72"/>
          <w:szCs w:val="72"/>
        </w:rPr>
      </w:pPr>
      <w:r>
        <w:rPr>
          <w:rFonts w:ascii="黑体" w:eastAsia="黑体" w:hAnsi="宋体" w:hint="eastAsia"/>
          <w:sz w:val="72"/>
          <w:szCs w:val="72"/>
        </w:rPr>
        <w:t>毕 业 设 计 论 文</w:t>
      </w:r>
    </w:p>
    <w:p>
      <w:pPr>
        <w:tabs>
          <w:tab w:val="left" w:pos="377"/>
        </w:tabs>
        <w:ind w:firstLine="720"/>
        <w:rPr>
          <w:rFonts w:ascii="黑体" w:eastAsia="黑体" w:hAnsi="宋体" w:hint="eastAsia"/>
          <w:szCs w:val="28"/>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720"/>
        <w:rPr>
          <w:rFonts w:ascii="黑体" w:eastAsia="黑体" w:hAnsi="宋体" w:hint="eastAsia"/>
          <w:sz w:val="52"/>
          <w:szCs w:val="52"/>
        </w:rPr>
      </w:pPr>
    </w:p>
    <w:p>
      <w:pPr>
        <w:tabs>
          <w:tab w:val="left" w:pos="377"/>
        </w:tabs>
        <w:ind w:firstLine="2080" w:firstLineChars="650"/>
        <w:rPr>
          <w:rFonts w:ascii="黑体" w:eastAsia="黑体" w:hAnsi="宋体" w:hint="eastAsia"/>
          <w:sz w:val="32"/>
          <w:szCs w:val="32"/>
          <w:u w:val="thick"/>
        </w:rPr>
      </w:pPr>
      <w:r>
        <w:rPr>
          <w:rFonts w:ascii="黑体" w:eastAsia="黑体" w:hAnsi="宋体" w:hint="eastAsia"/>
          <w:sz w:val="32"/>
          <w:szCs w:val="32"/>
        </w:rPr>
        <w:t>题    目：</w:t>
      </w:r>
      <w:r>
        <w:rPr>
          <w:rFonts w:ascii="黑体" w:eastAsia="黑体" w:hAnsi="宋体" w:hint="eastAsia"/>
          <w:sz w:val="32"/>
          <w:szCs w:val="32"/>
          <w:u w:val="single"/>
        </w:rPr>
        <w:t xml:space="preserve"> 机车运行故障分析处理  </w:t>
      </w:r>
    </w:p>
    <w:p>
      <w:pPr>
        <w:tabs>
          <w:tab w:val="left" w:pos="377"/>
        </w:tabs>
        <w:jc w:val="center"/>
        <w:sectPr>
          <w:pgSz w:w="11906" w:h="16838" w:orient="portrait"/>
          <w:pgMar w:top="1985" w:right="1418" w:bottom="1418" w:left="1418" w:header="1418" w:footer="1134" w:gutter="0"/>
          <w:cols w:space="708"/>
          <w:docGrid w:linePitch="326" w:charSpace="-2048"/>
        </w:sectPr>
      </w:pPr>
    </w:p>
    <w:p>
      <w:pPr>
        <w:pStyle w:val="Heading1"/>
        <w:tabs>
          <w:tab w:val="left" w:pos="377"/>
        </w:tabs>
        <w:jc w:val="center"/>
        <w:rPr>
          <w:rFonts w:ascii="Times New Roman" w:hint="eastAsia"/>
        </w:rPr>
      </w:pPr>
      <w:bookmarkStart w:id="0" w:name="_Toc476664350"/>
      <w:bookmarkStart w:id="1" w:name="_Toc28201191"/>
      <w:r>
        <w:rPr>
          <w:rFonts w:ascii="Times New Roman" w:hint="eastAsia"/>
        </w:rPr>
        <w:t>摘    要</w:t>
      </w:r>
      <w:bookmarkEnd w:id="0"/>
      <w:bookmarkEnd w:id="1"/>
    </w:p>
    <w:p>
      <w:pPr>
        <w:pStyle w:val="NormalIndent"/>
        <w:snapToGrid w:val="0"/>
        <w:spacing w:line="360" w:lineRule="auto"/>
        <w:rPr>
          <w:rFonts w:hint="eastAsia"/>
        </w:rPr>
      </w:pPr>
      <w:r>
        <w:rPr>
          <w:rFonts w:hint="eastAsia"/>
        </w:rPr>
        <w:t>列车行车安全是铁路运输的根本，在运用中必须树立安全第一的思想。在列车运行中机车经常会发生一些故障，对这些故障的判断分析处理能力是一名机车乘务员必备的素质和技能。因此，结合已学理论知识对列车运行中机车故障进行分析处理具有重要的实际意义。</w:t>
      </w:r>
    </w:p>
    <w:p>
      <w:pPr>
        <w:pStyle w:val="NormalIndent"/>
        <w:snapToGrid w:val="0"/>
        <w:spacing w:line="360" w:lineRule="auto"/>
        <w:rPr>
          <w:rFonts w:hint="eastAsia"/>
        </w:rPr>
      </w:pPr>
      <w:r>
        <w:rPr>
          <w:rFonts w:hint="eastAsia"/>
        </w:rPr>
        <w:t>本课题是针对列车运行中的机车发生故障，在已学的理论知识基础上，通过广泛搜集资料和调研，能对机车故障进行判断、分析并正确处理，使自己对以往所学的理论知识与现场实际运用相结合，做到融会贯通，提高岗位适应能力。</w:t>
      </w:r>
    </w:p>
    <w:p>
      <w:pPr>
        <w:pStyle w:val="NormalIndent"/>
        <w:snapToGrid w:val="0"/>
        <w:spacing w:line="360" w:lineRule="auto"/>
        <w:rPr>
          <w:rFonts w:hint="eastAsia"/>
          <w:color w:val="FF0000"/>
          <w:sz w:val="36"/>
          <w:szCs w:val="36"/>
        </w:rPr>
      </w:pPr>
      <w:r>
        <w:rPr>
          <w:rFonts w:hint="eastAsia"/>
        </w:rPr>
        <w:t>论文据电力机车的特点特写出电力机车常见的运行故障和处理方法，对于经常行发生的故障给予重点地介绍和在遇到故障后的处理方法都予以说明。</w:t>
      </w:r>
    </w:p>
    <w:p>
      <w:pPr>
        <w:tabs>
          <w:tab w:val="left" w:pos="377"/>
        </w:tabs>
        <w:ind w:firstLine="480" w:firstLineChars="200"/>
        <w:rPr>
          <w:rFonts w:hint="eastAsia"/>
        </w:rPr>
      </w:pPr>
    </w:p>
    <w:p>
      <w:pPr>
        <w:tabs>
          <w:tab w:val="left" w:pos="377"/>
        </w:tabs>
        <w:rPr>
          <w:rFonts w:hint="eastAsia"/>
        </w:rPr>
      </w:pPr>
    </w:p>
    <w:p>
      <w:pPr>
        <w:tabs>
          <w:tab w:val="left" w:pos="377"/>
        </w:tabs>
        <w:rPr>
          <w:rFonts w:ascii="黑体" w:eastAsia="黑体" w:hAnsi="黑体"/>
          <w:b/>
        </w:rPr>
      </w:pPr>
      <w:r>
        <w:rPr>
          <w:rFonts w:eastAsia="黑体" w:hint="eastAsia"/>
          <w:b/>
        </w:rPr>
        <w:t>关键词：</w:t>
      </w:r>
      <w:r>
        <w:rPr>
          <w:rFonts w:ascii="黑体" w:eastAsia="黑体" w:hAnsi="黑体" w:hint="eastAsia"/>
          <w:b/>
        </w:rPr>
        <w:t>运行故障；处理方法;故障分析；实际运用</w:t>
      </w:r>
    </w:p>
    <w:p>
      <w:pPr>
        <w:tabs>
          <w:tab w:val="left" w:pos="377"/>
        </w:tabs>
        <w:rPr>
          <w:rFonts w:hint="eastAsia"/>
        </w:rPr>
      </w:pPr>
    </w:p>
    <w:p>
      <w:pPr>
        <w:tabs>
          <w:tab w:val="left" w:pos="377"/>
        </w:tabs>
        <w:rPr>
          <w:rFonts w:hint="eastAsia"/>
        </w:rPr>
      </w:pPr>
    </w:p>
    <w:p>
      <w:pPr>
        <w:tabs>
          <w:tab w:val="left" w:pos="377"/>
        </w:tabs>
        <w:jc w:val="center"/>
        <w:sectPr>
          <w:headerReference w:type="even" r:id="rId4"/>
          <w:headerReference w:type="default" r:id="rId5"/>
          <w:footerReference w:type="even" r:id="rId6"/>
          <w:footerReference w:type="default" r:id="rId7"/>
          <w:pgSz w:w="11906" w:h="16838" w:orient="portrait"/>
          <w:pgMar w:top="1985" w:right="1418" w:bottom="1418" w:left="1418" w:header="1418" w:footer="1134" w:gutter="0"/>
          <w:pgNumType w:fmt="upperRoman" w:start="1"/>
          <w:cols w:space="708"/>
          <w:docGrid w:linePitch="326" w:charSpace="-2048"/>
        </w:sectPr>
      </w:pPr>
    </w:p>
    <w:p>
      <w:pPr>
        <w:pStyle w:val="Heading1"/>
        <w:tabs>
          <w:tab w:val="left" w:pos="377"/>
        </w:tabs>
        <w:jc w:val="center"/>
        <w:rPr>
          <w:rFonts w:hint="eastAsia"/>
        </w:rPr>
      </w:pPr>
      <w:bookmarkStart w:id="2" w:name="_Toc28201192"/>
      <w:bookmarkStart w:id="3" w:name="_Toc476664351"/>
      <w:r>
        <w:rPr>
          <w:rFonts w:hint="eastAsia"/>
        </w:rPr>
        <w:t>目    录</w:t>
      </w:r>
      <w:bookmarkEnd w:id="2"/>
      <w:bookmarkEnd w:id="3"/>
    </w:p>
    <w:p>
      <w:pPr>
        <w:pStyle w:val="TOC1"/>
        <w:tabs>
          <w:tab w:val="right" w:leader="dot" w:pos="9060"/>
        </w:tabs>
        <w:rPr>
          <w:rFonts w:ascii="Calibri" w:hAnsi="Calibri"/>
          <w:kern w:val="2"/>
          <w:sz w:val="21"/>
          <w:szCs w:val="22"/>
        </w:rPr>
      </w:pPr>
      <w:r>
        <w:fldChar w:fldCharType="begin"/>
      </w:r>
      <w:r>
        <w:instrText xml:space="preserve"> TOC \o "1-3" \h \z \u </w:instrText>
      </w:r>
      <w:r>
        <w:fldChar w:fldCharType="separate"/>
      </w:r>
      <w:hyperlink w:anchor="_Toc28201191" w:history="1">
        <w:r>
          <w:rPr>
            <w:rFonts w:hint="eastAsia"/>
          </w:rPr>
          <w:t>摘</w:t>
        </w:r>
        <w:r>
          <w:t xml:space="preserve">    </w:t>
        </w:r>
        <w:r>
          <w:rPr>
            <w:rFonts w:hint="eastAsia"/>
          </w:rPr>
          <w:t>要</w:t>
        </w:r>
        <w:r>
          <w:tab/>
        </w:r>
        <w:r>
          <w:fldChar w:fldCharType="begin"/>
        </w:r>
        <w:r>
          <w:instrText xml:space="preserve"> PAGEREF _Toc28201191 \h </w:instrText>
        </w:r>
        <w:r>
          <w:fldChar w:fldCharType="separate"/>
        </w:r>
        <w:r>
          <w:t>II</w:t>
        </w:r>
        <w:r>
          <w:fldChar w:fldCharType="end"/>
        </w:r>
      </w:hyperlink>
    </w:p>
    <w:p>
      <w:pPr>
        <w:pStyle w:val="TOC1"/>
        <w:tabs>
          <w:tab w:val="right" w:leader="dot" w:pos="9060"/>
        </w:tabs>
        <w:rPr>
          <w:rFonts w:ascii="Calibri" w:hAnsi="Calibri"/>
          <w:kern w:val="2"/>
          <w:sz w:val="21"/>
          <w:szCs w:val="22"/>
        </w:rPr>
      </w:pPr>
      <w:hyperlink w:anchor="_Toc28201192" w:history="1">
        <w:r>
          <w:rPr>
            <w:rFonts w:hint="eastAsia"/>
          </w:rPr>
          <w:t>目</w:t>
        </w:r>
        <w:r>
          <w:t xml:space="preserve">    </w:t>
        </w:r>
        <w:r>
          <w:rPr>
            <w:rFonts w:hint="eastAsia"/>
          </w:rPr>
          <w:t>录</w:t>
        </w:r>
        <w:r>
          <w:tab/>
        </w:r>
        <w:r>
          <w:fldChar w:fldCharType="begin"/>
        </w:r>
        <w:r>
          <w:instrText xml:space="preserve"> PAGEREF _Toc28201192 \h </w:instrText>
        </w:r>
        <w:r>
          <w:fldChar w:fldCharType="separate"/>
        </w:r>
        <w:r>
          <w:t>III</w:t>
        </w:r>
        <w:r>
          <w:fldChar w:fldCharType="end"/>
        </w:r>
      </w:hyperlink>
    </w:p>
    <w:p>
      <w:pPr>
        <w:pStyle w:val="TOC1"/>
        <w:tabs>
          <w:tab w:val="right" w:leader="dot" w:pos="9060"/>
        </w:tabs>
        <w:rPr>
          <w:rFonts w:ascii="Calibri" w:hAnsi="Calibri"/>
          <w:kern w:val="2"/>
          <w:sz w:val="21"/>
          <w:szCs w:val="22"/>
        </w:rPr>
      </w:pPr>
      <w:hyperlink w:anchor="_Toc28201193" w:history="1">
        <w:r>
          <w:rPr>
            <w:rFonts w:hint="eastAsia"/>
          </w:rPr>
          <w:t>绪</w:t>
        </w:r>
        <w:r>
          <w:t xml:space="preserve">    </w:t>
        </w:r>
        <w:r>
          <w:rPr>
            <w:rFonts w:hint="eastAsia"/>
          </w:rPr>
          <w:t>论</w:t>
        </w:r>
        <w:r>
          <w:tab/>
        </w:r>
        <w:r>
          <w:fldChar w:fldCharType="begin"/>
        </w:r>
        <w:r>
          <w:instrText xml:space="preserve"> PAGEREF _Toc28201193 \h </w:instrText>
        </w:r>
        <w:r>
          <w:fldChar w:fldCharType="separate"/>
        </w:r>
        <w:r>
          <w:t>1</w:t>
        </w:r>
        <w:r>
          <w:fldChar w:fldCharType="end"/>
        </w:r>
      </w:hyperlink>
    </w:p>
    <w:p>
      <w:pPr>
        <w:pStyle w:val="TOC1"/>
        <w:tabs>
          <w:tab w:val="right" w:leader="dot" w:pos="9060"/>
        </w:tabs>
        <w:rPr>
          <w:rFonts w:ascii="Calibri" w:hAnsi="Calibri"/>
          <w:kern w:val="2"/>
          <w:sz w:val="21"/>
          <w:szCs w:val="22"/>
        </w:rPr>
      </w:pPr>
      <w:hyperlink w:anchor="_Toc28201194" w:history="1">
        <w:r>
          <w:rPr>
            <w:rFonts w:hint="eastAsia"/>
          </w:rPr>
          <w:t>第一章</w:t>
        </w:r>
        <w:r>
          <w:t xml:space="preserve"> </w:t>
        </w:r>
        <w:r>
          <w:rPr>
            <w:rFonts w:hint="eastAsia"/>
          </w:rPr>
          <w:t>机车满足运行的要求</w:t>
        </w:r>
        <w:r>
          <w:tab/>
        </w:r>
        <w:r>
          <w:fldChar w:fldCharType="begin"/>
        </w:r>
        <w:r>
          <w:instrText xml:space="preserve"> PAGEREF _Toc28201194 \h </w:instrText>
        </w:r>
        <w:r>
          <w:fldChar w:fldCharType="separate"/>
        </w:r>
        <w:r>
          <w:t>2</w:t>
        </w:r>
        <w:r>
          <w:fldChar w:fldCharType="end"/>
        </w:r>
      </w:hyperlink>
    </w:p>
    <w:p>
      <w:pPr>
        <w:pStyle w:val="TOC2"/>
        <w:tabs>
          <w:tab w:val="right" w:leader="dot" w:pos="9060"/>
        </w:tabs>
        <w:ind w:left="480"/>
        <w:rPr>
          <w:rFonts w:ascii="Calibri" w:hAnsi="Calibri"/>
          <w:kern w:val="2"/>
          <w:sz w:val="21"/>
          <w:szCs w:val="22"/>
        </w:rPr>
      </w:pPr>
      <w:hyperlink w:anchor="_Toc28201195" w:history="1">
        <w:r>
          <w:t>1.1</w:t>
        </w:r>
        <w:r>
          <w:rPr>
            <w:rFonts w:hint="eastAsia"/>
          </w:rPr>
          <w:t>机车整备作业</w:t>
        </w:r>
        <w:r>
          <w:tab/>
        </w:r>
        <w:r>
          <w:fldChar w:fldCharType="begin"/>
        </w:r>
        <w:r>
          <w:instrText xml:space="preserve"> PAGEREF _Toc28201195 \h </w:instrText>
        </w:r>
        <w:r>
          <w:fldChar w:fldCharType="separate"/>
        </w:r>
        <w:r>
          <w:t>2</w:t>
        </w:r>
        <w:r>
          <w:fldChar w:fldCharType="end"/>
        </w:r>
      </w:hyperlink>
    </w:p>
    <w:p>
      <w:pPr>
        <w:pStyle w:val="TOC2"/>
        <w:tabs>
          <w:tab w:val="right" w:leader="dot" w:pos="9060"/>
        </w:tabs>
        <w:ind w:left="480"/>
        <w:rPr>
          <w:rFonts w:ascii="Calibri" w:hAnsi="Calibri"/>
          <w:kern w:val="2"/>
          <w:sz w:val="21"/>
          <w:szCs w:val="22"/>
        </w:rPr>
      </w:pPr>
      <w:hyperlink w:anchor="_Toc28201196" w:history="1">
        <w:r>
          <w:t xml:space="preserve">1.2 </w:t>
        </w:r>
        <w:r>
          <w:rPr>
            <w:rFonts w:hint="eastAsia"/>
          </w:rPr>
          <w:t>机车检查基本方法及要求</w:t>
        </w:r>
        <w:r>
          <w:tab/>
        </w:r>
        <w:r>
          <w:fldChar w:fldCharType="begin"/>
        </w:r>
        <w:r>
          <w:instrText xml:space="preserve"> PAGEREF _Toc28201196 \h </w:instrText>
        </w:r>
        <w:r>
          <w:fldChar w:fldCharType="separate"/>
        </w:r>
        <w:r>
          <w:t>3</w:t>
        </w:r>
        <w:r>
          <w:fldChar w:fldCharType="end"/>
        </w:r>
      </w:hyperlink>
    </w:p>
    <w:p>
      <w:pPr>
        <w:pStyle w:val="TOC3"/>
        <w:tabs>
          <w:tab w:val="right" w:leader="dot" w:pos="9060"/>
        </w:tabs>
        <w:ind w:left="960"/>
        <w:rPr>
          <w:rFonts w:ascii="Calibri" w:hAnsi="Calibri"/>
          <w:kern w:val="2"/>
          <w:sz w:val="21"/>
          <w:szCs w:val="22"/>
        </w:rPr>
      </w:pPr>
      <w:hyperlink w:anchor="_Toc28201197" w:history="1">
        <w:r>
          <w:t>1.2.1</w:t>
        </w:r>
        <w:r>
          <w:rPr>
            <w:rFonts w:hint="eastAsia"/>
          </w:rPr>
          <w:t>机车检查基本要求</w:t>
        </w:r>
        <w:r>
          <w:tab/>
        </w:r>
        <w:r>
          <w:fldChar w:fldCharType="begin"/>
        </w:r>
        <w:r>
          <w:instrText xml:space="preserve"> PAGEREF _Toc28201197 \h </w:instrText>
        </w:r>
        <w:r>
          <w:fldChar w:fldCharType="separate"/>
        </w:r>
        <w:r>
          <w:t>3</w:t>
        </w:r>
        <w:r>
          <w:fldChar w:fldCharType="end"/>
        </w:r>
      </w:hyperlink>
    </w:p>
    <w:p>
      <w:pPr>
        <w:pStyle w:val="TOC3"/>
        <w:tabs>
          <w:tab w:val="right" w:leader="dot" w:pos="9060"/>
        </w:tabs>
        <w:ind w:left="960"/>
        <w:rPr>
          <w:rFonts w:ascii="Calibri" w:hAnsi="Calibri"/>
          <w:kern w:val="2"/>
          <w:sz w:val="21"/>
          <w:szCs w:val="22"/>
        </w:rPr>
      </w:pPr>
      <w:hyperlink w:anchor="_Toc28201198" w:history="1">
        <w:r>
          <w:t>1.2.2</w:t>
        </w:r>
        <w:r>
          <w:rPr>
            <w:rFonts w:hint="eastAsia"/>
          </w:rPr>
          <w:t>机车检查方法</w:t>
        </w:r>
        <w:r>
          <w:tab/>
        </w:r>
        <w:r>
          <w:fldChar w:fldCharType="begin"/>
        </w:r>
        <w:r>
          <w:instrText xml:space="preserve"> PAGEREF _Toc28201198 \h </w:instrText>
        </w:r>
        <w:r>
          <w:fldChar w:fldCharType="separate"/>
        </w:r>
        <w:r>
          <w:t>3</w:t>
        </w:r>
        <w:r>
          <w:fldChar w:fldCharType="end"/>
        </w:r>
      </w:hyperlink>
    </w:p>
    <w:p>
      <w:pPr>
        <w:pStyle w:val="TOC2"/>
        <w:tabs>
          <w:tab w:val="right" w:leader="dot" w:pos="9060"/>
        </w:tabs>
        <w:ind w:left="480"/>
        <w:rPr>
          <w:rFonts w:ascii="Calibri" w:hAnsi="Calibri"/>
          <w:kern w:val="2"/>
          <w:sz w:val="21"/>
          <w:szCs w:val="22"/>
        </w:rPr>
      </w:pPr>
      <w:hyperlink w:anchor="_Toc28201199" w:history="1">
        <w:r>
          <w:t>1.3</w:t>
        </w:r>
        <w:r>
          <w:rPr>
            <w:rFonts w:hint="eastAsia"/>
          </w:rPr>
          <w:t>走行部作业标准</w:t>
        </w:r>
        <w:r>
          <w:tab/>
        </w:r>
        <w:r>
          <w:fldChar w:fldCharType="begin"/>
        </w:r>
        <w:r>
          <w:instrText xml:space="preserve"> PAGEREF _Toc28201199 \h </w:instrText>
        </w:r>
        <w:r>
          <w:fldChar w:fldCharType="separate"/>
        </w:r>
        <w:r>
          <w:t>4</w:t>
        </w:r>
        <w:r>
          <w:fldChar w:fldCharType="end"/>
        </w:r>
      </w:hyperlink>
    </w:p>
    <w:p>
      <w:pPr>
        <w:pStyle w:val="TOC1"/>
        <w:tabs>
          <w:tab w:val="right" w:leader="dot" w:pos="9060"/>
        </w:tabs>
        <w:rPr>
          <w:rFonts w:ascii="Calibri" w:hAnsi="Calibri"/>
          <w:kern w:val="2"/>
          <w:sz w:val="21"/>
          <w:szCs w:val="22"/>
        </w:rPr>
      </w:pPr>
      <w:hyperlink w:anchor="_Toc28201200" w:history="1">
        <w:r>
          <w:rPr>
            <w:rFonts w:hint="eastAsia"/>
          </w:rPr>
          <w:t>第二章</w:t>
        </w:r>
        <w:r>
          <w:t xml:space="preserve"> </w:t>
        </w:r>
        <w:r>
          <w:rPr>
            <w:rFonts w:hint="eastAsia"/>
          </w:rPr>
          <w:t>机车运行中常见的故障</w:t>
        </w:r>
        <w:r>
          <w:tab/>
        </w:r>
        <w:r>
          <w:fldChar w:fldCharType="begin"/>
        </w:r>
        <w:r>
          <w:instrText xml:space="preserve"> PAGEREF _Toc28201200 \h </w:instrText>
        </w:r>
        <w:r>
          <w:fldChar w:fldCharType="separate"/>
        </w:r>
        <w:r>
          <w:t>6</w:t>
        </w:r>
        <w:r>
          <w:fldChar w:fldCharType="end"/>
        </w:r>
      </w:hyperlink>
    </w:p>
    <w:p>
      <w:pPr>
        <w:pStyle w:val="TOC2"/>
        <w:tabs>
          <w:tab w:val="right" w:leader="dot" w:pos="9060"/>
        </w:tabs>
        <w:ind w:left="480"/>
        <w:rPr>
          <w:rFonts w:ascii="Calibri" w:hAnsi="Calibri"/>
          <w:kern w:val="2"/>
          <w:sz w:val="21"/>
          <w:szCs w:val="22"/>
        </w:rPr>
      </w:pPr>
      <w:hyperlink w:anchor="_Toc28201201" w:history="1">
        <w:r>
          <w:t>2.1</w:t>
        </w:r>
        <w:r>
          <w:rPr>
            <w:rFonts w:hint="eastAsia"/>
          </w:rPr>
          <w:t>概述</w:t>
        </w:r>
        <w:r>
          <w:tab/>
        </w:r>
        <w:r>
          <w:fldChar w:fldCharType="begin"/>
        </w:r>
        <w:r>
          <w:instrText xml:space="preserve"> PAGEREF _Toc28201201 \h </w:instrText>
        </w:r>
        <w:r>
          <w:fldChar w:fldCharType="separate"/>
        </w:r>
        <w:r>
          <w:t>6</w:t>
        </w:r>
        <w:r>
          <w:fldChar w:fldCharType="end"/>
        </w:r>
      </w:hyperlink>
    </w:p>
    <w:p>
      <w:pPr>
        <w:pStyle w:val="TOC2"/>
        <w:tabs>
          <w:tab w:val="right" w:leader="dot" w:pos="9060"/>
        </w:tabs>
        <w:ind w:left="480"/>
        <w:rPr>
          <w:rFonts w:ascii="Calibri" w:hAnsi="Calibri"/>
          <w:kern w:val="2"/>
          <w:sz w:val="21"/>
          <w:szCs w:val="22"/>
        </w:rPr>
      </w:pPr>
      <w:hyperlink w:anchor="_Toc28201202" w:history="1">
        <w:r>
          <w:t xml:space="preserve">2.2. </w:t>
        </w:r>
        <w:r>
          <w:rPr>
            <w:rFonts w:hint="eastAsia"/>
          </w:rPr>
          <w:t>受电弓故障</w:t>
        </w:r>
        <w:r>
          <w:tab/>
        </w:r>
        <w:r>
          <w:fldChar w:fldCharType="begin"/>
        </w:r>
        <w:r>
          <w:instrText xml:space="preserve"> PAGEREF _Toc28201202 \h </w:instrText>
        </w:r>
        <w:r>
          <w:fldChar w:fldCharType="separate"/>
        </w:r>
        <w:r>
          <w:t>6</w:t>
        </w:r>
        <w:r>
          <w:fldChar w:fldCharType="end"/>
        </w:r>
      </w:hyperlink>
    </w:p>
    <w:p>
      <w:pPr>
        <w:pStyle w:val="TOC3"/>
        <w:tabs>
          <w:tab w:val="right" w:leader="dot" w:pos="9060"/>
        </w:tabs>
        <w:ind w:left="960"/>
        <w:rPr>
          <w:rFonts w:ascii="Calibri" w:hAnsi="Calibri"/>
          <w:kern w:val="2"/>
          <w:sz w:val="21"/>
          <w:szCs w:val="22"/>
        </w:rPr>
      </w:pPr>
      <w:hyperlink w:anchor="_Toc28201203" w:history="1">
        <w:r>
          <w:t>2.2.1</w:t>
        </w:r>
        <w:r>
          <w:rPr>
            <w:rFonts w:hint="eastAsia"/>
          </w:rPr>
          <w:t>什么是受电弓</w:t>
        </w:r>
        <w:r>
          <w:tab/>
        </w:r>
        <w:r>
          <w:fldChar w:fldCharType="begin"/>
        </w:r>
        <w:r>
          <w:instrText xml:space="preserve"> PAGEREF _Toc28201203 \h </w:instrText>
        </w:r>
        <w:r>
          <w:fldChar w:fldCharType="separate"/>
        </w:r>
        <w:r>
          <w:t>6</w:t>
        </w:r>
        <w:r>
          <w:fldChar w:fldCharType="end"/>
        </w:r>
      </w:hyperlink>
    </w:p>
    <w:p>
      <w:pPr>
        <w:pStyle w:val="TOC3"/>
        <w:tabs>
          <w:tab w:val="right" w:leader="dot" w:pos="9060"/>
        </w:tabs>
        <w:ind w:left="960"/>
        <w:rPr>
          <w:rFonts w:ascii="Calibri" w:hAnsi="Calibri"/>
          <w:kern w:val="2"/>
          <w:sz w:val="21"/>
          <w:szCs w:val="22"/>
        </w:rPr>
      </w:pPr>
      <w:hyperlink w:anchor="_Toc28201204" w:history="1">
        <w:r>
          <w:t>2.2.2</w:t>
        </w:r>
        <w:r>
          <w:rPr>
            <w:rFonts w:hint="eastAsia"/>
          </w:rPr>
          <w:t>受电弓工作原理</w:t>
        </w:r>
        <w:r>
          <w:tab/>
        </w:r>
        <w:r>
          <w:fldChar w:fldCharType="begin"/>
        </w:r>
        <w:r>
          <w:instrText xml:space="preserve"> PAGEREF _Toc28201204 \h </w:instrText>
        </w:r>
        <w:r>
          <w:fldChar w:fldCharType="separate"/>
        </w:r>
        <w:r>
          <w:t>6</w:t>
        </w:r>
        <w:r>
          <w:fldChar w:fldCharType="end"/>
        </w:r>
      </w:hyperlink>
    </w:p>
    <w:p>
      <w:pPr>
        <w:pStyle w:val="TOC3"/>
        <w:tabs>
          <w:tab w:val="right" w:leader="dot" w:pos="9060"/>
        </w:tabs>
        <w:ind w:left="960"/>
        <w:rPr>
          <w:rFonts w:ascii="Calibri" w:hAnsi="Calibri"/>
          <w:kern w:val="2"/>
          <w:sz w:val="21"/>
          <w:szCs w:val="22"/>
        </w:rPr>
      </w:pPr>
      <w:hyperlink w:anchor="_Toc28201205" w:history="1">
        <w:r>
          <w:t>2.2.3</w:t>
        </w:r>
        <w:r>
          <w:rPr>
            <w:rFonts w:hint="eastAsia"/>
          </w:rPr>
          <w:t>受电弓结构</w:t>
        </w:r>
        <w:r>
          <w:tab/>
        </w:r>
        <w:r>
          <w:fldChar w:fldCharType="begin"/>
        </w:r>
        <w:r>
          <w:instrText xml:space="preserve"> PAGEREF _Toc28201205 \h </w:instrText>
        </w:r>
        <w:r>
          <w:fldChar w:fldCharType="separate"/>
        </w:r>
        <w:r>
          <w:t>6</w:t>
        </w:r>
        <w:r>
          <w:fldChar w:fldCharType="end"/>
        </w:r>
      </w:hyperlink>
    </w:p>
    <w:p>
      <w:pPr>
        <w:pStyle w:val="TOC3"/>
        <w:tabs>
          <w:tab w:val="right" w:leader="dot" w:pos="9060"/>
        </w:tabs>
        <w:ind w:left="960"/>
        <w:rPr>
          <w:rFonts w:ascii="Calibri" w:hAnsi="Calibri"/>
          <w:kern w:val="2"/>
          <w:sz w:val="21"/>
          <w:szCs w:val="22"/>
        </w:rPr>
      </w:pPr>
      <w:hyperlink w:anchor="_Toc28201206" w:history="1">
        <w:r>
          <w:t>2.2.4</w:t>
        </w:r>
        <w:r>
          <w:rPr>
            <w:rFonts w:hint="eastAsia"/>
          </w:rPr>
          <w:t>受电弓的故障分析处理</w:t>
        </w:r>
        <w:r>
          <w:tab/>
        </w:r>
        <w:r>
          <w:fldChar w:fldCharType="begin"/>
        </w:r>
        <w:r>
          <w:instrText xml:space="preserve"> PAGEREF _Toc28201206 \h </w:instrText>
        </w:r>
        <w:r>
          <w:fldChar w:fldCharType="separate"/>
        </w:r>
        <w:r>
          <w:t>8</w:t>
        </w:r>
        <w:r>
          <w:fldChar w:fldCharType="end"/>
        </w:r>
      </w:hyperlink>
    </w:p>
    <w:p>
      <w:pPr>
        <w:pStyle w:val="TOC2"/>
        <w:tabs>
          <w:tab w:val="right" w:leader="dot" w:pos="9060"/>
        </w:tabs>
        <w:ind w:left="480"/>
        <w:rPr>
          <w:rFonts w:ascii="Calibri" w:hAnsi="Calibri"/>
          <w:kern w:val="2"/>
          <w:sz w:val="21"/>
          <w:szCs w:val="22"/>
        </w:rPr>
      </w:pPr>
      <w:hyperlink w:anchor="_Toc28201207" w:history="1">
        <w:r>
          <w:t>2.3</w:t>
        </w:r>
        <w:r>
          <w:rPr>
            <w:rFonts w:hint="eastAsia"/>
          </w:rPr>
          <w:t>劈相机故障</w:t>
        </w:r>
        <w:r>
          <w:tab/>
        </w:r>
        <w:r>
          <w:fldChar w:fldCharType="begin"/>
        </w:r>
        <w:r>
          <w:instrText xml:space="preserve"> PAGEREF _Toc28201207 \h </w:instrText>
        </w:r>
        <w:r>
          <w:fldChar w:fldCharType="separate"/>
        </w:r>
        <w:r>
          <w:t>9</w:t>
        </w:r>
        <w:r>
          <w:fldChar w:fldCharType="end"/>
        </w:r>
      </w:hyperlink>
    </w:p>
    <w:p>
      <w:pPr>
        <w:pStyle w:val="TOC3"/>
        <w:tabs>
          <w:tab w:val="right" w:leader="dot" w:pos="9060"/>
        </w:tabs>
        <w:ind w:left="960"/>
        <w:rPr>
          <w:rFonts w:ascii="Calibri" w:hAnsi="Calibri"/>
          <w:kern w:val="2"/>
          <w:sz w:val="21"/>
          <w:szCs w:val="22"/>
        </w:rPr>
      </w:pPr>
      <w:hyperlink w:anchor="_Toc28201208" w:history="1">
        <w:r>
          <w:t>2.3.1</w:t>
        </w:r>
        <w:r>
          <w:rPr>
            <w:rFonts w:hint="eastAsia"/>
          </w:rPr>
          <w:t>什么是劈相机</w:t>
        </w:r>
        <w:r>
          <w:tab/>
        </w:r>
        <w:r>
          <w:fldChar w:fldCharType="begin"/>
        </w:r>
        <w:r>
          <w:instrText xml:space="preserve"> PAGEREF _Toc28201208 \h </w:instrText>
        </w:r>
        <w:r>
          <w:fldChar w:fldCharType="separate"/>
        </w:r>
        <w:r>
          <w:t>9</w:t>
        </w:r>
        <w:r>
          <w:fldChar w:fldCharType="end"/>
        </w:r>
      </w:hyperlink>
    </w:p>
    <w:p>
      <w:pPr>
        <w:pStyle w:val="TOC3"/>
        <w:tabs>
          <w:tab w:val="right" w:leader="dot" w:pos="9060"/>
        </w:tabs>
        <w:ind w:left="960"/>
        <w:rPr>
          <w:rFonts w:ascii="Calibri" w:hAnsi="Calibri"/>
          <w:kern w:val="2"/>
          <w:sz w:val="21"/>
          <w:szCs w:val="22"/>
        </w:rPr>
      </w:pPr>
      <w:hyperlink w:anchor="_Toc28201209" w:history="1">
        <w:r>
          <w:t>2.3.2</w:t>
        </w:r>
        <w:r>
          <w:rPr>
            <w:rFonts w:hint="eastAsia"/>
          </w:rPr>
          <w:t>劈相机的结构</w:t>
        </w:r>
        <w:r>
          <w:tab/>
        </w:r>
        <w:r>
          <w:fldChar w:fldCharType="begin"/>
        </w:r>
        <w:r>
          <w:instrText xml:space="preserve"> PAGEREF _Toc28201209 \h </w:instrText>
        </w:r>
        <w:r>
          <w:fldChar w:fldCharType="separate"/>
        </w:r>
        <w:r>
          <w:t>10</w:t>
        </w:r>
        <w:r>
          <w:fldChar w:fldCharType="end"/>
        </w:r>
      </w:hyperlink>
    </w:p>
    <w:p>
      <w:pPr>
        <w:pStyle w:val="TOC3"/>
        <w:tabs>
          <w:tab w:val="right" w:leader="dot" w:pos="9060"/>
        </w:tabs>
        <w:ind w:left="960"/>
        <w:rPr>
          <w:rFonts w:ascii="Calibri" w:hAnsi="Calibri"/>
          <w:kern w:val="2"/>
          <w:sz w:val="21"/>
          <w:szCs w:val="22"/>
        </w:rPr>
      </w:pPr>
      <w:hyperlink w:anchor="_Toc28201210" w:history="1">
        <w:r>
          <w:t>2.3.3</w:t>
        </w:r>
        <w:r>
          <w:rPr>
            <w:rFonts w:hint="eastAsia"/>
          </w:rPr>
          <w:t>劈相机的工作原理及工作条件</w:t>
        </w:r>
        <w:r>
          <w:tab/>
        </w:r>
        <w:r>
          <w:fldChar w:fldCharType="begin"/>
        </w:r>
        <w:r>
          <w:instrText xml:space="preserve"> PAGEREF _Toc28201210 \h </w:instrText>
        </w:r>
        <w:r>
          <w:fldChar w:fldCharType="separate"/>
        </w:r>
        <w:r>
          <w:t>11</w:t>
        </w:r>
        <w:r>
          <w:fldChar w:fldCharType="end"/>
        </w:r>
      </w:hyperlink>
    </w:p>
    <w:p>
      <w:pPr>
        <w:pStyle w:val="TOC3"/>
        <w:tabs>
          <w:tab w:val="right" w:leader="dot" w:pos="9060"/>
        </w:tabs>
        <w:ind w:left="960"/>
        <w:rPr>
          <w:rFonts w:ascii="Calibri" w:hAnsi="Calibri"/>
          <w:kern w:val="2"/>
          <w:sz w:val="21"/>
          <w:szCs w:val="22"/>
        </w:rPr>
      </w:pPr>
      <w:hyperlink w:anchor="_Toc28201211" w:history="1">
        <w:r>
          <w:t>2.3.4</w:t>
        </w:r>
        <w:r>
          <w:rPr>
            <w:rFonts w:hint="eastAsia"/>
          </w:rPr>
          <w:t>劈相机接触器故障分析处理</w:t>
        </w:r>
        <w:r>
          <w:tab/>
        </w:r>
        <w:r>
          <w:fldChar w:fldCharType="begin"/>
        </w:r>
        <w:r>
          <w:instrText xml:space="preserve"> PAGEREF _Toc28201211 \h </w:instrText>
        </w:r>
        <w:r>
          <w:fldChar w:fldCharType="separate"/>
        </w:r>
        <w:r>
          <w:t>12</w:t>
        </w:r>
        <w:r>
          <w:fldChar w:fldCharType="end"/>
        </w:r>
      </w:hyperlink>
    </w:p>
    <w:p>
      <w:pPr>
        <w:pStyle w:val="TOC1"/>
        <w:tabs>
          <w:tab w:val="right" w:leader="dot" w:pos="9060"/>
        </w:tabs>
        <w:rPr>
          <w:rFonts w:ascii="Calibri" w:hAnsi="Calibri"/>
          <w:kern w:val="2"/>
          <w:sz w:val="21"/>
          <w:szCs w:val="22"/>
        </w:rPr>
      </w:pPr>
      <w:hyperlink w:anchor="_Toc28201212" w:history="1">
        <w:r>
          <w:rPr>
            <w:rFonts w:hint="eastAsia"/>
          </w:rPr>
          <w:t>第三章</w:t>
        </w:r>
        <w:r>
          <w:t xml:space="preserve">  </w:t>
        </w:r>
        <w:r>
          <w:rPr>
            <w:rFonts w:hint="eastAsia"/>
          </w:rPr>
          <w:t>机车运行中发生故障应如何处理</w:t>
        </w:r>
        <w:r>
          <w:tab/>
        </w:r>
        <w:r>
          <w:fldChar w:fldCharType="begin"/>
        </w:r>
        <w:r>
          <w:instrText xml:space="preserve"> PAGEREF _Toc28201212 \h </w:instrText>
        </w:r>
        <w:r>
          <w:fldChar w:fldCharType="separate"/>
        </w:r>
        <w:r>
          <w:t>16</w:t>
        </w:r>
        <w:r>
          <w:fldChar w:fldCharType="end"/>
        </w:r>
      </w:hyperlink>
    </w:p>
    <w:p>
      <w:pPr>
        <w:pStyle w:val="TOC2"/>
        <w:tabs>
          <w:tab w:val="right" w:leader="dot" w:pos="9060"/>
        </w:tabs>
        <w:ind w:left="480"/>
        <w:rPr>
          <w:rFonts w:ascii="Calibri" w:hAnsi="Calibri"/>
          <w:kern w:val="2"/>
          <w:sz w:val="21"/>
          <w:szCs w:val="22"/>
        </w:rPr>
      </w:pPr>
      <w:hyperlink w:anchor="_Toc28201213" w:history="1">
        <w:r>
          <w:t>3.1</w:t>
        </w:r>
        <w:r>
          <w:rPr>
            <w:rFonts w:hint="eastAsia"/>
          </w:rPr>
          <w:t>发生故障及时汇报</w:t>
        </w:r>
        <w:r>
          <w:tab/>
        </w:r>
        <w:r>
          <w:fldChar w:fldCharType="begin"/>
        </w:r>
        <w:r>
          <w:instrText xml:space="preserve"> PAGEREF _Toc28201213 \h </w:instrText>
        </w:r>
        <w:r>
          <w:fldChar w:fldCharType="separate"/>
        </w:r>
        <w:r>
          <w:t>16</w:t>
        </w:r>
        <w:r>
          <w:fldChar w:fldCharType="end"/>
        </w:r>
      </w:hyperlink>
    </w:p>
    <w:p>
      <w:pPr>
        <w:pStyle w:val="TOC2"/>
        <w:tabs>
          <w:tab w:val="right" w:leader="dot" w:pos="9060"/>
        </w:tabs>
        <w:ind w:left="480"/>
        <w:rPr>
          <w:rFonts w:ascii="Calibri" w:hAnsi="Calibri"/>
          <w:kern w:val="2"/>
          <w:sz w:val="21"/>
          <w:szCs w:val="22"/>
        </w:rPr>
      </w:pPr>
      <w:hyperlink w:anchor="_Toc28201214" w:history="1">
        <w:r>
          <w:t>3.2</w:t>
        </w:r>
        <w:r>
          <w:rPr>
            <w:rFonts w:hint="eastAsia"/>
          </w:rPr>
          <w:t>找准汇报求助对象</w:t>
        </w:r>
        <w:r>
          <w:tab/>
        </w:r>
        <w:r>
          <w:fldChar w:fldCharType="begin"/>
        </w:r>
        <w:r>
          <w:instrText xml:space="preserve"> PAGEREF _Toc28201214 \h </w:instrText>
        </w:r>
        <w:r>
          <w:fldChar w:fldCharType="separate"/>
        </w:r>
        <w:r>
          <w:t>16</w:t>
        </w:r>
        <w:r>
          <w:fldChar w:fldCharType="end"/>
        </w:r>
      </w:hyperlink>
    </w:p>
    <w:p>
      <w:pPr>
        <w:pStyle w:val="TOC2"/>
        <w:tabs>
          <w:tab w:val="right" w:leader="dot" w:pos="9060"/>
        </w:tabs>
        <w:ind w:left="480"/>
        <w:rPr>
          <w:rFonts w:ascii="Calibri" w:hAnsi="Calibri"/>
          <w:kern w:val="2"/>
          <w:sz w:val="21"/>
          <w:szCs w:val="22"/>
        </w:rPr>
      </w:pPr>
      <w:hyperlink w:anchor="_Toc28201215" w:history="1">
        <w:r>
          <w:t>3.3</w:t>
        </w:r>
        <w:r>
          <w:rPr>
            <w:rFonts w:hint="eastAsia"/>
          </w:rPr>
          <w:t>清楚准确的汇报故障情况</w:t>
        </w:r>
        <w:r>
          <w:tab/>
        </w:r>
        <w:r>
          <w:fldChar w:fldCharType="begin"/>
        </w:r>
        <w:r>
          <w:instrText xml:space="preserve"> PAGEREF _Toc28201215 \h </w:instrText>
        </w:r>
        <w:r>
          <w:fldChar w:fldCharType="separate"/>
        </w:r>
        <w:r>
          <w:t>16</w:t>
        </w:r>
        <w:r>
          <w:fldChar w:fldCharType="end"/>
        </w:r>
      </w:hyperlink>
    </w:p>
    <w:p>
      <w:pPr>
        <w:pStyle w:val="TOC2"/>
        <w:tabs>
          <w:tab w:val="right" w:leader="dot" w:pos="9060"/>
        </w:tabs>
        <w:ind w:left="480"/>
        <w:rPr>
          <w:rFonts w:ascii="Calibri" w:hAnsi="Calibri"/>
          <w:kern w:val="2"/>
          <w:sz w:val="21"/>
          <w:szCs w:val="22"/>
        </w:rPr>
      </w:pPr>
      <w:hyperlink w:anchor="_Toc28201216" w:history="1">
        <w:r>
          <w:t>3.4</w:t>
        </w:r>
        <w:r>
          <w:rPr>
            <w:rFonts w:hint="eastAsia"/>
          </w:rPr>
          <w:t>接到求助电话人员的注意事项</w:t>
        </w:r>
        <w:r>
          <w:tab/>
        </w:r>
        <w:r>
          <w:fldChar w:fldCharType="begin"/>
        </w:r>
        <w:r>
          <w:instrText xml:space="preserve"> PAGEREF _Toc28201216 \h </w:instrText>
        </w:r>
        <w:r>
          <w:fldChar w:fldCharType="separate"/>
        </w:r>
        <w:r>
          <w:t>16</w:t>
        </w:r>
        <w:r>
          <w:fldChar w:fldCharType="end"/>
        </w:r>
      </w:hyperlink>
    </w:p>
    <w:p>
      <w:pPr>
        <w:pStyle w:val="TOC2"/>
        <w:tabs>
          <w:tab w:val="right" w:leader="dot" w:pos="9060"/>
        </w:tabs>
        <w:ind w:left="480"/>
        <w:rPr>
          <w:rFonts w:ascii="Calibri" w:hAnsi="Calibri"/>
          <w:kern w:val="2"/>
          <w:sz w:val="21"/>
          <w:szCs w:val="22"/>
        </w:rPr>
      </w:pPr>
      <w:hyperlink w:anchor="_Toc28201217" w:history="1">
        <w:r>
          <w:t>3.5</w:t>
        </w:r>
        <w:r>
          <w:rPr>
            <w:rFonts w:hint="eastAsia"/>
          </w:rPr>
          <w:t>故障处理的原则</w:t>
        </w:r>
        <w:r>
          <w:tab/>
        </w:r>
        <w:r>
          <w:fldChar w:fldCharType="begin"/>
        </w:r>
        <w:r>
          <w:instrText xml:space="preserve"> PAGEREF _Toc28201217 \h </w:instrText>
        </w:r>
        <w:r>
          <w:fldChar w:fldCharType="separate"/>
        </w:r>
        <w:r>
          <w:t>17</w:t>
        </w:r>
        <w:r>
          <w:fldChar w:fldCharType="end"/>
        </w:r>
      </w:hyperlink>
    </w:p>
    <w:p>
      <w:pPr>
        <w:pStyle w:val="TOC2"/>
        <w:tabs>
          <w:tab w:val="right" w:leader="dot" w:pos="9060"/>
        </w:tabs>
        <w:ind w:left="480"/>
        <w:rPr>
          <w:rFonts w:ascii="Calibri" w:hAnsi="Calibri"/>
          <w:kern w:val="2"/>
          <w:sz w:val="21"/>
          <w:szCs w:val="22"/>
        </w:rPr>
      </w:pPr>
      <w:hyperlink w:anchor="_Toc28201218" w:history="1">
        <w:r>
          <w:t>3.6</w:t>
        </w:r>
        <w:r>
          <w:rPr>
            <w:rFonts w:hint="eastAsia"/>
          </w:rPr>
          <w:t>了解现场情况对不同故障现象进行区别</w:t>
        </w:r>
        <w:r>
          <w:tab/>
        </w:r>
        <w:r>
          <w:fldChar w:fldCharType="begin"/>
        </w:r>
        <w:r>
          <w:instrText xml:space="preserve"> PAGEREF _Toc28201218 \h </w:instrText>
        </w:r>
        <w:r>
          <w:fldChar w:fldCharType="separate"/>
        </w:r>
        <w:r>
          <w:t>17</w:t>
        </w:r>
        <w:r>
          <w:fldChar w:fldCharType="end"/>
        </w:r>
      </w:hyperlink>
    </w:p>
    <w:p>
      <w:pPr>
        <w:pStyle w:val="TOC1"/>
        <w:tabs>
          <w:tab w:val="right" w:leader="dot" w:pos="9060"/>
        </w:tabs>
        <w:rPr>
          <w:rFonts w:ascii="Calibri" w:hAnsi="Calibri"/>
          <w:kern w:val="2"/>
          <w:sz w:val="21"/>
          <w:szCs w:val="22"/>
        </w:rPr>
      </w:pPr>
      <w:hyperlink w:anchor="_Toc28201219" w:history="1">
        <w:r>
          <w:rPr>
            <w:rFonts w:hint="eastAsia"/>
          </w:rPr>
          <w:t>结</w:t>
        </w:r>
        <w:r>
          <w:t xml:space="preserve">    </w:t>
        </w:r>
        <w:r>
          <w:rPr>
            <w:rFonts w:hint="eastAsia"/>
          </w:rPr>
          <w:t>论</w:t>
        </w:r>
        <w:r>
          <w:tab/>
        </w:r>
        <w:r>
          <w:fldChar w:fldCharType="begin"/>
        </w:r>
        <w:r>
          <w:instrText xml:space="preserve"> PAGEREF _Toc28201219 \h </w:instrText>
        </w:r>
        <w:r>
          <w:fldChar w:fldCharType="separate"/>
        </w:r>
        <w:r>
          <w:t>18</w:t>
        </w:r>
        <w:r>
          <w:fldChar w:fldCharType="end"/>
        </w:r>
      </w:hyperlink>
    </w:p>
    <w:p>
      <w:pPr>
        <w:pStyle w:val="TOC1"/>
        <w:tabs>
          <w:tab w:val="right" w:leader="dot" w:pos="9060"/>
        </w:tabs>
        <w:rPr>
          <w:rFonts w:ascii="Calibri" w:hAnsi="Calibri"/>
          <w:kern w:val="2"/>
          <w:sz w:val="21"/>
          <w:szCs w:val="22"/>
        </w:rPr>
        <w:sectPr>
          <w:headerReference w:type="even" r:id="rId8"/>
          <w:headerReference w:type="default" r:id="rId9"/>
          <w:footerReference w:type="even" r:id="rId10"/>
          <w:footerReference w:type="default" r:id="rId11"/>
          <w:pgSz w:w="11906" w:h="16838" w:orient="portrait"/>
          <w:pgMar w:top="1985" w:right="1418" w:bottom="1418" w:left="1418" w:header="1418" w:footer="1134" w:gutter="0"/>
          <w:pgNumType w:fmt="upperRoman" w:start="2"/>
          <w:cols w:space="708"/>
          <w:docGrid w:linePitch="326" w:charSpace="-2048"/>
        </w:sectPr>
      </w:pPr>
      <w:hyperlink w:anchor="_Toc28201220" w:history="1">
        <w:r>
          <w:rPr>
            <w:rFonts w:hint="eastAsia"/>
          </w:rPr>
          <w:t>参</w:t>
        </w:r>
        <w:r>
          <w:t xml:space="preserve"> </w:t>
        </w:r>
        <w:r>
          <w:rPr>
            <w:rFonts w:hint="eastAsia"/>
          </w:rPr>
          <w:t>考</w:t>
        </w:r>
        <w:r>
          <w:t xml:space="preserve"> </w:t>
        </w:r>
        <w:r>
          <w:rPr>
            <w:rFonts w:hint="eastAsia"/>
          </w:rPr>
          <w:t>文</w:t>
        </w:r>
        <w:r>
          <w:t xml:space="preserve"> </w:t>
        </w:r>
        <w:r>
          <w:rPr>
            <w:rFonts w:hint="eastAsia"/>
          </w:rPr>
          <w:t>献</w:t>
        </w:r>
        <w:r>
          <w:tab/>
        </w:r>
        <w:r>
          <w:fldChar w:fldCharType="begin"/>
        </w:r>
        <w:r>
          <w:instrText xml:space="preserve"> PAGEREF _Toc28201220 \h </w:instrText>
        </w:r>
        <w:r>
          <w:fldChar w:fldCharType="separate"/>
        </w:r>
        <w:r>
          <w:t>19</w:t>
        </w:r>
        <w:r>
          <w:fldChar w:fldCharType="end"/>
        </w:r>
      </w:hyperlink>
    </w:p>
    <w:p>
      <w:pPr>
        <w:pStyle w:val="TOC1"/>
        <w:tabs>
          <w:tab w:val="right" w:leader="dot" w:pos="9060"/>
        </w:tabs>
        <w:rPr>
          <w:rFonts w:ascii="Calibri" w:hAnsi="Calibri"/>
          <w:kern w:val="2"/>
          <w:sz w:val="21"/>
          <w:szCs w:val="22"/>
        </w:rPr>
      </w:pPr>
      <w:hyperlink w:anchor="_Toc28201221" w:history="1">
        <w:r>
          <w:rPr>
            <w:rFonts w:hint="eastAsia"/>
          </w:rPr>
          <w:t>致</w:t>
        </w:r>
        <w:r>
          <w:t xml:space="preserve">    </w:t>
        </w:r>
        <w:r>
          <w:rPr>
            <w:rFonts w:hint="eastAsia"/>
          </w:rPr>
          <w:t>谢</w:t>
        </w:r>
        <w:r>
          <w:tab/>
        </w:r>
        <w:r>
          <w:fldChar w:fldCharType="begin"/>
        </w:r>
        <w:r>
          <w:instrText xml:space="preserve"> PAGEREF _Toc28201221 \h </w:instrText>
        </w:r>
        <w:r>
          <w:fldChar w:fldCharType="separate"/>
        </w:r>
        <w:r>
          <w:t>20</w:t>
        </w:r>
        <w:r>
          <w:fldChar w:fldCharType="end"/>
        </w:r>
      </w:hyperlink>
    </w:p>
    <w:p>
      <w:pPr>
        <w:tabs>
          <w:tab w:val="left" w:pos="377"/>
        </w:tabs>
      </w:pPr>
      <w:r>
        <w:fldChar w:fldCharType="end"/>
      </w:r>
    </w:p>
    <w:p>
      <w:pPr>
        <w:tabs>
          <w:tab w:val="left" w:pos="377"/>
        </w:tabs>
        <w:rPr>
          <w:rFonts w:hint="eastAsia"/>
        </w:rPr>
      </w:pPr>
    </w:p>
    <w:p>
      <w:pPr>
        <w:tabs>
          <w:tab w:val="left" w:pos="377"/>
        </w:tabs>
        <w:sectPr>
          <w:headerReference w:type="even" r:id="rId12"/>
          <w:headerReference w:type="default" r:id="rId13"/>
          <w:footerReference w:type="even" r:id="rId14"/>
          <w:footerReference w:type="default" r:id="rId15"/>
          <w:type w:val="nextPage"/>
          <w:pgSz w:w="11906" w:h="16838" w:orient="portrait"/>
          <w:pgMar w:top="1985" w:right="1418" w:bottom="1418" w:left="1418" w:header="1418" w:footer="1134" w:gutter="0"/>
          <w:pgNumType w:fmt="upperRoman" w:start="3"/>
          <w:cols w:space="708"/>
          <w:titlePg w:val="0"/>
          <w:docGrid w:linePitch="326" w:charSpace="-2048"/>
        </w:sectPr>
      </w:pPr>
    </w:p>
    <w:p>
      <w:pPr>
        <w:pStyle w:val="Heading1"/>
        <w:tabs>
          <w:tab w:val="left" w:pos="377"/>
        </w:tabs>
        <w:jc w:val="center"/>
        <w:rPr>
          <w:rFonts w:ascii="Times New Roman" w:hint="eastAsia"/>
        </w:rPr>
      </w:pPr>
      <w:bookmarkStart w:id="4" w:name="_Toc476664352"/>
      <w:bookmarkStart w:id="5" w:name="_Toc28201193"/>
      <w:r>
        <w:rPr>
          <w:rFonts w:ascii="Times New Roman" w:hint="eastAsia"/>
        </w:rPr>
        <w:t>绪    论</w:t>
      </w:r>
      <w:bookmarkEnd w:id="4"/>
      <w:bookmarkEnd w:id="5"/>
    </w:p>
    <w:p>
      <w:pPr>
        <w:tabs>
          <w:tab w:val="left" w:pos="377"/>
        </w:tabs>
        <w:ind w:firstLine="480" w:firstLineChars="200"/>
        <w:rPr>
          <w:rFonts w:hint="eastAsia"/>
          <w:lang w:bidi="ar"/>
        </w:rPr>
      </w:pPr>
      <w:r>
        <w:rPr>
          <w:rFonts w:hint="eastAsia"/>
          <w:lang w:bidi="ar"/>
        </w:rPr>
        <w:t>铁路作为国民经济的大动脉、国家重要基础设施和大众化交通工具，在我国经济社会发展中具有重要作用。铁路部门是促进各民族共同团结奋斗、共同繁荣发展的重要部门.党的十六大以来，铁路部门认真贯彻科学发展观和构建社会主义和谐社会要求，落实中央民族工作会议精神和国家民族工作的各项方针政策，坚持从铁路行业实际出发，建设和谐铁路，充分发挥铁路运输职能作用，为推动民族地区经济社会发展作贡献据悉，我国铁路现有营运里程7.3万公里，年发送旅客超过10亿人次，发送货物超过20亿吨，旅客周转量和货物发送吨数两大指标均居世界第一位。</w:t>
      </w:r>
    </w:p>
    <w:p>
      <w:pPr>
        <w:tabs>
          <w:tab w:val="left" w:pos="377"/>
        </w:tabs>
        <w:ind w:firstLine="480" w:firstLineChars="200"/>
        <w:rPr>
          <w:rFonts w:hint="eastAsia"/>
          <w:lang w:bidi="ar"/>
        </w:rPr>
      </w:pPr>
      <w:r>
        <w:rPr>
          <w:rFonts w:hint="eastAsia"/>
          <w:lang w:bidi="ar"/>
        </w:rPr>
        <w:t>我国铁路以古世界铁路6%的营运里程，完成了世界铁路24%的运输量，铁路平均运输密度居世界第一位，是世界上最繁忙的铁路。铁路客货运输量在国内运输市场中的份额分别为35%和55%左右，居世界同行首位。铁路为国顺经济持续快速协调健康发展提供了强大的运力支持，为物流业的快速发展员定了坚实的基础</w:t>
      </w:r>
    </w:p>
    <w:p>
      <w:pPr>
        <w:tabs>
          <w:tab w:val="left" w:pos="377"/>
        </w:tabs>
        <w:ind w:firstLine="480" w:firstLineChars="200"/>
        <w:rPr>
          <w:rFonts w:hint="eastAsia"/>
          <w:lang w:bidi="ar"/>
        </w:rPr>
      </w:pPr>
      <w:r>
        <w:rPr>
          <w:rFonts w:hint="eastAsia"/>
          <w:lang w:bidi="ar"/>
        </w:rPr>
        <w:t>由此对于机车的安全运行，不仅人民群众关心，党和国家尤为看重，故机车故障处理能力的强弱直接影响行车质量，而对于机车故障的学习的重要性也就不言而喻。可以预见，电力机车在我国铁路运输中所担负地任务越来越大:铁路电气化事业将飞速发展。</w:t>
      </w:r>
    </w:p>
    <w:p>
      <w:pPr>
        <w:tabs>
          <w:tab w:val="left" w:pos="377"/>
        </w:tabs>
        <w:ind w:firstLine="480" w:firstLineChars="200"/>
        <w:rPr>
          <w:rFonts w:hint="eastAsia"/>
          <w:color w:val="FF0000"/>
          <w:lang w:bidi="ar"/>
        </w:rPr>
      </w:pPr>
    </w:p>
    <w:p>
      <w:pPr>
        <w:tabs>
          <w:tab w:val="left" w:pos="377"/>
        </w:tabs>
        <w:ind w:firstLine="480" w:firstLineChars="200"/>
        <w:rPr>
          <w:rFonts w:hint="eastAsia"/>
        </w:rPr>
      </w:pPr>
    </w:p>
    <w:p>
      <w:pPr>
        <w:tabs>
          <w:tab w:val="left" w:pos="377"/>
        </w:tabs>
        <w:ind w:firstLine="465"/>
        <w:rPr>
          <w:rFonts w:hint="eastAsia"/>
        </w:rPr>
      </w:pPr>
    </w:p>
    <w:p>
      <w:pPr>
        <w:tabs>
          <w:tab w:val="left" w:pos="377"/>
        </w:tabs>
        <w:rPr>
          <w:rFonts w:hint="eastAsia"/>
        </w:rPr>
      </w:pPr>
    </w:p>
    <w:p>
      <w:pPr>
        <w:pStyle w:val="Heading1"/>
        <w:tabs>
          <w:tab w:val="left" w:pos="377"/>
        </w:tabs>
        <w:jc w:val="center"/>
        <w:rPr>
          <w:rFonts w:ascii="Times New Roman"/>
        </w:rPr>
        <w:sectPr>
          <w:headerReference w:type="even" r:id="rId16"/>
          <w:headerReference w:type="default" r:id="rId17"/>
          <w:footerReference w:type="even" r:id="rId18"/>
          <w:footerReference w:type="default" r:id="rId19"/>
          <w:pgSz w:w="11906" w:h="16838" w:orient="portrait"/>
          <w:pgMar w:top="1985" w:right="1418" w:bottom="1418" w:left="1418" w:header="1418" w:footer="1134" w:gutter="0"/>
          <w:pgNumType w:start="1"/>
          <w:cols w:space="708"/>
          <w:docGrid w:linePitch="326" w:charSpace="-2048"/>
        </w:sectPr>
      </w:pPr>
    </w:p>
    <w:p>
      <w:pPr>
        <w:pStyle w:val="Heading1"/>
        <w:tabs>
          <w:tab w:val="left" w:pos="377"/>
        </w:tabs>
        <w:jc w:val="center"/>
        <w:rPr>
          <w:rFonts w:hint="eastAsia"/>
        </w:rPr>
      </w:pPr>
      <w:bookmarkStart w:id="6" w:name="_Toc476664353"/>
      <w:bookmarkStart w:id="7" w:name="_Toc28201194"/>
      <w:r>
        <w:rPr>
          <w:rFonts w:hint="eastAsia"/>
        </w:rPr>
        <w:t>第一章 机车满足运行的要求</w:t>
      </w:r>
      <w:bookmarkEnd w:id="6"/>
      <w:bookmarkEnd w:id="7"/>
    </w:p>
    <w:p>
      <w:pPr>
        <w:pStyle w:val="Heading2"/>
        <w:tabs>
          <w:tab w:val="left" w:pos="377"/>
        </w:tabs>
        <w:spacing w:before="120"/>
        <w:rPr>
          <w:rFonts w:hint="eastAsia"/>
        </w:rPr>
      </w:pPr>
      <w:bookmarkStart w:id="8" w:name="_Toc28160775"/>
      <w:bookmarkStart w:id="9" w:name="_Toc28201195"/>
      <w:r>
        <w:rPr>
          <w:rFonts w:hint="eastAsia"/>
        </w:rPr>
        <w:t>1.1机车整备作业</w:t>
      </w:r>
      <w:bookmarkEnd w:id="8"/>
      <w:bookmarkEnd w:id="9"/>
    </w:p>
    <w:p>
      <w:pPr>
        <w:tabs>
          <w:tab w:val="left" w:pos="377"/>
        </w:tabs>
        <w:ind w:firstLine="480" w:firstLineChars="200"/>
        <w:rPr>
          <w:rStyle w:val="Strong"/>
          <w:rFonts w:ascii="Arial" w:hAnsi="Arial" w:cs="Arial"/>
          <w:b w:val="0"/>
        </w:rPr>
      </w:pPr>
      <w:r>
        <w:rPr>
          <w:rStyle w:val="Strong"/>
          <w:rFonts w:ascii="Arial" w:hAnsi="Arial" w:cs="Arial"/>
          <w:b w:val="0"/>
        </w:rPr>
        <w:t>电力机车整备作业工作组成：</w:t>
      </w:r>
    </w:p>
    <w:p>
      <w:pPr>
        <w:tabs>
          <w:tab w:val="left" w:pos="377"/>
        </w:tabs>
        <w:ind w:firstLine="480" w:firstLineChars="200"/>
      </w:pPr>
      <w:r>
        <w:t>   </w:t>
      </w:r>
      <w:r>
        <w:rPr>
          <w:rFonts w:hint="eastAsia"/>
        </w:rPr>
        <w:t>1、</w:t>
      </w:r>
      <w:r>
        <w:t>  车间整备调度负责与机务段运用科机车调度及外勤联系，指挥、协调库内机车整备工作安排。整备调度负责填记《机务段整备工作日志》，记录机车在段内整备作业全过程及有关信息。</w:t>
      </w:r>
      <w:r>
        <w:br/>
      </w:r>
      <w:r>
        <w:t>    </w:t>
      </w:r>
      <w:r>
        <w:rPr>
          <w:rFonts w:hint="eastAsia"/>
        </w:rPr>
        <w:t xml:space="preserve"> </w:t>
      </w:r>
      <w:r>
        <w:t>  </w:t>
      </w:r>
      <w:r>
        <w:rPr>
          <w:rFonts w:hint="eastAsia"/>
        </w:rPr>
        <w:t>2、</w:t>
      </w:r>
      <w:r>
        <w:t>  车间整备调度与机务段机车调度及外勤应积极联系、密切配合，准确掌握机车计划出、入段时间，以便做好机车整备作业安排。</w:t>
      </w:r>
      <w:r>
        <w:br/>
      </w:r>
      <w:r>
        <w:t>    </w:t>
      </w:r>
      <w:r>
        <w:rPr>
          <w:rFonts w:hint="eastAsia"/>
        </w:rPr>
        <w:t xml:space="preserve"> </w:t>
      </w:r>
      <w:r>
        <w:t>  </w:t>
      </w:r>
      <w:r>
        <w:rPr>
          <w:rFonts w:hint="eastAsia"/>
        </w:rPr>
        <w:t>3</w:t>
      </w:r>
      <w:r>
        <w:t>、机车入段后，应由外勤人员通知整备调度员，由整备调度通知整备车间各组作业人员做好接车准备。</w:t>
      </w:r>
    </w:p>
    <w:p>
      <w:pPr>
        <w:tabs>
          <w:tab w:val="left" w:pos="377"/>
        </w:tabs>
        <w:ind w:firstLine="480" w:firstLineChars="200"/>
        <w:rPr>
          <w:rFonts w:ascii="宋体" w:hAnsi="宋体" w:cs="宋体" w:hint="eastAsia"/>
        </w:rPr>
      </w:pPr>
      <w:r>
        <w:rPr>
          <w:rFonts w:hint="eastAsia"/>
        </w:rPr>
        <w:t>4、整备信息平台输入人员根据入库机车车型、车号，对该机车各项预警信息、轮缘尺寸，近期机车质量情况进行查询，并将查询结果告知整备调度、质检员，做到对机车当前质量心中有数。各相关</w:t>
      </w:r>
      <w:r>
        <w:rPr>
          <w:rFonts w:ascii="宋体" w:hAnsi="宋体" w:cs="宋体" w:hint="eastAsia"/>
        </w:rPr>
        <w:t>作业人员必须严格按照整备信息平台显示的预警信息内容，对各周期保养处所进行作业，作业结束并经质检员验收后及时通知输入人员录入相关信息或消除预警。</w:t>
      </w:r>
    </w:p>
    <w:p>
      <w:pPr>
        <w:tabs>
          <w:tab w:val="left" w:pos="377"/>
        </w:tabs>
        <w:ind w:firstLine="480" w:firstLineChars="200"/>
        <w:rPr>
          <w:rFonts w:ascii="宋体" w:hAnsi="宋体" w:cs="宋体" w:hint="eastAsia"/>
        </w:rPr>
      </w:pPr>
      <w:r>
        <w:rPr>
          <w:rFonts w:ascii="宋体" w:hAnsi="宋体" w:cs="宋体" w:hint="eastAsia"/>
        </w:rPr>
        <w:t>5、轮乘机车入库后，必须确定接车地点，由整备车间司机接车，同乘务员办理相应的交接。</w:t>
      </w:r>
    </w:p>
    <w:p>
      <w:pPr>
        <w:tabs>
          <w:tab w:val="left" w:pos="377"/>
        </w:tabs>
        <w:ind w:firstLine="480" w:firstLineChars="200"/>
        <w:rPr>
          <w:rFonts w:ascii="宋体" w:hAnsi="宋体" w:cs="宋体" w:hint="eastAsia"/>
        </w:rPr>
      </w:pPr>
      <w:r>
        <w:rPr>
          <w:rFonts w:ascii="宋体" w:hAnsi="宋体" w:cs="宋体" w:hint="eastAsia"/>
        </w:rPr>
        <w:t>6、整备接车人员对乘务员司机室清扫进行监督，对不清扫或清扫不彻底的及时通知整备质检员，质检员确认后，如没有达到标准，不能对乘务员手账加盖</w:t>
      </w:r>
      <w:r>
        <w:rPr>
          <w:rFonts w:ascii="宋体" w:hAnsi="宋体" w:cs="宋体" w:hint="eastAsia"/>
        </w:rPr>
        <w:t>“</w:t>
      </w:r>
      <w:r>
        <w:rPr>
          <w:rFonts w:ascii="宋体" w:hAnsi="宋体" w:cs="宋体" w:hint="eastAsia"/>
        </w:rPr>
        <w:t>准许退勤</w:t>
      </w:r>
      <w:r>
        <w:rPr>
          <w:rFonts w:ascii="宋体" w:hAnsi="宋体" w:cs="宋体" w:hint="eastAsia"/>
        </w:rPr>
        <w:t>”</w:t>
      </w:r>
      <w:r>
        <w:rPr>
          <w:rFonts w:ascii="宋体" w:hAnsi="宋体" w:cs="宋体" w:hint="eastAsia"/>
        </w:rPr>
        <w:t>章。</w:t>
      </w:r>
    </w:p>
    <w:p>
      <w:pPr>
        <w:tabs>
          <w:tab w:val="left" w:pos="377"/>
        </w:tabs>
        <w:ind w:firstLine="480" w:firstLineChars="200"/>
        <w:rPr>
          <w:rFonts w:ascii="宋体" w:hAnsi="宋体" w:cs="宋体"/>
        </w:rPr>
        <w:sectPr>
          <w:headerReference w:type="even" r:id="rId20"/>
          <w:headerReference w:type="default" r:id="rId21"/>
          <w:footerReference w:type="even" r:id="rId22"/>
          <w:footerReference w:type="default" r:id="rId23"/>
          <w:pgSz w:w="11906" w:h="16838" w:orient="portrait"/>
          <w:pgMar w:top="1985" w:right="1418" w:bottom="1418" w:left="1418" w:header="1418" w:footer="1134" w:gutter="0"/>
          <w:pgNumType w:start="2"/>
          <w:cols w:space="708"/>
          <w:docGrid w:linePitch="326" w:charSpace="-2048"/>
        </w:sectPr>
      </w:pPr>
      <w:r>
        <w:rPr>
          <w:rFonts w:ascii="宋体" w:hAnsi="宋体" w:cs="宋体" w:hint="eastAsia"/>
        </w:rPr>
        <w:t>7、整备人员与乘务员共同检查工具备品情况，燃油量(电力机车电量)情况，并填写《机车交接班引记簿》。</w:t>
      </w:r>
      <w:r>
        <w:rPr>
          <w:rFonts w:ascii="宋体" w:hAnsi="宋体" w:cs="宋体" w:hint="eastAsia"/>
        </w:rPr>
        <w:br/>
      </w:r>
      <w:r>
        <w:rPr>
          <w:rFonts w:ascii="宋体" w:hAnsi="宋体" w:cs="宋体" w:hint="eastAsia"/>
        </w:rPr>
        <w:t xml:space="preserve">    </w:t>
      </w:r>
      <w:r>
        <w:rPr>
          <w:rFonts w:ascii="宋体" w:hAnsi="宋体" w:cs="宋体" w:hint="default"/>
          <w:lang w:val="en-US"/>
        </w:rPr>
        <w:t>8、</w:t>
      </w:r>
      <w:r>
        <w:rPr>
          <w:rFonts w:ascii="宋体" w:hAnsi="宋体" w:cs="宋体" w:hint="eastAsia"/>
        </w:rPr>
        <w:t>机车整备的所有工作，包括地检、保养、保洁、燃整、行修等，全部由整备车间按标准完成。机车整备过程中应执行禁动牌管理制度。机车整备作业应实行分段、分片立体平行作业，以压缩作业时间，提高作业效率，逐步达到</w:t>
      </w:r>
      <w:r>
        <w:rPr>
          <w:rFonts w:ascii="宋体" w:hAnsi="宋体" w:cs="宋体" w:hint="eastAsia"/>
        </w:rPr>
        <w:t>“</w:t>
      </w:r>
      <w:r>
        <w:rPr>
          <w:rFonts w:ascii="宋体" w:hAnsi="宋体" w:cs="宋体" w:hint="eastAsia"/>
        </w:rPr>
        <w:t>检修一体化</w:t>
      </w:r>
      <w:r>
        <w:rPr>
          <w:rFonts w:ascii="宋体" w:hAnsi="宋体" w:cs="宋体" w:hint="eastAsia"/>
        </w:rPr>
        <w:t>”</w:t>
      </w:r>
      <w:r>
        <w:rPr>
          <w:rFonts w:ascii="宋体" w:hAnsi="宋体" w:cs="宋体" w:hint="eastAsia"/>
        </w:rPr>
        <w:t>作业，实现自控型班组的一职多能。</w:t>
      </w:r>
    </w:p>
    <w:p>
      <w:pPr>
        <w:pStyle w:val="Heading2"/>
        <w:tabs>
          <w:tab w:val="left" w:pos="377"/>
        </w:tabs>
        <w:spacing w:before="120"/>
        <w:rPr>
          <w:rFonts w:hint="eastAsia"/>
        </w:rPr>
      </w:pPr>
      <w:bookmarkStart w:id="10" w:name="_Toc28160776"/>
      <w:bookmarkStart w:id="11" w:name="_Toc28201196"/>
      <w:r>
        <w:rPr>
          <w:rFonts w:hint="eastAsia"/>
        </w:rPr>
        <w:t>1.2 机车检查基本方法及要求</w:t>
      </w:r>
      <w:bookmarkEnd w:id="10"/>
      <w:bookmarkEnd w:id="11"/>
    </w:p>
    <w:p>
      <w:pPr>
        <w:pStyle w:val="Heading3"/>
        <w:tabs>
          <w:tab w:val="left" w:pos="377"/>
        </w:tabs>
        <w:spacing w:before="120"/>
        <w:rPr>
          <w:rFonts w:hint="eastAsia"/>
        </w:rPr>
      </w:pPr>
      <w:bookmarkStart w:id="12" w:name="_Toc28201197"/>
      <w:bookmarkStart w:id="13" w:name="_Toc28160777"/>
      <w:r>
        <w:rPr>
          <w:rFonts w:hint="eastAsia"/>
        </w:rPr>
        <w:t>1.2.1机车检查基本要求</w:t>
      </w:r>
      <w:bookmarkEnd w:id="12"/>
      <w:bookmarkEnd w:id="13"/>
    </w:p>
    <w:p>
      <w:pPr>
        <w:tabs>
          <w:tab w:val="left" w:pos="377"/>
        </w:tabs>
        <w:ind w:firstLine="480" w:firstLineChars="200"/>
        <w:rPr>
          <w:rFonts w:hint="eastAsia"/>
        </w:rPr>
      </w:pPr>
      <w:r>
        <w:rPr>
          <w:rFonts w:hint="eastAsia"/>
        </w:rPr>
        <w:t>机车乘务员应熟悉所使用的车型结构、部件名称、正常安装位置及状态，掌握该车型的运用特点以及容易出现故障的部件和关键部位，充分合理地利用检查时间。在检查机车时应以有条不紊地顺序，正确的姿势和适当的方法进行。要求做到：</w:t>
      </w:r>
      <w:r>
        <w:t> </w:t>
      </w:r>
    </w:p>
    <w:p>
      <w:pPr>
        <w:tabs>
          <w:tab w:val="left" w:pos="377"/>
        </w:tabs>
        <w:ind w:firstLine="480" w:firstLineChars="200"/>
        <w:rPr>
          <w:rFonts w:hint="eastAsia"/>
        </w:rPr>
      </w:pPr>
      <w:r>
        <w:rPr>
          <w:rFonts w:hint="eastAsia"/>
        </w:rPr>
        <w:t>顺序检查、不错不漏，姿势正确、步伐不乱；</w:t>
      </w:r>
      <w:r>
        <w:t> </w:t>
      </w:r>
    </w:p>
    <w:p>
      <w:pPr>
        <w:tabs>
          <w:tab w:val="left" w:pos="377"/>
        </w:tabs>
        <w:ind w:firstLine="480" w:firstLineChars="200"/>
        <w:rPr>
          <w:rFonts w:hint="eastAsia"/>
        </w:rPr>
      </w:pPr>
      <w:r>
        <w:rPr>
          <w:rFonts w:hint="eastAsia"/>
        </w:rPr>
        <w:t>锤分轻重、目标明确，耳听目视、仔细周到；</w:t>
      </w:r>
      <w:r>
        <w:t> </w:t>
      </w:r>
    </w:p>
    <w:p>
      <w:pPr>
        <w:tabs>
          <w:tab w:val="left" w:pos="377"/>
        </w:tabs>
        <w:ind w:firstLine="480" w:firstLineChars="200"/>
        <w:rPr>
          <w:rFonts w:hint="eastAsia"/>
        </w:rPr>
      </w:pPr>
      <w:r>
        <w:rPr>
          <w:rFonts w:hint="eastAsia"/>
        </w:rPr>
        <w:t>测试工具、运用自如，手触鼻嗅、灵活熟练；</w:t>
      </w:r>
      <w:r>
        <w:t> </w:t>
      </w:r>
    </w:p>
    <w:p>
      <w:pPr>
        <w:tabs>
          <w:tab w:val="left" w:pos="377"/>
        </w:tabs>
        <w:ind w:firstLine="480" w:firstLineChars="200"/>
        <w:rPr>
          <w:rFonts w:hint="eastAsia"/>
        </w:rPr>
      </w:pPr>
      <w:r>
        <w:rPr>
          <w:rFonts w:hint="eastAsia"/>
        </w:rPr>
        <w:t>在检查过程中，根据声音、颜色、形态、温度、气味等线索，准确及时地判断故障处所和故障程度，并采取适当的措施。</w:t>
      </w:r>
      <w:r>
        <w:t> </w:t>
      </w:r>
    </w:p>
    <w:p>
      <w:pPr>
        <w:tabs>
          <w:tab w:val="left" w:pos="377"/>
        </w:tabs>
        <w:ind w:firstLine="480" w:firstLineChars="200"/>
        <w:rPr>
          <w:rFonts w:hint="eastAsia"/>
        </w:rPr>
      </w:pPr>
      <w:r>
        <w:rPr>
          <w:rFonts w:hint="eastAsia"/>
        </w:rPr>
        <w:t>机车检查要做到</w:t>
      </w:r>
      <w:r>
        <w:rPr>
          <w:rFonts w:hint="eastAsia"/>
        </w:rPr>
        <w:t>“</w:t>
      </w:r>
      <w:r>
        <w:rPr>
          <w:rFonts w:hint="eastAsia"/>
        </w:rPr>
        <w:t>五禁止</w:t>
      </w:r>
      <w:r>
        <w:rPr>
          <w:rFonts w:hint="eastAsia"/>
        </w:rPr>
        <w:t>”</w:t>
      </w:r>
      <w:r>
        <w:rPr>
          <w:rFonts w:hint="eastAsia"/>
        </w:rPr>
        <w:t>：</w:t>
      </w:r>
      <w:r>
        <w:t> </w:t>
      </w:r>
    </w:p>
    <w:p>
      <w:pPr>
        <w:tabs>
          <w:tab w:val="left" w:pos="377"/>
        </w:tabs>
        <w:ind w:firstLine="480" w:firstLineChars="200"/>
        <w:rPr>
          <w:rFonts w:hint="eastAsia"/>
        </w:rPr>
      </w:pPr>
      <w:r>
        <w:rPr>
          <w:rFonts w:hint="eastAsia"/>
        </w:rPr>
        <w:t>禁止反方向锤击螺母及螺栓。</w:t>
      </w:r>
      <w:r>
        <w:t> </w:t>
      </w:r>
    </w:p>
    <w:p>
      <w:pPr>
        <w:tabs>
          <w:tab w:val="left" w:pos="377"/>
        </w:tabs>
        <w:ind w:firstLine="480" w:firstLineChars="200"/>
        <w:rPr>
          <w:rFonts w:hint="eastAsia"/>
        </w:rPr>
      </w:pPr>
      <w:r>
        <w:rPr>
          <w:rFonts w:hint="eastAsia"/>
        </w:rPr>
        <w:t>禁止锤击带有压力的管子、细小管接头及</w:t>
      </w:r>
      <w:r>
        <w:t>M14</w:t>
      </w:r>
      <w:r>
        <w:rPr>
          <w:rFonts w:hint="eastAsia"/>
        </w:rPr>
        <w:t>以下的螺母及螺栓。</w:t>
      </w:r>
      <w:r>
        <w:t> </w:t>
      </w:r>
    </w:p>
    <w:p>
      <w:pPr>
        <w:tabs>
          <w:tab w:val="left" w:pos="377"/>
        </w:tabs>
        <w:ind w:firstLine="480" w:firstLineChars="200"/>
        <w:rPr>
          <w:rFonts w:hint="eastAsia"/>
        </w:rPr>
      </w:pPr>
      <w:r>
        <w:rPr>
          <w:rFonts w:hint="eastAsia"/>
        </w:rPr>
        <w:t>禁止用检查锤触、拔电器部件。</w:t>
      </w:r>
      <w:r>
        <w:t> </w:t>
      </w:r>
    </w:p>
    <w:p>
      <w:pPr>
        <w:tabs>
          <w:tab w:val="left" w:pos="377"/>
        </w:tabs>
        <w:ind w:firstLine="480" w:firstLineChars="200"/>
        <w:rPr>
          <w:rFonts w:hint="eastAsia"/>
        </w:rPr>
      </w:pPr>
      <w:r>
        <w:rPr>
          <w:rFonts w:hint="eastAsia"/>
        </w:rPr>
        <w:t>禁止锤击光洁面摩擦部件。</w:t>
      </w:r>
      <w:r>
        <w:t> </w:t>
      </w:r>
    </w:p>
    <w:p>
      <w:pPr>
        <w:tabs>
          <w:tab w:val="left" w:pos="377"/>
        </w:tabs>
        <w:ind w:firstLine="480" w:firstLineChars="200"/>
        <w:rPr>
          <w:rFonts w:hint="eastAsia"/>
        </w:rPr>
      </w:pPr>
      <w:r>
        <w:rPr>
          <w:rFonts w:hint="eastAsia"/>
        </w:rPr>
        <w:t>禁止用手触带电和运动部件。</w:t>
      </w:r>
    </w:p>
    <w:p>
      <w:pPr>
        <w:pStyle w:val="Heading3"/>
        <w:tabs>
          <w:tab w:val="left" w:pos="377"/>
        </w:tabs>
        <w:spacing w:before="120"/>
        <w:rPr>
          <w:rFonts w:hint="eastAsia"/>
        </w:rPr>
      </w:pPr>
      <w:bookmarkStart w:id="14" w:name="_Toc28160778"/>
      <w:bookmarkStart w:id="15" w:name="_Toc28201198"/>
      <w:r>
        <w:rPr>
          <w:rFonts w:hint="eastAsia"/>
        </w:rPr>
        <w:t>1.2.2机车检查方法</w:t>
      </w:r>
      <w:bookmarkEnd w:id="14"/>
      <w:bookmarkEnd w:id="15"/>
    </w:p>
    <w:p>
      <w:pPr>
        <w:tabs>
          <w:tab w:val="left" w:pos="377"/>
        </w:tabs>
        <w:ind w:firstLine="480" w:firstLineChars="200"/>
        <w:rPr>
          <w:rFonts w:hint="eastAsia"/>
        </w:rPr>
      </w:pPr>
      <w:r>
        <w:rPr>
          <w:rFonts w:hint="eastAsia"/>
        </w:rPr>
        <w:t>检查机车时，应做到步伐、锤、灯、顺序动作协调一致；由上而下，由里往外，由左至右以锤检、手检、目视、耳听、鼻嗅、测量、测试等几种方法进行。</w:t>
      </w:r>
      <w:r>
        <w:t> </w:t>
      </w:r>
    </w:p>
    <w:p>
      <w:pPr>
        <w:tabs>
          <w:tab w:val="left" w:pos="377"/>
        </w:tabs>
        <w:ind w:firstLine="480" w:firstLineChars="200"/>
        <w:rPr>
          <w:rFonts w:hint="eastAsia"/>
        </w:rPr>
      </w:pPr>
      <w:r>
        <w:t>1</w:t>
      </w:r>
      <w:r>
        <w:rPr>
          <w:rFonts w:hint="eastAsia"/>
        </w:rPr>
        <w:t>、锤检法</w:t>
      </w:r>
      <w:r>
        <w:t> </w:t>
      </w:r>
      <w:r>
        <w:rPr>
          <w:rFonts w:hint="eastAsia"/>
        </w:rPr>
        <w:t>锤检法分为锤击、锤触、锤撬。</w:t>
      </w:r>
      <w:r>
        <w:t> </w:t>
      </w:r>
    </w:p>
    <w:p>
      <w:pPr>
        <w:tabs>
          <w:tab w:val="left" w:pos="377"/>
        </w:tabs>
        <w:ind w:firstLine="480" w:firstLineChars="200"/>
        <w:rPr>
          <w:rFonts w:hint="eastAsia"/>
        </w:rPr>
      </w:pPr>
      <w:r>
        <w:rPr>
          <w:rFonts w:hint="eastAsia"/>
        </w:rPr>
        <w:t>（</w:t>
      </w:r>
      <w:r>
        <w:t>1</w:t>
      </w:r>
      <w:r>
        <w:rPr>
          <w:rFonts w:hint="eastAsia"/>
        </w:rPr>
        <w:t>）锤击</w:t>
      </w:r>
    </w:p>
    <w:p>
      <w:pPr>
        <w:tabs>
          <w:tab w:val="left" w:pos="377"/>
        </w:tabs>
        <w:ind w:firstLine="480" w:firstLineChars="200"/>
        <w:rPr>
          <w:rFonts w:hint="eastAsia"/>
        </w:rPr>
      </w:pPr>
      <w:r>
        <w:rPr>
          <w:rFonts w:hint="eastAsia"/>
        </w:rPr>
        <w:t>根据锤击部件时发出的音响及手握锤柄的振动感觉来判断螺母及螺栓的紧固状态或部件是否断裂。锤击时要准确，不准反敲或重复敲；锤击适用于</w:t>
      </w:r>
      <w:r>
        <w:t>M14</w:t>
      </w:r>
      <w:r>
        <w:rPr>
          <w:rFonts w:hint="eastAsia"/>
        </w:rPr>
        <w:t>以上的紧固螺母及螺栓，弹簧装置以及适宜用锤击判别的容易发生断裂的部件。</w:t>
      </w:r>
      <w:r>
        <w:t> </w:t>
      </w:r>
    </w:p>
    <w:p>
      <w:pPr>
        <w:tabs>
          <w:tab w:val="left" w:pos="377"/>
        </w:tabs>
        <w:ind w:firstLine="480" w:firstLineChars="200"/>
        <w:rPr>
          <w:rFonts w:hint="eastAsia"/>
        </w:rPr>
      </w:pPr>
      <w:r>
        <w:rPr>
          <w:rFonts w:hint="eastAsia"/>
        </w:rPr>
        <w:t>（</w:t>
      </w:r>
      <w:r>
        <w:t>2</w:t>
      </w:r>
      <w:r>
        <w:rPr>
          <w:rFonts w:hint="eastAsia"/>
        </w:rPr>
        <w:t>）锤触</w:t>
      </w:r>
    </w:p>
    <w:p>
      <w:pPr>
        <w:tabs>
          <w:tab w:val="left" w:pos="377"/>
        </w:tabs>
        <w:ind w:firstLine="480" w:firstLineChars="200"/>
        <w:rPr>
          <w:rFonts w:hint="eastAsia"/>
        </w:rPr>
      </w:pPr>
      <w:r>
        <w:rPr>
          <w:rFonts w:hint="eastAsia"/>
        </w:rPr>
        <w:t>适用于较细的管路、卡子、</w:t>
      </w:r>
      <w:r>
        <w:t>M14</w:t>
      </w:r>
      <w:r>
        <w:rPr>
          <w:rFonts w:hint="eastAsia"/>
        </w:rPr>
        <w:t>以下的螺母、螺栓及螺钉，检查是否松动或断裂。</w:t>
      </w:r>
      <w:r>
        <w:t> </w:t>
      </w:r>
    </w:p>
    <w:p>
      <w:pPr>
        <w:tabs>
          <w:tab w:val="left" w:pos="377"/>
        </w:tabs>
        <w:ind w:firstLine="480" w:firstLineChars="200"/>
        <w:rPr>
          <w:rFonts w:hint="eastAsia"/>
        </w:rPr>
      </w:pPr>
      <w:r>
        <w:rPr>
          <w:rFonts w:hint="eastAsia"/>
        </w:rPr>
        <w:t>（</w:t>
      </w:r>
      <w:r>
        <w:t>3</w:t>
      </w:r>
      <w:r>
        <w:rPr>
          <w:rFonts w:hint="eastAsia"/>
        </w:rPr>
        <w:t>）锤撬</w:t>
      </w:r>
      <w:r>
        <w:t> </w:t>
      </w:r>
      <w:r>
        <w:rPr>
          <w:rFonts w:hint="eastAsia"/>
        </w:rPr>
        <w:t>用锤柄或锤尖撬动部件的活动量及间隙等。</w:t>
      </w:r>
      <w:r>
        <w:t> </w:t>
      </w:r>
    </w:p>
    <w:p>
      <w:pPr>
        <w:tabs>
          <w:tab w:val="left" w:pos="377"/>
        </w:tabs>
        <w:ind w:firstLine="480" w:firstLineChars="200"/>
        <w:rPr>
          <w:rFonts w:hint="eastAsia"/>
        </w:rPr>
      </w:pPr>
      <w:r>
        <w:t>2</w:t>
      </w:r>
      <w:r>
        <w:rPr>
          <w:rFonts w:hint="eastAsia"/>
        </w:rPr>
        <w:t>、手检法分为手动、手触。</w:t>
      </w:r>
      <w:r>
        <w:t> </w:t>
      </w:r>
    </w:p>
    <w:p>
      <w:pPr>
        <w:tabs>
          <w:tab w:val="left" w:pos="377"/>
        </w:tabs>
        <w:ind w:firstLine="480" w:firstLineChars="200"/>
        <w:rPr>
          <w:rFonts w:hint="eastAsia"/>
        </w:rPr>
        <w:sectPr>
          <w:headerReference w:type="even" r:id="rId24"/>
          <w:headerReference w:type="default" r:id="rId25"/>
          <w:footerReference w:type="even" r:id="rId26"/>
          <w:footerReference w:type="default" r:id="rId27"/>
          <w:type w:val="nextPage"/>
          <w:pgSz w:w="11906" w:h="16838" w:orient="portrait"/>
          <w:pgMar w:top="1985" w:right="1418" w:bottom="1418" w:left="1418" w:header="1418" w:footer="1134" w:gutter="0"/>
          <w:pgNumType w:start="3"/>
          <w:cols w:space="708"/>
          <w:titlePg w:val="0"/>
          <w:docGrid w:linePitch="326" w:charSpace="-2048"/>
        </w:sectPr>
      </w:pPr>
      <w:r>
        <w:rPr>
          <w:rFonts w:hint="eastAsia"/>
        </w:rPr>
        <w:t>（</w:t>
      </w:r>
      <w:r>
        <w:t>1</w:t>
      </w:r>
      <w:r>
        <w:rPr>
          <w:rFonts w:hint="eastAsia"/>
        </w:rPr>
        <w:t>）手动</w:t>
      </w:r>
      <w:r>
        <w:t> </w:t>
      </w:r>
      <w:r>
        <w:rPr>
          <w:rFonts w:hint="eastAsia"/>
        </w:rPr>
        <w:t>对不适宜锤检的部件应用手动检查。手动检查包括：晃、拍、握、拧。适用于较细小的螺钉、管接头、各种阀门及各仪表、开关电器等等。采用</w:t>
      </w:r>
      <w:r>
        <w:rPr>
          <w:rFonts w:hint="eastAsia"/>
        </w:rPr>
        <w:t>“</w:t>
      </w:r>
    </w:p>
    <w:p>
      <w:pPr>
        <w:tabs>
          <w:tab w:val="left" w:pos="377"/>
        </w:tabs>
        <w:ind w:firstLine="480" w:firstLineChars="200"/>
        <w:rPr>
          <w:rFonts w:hint="eastAsia"/>
        </w:rPr>
      </w:pPr>
      <w:r>
        <w:rPr>
          <w:rFonts w:hint="eastAsia"/>
        </w:rPr>
        <w:t>晃动看安装、手拧看松漏</w:t>
      </w:r>
      <w:r>
        <w:rPr>
          <w:rFonts w:hint="eastAsia"/>
        </w:rPr>
        <w:t>”</w:t>
      </w:r>
      <w:r>
        <w:rPr>
          <w:rFonts w:hint="eastAsia"/>
        </w:rPr>
        <w:t>的方法，检查是否松缓、泄漏、安装不牢固等现象。判断各油、水、风管路中各阀门的正确位置。</w:t>
      </w:r>
      <w:r>
        <w:t> </w:t>
      </w:r>
    </w:p>
    <w:p>
      <w:pPr>
        <w:tabs>
          <w:tab w:val="left" w:pos="377"/>
        </w:tabs>
        <w:ind w:firstLine="480" w:firstLineChars="200"/>
        <w:rPr>
          <w:rFonts w:hint="eastAsia"/>
        </w:rPr>
      </w:pPr>
      <w:r>
        <w:rPr>
          <w:rFonts w:hint="eastAsia"/>
        </w:rPr>
        <w:t>（</w:t>
      </w:r>
      <w:r>
        <w:t>2</w:t>
      </w:r>
      <w:r>
        <w:rPr>
          <w:rFonts w:hint="eastAsia"/>
        </w:rPr>
        <w:t>）手触</w:t>
      </w:r>
    </w:p>
    <w:p>
      <w:pPr>
        <w:tabs>
          <w:tab w:val="left" w:pos="377"/>
        </w:tabs>
        <w:ind w:firstLine="480" w:firstLineChars="200"/>
        <w:rPr>
          <w:rFonts w:hint="eastAsia"/>
        </w:rPr>
      </w:pPr>
      <w:r>
        <w:rPr>
          <w:rFonts w:hint="eastAsia"/>
        </w:rPr>
        <w:t>主要适用于检查有关部件的温度、管路的振动、高压油管的脉冲等。</w:t>
      </w:r>
      <w:r>
        <w:t> </w:t>
      </w:r>
      <w:r>
        <w:rPr>
          <w:rFonts w:hint="eastAsia"/>
        </w:rPr>
        <w:t>在运行中不能进行检查的部件，应在停车后马上进行。手触时，应先用手指感觉温度，再用手背判断温度。</w:t>
      </w:r>
    </w:p>
    <w:p>
      <w:pPr>
        <w:tabs>
          <w:tab w:val="left" w:pos="377"/>
        </w:tabs>
        <w:ind w:firstLine="480" w:firstLineChars="200"/>
        <w:rPr>
          <w:rFonts w:hint="eastAsia"/>
        </w:rPr>
      </w:pPr>
      <w:r>
        <w:rPr>
          <w:rFonts w:hint="eastAsia"/>
        </w:rPr>
        <w:t>4、目视法</w:t>
      </w:r>
    </w:p>
    <w:p>
      <w:pPr>
        <w:tabs>
          <w:tab w:val="left" w:pos="377"/>
        </w:tabs>
        <w:ind w:firstLine="480" w:firstLineChars="200"/>
        <w:rPr>
          <w:rFonts w:hint="eastAsia"/>
        </w:rPr>
      </w:pPr>
      <w:r>
        <w:rPr>
          <w:rFonts w:hint="eastAsia"/>
        </w:rPr>
        <w:t>对仪表装置的变形、裂纹、丢失、脱落、歪斜、折损、擦伤、玻璃、堵塞、泄漏、卡滞、磨耗、缺油、拉伤、发热、火花、变色及油、水、沙储量、工具、备品、消防器材等进行目视检查。</w:t>
      </w:r>
      <w:r>
        <w:t> </w:t>
      </w:r>
    </w:p>
    <w:p>
      <w:pPr>
        <w:tabs>
          <w:tab w:val="left" w:pos="377"/>
        </w:tabs>
        <w:ind w:firstLine="480" w:firstLineChars="200"/>
        <w:rPr>
          <w:rFonts w:hint="eastAsia"/>
        </w:rPr>
      </w:pPr>
      <w:r>
        <w:t>4</w:t>
      </w:r>
      <w:r>
        <w:rPr>
          <w:rFonts w:hint="eastAsia"/>
        </w:rPr>
        <w:t>、耳听</w:t>
      </w:r>
    </w:p>
    <w:p>
      <w:pPr>
        <w:tabs>
          <w:tab w:val="left" w:pos="377"/>
        </w:tabs>
        <w:ind w:firstLine="480" w:firstLineChars="200"/>
        <w:rPr>
          <w:rFonts w:hint="eastAsia"/>
        </w:rPr>
      </w:pPr>
      <w:r>
        <w:rPr>
          <w:rFonts w:hint="eastAsia"/>
        </w:rPr>
        <w:t>凭听觉（或借助锤柄、听棒等）判断机件运转不正常现象和故障。</w:t>
      </w:r>
    </w:p>
    <w:p>
      <w:pPr>
        <w:tabs>
          <w:tab w:val="left" w:pos="377"/>
        </w:tabs>
        <w:ind w:firstLine="480" w:firstLineChars="200"/>
        <w:rPr>
          <w:rFonts w:hint="eastAsia"/>
        </w:rPr>
      </w:pPr>
      <w:r>
        <w:rPr>
          <w:rFonts w:hint="eastAsia"/>
        </w:rPr>
        <w:t>5、鼻嗅</w:t>
      </w:r>
    </w:p>
    <w:p>
      <w:pPr>
        <w:tabs>
          <w:tab w:val="left" w:pos="377"/>
        </w:tabs>
        <w:ind w:firstLine="480" w:firstLineChars="200"/>
        <w:rPr>
          <w:rFonts w:hint="eastAsia"/>
        </w:rPr>
      </w:pPr>
      <w:r>
        <w:rPr>
          <w:rFonts w:hint="eastAsia"/>
        </w:rPr>
        <w:t>根据气味判断部件及电器装置发热、烧损等。</w:t>
      </w:r>
      <w:r>
        <w:t> </w:t>
      </w:r>
    </w:p>
    <w:p>
      <w:pPr>
        <w:tabs>
          <w:tab w:val="left" w:pos="377"/>
        </w:tabs>
        <w:ind w:firstLine="480" w:firstLineChars="200"/>
        <w:rPr>
          <w:rFonts w:hint="eastAsia"/>
        </w:rPr>
      </w:pPr>
      <w:r>
        <w:rPr>
          <w:rFonts w:hint="eastAsia"/>
        </w:rPr>
        <w:t>6、测量法</w:t>
      </w:r>
    </w:p>
    <w:p>
      <w:pPr>
        <w:tabs>
          <w:tab w:val="left" w:pos="377"/>
        </w:tabs>
        <w:ind w:left="480" w:leftChars="200"/>
        <w:rPr>
          <w:rFonts w:hint="eastAsia"/>
        </w:rPr>
      </w:pPr>
      <w:r>
        <w:rPr>
          <w:rFonts w:hint="eastAsia"/>
        </w:rPr>
        <w:t>使用塞尺、直尺、卷尺及专用工具有关部件的正常间隙、距离、行程等各尺寸限度。</w:t>
      </w:r>
      <w:r>
        <w:t> 7</w:t>
      </w:r>
      <w:r>
        <w:rPr>
          <w:rFonts w:hint="eastAsia"/>
        </w:rPr>
        <w:t>、测试法</w:t>
      </w:r>
    </w:p>
    <w:p>
      <w:pPr>
        <w:tabs>
          <w:tab w:val="left" w:pos="377"/>
        </w:tabs>
        <w:ind w:firstLine="480" w:firstLineChars="200"/>
        <w:rPr>
          <w:rFonts w:hint="eastAsia"/>
        </w:rPr>
      </w:pPr>
      <w:r>
        <w:rPr>
          <w:rFonts w:hint="eastAsia"/>
        </w:rPr>
        <w:t>适用万用表测试电压、电阻、电流的数值；使用比重计测试蓄电池电解液的比重；使用试灯测试电路中的断路，虚接等故障。</w:t>
      </w:r>
    </w:p>
    <w:p>
      <w:pPr>
        <w:pStyle w:val="Heading2"/>
        <w:tabs>
          <w:tab w:val="left" w:pos="377"/>
        </w:tabs>
        <w:spacing w:before="120"/>
        <w:rPr>
          <w:rFonts w:hint="eastAsia"/>
        </w:rPr>
      </w:pPr>
      <w:bookmarkStart w:id="16" w:name="_Toc28201199"/>
      <w:bookmarkStart w:id="17" w:name="_Toc28160779"/>
      <w:r>
        <w:rPr>
          <w:rFonts w:hint="eastAsia"/>
        </w:rPr>
        <w:t>1.3走行部作业标准</w:t>
      </w:r>
      <w:bookmarkEnd w:id="16"/>
      <w:bookmarkEnd w:id="17"/>
    </w:p>
    <w:p>
      <w:pPr>
        <w:tabs>
          <w:tab w:val="left" w:pos="377"/>
        </w:tabs>
        <w:ind w:firstLine="360" w:firstLineChars="150"/>
        <w:rPr>
          <w:rFonts w:cs="宋体" w:hint="eastAsia"/>
        </w:rPr>
      </w:pPr>
      <w:r>
        <w:rPr>
          <w:rFonts w:cs="宋体"/>
        </w:rPr>
        <w:t>1</w:t>
      </w:r>
      <w:r>
        <w:rPr>
          <w:rFonts w:cs="宋体" w:hint="eastAsia"/>
        </w:rPr>
        <w:t>、</w:t>
      </w:r>
      <w:r>
        <w:rPr>
          <w:rFonts w:cs="宋体"/>
        </w:rPr>
        <w:t>车钩的检查要求</w:t>
      </w:r>
    </w:p>
    <w:p>
      <w:pPr>
        <w:tabs>
          <w:tab w:val="left" w:pos="377"/>
        </w:tabs>
        <w:ind w:firstLine="360" w:firstLineChars="150"/>
        <w:rPr>
          <w:rFonts w:cs="宋体" w:hint="eastAsia"/>
        </w:rPr>
      </w:pPr>
      <w:r>
        <w:rPr>
          <w:rFonts w:cs="宋体"/>
        </w:rPr>
        <w:t>（1）钩提杆无弯曲，提杆座牢固、无裂纹。（2）钩体、吊杆、钩舌等各部无裂纹，油润良好。（3）吊杆、钩舌肖无弯曲，钩舌锁铁无过度磨耗。（4）车钩中心线距轨面高815～890mm，钩舌肖与孔径向间隙1～4mm，（5）车钩开度：全开位220～250mm，闭锁位110～130mm。（6）提钩实验，动作灵活，三态作用良好。</w:t>
      </w:r>
    </w:p>
    <w:p>
      <w:pPr>
        <w:tabs>
          <w:tab w:val="left" w:pos="377"/>
        </w:tabs>
        <w:ind w:firstLine="360" w:firstLineChars="150"/>
        <w:rPr>
          <w:rFonts w:cs="宋体" w:hint="eastAsia"/>
        </w:rPr>
      </w:pPr>
      <w:r>
        <w:rPr>
          <w:rFonts w:cs="宋体"/>
        </w:rPr>
        <w:t>2</w:t>
      </w:r>
      <w:r>
        <w:rPr>
          <w:rFonts w:cs="宋体" w:hint="eastAsia"/>
        </w:rPr>
        <w:t>、</w:t>
      </w:r>
      <w:r>
        <w:rPr>
          <w:rFonts w:cs="宋体"/>
        </w:rPr>
        <w:t>风管及重联插座的检查要求</w:t>
      </w:r>
    </w:p>
    <w:p>
      <w:pPr>
        <w:tabs>
          <w:tab w:val="left" w:pos="377"/>
        </w:tabs>
        <w:ind w:firstLine="360" w:firstLineChars="150"/>
        <w:rPr>
          <w:rFonts w:cs="宋体" w:hint="eastAsia"/>
        </w:rPr>
      </w:pPr>
      <w:r>
        <w:rPr>
          <w:rFonts w:cs="宋体"/>
        </w:rPr>
        <w:t>（1）软管无裂纹，角度正确，水压实验不超过6个月。（2）插座无变形，外盖密封完好。</w:t>
      </w:r>
    </w:p>
    <w:p>
      <w:pPr>
        <w:tabs>
          <w:tab w:val="left" w:pos="377"/>
        </w:tabs>
        <w:ind w:firstLine="360" w:firstLineChars="150"/>
        <w:rPr>
          <w:rFonts w:cs="宋体" w:hint="eastAsia"/>
        </w:rPr>
        <w:sectPr>
          <w:headerReference w:type="even" r:id="rId28"/>
          <w:headerReference w:type="default" r:id="rId29"/>
          <w:footerReference w:type="even" r:id="rId30"/>
          <w:footerReference w:type="default" r:id="rId31"/>
          <w:type w:val="nextPage"/>
          <w:pgSz w:w="11906" w:h="16838" w:orient="portrait"/>
          <w:pgMar w:top="1985" w:right="1418" w:bottom="1418" w:left="1418" w:header="1418" w:footer="1134" w:gutter="0"/>
          <w:pgNumType w:start="4"/>
          <w:cols w:space="708"/>
          <w:titlePg w:val="0"/>
          <w:docGrid w:linePitch="326" w:charSpace="-2048"/>
        </w:sectPr>
      </w:pPr>
      <w:r>
        <w:rPr>
          <w:rFonts w:cs="宋体"/>
        </w:rPr>
        <w:t>3</w:t>
      </w:r>
      <w:r>
        <w:rPr>
          <w:rFonts w:cs="宋体" w:hint="eastAsia"/>
        </w:rPr>
        <w:t>、</w:t>
      </w:r>
      <w:r>
        <w:rPr>
          <w:rFonts w:cs="宋体"/>
        </w:rPr>
        <w:t>排障器的检查要求</w:t>
      </w:r>
    </w:p>
    <w:p>
      <w:pPr>
        <w:tabs>
          <w:tab w:val="left" w:pos="377"/>
        </w:tabs>
        <w:ind w:firstLine="360" w:firstLineChars="150"/>
        <w:rPr>
          <w:rFonts w:cs="宋体" w:hint="eastAsia"/>
        </w:rPr>
      </w:pPr>
      <w:r>
        <w:rPr>
          <w:rFonts w:cs="宋体"/>
        </w:rPr>
        <w:t>（1）安装牢固，无开焊、变形。（2）脚踏板牢固，距轨面高度80～110mm。（3）自动信号接受线圈安装牢固，距轨面高度130～180mm。（4）扫石胶皮无破损，距轨面高度10～15mm，扫石器安装牢固、无变形，距轨面高度70～80mm。</w:t>
      </w:r>
    </w:p>
    <w:p>
      <w:pPr>
        <w:tabs>
          <w:tab w:val="left" w:pos="377"/>
        </w:tabs>
        <w:ind w:firstLine="360" w:firstLineChars="150"/>
        <w:rPr>
          <w:rFonts w:cs="宋体" w:hint="eastAsia"/>
        </w:rPr>
      </w:pPr>
      <w:r>
        <w:rPr>
          <w:rFonts w:cs="宋体"/>
        </w:rPr>
        <w:t>4</w:t>
      </w:r>
      <w:r>
        <w:rPr>
          <w:rFonts w:cs="宋体" w:hint="eastAsia"/>
        </w:rPr>
        <w:t>、</w:t>
      </w:r>
      <w:r>
        <w:rPr>
          <w:rFonts w:cs="宋体"/>
        </w:rPr>
        <w:t>砂箱及砂管的检查要求</w:t>
      </w:r>
    </w:p>
    <w:p>
      <w:pPr>
        <w:tabs>
          <w:tab w:val="left" w:pos="377"/>
        </w:tabs>
        <w:ind w:firstLine="360" w:firstLineChars="150"/>
        <w:rPr>
          <w:rFonts w:cs="宋体" w:hint="eastAsia"/>
        </w:rPr>
      </w:pPr>
      <w:r>
        <w:rPr>
          <w:rFonts w:cs="宋体"/>
        </w:rPr>
        <w:t>（1）砂箱外观完整、无变形，安装螺丝紧固。（2）砂箱盖严密、锁闭良好。（3）存砂量不少于2/3，干燥、无异物。（4）砂管安装牢固、无变形，距轨面高度30～55mm，距轮踏面20.5mm。</w:t>
      </w:r>
    </w:p>
    <w:p>
      <w:pPr>
        <w:tabs>
          <w:tab w:val="left" w:pos="377"/>
        </w:tabs>
        <w:ind w:firstLine="360" w:firstLineChars="150"/>
        <w:rPr>
          <w:rFonts w:cs="宋体" w:hint="eastAsia"/>
        </w:rPr>
      </w:pPr>
      <w:r>
        <w:rPr>
          <w:rFonts w:cs="宋体"/>
        </w:rPr>
        <w:t>5</w:t>
      </w:r>
      <w:r>
        <w:rPr>
          <w:rFonts w:cs="宋体" w:hint="eastAsia"/>
        </w:rPr>
        <w:t>、</w:t>
      </w:r>
      <w:r>
        <w:rPr>
          <w:rFonts w:cs="宋体"/>
        </w:rPr>
        <w:t>动轮的检查要求</w:t>
      </w:r>
    </w:p>
    <w:p>
      <w:pPr>
        <w:tabs>
          <w:tab w:val="left" w:pos="377"/>
        </w:tabs>
        <w:ind w:firstLine="360" w:firstLineChars="150"/>
        <w:rPr>
          <w:rFonts w:cs="宋体" w:hint="eastAsia"/>
        </w:rPr>
      </w:pPr>
      <w:r>
        <w:rPr>
          <w:rFonts w:cs="宋体"/>
        </w:rPr>
        <w:t>（1）踏面无剥离（长度不超过40mm，深度不超过1mm）（2）擦伤（深度不超过0.7mm。）。（3）轮箍防缓标记清晰，轮箍无驰缓、碾堆，轮心、轮辋、轮毂无裂纹。（4）轮缘厚度23～33mm,垂直磨耗不超过18mm。（5）轮缘喷油器油箱、油管无老化、漏油。</w:t>
      </w:r>
    </w:p>
    <w:p>
      <w:pPr>
        <w:tabs>
          <w:tab w:val="left" w:pos="377"/>
        </w:tabs>
        <w:ind w:firstLine="360" w:firstLineChars="150"/>
        <w:rPr>
          <w:rFonts w:cs="宋体" w:hint="eastAsia"/>
        </w:rPr>
      </w:pPr>
      <w:r>
        <w:rPr>
          <w:rFonts w:cs="宋体"/>
        </w:rPr>
        <w:t>6</w:t>
      </w:r>
      <w:r>
        <w:rPr>
          <w:rFonts w:cs="宋体" w:hint="eastAsia"/>
        </w:rPr>
        <w:t>、</w:t>
      </w:r>
      <w:r>
        <w:rPr>
          <w:rFonts w:cs="宋体"/>
        </w:rPr>
        <w:t>基础制动装置的检查要求</w:t>
      </w:r>
    </w:p>
    <w:p>
      <w:pPr>
        <w:tabs>
          <w:tab w:val="left" w:pos="377"/>
        </w:tabs>
        <w:ind w:firstLine="360" w:firstLineChars="150"/>
        <w:rPr>
          <w:rFonts w:cs="宋体" w:hint="eastAsia"/>
        </w:rPr>
      </w:pPr>
      <w:r>
        <w:rPr>
          <w:rFonts w:cs="宋体"/>
        </w:rPr>
        <w:t>（1）制动缸风管接头无漏泄，安装螺栓无松动。（2）闸瓦间隙4～8mm，调整器作用良好。（3）闸瓦无裂纹、偏磨、到限（12mm）。（4）闸瓦托、吊杆，闸瓦钎子、开口销完好，制动拉杆，安装牢固，无裂纹、变形。</w:t>
      </w:r>
    </w:p>
    <w:p>
      <w:pPr>
        <w:tabs>
          <w:tab w:val="left" w:pos="377"/>
        </w:tabs>
        <w:ind w:firstLine="360" w:firstLineChars="150"/>
        <w:rPr>
          <w:rFonts w:cs="宋体" w:hint="eastAsia"/>
        </w:rPr>
      </w:pPr>
      <w:r>
        <w:rPr>
          <w:rFonts w:cs="宋体"/>
        </w:rPr>
        <w:t>7</w:t>
      </w:r>
      <w:r>
        <w:rPr>
          <w:rFonts w:cs="宋体" w:hint="eastAsia"/>
        </w:rPr>
        <w:t>、</w:t>
      </w:r>
      <w:r>
        <w:rPr>
          <w:rFonts w:cs="宋体"/>
        </w:rPr>
        <w:t>轴箱及弹簧组的检查要求</w:t>
      </w:r>
    </w:p>
    <w:p>
      <w:pPr>
        <w:tabs>
          <w:tab w:val="left" w:pos="377"/>
        </w:tabs>
        <w:ind w:firstLine="360" w:firstLineChars="150"/>
        <w:rPr>
          <w:rFonts w:cs="宋体" w:hint="eastAsia"/>
        </w:rPr>
      </w:pPr>
      <w:r>
        <w:rPr>
          <w:rFonts w:cs="宋体"/>
        </w:rPr>
        <w:t>（1）轴箱体、前后端盖、安装螺丝无松动，轴箱接地线完好。（2）轴箱无漏油。（3）轴箱与构架间隙38～50mm。（4）速度传感器安装牢固，接线无破损，插座无松动。（5）垂直油压减振器：安装牢固、无漏油。</w:t>
      </w:r>
    </w:p>
    <w:p>
      <w:pPr>
        <w:tabs>
          <w:tab w:val="left" w:pos="377"/>
        </w:tabs>
        <w:ind w:firstLine="360" w:firstLineChars="150"/>
        <w:rPr>
          <w:rFonts w:cs="宋体" w:hint="eastAsia"/>
        </w:rPr>
      </w:pPr>
      <w:r>
        <w:rPr>
          <w:rFonts w:cs="宋体"/>
        </w:rPr>
        <w:t>8</w:t>
      </w:r>
      <w:r>
        <w:rPr>
          <w:rFonts w:cs="宋体" w:hint="eastAsia"/>
        </w:rPr>
        <w:t>、</w:t>
      </w:r>
      <w:r>
        <w:rPr>
          <w:rFonts w:cs="宋体"/>
        </w:rPr>
        <w:t>总风缸的检查要求</w:t>
      </w:r>
    </w:p>
    <w:p>
      <w:pPr>
        <w:tabs>
          <w:tab w:val="left" w:pos="377"/>
        </w:tabs>
        <w:ind w:firstLine="360" w:firstLineChars="150"/>
        <w:rPr>
          <w:rFonts w:cs="宋体" w:hint="eastAsia"/>
        </w:rPr>
      </w:pPr>
      <w:r>
        <w:rPr>
          <w:rFonts w:cs="宋体"/>
        </w:rPr>
        <w:t>（1）安装牢固，定位良好，腰带无裂损，螺栓紧固齐全，衬垫完好。（2）各塞门位置正确，作用良好，无漏风。（3）总风缸排水阀无脱丝、滑口和漏风，排水试验作用良好。</w:t>
      </w:r>
    </w:p>
    <w:p>
      <w:pPr>
        <w:tabs>
          <w:tab w:val="left" w:pos="377"/>
        </w:tabs>
        <w:ind w:firstLine="360" w:firstLineChars="150"/>
        <w:rPr>
          <w:rFonts w:cs="宋体" w:hint="eastAsia"/>
        </w:rPr>
      </w:pPr>
      <w:r>
        <w:rPr>
          <w:rFonts w:cs="宋体"/>
        </w:rPr>
        <w:t>9</w:t>
      </w:r>
      <w:r>
        <w:rPr>
          <w:rFonts w:cs="宋体" w:hint="eastAsia"/>
        </w:rPr>
        <w:t>、</w:t>
      </w:r>
      <w:r>
        <w:rPr>
          <w:rFonts w:cs="宋体"/>
        </w:rPr>
        <w:t>两节车重联处的检查要求</w:t>
      </w:r>
    </w:p>
    <w:p>
      <w:pPr>
        <w:tabs>
          <w:tab w:val="left" w:pos="377"/>
        </w:tabs>
        <w:ind w:firstLine="360" w:firstLineChars="150"/>
        <w:rPr>
          <w:rFonts w:cs="宋体" w:hint="eastAsia"/>
        </w:rPr>
      </w:pPr>
      <w:r>
        <w:rPr>
          <w:rFonts w:cs="宋体"/>
        </w:rPr>
        <w:t>（1）重联线完好无破损，插座搭扣锁闭可靠。（2）风管无老化破损，连接可靠，各塞门开放，手把用铁丝捆绑。（3）两车钩中心线高度差符合规定，锁闭可靠。</w:t>
      </w:r>
    </w:p>
    <w:p>
      <w:pPr>
        <w:tabs>
          <w:tab w:val="left" w:pos="377"/>
        </w:tabs>
        <w:rPr>
          <w:rFonts w:ascii="宋体" w:hAnsi="宋体" w:cs="宋体" w:hint="eastAsia"/>
        </w:rPr>
      </w:pPr>
    </w:p>
    <w:p>
      <w:pPr>
        <w:tabs>
          <w:tab w:val="left" w:pos="377"/>
        </w:tabs>
        <w:spacing w:after="220" w:line="360" w:lineRule="auto"/>
        <w:jc w:val="center"/>
        <w:outlineLvl w:val="0"/>
        <w:rPr>
          <w:rFonts w:ascii="黑体" w:eastAsia="黑体" w:hAnsi="黑体" w:cs="黑体"/>
          <w:b/>
          <w:sz w:val="30"/>
          <w:szCs w:val="30"/>
        </w:rPr>
        <w:sectPr>
          <w:headerReference w:type="even" r:id="rId32"/>
          <w:headerReference w:type="default" r:id="rId33"/>
          <w:footerReference w:type="even" r:id="rId34"/>
          <w:footerReference w:type="default" r:id="rId35"/>
          <w:type w:val="nextPage"/>
          <w:pgSz w:w="11906" w:h="16838" w:orient="portrait"/>
          <w:pgMar w:top="1985" w:right="1418" w:bottom="1418" w:left="1418" w:header="1418" w:footer="1134" w:gutter="0"/>
          <w:pgNumType w:start="5"/>
          <w:cols w:space="708"/>
          <w:titlePg w:val="0"/>
          <w:docGrid w:linePitch="326" w:charSpace="-2048"/>
        </w:sectPr>
      </w:pPr>
      <w:bookmarkStart w:id="18" w:name="_Toc238456236"/>
      <w:bookmarkStart w:id="19" w:name="_Toc127205031"/>
      <w:bookmarkStart w:id="20" w:name="_Toc28160780"/>
    </w:p>
    <w:p>
      <w:pPr>
        <w:pStyle w:val="Heading1"/>
        <w:tabs>
          <w:tab w:val="left" w:pos="377"/>
        </w:tabs>
        <w:jc w:val="center"/>
        <w:rPr>
          <w:rFonts w:hint="eastAsia"/>
        </w:rPr>
      </w:pPr>
      <w:bookmarkStart w:id="21" w:name="_Toc28201200"/>
      <w:r>
        <w:rPr>
          <w:rFonts w:hint="eastAsia"/>
        </w:rPr>
        <w:t xml:space="preserve">第二章 </w:t>
      </w:r>
      <w:bookmarkStart w:id="22" w:name="_Toc127205032"/>
      <w:bookmarkStart w:id="23" w:name="_Toc125943634"/>
      <w:bookmarkStart w:id="24" w:name="_Toc238456237"/>
      <w:bookmarkEnd w:id="18"/>
      <w:bookmarkEnd w:id="19"/>
      <w:r>
        <w:rPr>
          <w:rFonts w:hint="eastAsia"/>
        </w:rPr>
        <w:t>机车运行中常见的故障</w:t>
      </w:r>
      <w:bookmarkEnd w:id="20"/>
      <w:bookmarkEnd w:id="21"/>
    </w:p>
    <w:p>
      <w:pPr>
        <w:pStyle w:val="Heading2"/>
        <w:tabs>
          <w:tab w:val="left" w:pos="377"/>
        </w:tabs>
        <w:spacing w:before="120"/>
        <w:rPr>
          <w:rFonts w:hint="eastAsia"/>
        </w:rPr>
      </w:pPr>
      <w:bookmarkStart w:id="25" w:name="_Toc28160781"/>
      <w:bookmarkStart w:id="26" w:name="_Toc28201201"/>
      <w:bookmarkStart w:id="27" w:name="_Toc238456238"/>
      <w:bookmarkStart w:id="28" w:name="_Toc127205034"/>
      <w:bookmarkStart w:id="29" w:name="_Toc125943636"/>
      <w:bookmarkEnd w:id="22"/>
      <w:bookmarkEnd w:id="23"/>
      <w:bookmarkEnd w:id="24"/>
      <w:r>
        <w:rPr>
          <w:rFonts w:hint="eastAsia"/>
        </w:rPr>
        <w:t>2.1概述</w:t>
      </w:r>
      <w:bookmarkEnd w:id="25"/>
      <w:bookmarkEnd w:id="26"/>
    </w:p>
    <w:p>
      <w:pPr>
        <w:tabs>
          <w:tab w:val="left" w:pos="377"/>
        </w:tabs>
        <w:ind w:firstLine="480" w:firstLineChars="200"/>
        <w:rPr>
          <w:rFonts w:hint="eastAsia"/>
        </w:rPr>
      </w:pPr>
      <w:r>
        <w:rPr>
          <w:rFonts w:hint="eastAsia"/>
        </w:rPr>
        <w:t>在机车运行中通常会出现许许多多的故障现象，列如：受电弓故障、劈相机故障、空转、原边过流等等。每一种故障的发生都会给机车造成不成程度的破损，想解决这些故障就需要来充分了解他。下面列举两列常见故障进行详细的描述。</w:t>
      </w:r>
    </w:p>
    <w:p>
      <w:pPr>
        <w:pStyle w:val="Heading2"/>
        <w:tabs>
          <w:tab w:val="left" w:pos="377"/>
        </w:tabs>
        <w:spacing w:before="120"/>
        <w:rPr>
          <w:rFonts w:hint="eastAsia"/>
        </w:rPr>
      </w:pPr>
      <w:bookmarkStart w:id="30" w:name="_Toc28160782"/>
      <w:bookmarkStart w:id="31" w:name="_Toc28201202"/>
      <w:r>
        <w:rPr>
          <w:rFonts w:hint="eastAsia"/>
        </w:rPr>
        <w:t xml:space="preserve">2.2. </w:t>
      </w:r>
      <w:bookmarkEnd w:id="27"/>
      <w:r>
        <w:rPr>
          <w:rFonts w:hint="eastAsia"/>
        </w:rPr>
        <w:t>受电弓故障</w:t>
      </w:r>
      <w:bookmarkEnd w:id="30"/>
      <w:bookmarkEnd w:id="31"/>
    </w:p>
    <w:p>
      <w:pPr>
        <w:pStyle w:val="Heading3"/>
        <w:tabs>
          <w:tab w:val="left" w:pos="377"/>
        </w:tabs>
        <w:spacing w:before="120"/>
        <w:rPr>
          <w:rFonts w:hint="eastAsia"/>
        </w:rPr>
      </w:pPr>
      <w:bookmarkStart w:id="32" w:name="_Toc28201203"/>
      <w:bookmarkStart w:id="33" w:name="_Toc28160783"/>
      <w:r>
        <w:rPr>
          <w:rFonts w:hint="eastAsia"/>
        </w:rPr>
        <w:t>2.2.1什么是受电弓</w:t>
      </w:r>
      <w:bookmarkEnd w:id="32"/>
      <w:bookmarkEnd w:id="33"/>
    </w:p>
    <w:p>
      <w:pPr>
        <w:tabs>
          <w:tab w:val="left" w:pos="377"/>
        </w:tabs>
        <w:ind w:firstLine="480" w:firstLineChars="200"/>
        <w:rPr>
          <w:rFonts w:ascii="宋体" w:hAnsi="宋体" w:cs="宋体" w:hint="eastAsia"/>
        </w:rPr>
      </w:pPr>
      <w:bookmarkEnd w:id="28"/>
      <w:bookmarkEnd w:id="29"/>
      <w:r>
        <w:rPr>
          <w:shd w:val="clear" w:color="auto" w:fill="FFFFFF"/>
        </w:rPr>
        <w:t>电力牵引机车从接触网取得电能的电气设备，安装在机车或动车车顶上。受电弓可分单臂弓和双臂弓两种，均由滑板、上框架、下臂杆(双臂弓用下框架)、底架、升弓弹簧、传动气缸、支持绝缘子等部件组成。菱形受电弓，也称钻石受电弓，以前非常普遍，后由于维护成本较高以及容易在故障时拉断接触网而逐渐被淘汰，近年来多采用单臂弓(见图)。负荷电流通过接触线和受电弓滑板接触面的流畅程度，它与滑板与接触线间的接触压力、过渡电阻、接触面积有关，取决于受电弓和接触网之间的相互作用</w:t>
      </w:r>
      <w:r>
        <w:rPr>
          <w:rFonts w:ascii="宋体" w:hAnsi="宋体" w:cs="宋体" w:hint="eastAsia"/>
        </w:rPr>
        <w:t>。</w:t>
      </w:r>
    </w:p>
    <w:p>
      <w:pPr>
        <w:pStyle w:val="Heading3"/>
        <w:tabs>
          <w:tab w:val="left" w:pos="377"/>
        </w:tabs>
        <w:spacing w:before="120"/>
        <w:rPr>
          <w:rFonts w:hint="eastAsia"/>
        </w:rPr>
      </w:pPr>
      <w:bookmarkStart w:id="34" w:name="_Toc28160784"/>
      <w:bookmarkStart w:id="35" w:name="_Toc28201204"/>
      <w:r>
        <w:rPr>
          <w:rFonts w:hint="eastAsia"/>
        </w:rPr>
        <w:t>2.2.2受电弓工作原理</w:t>
      </w:r>
      <w:bookmarkEnd w:id="34"/>
      <w:bookmarkEnd w:id="35"/>
    </w:p>
    <w:p>
      <w:pPr>
        <w:tabs>
          <w:tab w:val="left" w:pos="377"/>
        </w:tabs>
        <w:ind w:firstLine="480" w:firstLineChars="200"/>
        <w:rPr>
          <w:rFonts w:ascii="宋体" w:hAnsi="宋体" w:cs="宋体" w:hint="eastAsia"/>
        </w:rPr>
      </w:pPr>
      <w:r>
        <w:t>受电弓主要功能是从额定电压DC1500V接触网上获取电源，向整个列车电气系统供电，同时还通过列车的再生制动系统将列车的动能转换为电能回馈给接触网供给其它在线列车的使用，起到双向传递枢纽的作用。受电弓在刚性接触网和柔性接触网的线路上均能适用，在整个车辆速度范围内，受电弓有良好的动力学特性能，能够保证在各种轨道和速度下与接触网具有良好的接触状态和接触稳定性。它在气路上的特别设计保证了它降弓时有明显的迅速下降和平稳下降两个阶段。</w:t>
      </w:r>
    </w:p>
    <w:p>
      <w:pPr>
        <w:pStyle w:val="Heading3"/>
        <w:tabs>
          <w:tab w:val="left" w:pos="377"/>
        </w:tabs>
        <w:spacing w:before="120"/>
        <w:rPr>
          <w:rFonts w:hint="eastAsia"/>
        </w:rPr>
      </w:pPr>
      <w:bookmarkStart w:id="36" w:name="_Toc28160785"/>
      <w:bookmarkStart w:id="37" w:name="_Toc28201205"/>
      <w:r>
        <w:rPr>
          <w:rFonts w:hint="eastAsia"/>
        </w:rPr>
        <w:t>2.2.3受电弓结构</w:t>
      </w:r>
      <w:bookmarkEnd w:id="36"/>
      <w:bookmarkEnd w:id="37"/>
    </w:p>
    <w:p>
      <w:pPr>
        <w:tabs>
          <w:tab w:val="left" w:pos="377"/>
        </w:tabs>
        <w:ind w:firstLine="480" w:firstLineChars="200"/>
        <w:rPr>
          <w:rFonts w:hint="eastAsia"/>
        </w:rPr>
      </w:pPr>
      <w:r>
        <w:t>单臂式受电弓主要特性有：重量轻，设计简单，维护少，卓越的接触性能以及安全的操作。底架：底架由封闭的矩形空心钢管焊接而成。底架上装有以下部件</w:t>
      </w:r>
      <w:r>
        <w:rPr>
          <w:rStyle w:val="Strong"/>
          <w:rFonts w:ascii="Arial" w:hAnsi="Arial" w:cs="Arial"/>
          <w:b w:val="0"/>
          <w:color w:val="333333"/>
          <w:sz w:val="21"/>
          <w:szCs w:val="21"/>
        </w:rPr>
        <w:t>：</w:t>
      </w:r>
      <w:r>
        <w:t>支撑下支架轴承座，上支架及下支架缓冲垫，运输挂钩，降弓后支撑弓头的支撑弹簧，升弓装置，连接杆，气动降弓机构，绝缘子，高压连接板，休息位置指示器，锁钩支撑座，气动设备。</w:t>
      </w:r>
      <w:r>
        <w:rPr>
          <w:rFonts w:hint="eastAsia"/>
        </w:rPr>
        <w:br/>
      </w:r>
      <w:r>
        <w:rPr>
          <w:rFonts w:hint="eastAsia"/>
        </w:rPr>
        <w:br/>
      </w:r>
    </w:p>
    <w:p>
      <w:pPr>
        <w:tabs>
          <w:tab w:val="clear" w:pos="377"/>
        </w:tabs>
        <w:spacing w:line="240" w:lineRule="auto"/>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6" w:history="1">
        <w:r>
          <w:rPr>
            <w:rFonts w:ascii="SimSun" w:eastAsia="SimSun" w:hAnsi="SimSun" w:cs="SimSun"/>
            <w:b/>
            <w:bCs/>
            <w:color w:val="0000EE"/>
            <w:sz w:val="30"/>
            <w:szCs w:val="30"/>
            <w:u w:val="single" w:color="0000EE"/>
          </w:rPr>
          <w:t>https://d.book118.com/946102050240010032</w:t>
        </w:r>
      </w:hyperlink>
    </w:p>
    <w:p>
      <w:pPr>
        <w:tabs>
          <w:tab w:val="left" w:pos="377"/>
        </w:tabs>
        <w:ind w:firstLine="480" w:firstLineChars="200"/>
        <w:rPr>
          <w:rFonts w:hint="eastAsia"/>
        </w:rPr>
      </w:pPr>
    </w:p>
    <w:sectPr>
      <w:headerReference w:type="even" r:id="rId37"/>
      <w:headerReference w:type="default" r:id="rId38"/>
      <w:footerReference w:type="even" r:id="rId39"/>
      <w:footerReference w:type="default" r:id="rId40"/>
      <w:pgSz w:w="11906" w:h="16838" w:orient="portrait"/>
      <w:pgMar w:top="1985" w:right="1418" w:bottom="1418" w:left="1418" w:header="1418" w:footer="1134" w:gutter="0"/>
      <w:pgNumType w:start="6"/>
      <w:cols w:space="708"/>
      <w:docGrid w:linePitch="326" w:charSpace="-204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黑体">
    <w:panose1 w:val="02010609060101010101"/>
    <w:charset w:val="7A"/>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1</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3</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4</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5</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6</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ttachedTemplate r:id="rId1"/>
  <w:defaultTabStop w:val="420"/>
  <w:drawingGridHorizontalSpacing w:val="2"/>
  <w:drawingGridVerticalSpacing w:val="2"/>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0759"/>
    <w:rsid w:val="000D2EA6"/>
    <w:rsid w:val="00104CEB"/>
    <w:rsid w:val="00126778"/>
    <w:rsid w:val="00134F45"/>
    <w:rsid w:val="00147DD1"/>
    <w:rsid w:val="00177B92"/>
    <w:rsid w:val="002025C8"/>
    <w:rsid w:val="00255C5C"/>
    <w:rsid w:val="002A33FE"/>
    <w:rsid w:val="002B63E9"/>
    <w:rsid w:val="00353193"/>
    <w:rsid w:val="003B7D07"/>
    <w:rsid w:val="005325F1"/>
    <w:rsid w:val="005C4614"/>
    <w:rsid w:val="00631D64"/>
    <w:rsid w:val="006843D0"/>
    <w:rsid w:val="0072220A"/>
    <w:rsid w:val="007D1F0A"/>
    <w:rsid w:val="00801C4A"/>
    <w:rsid w:val="00821450"/>
    <w:rsid w:val="00861F8C"/>
    <w:rsid w:val="00870159"/>
    <w:rsid w:val="008916DC"/>
    <w:rsid w:val="008C4701"/>
    <w:rsid w:val="008D3292"/>
    <w:rsid w:val="00961D77"/>
    <w:rsid w:val="009C7BC2"/>
    <w:rsid w:val="009F7FF5"/>
    <w:rsid w:val="00A244E1"/>
    <w:rsid w:val="00AF2549"/>
    <w:rsid w:val="00B03035"/>
    <w:rsid w:val="00B214A3"/>
    <w:rsid w:val="00B26628"/>
    <w:rsid w:val="00B61906"/>
    <w:rsid w:val="00BA4820"/>
    <w:rsid w:val="00C94768"/>
    <w:rsid w:val="00CB36B4"/>
    <w:rsid w:val="00CC14A6"/>
    <w:rsid w:val="00D62FE3"/>
    <w:rsid w:val="00D850B3"/>
    <w:rsid w:val="00DE5C0F"/>
    <w:rsid w:val="00E35310"/>
    <w:rsid w:val="00FA6FD9"/>
    <w:rsid w:val="00FE2ECA"/>
    <w:rsid w:val="2C3726CB"/>
    <w:rsid w:val="3BD24B37"/>
    <w:rsid w:val="47A07E15"/>
  </w:rsids>
  <w:docVars>
    <w:docVar w:name="commondata" w:val="eyJoZGlkIjoiZWRhOGRhMWQzOGQ3MjlhOTg1NzlkZGE2Y2RhYmE4NW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tabs>
        <w:tab w:val="left" w:pos="377"/>
      </w:tabs>
      <w:spacing w:line="300" w:lineRule="auto"/>
      <w:jc w:val="both"/>
    </w:pPr>
    <w:rPr>
      <w:rFonts w:ascii="Times New Roman" w:eastAsia="宋体" w:hAnsi="Times New Roman" w:cs="Times New Roman"/>
      <w:sz w:val="24"/>
      <w:szCs w:val="24"/>
      <w:lang w:val="en-US" w:eastAsia="zh-CN" w:bidi="ar-SA"/>
    </w:rPr>
  </w:style>
  <w:style w:type="paragraph" w:styleId="Heading1">
    <w:name w:val="heading 1"/>
    <w:basedOn w:val="Normal"/>
    <w:next w:val="Normal"/>
    <w:pPr>
      <w:keepNext/>
      <w:keepLines/>
      <w:tabs>
        <w:tab w:val="left" w:pos="377"/>
      </w:tabs>
      <w:spacing w:after="220" w:line="360" w:lineRule="auto"/>
      <w:outlineLvl w:val="0"/>
    </w:pPr>
    <w:rPr>
      <w:rFonts w:ascii="黑体" w:eastAsia="黑体" w:hAnsi="Times New Roman" w:cs="Times New Roman"/>
      <w:bCs/>
      <w:kern w:val="44"/>
      <w:sz w:val="30"/>
      <w:szCs w:val="30"/>
    </w:rPr>
  </w:style>
  <w:style w:type="paragraph" w:styleId="Heading2">
    <w:name w:val="heading 2"/>
    <w:basedOn w:val="Normal"/>
    <w:next w:val="Normal"/>
    <w:pPr>
      <w:keepNext/>
      <w:keepLines/>
      <w:tabs>
        <w:tab w:val="left" w:pos="377"/>
      </w:tabs>
      <w:spacing w:before="50" w:beforeLines="50" w:line="360" w:lineRule="auto"/>
      <w:outlineLvl w:val="1"/>
    </w:pPr>
    <w:rPr>
      <w:rFonts w:ascii="黑体" w:eastAsia="黑体" w:hAnsi="Times New Roman" w:cs="Times New Roman"/>
      <w:bCs/>
      <w:sz w:val="28"/>
      <w:szCs w:val="28"/>
    </w:rPr>
  </w:style>
  <w:style w:type="paragraph" w:styleId="Heading3">
    <w:name w:val="heading 3"/>
    <w:basedOn w:val="Normal"/>
    <w:next w:val="Normal"/>
    <w:pPr>
      <w:keepNext/>
      <w:keepLines/>
      <w:tabs>
        <w:tab w:val="left" w:pos="377"/>
      </w:tabs>
      <w:spacing w:before="50" w:beforeLines="50" w:line="360" w:lineRule="auto"/>
      <w:outlineLvl w:val="2"/>
    </w:pPr>
    <w:rPr>
      <w:rFonts w:ascii="黑体" w:eastAsia="黑体" w:hAnsi="Times New Roman" w:cs="Times New Roman"/>
      <w:bCs/>
      <w:szCs w:val="32"/>
    </w:rPr>
  </w:style>
  <w:style w:type="paragraph" w:styleId="Heading4">
    <w:name w:val="heading 4"/>
    <w:basedOn w:val="Normal"/>
    <w:next w:val="Normal"/>
    <w:pPr>
      <w:keepNext/>
      <w:keepLines/>
      <w:tabs>
        <w:tab w:val="left" w:pos="377"/>
      </w:tabs>
      <w:spacing w:before="240" w:after="240" w:line="360" w:lineRule="auto"/>
      <w:outlineLvl w:val="3"/>
    </w:pPr>
    <w:rPr>
      <w:rFonts w:ascii="Times New Roman" w:eastAsia="宋体" w:hAnsi="Times New Roman" w:cs="Times New Roman"/>
      <w:bCs/>
    </w:rPr>
  </w:style>
  <w:style w:type="paragraph" w:styleId="Heading5">
    <w:name w:val="heading 5"/>
    <w:basedOn w:val="Normal"/>
    <w:next w:val="Normal"/>
    <w:pPr>
      <w:keepNext/>
      <w:tabs>
        <w:tab w:val="left" w:pos="377"/>
      </w:tabs>
      <w:ind w:right="699"/>
      <w:jc w:val="center"/>
      <w:outlineLvl w:val="4"/>
    </w:pPr>
    <w:rPr>
      <w:rFonts w:ascii="Times New Roman" w:eastAsia="黑体" w:hAnsi="Times New Roman" w:cs="Times New Roman"/>
      <w:sz w:val="32"/>
    </w:rPr>
  </w:style>
  <w:style w:type="paragraph" w:styleId="Heading6">
    <w:name w:val="heading 6"/>
    <w:basedOn w:val="Normal"/>
    <w:next w:val="Normal"/>
    <w:pPr>
      <w:keepNext/>
      <w:tabs>
        <w:tab w:val="left" w:pos="377"/>
      </w:tabs>
      <w:jc w:val="center"/>
      <w:outlineLvl w:val="5"/>
    </w:pPr>
    <w:rPr>
      <w:rFonts w:ascii="Times New Roman" w:eastAsia="宋体" w:hAnsi="Times New Roman" w:cs="Times New Roman"/>
      <w:b/>
      <w:bCs/>
      <w:sz w:val="32"/>
    </w:rPr>
  </w:style>
  <w:style w:type="paragraph" w:styleId="Heading7">
    <w:name w:val="heading 7"/>
    <w:basedOn w:val="Normal"/>
    <w:next w:val="Normal"/>
    <w:pPr>
      <w:keepNext/>
      <w:tabs>
        <w:tab w:val="left" w:pos="377"/>
      </w:tabs>
      <w:jc w:val="center"/>
      <w:outlineLvl w:val="6"/>
    </w:pPr>
    <w:rPr>
      <w:rFonts w:ascii="Times New Roman" w:eastAsia="宋体" w:hAnsi="Times New Roman" w:cs="Times New Roman"/>
      <w:sz w:val="32"/>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paragraph" w:styleId="TOC7">
    <w:name w:val="toc 7"/>
    <w:basedOn w:val="Normal"/>
    <w:next w:val="Normal"/>
    <w:pPr>
      <w:widowControl w:val="0"/>
      <w:tabs>
        <w:tab w:val="clear" w:pos="377"/>
      </w:tabs>
      <w:spacing w:line="240" w:lineRule="auto"/>
      <w:ind w:left="2520" w:leftChars="1200"/>
    </w:pPr>
    <w:rPr>
      <w:rFonts w:ascii="Times New Roman" w:eastAsia="宋体" w:hAnsi="Times New Roman" w:cs="Times New Roman"/>
      <w:kern w:val="2"/>
      <w:sz w:val="21"/>
    </w:rPr>
  </w:style>
  <w:style w:type="paragraph" w:styleId="NormalIndent">
    <w:name w:val="Normal Indent"/>
    <w:basedOn w:val="Normal"/>
    <w:pPr>
      <w:widowControl w:val="0"/>
      <w:tabs>
        <w:tab w:val="clear" w:pos="377"/>
      </w:tabs>
      <w:spacing w:line="240" w:lineRule="auto"/>
      <w:ind w:firstLine="420"/>
    </w:pPr>
    <w:rPr>
      <w:rFonts w:ascii="Times New Roman" w:eastAsia="宋体" w:hAnsi="Times New Roman" w:cs="Times New Roman"/>
      <w:kern w:val="2"/>
      <w:sz w:val="21"/>
      <w:szCs w:val="20"/>
    </w:rPr>
  </w:style>
  <w:style w:type="paragraph" w:styleId="Caption">
    <w:name w:val="caption"/>
    <w:basedOn w:val="Normal"/>
    <w:next w:val="Normal"/>
    <w:pPr>
      <w:tabs>
        <w:tab w:val="left" w:pos="377"/>
      </w:tabs>
    </w:pPr>
    <w:rPr>
      <w:rFonts w:ascii="Times New Roman" w:eastAsia="宋体" w:hAnsi="Times New Roman" w:cs="Times New Roman"/>
      <w:sz w:val="21"/>
      <w:szCs w:val="20"/>
    </w:rPr>
  </w:style>
  <w:style w:type="paragraph" w:styleId="DocumentMap">
    <w:name w:val="Document Map"/>
    <w:basedOn w:val="Normal"/>
    <w:pPr>
      <w:shd w:val="clear" w:color="auto" w:fill="000080"/>
      <w:tabs>
        <w:tab w:val="left" w:pos="377"/>
      </w:tabs>
    </w:pPr>
    <w:rPr>
      <w:rFonts w:ascii="Times New Roman" w:eastAsia="宋体" w:hAnsi="Times New Roman" w:cs="Times New Roman"/>
    </w:rPr>
  </w:style>
  <w:style w:type="paragraph" w:styleId="TOC3">
    <w:name w:val="toc 3"/>
    <w:basedOn w:val="Normal"/>
    <w:next w:val="Normal"/>
    <w:pPr>
      <w:tabs>
        <w:tab w:val="clear" w:pos="377"/>
      </w:tabs>
      <w:ind w:left="840" w:leftChars="400"/>
    </w:pPr>
    <w:rPr>
      <w:rFonts w:ascii="Times New Roman" w:eastAsia="宋体" w:hAnsi="Times New Roman" w:cs="Times New Roman"/>
    </w:rPr>
  </w:style>
  <w:style w:type="paragraph" w:styleId="Footer">
    <w:name w:val="footer"/>
    <w:basedOn w:val="Normal"/>
    <w:link w:val="Char"/>
    <w:pPr>
      <w:tabs>
        <w:tab w:val="clear" w:pos="377"/>
        <w:tab w:val="center" w:pos="4153"/>
        <w:tab w:val="right" w:pos="8306"/>
      </w:tabs>
      <w:spacing w:before="600" w:line="180" w:lineRule="atLeast"/>
      <w:jc w:val="left"/>
    </w:pPr>
    <w:rPr>
      <w:rFonts w:ascii="Times New Roman" w:eastAsia="宋体" w:hAnsi="Times New Roman" w:cs="Times New Roman"/>
      <w:sz w:val="18"/>
      <w:szCs w:val="18"/>
    </w:rPr>
  </w:style>
  <w:style w:type="character" w:customStyle="1" w:styleId="Char">
    <w:name w:val="页脚 Char"/>
    <w:link w:val="Footer"/>
    <w:rPr>
      <w:rFonts w:ascii="Times New Roman" w:eastAsia="宋体" w:hAnsi="Times New Roman" w:cs="Times New Roman"/>
      <w:sz w:val="18"/>
      <w:szCs w:val="18"/>
    </w:rPr>
  </w:style>
  <w:style w:type="paragraph" w:styleId="Header">
    <w:name w:val="header"/>
    <w:basedOn w:val="Normal"/>
    <w:link w:val="Char0"/>
    <w:pPr>
      <w:keepLines/>
      <w:widowControl/>
      <w:pBdr>
        <w:bottom w:val="single" w:sz="6" w:space="1" w:color="auto"/>
      </w:pBdr>
      <w:tabs>
        <w:tab w:val="clear" w:pos="377"/>
        <w:tab w:val="center" w:pos="4153"/>
        <w:tab w:val="right" w:pos="8306"/>
      </w:tabs>
      <w:snapToGrid w:val="0"/>
      <w:spacing w:after="600" w:line="180" w:lineRule="atLeast"/>
      <w:jc w:val="center"/>
    </w:pPr>
    <w:rPr>
      <w:rFonts w:ascii="Times New Roman" w:eastAsia="宋体" w:hAnsi="Times New Roman" w:cs="Times New Roman"/>
      <w:spacing w:val="-5"/>
      <w:sz w:val="21"/>
      <w:szCs w:val="21"/>
    </w:rPr>
  </w:style>
  <w:style w:type="character" w:customStyle="1" w:styleId="Char0">
    <w:name w:val="页眉 Char"/>
    <w:link w:val="Header"/>
    <w:rPr>
      <w:rFonts w:ascii="Times New Roman" w:eastAsia="宋体" w:hAnsi="Times New Roman" w:cs="Times New Roman"/>
      <w:spacing w:val="-5"/>
      <w:sz w:val="21"/>
      <w:szCs w:val="21"/>
    </w:rPr>
  </w:style>
  <w:style w:type="paragraph" w:styleId="TOC1">
    <w:name w:val="toc 1"/>
    <w:basedOn w:val="Normal"/>
    <w:next w:val="Normal"/>
    <w:pPr>
      <w:tabs>
        <w:tab w:val="clear" w:pos="377"/>
      </w:tabs>
    </w:pPr>
    <w:rPr>
      <w:rFonts w:ascii="Times New Roman" w:eastAsia="宋体" w:hAnsi="Times New Roman" w:cs="Times New Roman"/>
    </w:rPr>
  </w:style>
  <w:style w:type="paragraph" w:styleId="TOC6">
    <w:name w:val="toc 6"/>
    <w:basedOn w:val="Normal"/>
    <w:next w:val="Normal"/>
    <w:pPr>
      <w:widowControl w:val="0"/>
      <w:tabs>
        <w:tab w:val="clear" w:pos="377"/>
      </w:tabs>
      <w:spacing w:line="240" w:lineRule="auto"/>
      <w:ind w:left="2100" w:leftChars="1000"/>
    </w:pPr>
    <w:rPr>
      <w:rFonts w:ascii="Times New Roman" w:eastAsia="宋体" w:hAnsi="Times New Roman" w:cs="Times New Roman"/>
      <w:kern w:val="2"/>
      <w:sz w:val="21"/>
    </w:rPr>
  </w:style>
  <w:style w:type="paragraph" w:styleId="TOC2">
    <w:name w:val="toc 2"/>
    <w:basedOn w:val="Normal"/>
    <w:next w:val="Normal"/>
    <w:pPr>
      <w:tabs>
        <w:tab w:val="clear" w:pos="377"/>
      </w:tabs>
      <w:ind w:left="420" w:leftChars="200"/>
    </w:pPr>
    <w:rPr>
      <w:rFonts w:ascii="Times New Roman" w:eastAsia="宋体" w:hAnsi="Times New Roman" w:cs="Times New Roman"/>
    </w:rPr>
  </w:style>
  <w:style w:type="paragraph" w:styleId="NormalWeb">
    <w:name w:val="Normal (Web)"/>
    <w:basedOn w:val="Normal"/>
    <w:pPr>
      <w:tabs>
        <w:tab w:val="clear" w:pos="377"/>
      </w:tabs>
      <w:spacing w:before="100" w:beforeAutospacing="1" w:after="100" w:afterAutospacing="1" w:line="240" w:lineRule="auto"/>
      <w:jc w:val="left"/>
    </w:pPr>
    <w:rPr>
      <w:rFonts w:ascii="宋体" w:eastAsia="宋体" w:hAnsi="宋体" w:cs="宋体"/>
    </w:rPr>
  </w:style>
  <w:style w:type="character" w:styleId="Strong">
    <w:name w:val="Strong"/>
    <w:rPr>
      <w:rFonts w:ascii="Times New Roman" w:eastAsia="宋体" w:hAnsi="Times New Roman" w:cs="Times New Roman"/>
      <w:b/>
      <w:bCs/>
    </w:rPr>
  </w:style>
  <w:style w:type="character" w:styleId="PageNumber">
    <w:name w:val="page number"/>
    <w:rPr>
      <w:rFonts w:ascii="Times New Roman" w:eastAsia="宋体" w:hAnsi="Times New Roman" w:cs="Times New Roman"/>
    </w:rPr>
  </w:style>
  <w:style w:type="character" w:styleId="Hyperlink">
    <w:name w:val="Hyperlink"/>
    <w:rPr>
      <w:rFonts w:ascii="Times New Roman" w:eastAsia="宋体" w:hAnsi="Times New Roman" w:cs="Times New Roman"/>
      <w:color w:val="0000FF"/>
      <w:u w:val="single"/>
    </w:rPr>
  </w:style>
  <w:style w:type="character" w:customStyle="1" w:styleId="trans1">
    <w:name w:val="trans1"/>
    <w:rPr>
      <w:rFonts w:ascii="Times New Roman" w:eastAsia="宋体" w:hAnsi="Times New Roman" w:cs="Times New Roman"/>
      <w:sz w:val="18"/>
      <w:szCs w:val="18"/>
    </w:rPr>
  </w:style>
  <w:style w:type="paragraph" w:customStyle="1" w:styleId="ZW">
    <w:name w:val="(ZW)"/>
    <w:basedOn w:val="Normal"/>
    <w:pPr>
      <w:tabs>
        <w:tab w:val="left" w:pos="377"/>
      </w:tabs>
      <w:spacing w:line="440" w:lineRule="exact"/>
      <w:ind w:firstLine="480" w:firstLineChars="200"/>
    </w:pPr>
    <w:rPr>
      <w:rFonts w:ascii="仿宋_GB2312" w:eastAsia="宋体" w:hAnsi="宋体" w:cs="Times New Roman"/>
      <w:color w:val="000000"/>
    </w:rPr>
  </w:style>
  <w:style w:type="paragraph" w:styleId="TOCHeading">
    <w:name w:val="TOC Heading"/>
    <w:basedOn w:val="Heading1"/>
    <w:next w:val="Normal"/>
    <w:pPr>
      <w:tabs>
        <w:tab w:val="clear" w:pos="377"/>
      </w:tabs>
      <w:spacing w:before="480" w:after="0" w:line="276" w:lineRule="auto"/>
      <w:jc w:val="left"/>
      <w:outlineLvl w:val="9"/>
    </w:pPr>
    <w:rPr>
      <w:rFonts w:ascii="Cambria" w:eastAsia="宋体" w:hAnsi="Cambria" w:cs="Times New Roman"/>
      <w:b/>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yperlink" Target="https://d.book118.com/946102050240010032" TargetMode="External" /><Relationship Id="rId37" Type="http://schemas.openxmlformats.org/officeDocument/2006/relationships/header" Target="header17.xml" /><Relationship Id="rId38" Type="http://schemas.openxmlformats.org/officeDocument/2006/relationships/header" Target="header18.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theme" Target="theme/theme1.xml" /><Relationship Id="rId42"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_rels/settings.xml.rels><?xml version="1.0" encoding="utf-8" standalone="yes"?><Relationships xmlns="http://schemas.openxmlformats.org/package/2006/relationships"><Relationship Id="rId1" Type="http://schemas.openxmlformats.org/officeDocument/2006/relationships/attachedTemplate" Target="file:///D:\&#25945;&#23398;&#31649;&#29702;\&#22823;&#36830;&#20132;&#36890;&#22823;&#23398;&#30805;&#22763;&#23398;&#20301;&#35770;&#25991;&#27169;&#26495;.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大连交通大学硕士学位论文模板</Template>
  <TotalTime>0</TotalTime>
  <Pages>10</Pages>
  <Words>2675</Words>
  <Characters>15251</Characters>
  <Application>Microsoft Office Word</Application>
  <DocSecurity>0</DocSecurity>
  <Lines>127</Lines>
  <Paragraphs>35</Paragraphs>
  <ScaleCrop>false</ScaleCrop>
  <Company/>
  <LinksUpToDate>false</LinksUpToDate>
  <CharactersWithSpaces>17891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2005-11-11T02:56:00Z</cp:lastPrinted>
  <dcterms:created xsi:type="dcterms:W3CDTF">2019-12-27T06:38:00Z</dcterms:created>
  <dcterms:modified xsi:type="dcterms:W3CDTF">2024-01-04T02:35:11Z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9626CAAB61F24B1888A2254A262EC49F_12</vt:lpwstr>
  </property>
  <property fmtid="{D5CDD505-2E9C-101B-9397-08002B2CF9AE}" pid="3" name="KSOProductBuildVer">
    <vt:lpwstr>2052-12.1.0.16120</vt:lpwstr>
  </property>
</Properties>
</file>