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幼圆" w:eastAsia="幼圆" w:hAnsi="幼圆" w:cs="幼圆" w:hint="eastAsia"/>
          <w:b/>
          <w:sz w:val="36"/>
          <w:szCs w:val="36"/>
          <w:u w:val="single"/>
        </w:rPr>
      </w:pPr>
      <w:bookmarkStart w:id="0" w:name="_GoBack"/>
      <w:r>
        <w:rPr>
          <w:rFonts w:ascii="幼圆" w:eastAsia="幼圆" w:hAnsi="幼圆" w:cs="幼圆" w:hint="eastAsia"/>
          <w:b/>
          <w:sz w:val="36"/>
          <w:szCs w:val="36"/>
          <w:u w:val="single"/>
        </w:rPr>
        <w:t>五年级学生数学课堂参与</w:t>
      </w:r>
      <w:r>
        <w:rPr>
          <w:rFonts w:ascii="幼圆" w:eastAsia="幼圆" w:hAnsi="幼圆" w:cs="幼圆" w:hint="eastAsia"/>
          <w:b/>
          <w:sz w:val="36"/>
          <w:szCs w:val="36"/>
          <w:u w:val="single"/>
          <w:lang w:val="en-US" w:eastAsia="zh-CN"/>
        </w:rPr>
        <w:t>度</w:t>
      </w:r>
      <w:r>
        <w:rPr>
          <w:rFonts w:ascii="幼圆" w:eastAsia="幼圆" w:hAnsi="幼圆" w:cs="幼圆" w:hint="eastAsia"/>
          <w:b/>
          <w:sz w:val="36"/>
          <w:szCs w:val="36"/>
          <w:u w:val="single"/>
        </w:rPr>
        <w:t>现状及</w:t>
      </w:r>
      <w:r>
        <w:rPr>
          <w:rFonts w:ascii="幼圆" w:eastAsia="幼圆" w:hAnsi="幼圆" w:cs="幼圆" w:hint="eastAsia"/>
          <w:b/>
          <w:sz w:val="36"/>
          <w:szCs w:val="36"/>
          <w:u w:val="single"/>
          <w:lang w:val="en-US" w:eastAsia="zh-CN"/>
        </w:rPr>
        <w:t>完善</w:t>
      </w:r>
      <w:r>
        <w:rPr>
          <w:rFonts w:ascii="幼圆" w:eastAsia="幼圆" w:hAnsi="幼圆" w:cs="幼圆" w:hint="eastAsia"/>
          <w:b/>
          <w:sz w:val="36"/>
          <w:szCs w:val="36"/>
          <w:u w:val="single"/>
        </w:rPr>
        <w:t>对策研究—以Y小学为例</w:t>
      </w:r>
      <w:bookmarkEnd w:id="0"/>
      <w:r>
        <w:rPr>
          <w:rFonts w:ascii="幼圆" w:eastAsia="幼圆" w:hAnsi="幼圆" w:cs="幼圆" w:hint="eastAsia"/>
          <w:b/>
          <w:sz w:val="36"/>
          <w:szCs w:val="36"/>
          <w:u w:val="single"/>
        </w:rPr>
        <w:t xml:space="preserve">  </w:t>
      </w:r>
    </w:p>
    <w:sdt>
      <w:sdtPr>
        <w:rPr>
          <w:rFonts w:ascii="幼圆" w:eastAsia="幼圆" w:hAnsi="幼圆" w:cs="幼圆" w:hint="eastAsia"/>
          <w:kern w:val="2"/>
          <w:sz w:val="21"/>
          <w:szCs w:val="24"/>
          <w:lang w:val="en-US" w:eastAsia="zh-CN" w:bidi="ar-SA"/>
        </w:rPr>
        <w:id w:val="147456810"/>
        <w:docPartObj>
          <w:docPartGallery w:val="Table of Contents"/>
          <w:docPartUnique/>
        </w:docPartObj>
        <w15:color w:val="DBDBDB"/>
      </w:sdtPr>
      <w:sdtEndPr>
        <w:rPr>
          <w:rFonts w:ascii="幼圆" w:eastAsia="幼圆" w:hAnsi="幼圆" w:cs="幼圆" w:hint="eastAsia"/>
          <w:bCs w:val="0"/>
          <w:kern w:val="2"/>
          <w:sz w:val="21"/>
          <w:szCs w:val="24"/>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b/>
              <w:bCs/>
              <w:sz w:val="32"/>
              <w:szCs w:val="32"/>
            </w:rPr>
          </w:pPr>
          <w:r>
            <w:rPr>
              <w:rFonts w:ascii="幼圆" w:eastAsia="幼圆" w:hAnsi="幼圆" w:cs="幼圆" w:hint="eastAsia"/>
              <w:b/>
              <w:bCs/>
              <w:sz w:val="32"/>
              <w:szCs w:val="32"/>
            </w:rPr>
            <w:t>目录</w:t>
          </w:r>
        </w:p>
        <w:p>
          <w:pPr>
            <w:pStyle w:val="TOC1"/>
            <w:tabs>
              <w:tab w:val="right" w:leader="dot" w:pos="9355"/>
            </w:tabs>
            <w:rPr>
              <w:rFonts w:ascii="幼圆" w:eastAsia="幼圆" w:hAnsi="幼圆" w:cs="幼圆" w:hint="eastAsia"/>
            </w:rPr>
          </w:pPr>
          <w:r>
            <w:rPr>
              <w:rFonts w:ascii="幼圆" w:eastAsia="幼圆" w:hAnsi="幼圆" w:cs="幼圆" w:hint="eastAsia"/>
              <w:b w:val="0"/>
              <w:bCs w:val="0"/>
              <w:sz w:val="24"/>
              <w:szCs w:val="24"/>
            </w:rPr>
            <w:fldChar w:fldCharType="begin"/>
          </w:r>
          <w:r>
            <w:rPr>
              <w:rFonts w:ascii="幼圆" w:eastAsia="幼圆" w:hAnsi="幼圆" w:cs="幼圆" w:hint="eastAsia"/>
              <w:b w:val="0"/>
              <w:bCs w:val="0"/>
              <w:sz w:val="24"/>
              <w:szCs w:val="24"/>
            </w:rPr>
            <w:instrText xml:space="preserve">TOC \o "1-3" \h \u </w:instrText>
          </w:r>
          <w:r>
            <w:rPr>
              <w:rFonts w:ascii="幼圆" w:eastAsia="幼圆" w:hAnsi="幼圆" w:cs="幼圆" w:hint="eastAsia"/>
              <w:b w:val="0"/>
              <w:bCs w:val="0"/>
              <w:sz w:val="24"/>
              <w:szCs w:val="24"/>
            </w:rPr>
            <w:fldChar w:fldCharType="separate"/>
          </w:r>
          <w:hyperlink w:anchor="_Toc24681" w:history="1">
            <w:r>
              <w:rPr>
                <w:rFonts w:ascii="幼圆" w:eastAsia="幼圆" w:hAnsi="幼圆" w:cs="幼圆" w:hint="eastAsia"/>
                <w:lang w:val="en-US" w:eastAsia="zh-CN"/>
              </w:rPr>
              <w:t>一、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_Toc24681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27406" w:history="1">
            <w:r>
              <w:rPr>
                <w:rFonts w:ascii="幼圆" w:eastAsia="幼圆" w:hAnsi="幼圆" w:cs="幼圆" w:hint="eastAsia"/>
                <w:lang w:val="en-US" w:eastAsia="zh-CN"/>
              </w:rPr>
              <w:t>（一）研究</w:t>
            </w:r>
            <w:r>
              <w:rPr>
                <w:rFonts w:ascii="幼圆" w:eastAsia="幼圆" w:hAnsi="幼圆" w:cs="幼圆" w:hint="eastAsia"/>
                <w:lang w:val="en-US" w:eastAsia="zh-CN"/>
              </w:rPr>
              <w:t>缘起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_Toc27406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18228" w:history="1">
            <w:r>
              <w:rPr>
                <w:rFonts w:ascii="幼圆" w:eastAsia="幼圆" w:hAnsi="幼圆" w:cs="幼圆" w:hint="eastAsia"/>
                <w:lang w:val="en-US" w:eastAsia="zh-CN"/>
              </w:rPr>
              <w:t>（二）文献综述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_Toc18228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0883" w:history="1">
            <w:r>
              <w:rPr>
                <w:rFonts w:ascii="幼圆" w:eastAsia="幼圆" w:hAnsi="幼圆" w:cs="幼圆" w:hint="eastAsia"/>
                <w:lang w:val="en-US" w:eastAsia="zh-CN"/>
              </w:rPr>
              <w:t>1.小学生</w:t>
            </w:r>
            <w:r>
              <w:rPr>
                <w:rFonts w:ascii="幼圆" w:eastAsia="幼圆" w:hAnsi="幼圆" w:cs="幼圆" w:hint="eastAsia"/>
                <w:lang w:val="en-US" w:eastAsia="zh-CN"/>
              </w:rPr>
              <w:t>课堂参与</w:t>
            </w:r>
            <w:r>
              <w:rPr>
                <w:rFonts w:ascii="幼圆" w:eastAsia="幼圆" w:hAnsi="幼圆" w:cs="幼圆" w:hint="eastAsia"/>
                <w:lang w:val="en-US" w:eastAsia="zh-CN"/>
              </w:rPr>
              <w:t>的内在</w:t>
            </w:r>
            <w:r>
              <w:rPr>
                <w:rFonts w:ascii="幼圆" w:eastAsia="幼圆" w:hAnsi="幼圆" w:cs="幼圆" w:hint="eastAsia"/>
                <w:lang w:val="en-US" w:eastAsia="zh-CN"/>
              </w:rPr>
              <w:t>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_Toc10883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3235" w:history="1">
            <w:r>
              <w:rPr>
                <w:rFonts w:ascii="幼圆" w:eastAsia="幼圆" w:hAnsi="幼圆" w:cs="幼圆" w:hint="eastAsia"/>
                <w:lang w:val="en-US" w:eastAsia="zh-CN"/>
              </w:rPr>
              <w:t>2.小学生课堂参与的外在影响因素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_Toc23235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4129" w:history="1">
            <w:r>
              <w:rPr>
                <w:rFonts w:ascii="幼圆" w:eastAsia="幼圆" w:hAnsi="幼圆" w:cs="幼圆" w:hint="eastAsia"/>
                <w:lang w:val="en-US" w:eastAsia="zh-CN"/>
              </w:rPr>
              <w:t>3.和提升小学生课堂参与的策略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_Toc14129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0059" w:history="1">
            <w:r>
              <w:rPr>
                <w:rFonts w:ascii="幼圆" w:eastAsia="幼圆" w:hAnsi="幼圆" w:cs="幼圆" w:hint="eastAsia"/>
                <w:lang w:val="en-US" w:eastAsia="zh-CN"/>
              </w:rPr>
              <w:t>4.</w:t>
            </w:r>
            <w:r>
              <w:rPr>
                <w:rFonts w:ascii="幼圆" w:eastAsia="幼圆" w:hAnsi="幼圆" w:cs="幼圆" w:hint="eastAsia"/>
                <w:lang w:val="en-US" w:eastAsia="zh-CN"/>
              </w:rPr>
              <w:t>对已有研究的评价与反思</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_Toc10059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8191" w:history="1">
            <w:r>
              <w:rPr>
                <w:rFonts w:ascii="幼圆" w:eastAsia="幼圆" w:hAnsi="幼圆" w:cs="幼圆" w:hint="eastAsia"/>
                <w:lang w:val="en-US" w:eastAsia="zh-CN"/>
              </w:rPr>
              <w:t>（三）相关概念界定</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_Toc8191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3917" w:history="1">
            <w:r>
              <w:rPr>
                <w:rFonts w:ascii="幼圆" w:eastAsia="幼圆" w:hAnsi="幼圆" w:cs="幼圆" w:hint="eastAsia"/>
                <w:lang w:val="en-US" w:eastAsia="zh-CN"/>
              </w:rPr>
              <w:t>1.课堂参与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_Toc3917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2487" w:history="1">
            <w:r>
              <w:rPr>
                <w:rFonts w:ascii="幼圆" w:eastAsia="幼圆" w:hAnsi="幼圆" w:cs="幼圆" w:hint="eastAsia"/>
                <w:lang w:val="en-US" w:eastAsia="zh-CN"/>
              </w:rPr>
              <w:t>2.数学课堂参与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_Toc22487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4808" w:history="1">
            <w:r>
              <w:rPr>
                <w:rFonts w:ascii="幼圆" w:eastAsia="幼圆" w:hAnsi="幼圆" w:cs="幼圆" w:hint="eastAsia"/>
                <w:lang w:val="en-US" w:eastAsia="zh-CN"/>
              </w:rPr>
              <w:t>（四）研究目的及意义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_Toc4808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3668" w:history="1">
            <w:r>
              <w:rPr>
                <w:rFonts w:ascii="幼圆" w:eastAsia="幼圆" w:hAnsi="幼圆" w:cs="幼圆" w:hint="eastAsia"/>
                <w:lang w:val="en-US" w:eastAsia="zh-CN"/>
              </w:rPr>
              <w:t>1.研究目的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_Toc23668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0083" w:history="1">
            <w:r>
              <w:rPr>
                <w:rFonts w:ascii="幼圆" w:eastAsia="幼圆" w:hAnsi="幼圆" w:cs="幼圆" w:hint="eastAsia"/>
                <w:lang w:val="en-US" w:eastAsia="zh-CN"/>
              </w:rPr>
              <w:t>2.研究意义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_Toc10083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18544" w:history="1">
            <w:r>
              <w:rPr>
                <w:rFonts w:ascii="幼圆" w:eastAsia="幼圆" w:hAnsi="幼圆" w:cs="幼圆" w:hint="eastAsia"/>
                <w:lang w:val="en-US" w:eastAsia="zh-CN"/>
              </w:rPr>
              <w:t>二、 研究设计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_Toc18544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12976" w:history="1">
            <w:r>
              <w:rPr>
                <w:rFonts w:ascii="幼圆" w:eastAsia="幼圆" w:hAnsi="幼圆" w:cs="幼圆" w:hint="eastAsia"/>
                <w:lang w:val="en-US" w:eastAsia="zh-CN"/>
              </w:rPr>
              <w:t>（一）研究方法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_Toc12976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1223" w:history="1">
            <w:r>
              <w:rPr>
                <w:rFonts w:ascii="幼圆" w:eastAsia="幼圆" w:hAnsi="幼圆" w:cs="幼圆" w:hint="eastAsia"/>
                <w:lang w:val="en-US" w:eastAsia="zh-CN"/>
              </w:rPr>
              <w:t>1.观察法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_Toc21223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6330" w:history="1">
            <w:r>
              <w:rPr>
                <w:rFonts w:ascii="幼圆" w:eastAsia="幼圆" w:hAnsi="幼圆" w:cs="幼圆" w:hint="eastAsia"/>
                <w:lang w:val="en-US" w:eastAsia="zh-CN"/>
              </w:rPr>
              <w:t>2.问卷法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_Toc16330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4407" w:history="1">
            <w:r>
              <w:rPr>
                <w:rFonts w:ascii="幼圆" w:eastAsia="幼圆" w:hAnsi="幼圆" w:cs="幼圆" w:hint="eastAsia"/>
                <w:lang w:val="en-US" w:eastAsia="zh-CN"/>
              </w:rPr>
              <w:t>（二）研究内容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_Toc4407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4764" w:history="1">
            <w:r>
              <w:rPr>
                <w:rFonts w:ascii="幼圆" w:eastAsia="幼圆" w:hAnsi="幼圆" w:cs="幼圆" w:hint="eastAsia"/>
                <w:lang w:val="en-US" w:eastAsia="zh-CN"/>
              </w:rPr>
              <w:t>三、 小学五年级学生数学课堂参与的现状及问题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_Toc4764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13210" w:history="1">
            <w:r>
              <w:rPr>
                <w:rFonts w:ascii="幼圆" w:eastAsia="幼圆" w:hAnsi="幼圆" w:cs="幼圆" w:hint="eastAsia"/>
                <w:lang w:val="en-US" w:eastAsia="zh-CN"/>
              </w:rPr>
              <w:t>（一）行为参与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_Toc13210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3722" w:history="1">
            <w:r>
              <w:rPr>
                <w:rFonts w:ascii="幼圆" w:eastAsia="幼圆" w:hAnsi="幼圆" w:cs="幼圆" w:hint="eastAsia"/>
                <w:lang w:val="en-US" w:eastAsia="zh-CN"/>
              </w:rPr>
              <w:t>1.注意力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_Toc3722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31661" w:history="1">
            <w:r>
              <w:rPr>
                <w:rFonts w:ascii="幼圆" w:eastAsia="幼圆" w:hAnsi="幼圆" w:cs="幼圆" w:hint="eastAsia"/>
                <w:lang w:val="en-US" w:eastAsia="zh-CN"/>
              </w:rPr>
              <w:t>2.思考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_Toc31661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1343" w:history="1">
            <w:r>
              <w:rPr>
                <w:rFonts w:ascii="幼圆" w:eastAsia="幼圆" w:hAnsi="幼圆" w:cs="幼圆" w:hint="eastAsia"/>
                <w:lang w:val="en-US" w:eastAsia="zh-CN"/>
              </w:rPr>
              <w:t>3.表达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_Toc21343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5638" w:history="1">
            <w:r>
              <w:rPr>
                <w:rFonts w:ascii="幼圆" w:eastAsia="幼圆" w:hAnsi="幼圆" w:cs="幼圆" w:hint="eastAsia"/>
                <w:lang w:val="en-US" w:eastAsia="zh-CN"/>
              </w:rPr>
              <w:t>4.讨论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_Toc25638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9114" w:history="1">
            <w:r>
              <w:rPr>
                <w:rFonts w:ascii="幼圆" w:eastAsia="幼圆" w:hAnsi="幼圆" w:cs="幼圆" w:hint="eastAsia"/>
                <w:lang w:val="en-US" w:eastAsia="zh-CN"/>
              </w:rPr>
              <w:t>5.解题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_Toc19114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27462" w:history="1">
            <w:r>
              <w:rPr>
                <w:rFonts w:ascii="幼圆" w:eastAsia="幼圆" w:hAnsi="幼圆" w:cs="幼圆" w:hint="eastAsia"/>
                <w:lang w:val="en-US" w:eastAsia="zh-CN"/>
              </w:rPr>
              <w:t>（二）情感参与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_Toc27462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8905" w:history="1">
            <w:r>
              <w:rPr>
                <w:rFonts w:ascii="幼圆" w:eastAsia="幼圆" w:hAnsi="幼圆" w:cs="幼圆" w:hint="eastAsia"/>
                <w:lang w:val="en-US" w:eastAsia="zh-CN"/>
              </w:rPr>
              <w:t>1.兴趣</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_Toc28905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5817" w:history="1">
            <w:r>
              <w:rPr>
                <w:rFonts w:ascii="幼圆" w:eastAsia="幼圆" w:hAnsi="幼圆" w:cs="幼圆" w:hint="eastAsia"/>
                <w:lang w:val="en-US" w:eastAsia="zh-CN"/>
              </w:rPr>
              <w:t>2.满足感</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_Toc15817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6699" w:history="1">
            <w:r>
              <w:rPr>
                <w:rFonts w:ascii="幼圆" w:eastAsia="幼圆" w:hAnsi="幼圆" w:cs="幼圆" w:hint="eastAsia"/>
                <w:lang w:val="en-US" w:eastAsia="zh-CN"/>
              </w:rPr>
              <w:t>3.焦虑</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_Toc16699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11874" w:history="1">
            <w:r>
              <w:rPr>
                <w:rFonts w:ascii="幼圆" w:eastAsia="幼圆" w:hAnsi="幼圆" w:cs="幼圆" w:hint="eastAsia"/>
                <w:lang w:val="en-US" w:eastAsia="zh-CN"/>
              </w:rPr>
              <w:t>（三）认知参与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_Toc11874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8044" w:history="1">
            <w:r>
              <w:rPr>
                <w:rFonts w:ascii="幼圆" w:eastAsia="幼圆" w:hAnsi="幼圆" w:cs="幼圆" w:hint="eastAsia"/>
                <w:lang w:val="en-US" w:eastAsia="zh-CN"/>
              </w:rPr>
              <w:t>1</w:t>
            </w:r>
            <w:r>
              <w:rPr>
                <w:rFonts w:ascii="幼圆" w:eastAsia="幼圆" w:hAnsi="幼圆" w:cs="幼圆" w:hint="eastAsia"/>
                <w:lang w:val="en-US" w:eastAsia="zh-CN"/>
              </w:rPr>
              <w:t>.</w:t>
            </w:r>
            <w:r>
              <w:rPr>
                <w:rFonts w:ascii="幼圆" w:eastAsia="幼圆" w:hAnsi="幼圆" w:cs="幼圆" w:hint="eastAsia"/>
                <w:lang w:val="en-US" w:eastAsia="zh-CN"/>
              </w:rPr>
              <w:t>浅层次策略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_Toc8044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537" w:history="1">
            <w:r>
              <w:rPr>
                <w:rFonts w:ascii="幼圆" w:eastAsia="幼圆" w:hAnsi="幼圆" w:cs="幼圆" w:hint="eastAsia"/>
                <w:lang w:val="en-US" w:eastAsia="zh-CN"/>
              </w:rPr>
              <w:t>2</w:t>
            </w:r>
            <w:r>
              <w:rPr>
                <w:rFonts w:ascii="幼圆" w:eastAsia="幼圆" w:hAnsi="幼圆" w:cs="幼圆" w:hint="eastAsia"/>
                <w:lang w:val="en-US" w:eastAsia="zh-CN"/>
              </w:rPr>
              <w:t>.</w:t>
            </w:r>
            <w:r>
              <w:rPr>
                <w:rFonts w:ascii="幼圆" w:eastAsia="幼圆" w:hAnsi="幼圆" w:cs="幼圆" w:hint="eastAsia"/>
                <w:lang w:val="en-US" w:eastAsia="zh-CN"/>
              </w:rPr>
              <w:t>深层次策略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_Toc1537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5256" w:history="1">
            <w:r>
              <w:rPr>
                <w:rFonts w:ascii="幼圆" w:eastAsia="幼圆" w:hAnsi="幼圆" w:cs="幼圆" w:hint="eastAsia"/>
                <w:lang w:val="en-US" w:eastAsia="zh-CN"/>
              </w:rPr>
              <w:t>3</w:t>
            </w:r>
            <w:r>
              <w:rPr>
                <w:rFonts w:ascii="幼圆" w:eastAsia="幼圆" w:hAnsi="幼圆" w:cs="幼圆" w:hint="eastAsia"/>
                <w:lang w:val="en-US" w:eastAsia="zh-CN"/>
              </w:rPr>
              <w:t>.</w:t>
            </w:r>
            <w:r>
              <w:rPr>
                <w:rFonts w:ascii="幼圆" w:eastAsia="幼圆" w:hAnsi="幼圆" w:cs="幼圆" w:hint="eastAsia"/>
                <w:lang w:val="en-US" w:eastAsia="zh-CN"/>
              </w:rPr>
              <w:t>依赖策略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_Toc15256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23422" w:history="1">
            <w:r>
              <w:rPr>
                <w:rFonts w:ascii="幼圆" w:eastAsia="幼圆" w:hAnsi="幼圆" w:cs="幼圆" w:hint="eastAsia"/>
                <w:lang w:val="en-US" w:eastAsia="zh-CN"/>
              </w:rPr>
              <w:t>四、 小学五年级学生数学课堂参与的问题及原因分析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_Toc23422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957" w:history="1">
            <w:r>
              <w:rPr>
                <w:rFonts w:ascii="幼圆" w:eastAsia="幼圆" w:hAnsi="幼圆" w:cs="幼圆" w:hint="eastAsia"/>
                <w:lang w:val="en-US" w:eastAsia="zh-CN"/>
              </w:rPr>
              <w:t>（一）教师方面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_Toc957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1850" w:history="1">
            <w:r>
              <w:rPr>
                <w:rFonts w:ascii="幼圆" w:eastAsia="幼圆" w:hAnsi="幼圆" w:cs="幼圆" w:hint="eastAsia"/>
                <w:lang w:val="en-US" w:eastAsia="zh-CN"/>
              </w:rPr>
              <w:t>1.教师课前准备不充分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_Toc21850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6891" w:history="1">
            <w:r>
              <w:rPr>
                <w:rFonts w:ascii="幼圆" w:eastAsia="幼圆" w:hAnsi="幼圆" w:cs="幼圆" w:hint="eastAsia"/>
                <w:lang w:val="en-US" w:eastAsia="zh-CN"/>
              </w:rPr>
              <w:t>2.教师教学方式单一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_Toc6891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sectPr>
              <w:headerReference w:type="default" r:id="rId6"/>
              <w:footerReference w:type="default" r:id="rId7"/>
              <w:footnotePr>
                <w:pos w:val="beneathText"/>
              </w:footnotePr>
              <w:pgSz w:w="11906" w:h="16838"/>
              <w:pgMar w:top="1440" w:right="850" w:bottom="1440" w:left="1701" w:header="851" w:footer="992" w:gutter="0"/>
              <w:pgBorders>
                <w:top w:val="single" w:sz="4" w:space="1" w:color="auto"/>
                <w:left w:val="none" w:sz="0" w:space="0" w:color="auto"/>
                <w:bottom w:val="single" w:sz="4" w:space="1" w:color="auto"/>
                <w:right w:val="none" w:sz="0" w:space="0" w:color="auto"/>
              </w:pgBorders>
              <w:pgNumType w:fmt="decimal" w:start="1"/>
              <w:cols w:num="1" w:space="425"/>
              <w:docGrid w:type="lines" w:linePitch="312" w:charSpace="0"/>
            </w:sectPr>
          </w:pPr>
          <w:hyperlink w:anchor="_Toc3756" w:history="1">
            <w:r>
              <w:rPr>
                <w:rFonts w:ascii="幼圆" w:eastAsia="幼圆" w:hAnsi="幼圆" w:cs="幼圆" w:hint="eastAsia"/>
                <w:lang w:val="en-US" w:eastAsia="zh-CN"/>
              </w:rPr>
              <w:t>3.教师课堂管理能力不足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_Toc3756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sdtContent>
    </w:sdt>
    <w:sdt>
      <w:sdtPr>
        <w:rPr>
          <w:rFonts w:ascii="幼圆" w:eastAsia="幼圆" w:hAnsi="幼圆" w:cs="幼圆" w:hint="eastAsia"/>
          <w:kern w:val="2"/>
          <w:sz w:val="21"/>
          <w:szCs w:val="24"/>
          <w:lang w:val="en-US" w:eastAsia="zh-CN" w:bidi="ar-SA"/>
        </w:rPr>
        <w:id w:val="1720608669"/>
        <w:docPartObj>
          <w:docPartGallery w:val="Table of Contents"/>
          <w:docPartUnique/>
        </w:docPartObj>
        <w15:color w:val="DBDBDB"/>
      </w:sdtPr>
      <w:sdtEndPr>
        <w:rPr>
          <w:rFonts w:ascii="幼圆" w:eastAsia="幼圆" w:hAnsi="幼圆" w:cs="幼圆" w:hint="eastAsia"/>
          <w:bCs w:val="0"/>
          <w:kern w:val="2"/>
          <w:sz w:val="21"/>
          <w:szCs w:val="24"/>
          <w:lang w:val="en-US" w:eastAsia="zh-CN" w:bidi="ar-SA"/>
        </w:rPr>
      </w:sdtEndPr>
      <w:sdtContent>
        <w:p>
          <w:pPr>
            <w:pStyle w:val="TOC3"/>
            <w:tabs>
              <w:tab w:val="right" w:leader="dot" w:pos="9355"/>
            </w:tabs>
            <w:rPr>
              <w:rFonts w:ascii="幼圆" w:eastAsia="幼圆" w:hAnsi="幼圆" w:cs="幼圆" w:hint="eastAsia"/>
            </w:rPr>
          </w:pPr>
          <w:hyperlink w:anchor="_Toc19196" w:history="1">
            <w:r>
              <w:rPr>
                <w:rFonts w:ascii="幼圆" w:eastAsia="幼圆" w:hAnsi="幼圆" w:cs="幼圆" w:hint="eastAsia"/>
                <w:lang w:val="en-US" w:eastAsia="zh-CN"/>
              </w:rPr>
              <w:t>4.教师的课堂评价单一乏味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_Toc19196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24708" w:history="1">
            <w:r>
              <w:rPr>
                <w:rFonts w:ascii="幼圆" w:eastAsia="幼圆" w:hAnsi="幼圆" w:cs="幼圆" w:hint="eastAsia"/>
                <w:lang w:val="en-US" w:eastAsia="zh-CN"/>
              </w:rPr>
              <w:t>（二）学生方面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_Toc24708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9699" w:history="1">
            <w:r>
              <w:rPr>
                <w:rFonts w:ascii="幼圆" w:eastAsia="幼圆" w:hAnsi="幼圆" w:cs="幼圆" w:hint="eastAsia"/>
                <w:lang w:val="en-US" w:eastAsia="zh-CN"/>
              </w:rPr>
              <w:t>1.学生在数学课堂参与中自信心不足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_Toc19699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6976" w:history="1">
            <w:r>
              <w:rPr>
                <w:rFonts w:ascii="幼圆" w:eastAsia="幼圆" w:hAnsi="幼圆" w:cs="幼圆" w:hint="eastAsia"/>
                <w:lang w:val="en-US" w:eastAsia="zh-CN"/>
              </w:rPr>
              <w:t>2.学生在数学课堂中注意力不集中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_Toc6976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5975" w:history="1">
            <w:r>
              <w:rPr>
                <w:rFonts w:ascii="幼圆" w:eastAsia="幼圆" w:hAnsi="幼圆" w:cs="幼圆" w:hint="eastAsia"/>
                <w:lang w:val="en-US" w:eastAsia="zh-CN"/>
              </w:rPr>
              <w:t>3.学生在数学课堂中有时会死记硬背</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_Toc25975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2440" w:history="1">
            <w:r>
              <w:rPr>
                <w:rFonts w:ascii="幼圆" w:eastAsia="幼圆" w:hAnsi="幼圆" w:cs="幼圆" w:hint="eastAsia"/>
                <w:lang w:val="en-US" w:eastAsia="zh-CN"/>
              </w:rPr>
              <w:t>4.学生在数学课堂参与中缺乏主动性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_Toc22440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32261" w:history="1">
            <w:r>
              <w:rPr>
                <w:rFonts w:ascii="幼圆" w:eastAsia="幼圆" w:hAnsi="幼圆" w:cs="幼圆" w:hint="eastAsia"/>
                <w:lang w:val="en-US" w:eastAsia="zh-CN"/>
              </w:rPr>
              <w:t>五、 小学五年级学生数学课堂参与的优化策略与建议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_Toc32261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1485" w:history="1">
            <w:r>
              <w:rPr>
                <w:rFonts w:ascii="幼圆" w:eastAsia="幼圆" w:hAnsi="幼圆" w:cs="幼圆" w:hint="eastAsia"/>
                <w:lang w:val="en-US" w:eastAsia="zh-CN"/>
              </w:rPr>
              <w:t>（一）教师方面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_Toc1485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6828" w:history="1">
            <w:r>
              <w:rPr>
                <w:rFonts w:ascii="幼圆" w:eastAsia="幼圆" w:hAnsi="幼圆" w:cs="幼圆" w:hint="eastAsia"/>
                <w:lang w:val="en-US" w:eastAsia="zh-CN"/>
              </w:rPr>
              <w:t>1.教师要在课前充分准备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_Toc26828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0476" w:history="1">
            <w:r>
              <w:rPr>
                <w:rFonts w:ascii="幼圆" w:eastAsia="幼圆" w:hAnsi="幼圆" w:cs="幼圆" w:hint="eastAsia"/>
                <w:lang w:val="en-US" w:eastAsia="zh-CN"/>
              </w:rPr>
              <w:t>2.教师要丰富教学方式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_Toc20476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1345" w:history="1">
            <w:r>
              <w:rPr>
                <w:rFonts w:ascii="幼圆" w:eastAsia="幼圆" w:hAnsi="幼圆" w:cs="幼圆" w:hint="eastAsia"/>
                <w:lang w:val="en-US" w:eastAsia="zh-CN"/>
              </w:rPr>
              <w:t>3.教师要提高课堂管理能力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_Toc11345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3120" w:history="1">
            <w:r>
              <w:rPr>
                <w:rFonts w:ascii="幼圆" w:eastAsia="幼圆" w:hAnsi="幼圆" w:cs="幼圆" w:hint="eastAsia"/>
                <w:lang w:val="en-US" w:eastAsia="zh-CN"/>
              </w:rPr>
              <w:t>4.教师的评价方式要多样化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_Toc23120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right" w:leader="dot" w:pos="9355"/>
            </w:tabs>
            <w:rPr>
              <w:rFonts w:ascii="幼圆" w:eastAsia="幼圆" w:hAnsi="幼圆" w:cs="幼圆" w:hint="eastAsia"/>
            </w:rPr>
          </w:pPr>
          <w:hyperlink w:anchor="_Toc23886" w:history="1">
            <w:r>
              <w:rPr>
                <w:rFonts w:ascii="幼圆" w:eastAsia="幼圆" w:hAnsi="幼圆" w:cs="幼圆" w:hint="eastAsia"/>
                <w:lang w:val="en-US" w:eastAsia="zh-CN"/>
              </w:rPr>
              <w:t>（二）学生方面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_Toc23886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27542" w:history="1">
            <w:r>
              <w:rPr>
                <w:rFonts w:ascii="幼圆" w:eastAsia="幼圆" w:hAnsi="幼圆" w:cs="幼圆" w:hint="eastAsia"/>
                <w:lang w:val="en-US" w:eastAsia="zh-CN"/>
              </w:rPr>
              <w:t>1.学生需正确认识自己，树立数学课堂参与自信心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_Toc27542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03" w:history="1">
            <w:r>
              <w:rPr>
                <w:rFonts w:ascii="幼圆" w:eastAsia="幼圆" w:hAnsi="幼圆" w:cs="幼圆" w:hint="eastAsia"/>
                <w:lang w:val="en-US" w:eastAsia="zh-CN"/>
              </w:rPr>
              <w:t>2.向他人学习有效的学习方法，增强数学课堂参与度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_Toc103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12970" w:history="1">
            <w:r>
              <w:rPr>
                <w:rFonts w:ascii="幼圆" w:eastAsia="幼圆" w:hAnsi="幼圆" w:cs="幼圆" w:hint="eastAsia"/>
                <w:lang w:val="en-US" w:eastAsia="zh-CN"/>
              </w:rPr>
              <w:t>3.锻炼注意力集中，提高数学课堂参与的自控能力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_Toc12970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355"/>
            </w:tabs>
            <w:rPr>
              <w:rFonts w:ascii="幼圆" w:eastAsia="幼圆" w:hAnsi="幼圆" w:cs="幼圆" w:hint="eastAsia"/>
            </w:rPr>
          </w:pPr>
          <w:hyperlink w:anchor="_Toc31402" w:history="1">
            <w:r>
              <w:rPr>
                <w:rFonts w:ascii="幼圆" w:eastAsia="幼圆" w:hAnsi="幼圆" w:cs="幼圆" w:hint="eastAsia"/>
                <w:lang w:val="en-US" w:eastAsia="zh-CN"/>
              </w:rPr>
              <w:t>4.学</w:t>
            </w:r>
            <w:r>
              <w:rPr>
                <w:rFonts w:ascii="幼圆" w:eastAsia="幼圆" w:hAnsi="幼圆" w:cs="幼圆" w:hint="eastAsia"/>
                <w:lang w:val="en-US" w:eastAsia="zh-CN"/>
              </w:rPr>
              <w:t>生</w:t>
            </w:r>
            <w:r>
              <w:rPr>
                <w:rFonts w:ascii="幼圆" w:eastAsia="幼圆" w:hAnsi="幼圆" w:cs="幼圆" w:hint="eastAsia"/>
                <w:lang w:val="en-US" w:eastAsia="zh-CN"/>
              </w:rPr>
              <w:t>要提高思考能力，主动参与数学课堂</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_Toc31402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13182" w:history="1">
            <w:r>
              <w:rPr>
                <w:rFonts w:ascii="幼圆" w:eastAsia="幼圆" w:hAnsi="幼圆" w:cs="幼圆" w:hint="eastAsia"/>
                <w:bCs w:val="0"/>
                <w:szCs w:val="32"/>
                <w:lang w:val="en-US" w:eastAsia="zh-CN"/>
              </w:rPr>
              <w:t>结语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_Toc13182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3834" w:history="1">
            <w:r>
              <w:rPr>
                <w:rFonts w:ascii="幼圆" w:eastAsia="幼圆" w:hAnsi="幼圆" w:cs="幼圆" w:hint="eastAsia"/>
                <w:bCs w:val="0"/>
                <w:szCs w:val="32"/>
                <w:lang w:val="en-US" w:eastAsia="zh-CN"/>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_Toc3834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6091" w:history="1">
            <w:r>
              <w:rPr>
                <w:rFonts w:ascii="幼圆" w:eastAsia="幼圆" w:hAnsi="幼圆" w:cs="幼圆" w:hint="eastAsia"/>
                <w:bCs w:val="0"/>
                <w:szCs w:val="32"/>
                <w:lang w:val="en-US" w:eastAsia="zh-CN"/>
              </w:rPr>
              <w:t>附录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_Toc6091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22534" w:history="1">
            <w:r>
              <w:rPr>
                <w:rFonts w:ascii="幼圆" w:eastAsia="幼圆" w:hAnsi="幼圆" w:cs="幼圆" w:hint="eastAsia"/>
                <w:bCs w:val="0"/>
                <w:szCs w:val="32"/>
                <w:lang w:val="en-US" w:eastAsia="zh-CN"/>
              </w:rPr>
              <w:t>附录一：观察表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_Toc22534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right" w:leader="dot" w:pos="9355"/>
            </w:tabs>
            <w:rPr>
              <w:rFonts w:ascii="幼圆" w:eastAsia="幼圆" w:hAnsi="幼圆" w:cs="幼圆" w:hint="eastAsia"/>
            </w:rPr>
          </w:pPr>
          <w:hyperlink w:anchor="_Toc26595" w:history="1">
            <w:r>
              <w:rPr>
                <w:rFonts w:ascii="幼圆" w:eastAsia="幼圆" w:hAnsi="幼圆" w:cs="幼圆" w:hint="eastAsia"/>
                <w:bCs w:val="0"/>
                <w:szCs w:val="32"/>
                <w:lang w:val="en-US" w:eastAsia="zh-CN"/>
              </w:rPr>
              <w:t>附录二：调查问卷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_Toc26595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spacing w:line="360" w:lineRule="auto"/>
            <w:ind w:firstLine="420" w:firstLineChars="200"/>
            <w:rPr>
              <w:rFonts w:ascii="幼圆" w:eastAsia="幼圆" w:hAnsi="幼圆" w:cs="幼圆" w:hint="eastAsia"/>
              <w:b w:val="0"/>
              <w:bCs w:val="0"/>
              <w:sz w:val="24"/>
            </w:rPr>
          </w:pPr>
          <w:r>
            <w:rPr>
              <w:rFonts w:ascii="幼圆" w:eastAsia="幼圆" w:hAnsi="幼圆" w:cs="幼圆" w:hint="eastAsia"/>
              <w:bCs w:val="0"/>
              <w:szCs w:val="24"/>
            </w:rPr>
            <w:fldChar w:fldCharType="end"/>
          </w:r>
        </w:p>
      </w:sdtContent>
    </w:sdt>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pPr>
    </w:p>
    <w:p>
      <w:pPr>
        <w:spacing w:line="360" w:lineRule="auto"/>
        <w:ind w:firstLine="480" w:firstLineChars="200"/>
        <w:rPr>
          <w:rFonts w:ascii="幼圆" w:eastAsia="幼圆" w:hAnsi="幼圆" w:cs="幼圆" w:hint="eastAsia"/>
          <w:b w:val="0"/>
          <w:bCs w:val="0"/>
          <w:sz w:val="24"/>
        </w:rPr>
        <w:sectPr>
          <w:headerReference w:type="default" r:id="rId8"/>
          <w:footerReference w:type="default" r:id="rId9"/>
          <w:footnotePr>
            <w:pos w:val="beneathText"/>
          </w:footnotePr>
          <w:type w:val="nextPage"/>
          <w:pgSz w:w="11906" w:h="16838"/>
          <w:pgMar w:top="1440" w:right="850" w:bottom="1440" w:left="1701" w:header="851" w:footer="992" w:gutter="0"/>
          <w:pgBorders>
            <w:top w:val="single" w:sz="4" w:space="1" w:color="auto"/>
            <w:left w:val="none" w:sz="0" w:space="0" w:color="auto"/>
            <w:bottom w:val="single" w:sz="4" w:space="1" w:color="auto"/>
            <w:right w:val="none" w:sz="0" w:space="0" w:color="auto"/>
          </w:pgBorders>
          <w:pgNumType w:fmt="decimal" w:start="2"/>
          <w:cols w:num="1" w:space="425"/>
          <w:titlePg w:val="0"/>
          <w:docGrid w:type="lines" w:linePitch="312" w:charSpace="0"/>
        </w:sectPr>
      </w:pPr>
    </w:p>
    <w:p>
      <w:pPr>
        <w:spacing w:line="360" w:lineRule="auto"/>
        <w:ind w:firstLine="480" w:firstLineChars="200"/>
        <w:rPr>
          <w:rFonts w:ascii="幼圆" w:eastAsia="幼圆" w:hAnsi="幼圆" w:cs="幼圆" w:hint="eastAsia"/>
          <w:b w:val="0"/>
          <w:bCs w:val="0"/>
          <w:sz w:val="24"/>
        </w:rPr>
      </w:pPr>
    </w:p>
    <w:p>
      <w:pPr>
        <w:pStyle w:val="Heading1"/>
        <w:keepNext/>
        <w:keepLines/>
        <w:pageBreakBefore w:val="0"/>
        <w:widowControl w:val="0"/>
        <w:numPr>
          <w:ilvl w:val="0"/>
          <w:numId w:val="1"/>
        </w:numPr>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lang w:val="en-US" w:eastAsia="zh-CN"/>
        </w:rPr>
      </w:pPr>
      <w:bookmarkStart w:id="1" w:name="_Toc1638"/>
      <w:bookmarkStart w:id="2" w:name="_Toc24681"/>
      <w:r>
        <w:rPr>
          <w:rFonts w:ascii="幼圆" w:eastAsia="幼圆" w:hAnsi="幼圆" w:cs="幼圆" w:hint="eastAsia"/>
          <w:lang w:val="en-US" w:eastAsia="zh-CN"/>
        </w:rPr>
        <w:t>绪论</w:t>
      </w:r>
      <w:bookmarkEnd w:id="1"/>
      <w:bookmarkEnd w:id="2"/>
    </w:p>
    <w:p>
      <w:pPr>
        <w:pStyle w:val="Heading2"/>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color w:val="auto"/>
          <w:szCs w:val="24"/>
          <w:lang w:val="en-US" w:eastAsia="zh-CN"/>
        </w:rPr>
      </w:pPr>
      <w:bookmarkStart w:id="3" w:name="_Toc7699"/>
      <w:bookmarkStart w:id="4" w:name="_Toc27406"/>
      <w:r>
        <w:rPr>
          <w:rFonts w:ascii="幼圆" w:eastAsia="幼圆" w:hAnsi="幼圆" w:cs="幼圆" w:hint="eastAsia"/>
          <w:lang w:val="en-US" w:eastAsia="zh-CN"/>
        </w:rPr>
        <w:t>（一）研究</w:t>
      </w:r>
      <w:r>
        <w:rPr>
          <w:rFonts w:ascii="幼圆" w:eastAsia="幼圆" w:hAnsi="幼圆" w:cs="幼圆" w:hint="eastAsia"/>
          <w:lang w:val="en-US" w:eastAsia="zh-CN"/>
        </w:rPr>
        <w:t>缘起</w:t>
      </w:r>
      <w:bookmarkEnd w:id="3"/>
      <w:bookmarkEnd w:id="4"/>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color w:val="auto"/>
          <w:sz w:val="24"/>
        </w:rPr>
      </w:pPr>
      <w:r>
        <w:rPr>
          <w:rFonts w:ascii="幼圆" w:eastAsia="幼圆" w:hAnsi="幼圆" w:cs="幼圆" w:hint="eastAsia"/>
          <w:color w:val="auto"/>
          <w:sz w:val="24"/>
          <w:lang w:val="en-US" w:eastAsia="zh-CN"/>
        </w:rPr>
        <w:t>在</w:t>
      </w:r>
      <w:r>
        <w:rPr>
          <w:rFonts w:ascii="幼圆" w:eastAsia="幼圆" w:hAnsi="幼圆" w:cs="幼圆" w:hint="eastAsia"/>
          <w:color w:val="auto"/>
          <w:sz w:val="24"/>
          <w:lang w:val="en-US" w:eastAsia="zh-CN"/>
        </w:rPr>
        <w:t>数学</w:t>
      </w:r>
      <w:r>
        <w:rPr>
          <w:rFonts w:ascii="幼圆" w:eastAsia="幼圆" w:hAnsi="幼圆" w:cs="幼圆" w:hint="eastAsia"/>
          <w:color w:val="auto"/>
          <w:sz w:val="24"/>
          <w:lang w:val="en-US" w:eastAsia="zh-CN"/>
        </w:rPr>
        <w:t>课堂教学中</w:t>
      </w:r>
      <w:r>
        <w:rPr>
          <w:rFonts w:ascii="幼圆" w:eastAsia="幼圆" w:hAnsi="幼圆" w:cs="幼圆" w:hint="eastAsia"/>
          <w:color w:val="auto"/>
          <w:sz w:val="24"/>
          <w:lang w:val="en-US" w:eastAsia="zh-CN"/>
        </w:rPr>
        <w:t>，大多数小学五年级的学生在</w:t>
      </w:r>
      <w:r>
        <w:rPr>
          <w:rFonts w:ascii="幼圆" w:eastAsia="幼圆" w:hAnsi="幼圆" w:cs="幼圆" w:hint="eastAsia"/>
          <w:color w:val="auto"/>
          <w:sz w:val="24"/>
          <w:lang w:val="en-US" w:eastAsia="zh-CN"/>
        </w:rPr>
        <w:t>课堂中的</w:t>
      </w:r>
      <w:r>
        <w:rPr>
          <w:rFonts w:ascii="幼圆" w:eastAsia="幼圆" w:hAnsi="幼圆" w:cs="幼圆" w:hint="eastAsia"/>
          <w:color w:val="auto"/>
          <w:sz w:val="24"/>
          <w:lang w:val="en-US" w:eastAsia="zh-CN"/>
        </w:rPr>
        <w:t>表现并不积极，参与度也不是很高</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学生在课堂上的表现分为两</w:t>
      </w:r>
      <w:r>
        <w:rPr>
          <w:rFonts w:ascii="幼圆" w:eastAsia="幼圆" w:hAnsi="幼圆" w:cs="幼圆" w:hint="eastAsia"/>
          <w:color w:val="auto"/>
          <w:sz w:val="24"/>
          <w:lang w:val="en-US" w:eastAsia="zh-CN"/>
        </w:rPr>
        <w:t>大</w:t>
      </w:r>
      <w:r>
        <w:rPr>
          <w:rFonts w:ascii="幼圆" w:eastAsia="幼圆" w:hAnsi="幼圆" w:cs="幼圆" w:hint="eastAsia"/>
          <w:color w:val="auto"/>
          <w:sz w:val="24"/>
          <w:lang w:val="en-US" w:eastAsia="zh-CN"/>
        </w:rPr>
        <w:t>类：</w:t>
      </w:r>
      <w:r>
        <w:rPr>
          <w:rFonts w:ascii="幼圆" w:eastAsia="幼圆" w:hAnsi="幼圆" w:cs="幼圆" w:hint="eastAsia"/>
          <w:color w:val="auto"/>
          <w:sz w:val="24"/>
          <w:lang w:val="en-US" w:eastAsia="zh-CN"/>
        </w:rPr>
        <w:t>其中</w:t>
      </w:r>
      <w:r>
        <w:rPr>
          <w:rFonts w:ascii="幼圆" w:eastAsia="幼圆" w:hAnsi="幼圆" w:cs="幼圆" w:hint="eastAsia"/>
          <w:color w:val="auto"/>
          <w:sz w:val="24"/>
          <w:lang w:val="en-US" w:eastAsia="zh-CN"/>
        </w:rPr>
        <w:t>一类</w:t>
      </w:r>
      <w:r>
        <w:rPr>
          <w:rFonts w:ascii="幼圆" w:eastAsia="幼圆" w:hAnsi="幼圆" w:cs="幼圆" w:hint="eastAsia"/>
          <w:color w:val="auto"/>
          <w:sz w:val="24"/>
          <w:lang w:val="en-US" w:eastAsia="zh-CN"/>
        </w:rPr>
        <w:t>学生</w:t>
      </w:r>
      <w:r>
        <w:rPr>
          <w:rFonts w:ascii="幼圆" w:eastAsia="幼圆" w:hAnsi="幼圆" w:cs="幼圆" w:hint="eastAsia"/>
          <w:color w:val="auto"/>
          <w:sz w:val="24"/>
          <w:lang w:val="en-US" w:eastAsia="zh-CN"/>
        </w:rPr>
        <w:t>在课堂上</w:t>
      </w:r>
      <w:r>
        <w:rPr>
          <w:rFonts w:ascii="幼圆" w:eastAsia="幼圆" w:hAnsi="幼圆" w:cs="幼圆" w:hint="eastAsia"/>
          <w:color w:val="auto"/>
          <w:sz w:val="24"/>
          <w:lang w:val="en-US" w:eastAsia="zh-CN"/>
        </w:rPr>
        <w:t>完全没有表现</w:t>
      </w:r>
      <w:r>
        <w:rPr>
          <w:rFonts w:ascii="幼圆" w:eastAsia="幼圆" w:hAnsi="幼圆" w:cs="幼圆" w:hint="eastAsia"/>
          <w:color w:val="auto"/>
          <w:sz w:val="24"/>
          <w:lang w:val="en-US" w:eastAsia="zh-CN"/>
        </w:rPr>
        <w:t>，对教师的提问</w:t>
      </w:r>
      <w:r>
        <w:rPr>
          <w:rFonts w:ascii="幼圆" w:eastAsia="幼圆" w:hAnsi="幼圆" w:cs="幼圆" w:hint="eastAsia"/>
          <w:color w:val="auto"/>
          <w:sz w:val="24"/>
          <w:lang w:val="en-US" w:eastAsia="zh-CN"/>
        </w:rPr>
        <w:t>没有回应，与同学也没有互动交流</w:t>
      </w:r>
      <w:r>
        <w:rPr>
          <w:rFonts w:ascii="幼圆" w:eastAsia="幼圆" w:hAnsi="幼圆" w:cs="幼圆" w:hint="eastAsia"/>
          <w:color w:val="auto"/>
          <w:sz w:val="24"/>
          <w:lang w:val="en-US" w:eastAsia="zh-CN"/>
        </w:rPr>
        <w:t>，对课堂没有参与的</w:t>
      </w:r>
      <w:r>
        <w:rPr>
          <w:rFonts w:ascii="幼圆" w:eastAsia="幼圆" w:hAnsi="幼圆" w:cs="幼圆" w:hint="eastAsia"/>
          <w:color w:val="auto"/>
          <w:sz w:val="24"/>
          <w:lang w:val="en-US" w:eastAsia="zh-CN"/>
        </w:rPr>
        <w:t>兴趣</w:t>
      </w:r>
      <w:r>
        <w:rPr>
          <w:rFonts w:ascii="幼圆" w:eastAsia="幼圆" w:hAnsi="幼圆" w:cs="幼圆" w:hint="eastAsia"/>
          <w:color w:val="auto"/>
          <w:sz w:val="24"/>
          <w:lang w:val="en-US" w:eastAsia="zh-CN"/>
        </w:rPr>
        <w:t>；另一类学生</w:t>
      </w:r>
      <w:r>
        <w:rPr>
          <w:rFonts w:ascii="幼圆" w:eastAsia="幼圆" w:hAnsi="幼圆" w:cs="幼圆" w:hint="eastAsia"/>
          <w:color w:val="auto"/>
          <w:sz w:val="24"/>
          <w:lang w:val="en-US" w:eastAsia="zh-CN"/>
        </w:rPr>
        <w:t>则是表面应付</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从表面来看似乎是在参与</w:t>
      </w:r>
      <w:r>
        <w:rPr>
          <w:rFonts w:ascii="幼圆" w:eastAsia="幼圆" w:hAnsi="幼圆" w:cs="幼圆" w:hint="eastAsia"/>
          <w:color w:val="auto"/>
          <w:sz w:val="24"/>
          <w:lang w:val="en-US" w:eastAsia="zh-CN"/>
        </w:rPr>
        <w:t>课堂，</w:t>
      </w:r>
      <w:r>
        <w:rPr>
          <w:rFonts w:ascii="幼圆" w:eastAsia="幼圆" w:hAnsi="幼圆" w:cs="幼圆" w:hint="eastAsia"/>
          <w:color w:val="auto"/>
          <w:sz w:val="24"/>
          <w:lang w:val="en-US" w:eastAsia="zh-CN"/>
        </w:rPr>
        <w:t>实际上只是学生</w:t>
      </w:r>
      <w:r>
        <w:rPr>
          <w:rFonts w:ascii="幼圆" w:eastAsia="幼圆" w:hAnsi="幼圆" w:cs="幼圆" w:hint="eastAsia"/>
          <w:color w:val="auto"/>
          <w:sz w:val="24"/>
          <w:lang w:val="en-US" w:eastAsia="zh-CN"/>
        </w:rPr>
        <w:t>为了配合教师完成课堂教学</w:t>
      </w:r>
      <w:r>
        <w:rPr>
          <w:rFonts w:ascii="幼圆" w:eastAsia="幼圆" w:hAnsi="幼圆" w:cs="幼圆" w:hint="eastAsia"/>
          <w:color w:val="auto"/>
          <w:sz w:val="24"/>
          <w:lang w:val="en-US" w:eastAsia="zh-CN"/>
        </w:rPr>
        <w:t>而在行为上应付教师</w:t>
      </w:r>
      <w:r>
        <w:rPr>
          <w:rFonts w:ascii="幼圆" w:eastAsia="幼圆" w:hAnsi="幼圆" w:cs="幼圆" w:hint="eastAsia"/>
          <w:color w:val="auto"/>
          <w:sz w:val="24"/>
          <w:lang w:val="en-US" w:eastAsia="zh-CN"/>
        </w:rPr>
        <w:t>，并没有认知参与和情感参与</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这种状态有学者称之为‘隐性逃课’，学生虽然每次都来上课，表面上是在认真听课，实际上则‘人在神离’，导致学校课堂教学的管理效果不佳。</w:t>
      </w:r>
      <w:r>
        <w:rPr>
          <w:rFonts w:ascii="幼圆" w:eastAsia="幼圆" w:hAnsi="幼圆" w:cs="幼圆" w:hint="eastAsia"/>
          <w:color w:val="auto"/>
          <w:sz w:val="24"/>
          <w:lang w:val="en-US" w:eastAsia="zh-CN"/>
        </w:rPr>
        <w:t>”</w:t>
      </w:r>
      <w:r>
        <w:rPr>
          <w:rStyle w:val="FootnoteReference"/>
          <w:rFonts w:ascii="幼圆" w:eastAsia="幼圆" w:hAnsi="幼圆" w:cs="幼圆" w:hint="eastAsia"/>
          <w:color w:val="auto"/>
          <w:sz w:val="24"/>
          <w:lang w:val="en-US" w:eastAsia="zh-CN"/>
        </w:rPr>
        <w:t>[</w:t>
      </w:r>
      <w:r>
        <w:rPr>
          <w:rStyle w:val="FootnoteReference"/>
          <w:rFonts w:ascii="幼圆" w:eastAsia="幼圆" w:hAnsi="幼圆" w:cs="幼圆" w:hint="eastAsia"/>
          <w:color w:val="auto"/>
          <w:sz w:val="24"/>
          <w:lang w:val="en-US" w:eastAsia="zh-CN"/>
        </w:rPr>
        <w:footnoteReference w:id="2"/>
      </w:r>
      <w:r>
        <w:rPr>
          <w:rStyle w:val="FootnoteReference"/>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笔者在小学实习期间，发现</w:t>
      </w:r>
      <w:r>
        <w:rPr>
          <w:rFonts w:ascii="幼圆" w:eastAsia="幼圆" w:hAnsi="幼圆" w:cs="幼圆" w:hint="eastAsia"/>
          <w:color w:val="auto"/>
          <w:sz w:val="24"/>
          <w:lang w:val="en-US" w:eastAsia="zh-CN"/>
        </w:rPr>
        <w:t>这</w:t>
      </w:r>
      <w:r>
        <w:rPr>
          <w:rFonts w:ascii="幼圆" w:eastAsia="幼圆" w:hAnsi="幼圆" w:cs="幼圆" w:hint="eastAsia"/>
          <w:color w:val="auto"/>
          <w:sz w:val="24"/>
          <w:lang w:val="en-US" w:eastAsia="zh-CN"/>
        </w:rPr>
        <w:t>两种不同类型的小</w:t>
      </w:r>
      <w:r>
        <w:rPr>
          <w:rFonts w:ascii="幼圆" w:eastAsia="幼圆" w:hAnsi="幼圆" w:cs="幼圆" w:hint="eastAsia"/>
          <w:color w:val="auto"/>
          <w:sz w:val="24"/>
          <w:lang w:val="en-US" w:eastAsia="zh-CN"/>
        </w:rPr>
        <w:t>学生</w:t>
      </w:r>
      <w:r>
        <w:rPr>
          <w:rFonts w:ascii="幼圆" w:eastAsia="幼圆" w:hAnsi="幼圆" w:cs="幼圆" w:hint="eastAsia"/>
          <w:color w:val="auto"/>
          <w:sz w:val="24"/>
          <w:lang w:val="en-US" w:eastAsia="zh-CN"/>
        </w:rPr>
        <w:t>在五年级的数学课堂中是比较常见的</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大多数学生只是在学习行为上表现出主动配合教师并做出应答，但学生的学习思维没有主动跟随任课教师的整个教学研究进程，只是被动地接受任课教师所教授的基础知识，在数学课堂上没有理解的知识点，在课后也不会主动向任课教师本人请教数学问题,久而久之,学生不能独立形成自己的一种数学问题思维,只会被动地去接受教师学习，这将会导致学生对数学学习形成焦虑甚至是逃避的行为，从而</w:t>
      </w:r>
      <w:r>
        <w:rPr>
          <w:rFonts w:ascii="幼圆" w:eastAsia="幼圆" w:hAnsi="幼圆" w:cs="幼圆" w:hint="eastAsia"/>
          <w:color w:val="auto"/>
          <w:sz w:val="24"/>
          <w:lang w:val="en-US" w:eastAsia="zh-CN"/>
        </w:rPr>
        <w:t>导致</w:t>
      </w:r>
      <w:r>
        <w:rPr>
          <w:rFonts w:ascii="幼圆" w:eastAsia="幼圆" w:hAnsi="幼圆" w:cs="幼圆" w:hint="eastAsia"/>
          <w:color w:val="auto"/>
          <w:sz w:val="24"/>
          <w:lang w:val="en-US" w:eastAsia="zh-CN"/>
        </w:rPr>
        <w:t>教师</w:t>
      </w:r>
      <w:r>
        <w:rPr>
          <w:rFonts w:ascii="幼圆" w:eastAsia="幼圆" w:hAnsi="幼圆" w:cs="幼圆" w:hint="eastAsia"/>
          <w:color w:val="auto"/>
          <w:sz w:val="24"/>
          <w:lang w:val="en-US" w:eastAsia="zh-CN"/>
        </w:rPr>
        <w:t>的教学效果</w:t>
      </w:r>
      <w:r>
        <w:rPr>
          <w:rFonts w:ascii="幼圆" w:eastAsia="幼圆" w:hAnsi="幼圆" w:cs="幼圆" w:hint="eastAsia"/>
          <w:color w:val="auto"/>
          <w:sz w:val="24"/>
          <w:lang w:val="en-US" w:eastAsia="zh-CN"/>
        </w:rPr>
        <w:t>不尽人意</w:t>
      </w:r>
      <w:r>
        <w:rPr>
          <w:rFonts w:ascii="幼圆" w:eastAsia="幼圆" w:hAnsi="幼圆" w:cs="幼圆" w:hint="eastAsia"/>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color w:val="auto"/>
          <w:sz w:val="24"/>
        </w:rPr>
      </w:pPr>
      <w:r>
        <w:rPr>
          <w:rFonts w:ascii="幼圆" w:eastAsia="幼圆" w:hAnsi="幼圆" w:cs="幼圆" w:hint="eastAsia"/>
          <w:color w:val="auto"/>
          <w:sz w:val="24"/>
          <w:lang w:val="en-US" w:eastAsia="zh-CN"/>
        </w:rPr>
        <w:t>在小学数学课堂的教学中，学生在课堂学习中的主体性就是学生能够主动参与课堂，“十九大提出：在发展教育事业中落实立德树人的根本任务和发展素质教育，努力让每个孩子都能享有公平而有质量的教育的教育理想，培养学生在小学数学课堂活动中的参与互动意识，帮助小学生主动地积极参与到小学数学课堂中是小学数学教学活动中的重要体现。”</w:t>
      </w:r>
      <w:r>
        <w:rPr>
          <w:rStyle w:val="FootnoteReference"/>
          <w:rFonts w:ascii="幼圆" w:eastAsia="幼圆" w:hAnsi="幼圆" w:cs="幼圆" w:hint="eastAsia"/>
          <w:color w:val="auto"/>
          <w:sz w:val="24"/>
          <w:lang w:val="en-US" w:eastAsia="zh-CN"/>
        </w:rPr>
        <w:t>[</w:t>
      </w:r>
      <w:r>
        <w:rPr>
          <w:rStyle w:val="FootnoteReference"/>
          <w:rFonts w:ascii="幼圆" w:eastAsia="幼圆" w:hAnsi="幼圆" w:cs="幼圆" w:hint="eastAsia"/>
          <w:color w:val="auto"/>
          <w:sz w:val="24"/>
          <w:lang w:val="en-US" w:eastAsia="zh-CN"/>
        </w:rPr>
        <w:footnoteReference w:id="3"/>
      </w:r>
      <w:r>
        <w:rPr>
          <w:rStyle w:val="FootnoteReference"/>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学生只有在个体行为、情感和自我认知三个环节都积极主动投入参与到课堂教学实践过程中，教育教学质量水平才能真正得到进一步的巨大提升，立德树人的根本任务才能得到落实，让每个孩子都能享有公平而有质量的教育理想才能一步步实现。”</w:t>
      </w:r>
      <w:r>
        <w:rPr>
          <w:rStyle w:val="FootnoteReference"/>
          <w:rFonts w:ascii="幼圆" w:eastAsia="幼圆" w:hAnsi="幼圆" w:cs="幼圆" w:hint="eastAsia"/>
          <w:color w:val="auto"/>
          <w:sz w:val="24"/>
          <w:lang w:val="en-US" w:eastAsia="zh-CN"/>
        </w:rPr>
        <w:t>[</w:t>
      </w:r>
      <w:r>
        <w:rPr>
          <w:rStyle w:val="FootnoteReference"/>
          <w:rFonts w:ascii="幼圆" w:eastAsia="幼圆" w:hAnsi="幼圆" w:cs="幼圆" w:hint="eastAsia"/>
          <w:color w:val="auto"/>
          <w:sz w:val="24"/>
          <w:lang w:val="en-US" w:eastAsia="zh-CN"/>
        </w:rPr>
        <w:footnoteReference w:id="4"/>
      </w:r>
      <w:r>
        <w:rPr>
          <w:rStyle w:val="FootnoteReference"/>
          <w:rFonts w:ascii="幼圆" w:eastAsia="幼圆" w:hAnsi="幼圆" w:cs="幼圆" w:hint="eastAsia"/>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color w:val="auto"/>
          <w:sz w:val="24"/>
        </w:rPr>
        <w:sectPr>
          <w:headerReference w:type="default" r:id="rId10"/>
          <w:footerReference w:type="default" r:id="rId11"/>
          <w:footnotePr>
            <w:pos w:val="beneathText"/>
          </w:footnotePr>
          <w:type w:val="nextPage"/>
          <w:pgSz w:w="11906" w:h="16838"/>
          <w:pgMar w:top="1440" w:right="850" w:bottom="1440" w:left="1701" w:header="851" w:footer="992" w:gutter="0"/>
          <w:pgBorders>
            <w:top w:val="single" w:sz="4" w:space="1" w:color="auto"/>
            <w:left w:val="none" w:sz="0" w:space="0" w:color="auto"/>
            <w:bottom w:val="single" w:sz="4" w:space="1" w:color="auto"/>
            <w:right w:val="none" w:sz="0" w:space="0" w:color="auto"/>
          </w:pgBorders>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color w:val="auto"/>
          <w:sz w:val="24"/>
        </w:rPr>
      </w:pPr>
      <w:r>
        <w:rPr>
          <w:rFonts w:ascii="幼圆" w:eastAsia="幼圆" w:hAnsi="幼圆" w:cs="幼圆" w:hint="eastAsia"/>
          <w:color w:val="auto"/>
          <w:sz w:val="24"/>
          <w:lang w:val="en-US" w:eastAsia="zh-CN"/>
        </w:rPr>
        <w:t>基于上述目前小学五年级学生对于数学课堂主动参与教学现状中可能存在一些问题的综合分析,笔者认为,只有有效解决目前小学五年级学生对于数学课堂主动参与不能够积极主动存在的问题才能有效提高小学五年级学生的教育课堂主动参与教学水平,使更多学生主动积极参与到数学课堂中,主动形成属于学生自己的数学课堂思维,提高学生课堂教学的积极有效性。因此,本课题研究以A市Y小学五年级的小学生为主要研究主题对象,采用问卷调查法和在数学课堂中进行的观察法结合进行分析研究,深入浅出分析一下A市Y小学五年级小学生的数学课堂参与度的现状,找出其中的关键问题并深入分析了其产生这类问题的根本原因,并据此提出几种具有建设性的数学改进教育策略及建议。</w:t>
      </w:r>
    </w:p>
    <w:p>
      <w:pPr>
        <w:pStyle w:val="Heading2"/>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color w:val="auto"/>
          <w:lang w:val="en-US" w:eastAsia="zh-CN"/>
        </w:rPr>
      </w:pPr>
      <w:bookmarkStart w:id="5" w:name="_Toc19918"/>
      <w:bookmarkStart w:id="6" w:name="_Toc18228"/>
      <w:r>
        <w:rPr>
          <w:rFonts w:ascii="幼圆" w:eastAsia="幼圆" w:hAnsi="幼圆" w:cs="幼圆" w:hint="eastAsia"/>
          <w:color w:val="auto"/>
          <w:lang w:val="en-US" w:eastAsia="zh-CN"/>
        </w:rPr>
        <w:t>（二）</w:t>
      </w:r>
      <w:bookmarkEnd w:id="5"/>
      <w:r>
        <w:rPr>
          <w:rFonts w:ascii="幼圆" w:eastAsia="幼圆" w:hAnsi="幼圆" w:cs="幼圆" w:hint="eastAsia"/>
          <w:color w:val="auto"/>
          <w:lang w:val="en-US" w:eastAsia="zh-CN"/>
        </w:rPr>
        <w:t>文献综述</w:t>
      </w:r>
      <w:bookmarkEnd w:id="6"/>
    </w:p>
    <w:p>
      <w:pPr>
        <w:pStyle w:val="Heading3"/>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lang w:val="en-US" w:eastAsia="zh-CN"/>
        </w:rPr>
      </w:pPr>
      <w:bookmarkStart w:id="7" w:name="_Toc10883"/>
      <w:r>
        <w:rPr>
          <w:rFonts w:ascii="幼圆" w:eastAsia="幼圆" w:hAnsi="幼圆" w:cs="幼圆" w:hint="eastAsia"/>
          <w:color w:val="auto"/>
          <w:lang w:val="en-US" w:eastAsia="zh-CN"/>
        </w:rPr>
        <w:t>1.</w:t>
      </w:r>
      <w:r>
        <w:rPr>
          <w:rFonts w:ascii="幼圆" w:eastAsia="幼圆" w:hAnsi="幼圆" w:cs="幼圆" w:hint="eastAsia"/>
          <w:lang w:val="en-US" w:eastAsia="zh-CN"/>
        </w:rPr>
        <w:t>小学生</w:t>
      </w:r>
      <w:r>
        <w:rPr>
          <w:rFonts w:ascii="幼圆" w:eastAsia="幼圆" w:hAnsi="幼圆" w:cs="幼圆" w:hint="eastAsia"/>
          <w:lang w:val="en-US" w:eastAsia="zh-CN"/>
        </w:rPr>
        <w:t>课堂参与</w:t>
      </w:r>
      <w:r>
        <w:rPr>
          <w:rFonts w:ascii="幼圆" w:eastAsia="幼圆" w:hAnsi="幼圆" w:cs="幼圆" w:hint="eastAsia"/>
          <w:lang w:val="en-US" w:eastAsia="zh-CN"/>
        </w:rPr>
        <w:t>的内在</w:t>
      </w:r>
      <w:r>
        <w:rPr>
          <w:rFonts w:ascii="幼圆" w:eastAsia="幼圆" w:hAnsi="幼圆" w:cs="幼圆" w:hint="eastAsia"/>
          <w:lang w:val="en-US" w:eastAsia="zh-CN"/>
        </w:rPr>
        <w:t>影响因素</w:t>
      </w:r>
      <w:bookmarkEnd w:id="7"/>
      <w:r>
        <w:rPr>
          <w:rFonts w:ascii="幼圆" w:eastAsia="幼圆" w:hAnsi="幼圆" w:cs="幼圆" w:hint="eastAsia"/>
          <w:lang w:val="en-US" w:eastAsia="zh-CN"/>
        </w:rPr>
        <w:t xml:space="preserve"> </w:t>
      </w:r>
    </w:p>
    <w:p>
      <w:pPr>
        <w:numPr>
          <w:ilvl w:val="0"/>
          <w:numId w:val="0"/>
        </w:numPr>
        <w:spacing w:line="440" w:lineRule="exact"/>
        <w:ind w:firstLine="480" w:firstLineChars="200"/>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对学生课堂参与的研究中，男女生的性格受性别影响</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恽广岚研究人员发现在数学课堂上</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男生往往比其他女生更活跃</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一般来说</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男孩比其他女孩在数学课上性格活跃一点</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所以他们更容易主动和任课教师一起讨论自己在数学上可能遇到的一些问题</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而由于女生相较于其他男生比较文静</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基本上都会主动自觉遵守课堂纪律</w:t>
      </w:r>
      <w:r>
        <w:rPr>
          <w:rFonts w:ascii="幼圆" w:eastAsia="幼圆" w:hAnsi="幼圆" w:cs="幼圆" w:hint="eastAsia"/>
          <w:color w:val="auto"/>
          <w:sz w:val="24"/>
          <w:szCs w:val="24"/>
          <w:lang w:val="en-US" w:eastAsia="zh-CN"/>
        </w:rPr>
        <w:t>，在课堂中往往是被动的回答教师提出的问题。”</w:t>
      </w:r>
      <w:r>
        <w:rPr>
          <w:rStyle w:val="FootnoteReference"/>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5"/>
      </w:r>
      <w:r>
        <w:rPr>
          <w:rStyle w:val="FootnoteReference"/>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“我国学者曾琦通过分层随机取样原则，采用问卷调查法对小学生课堂参与的角色差异、以及课堂参与现状和结构进行了研究，并得出学生的参与有广泛的性别差异，女生的参与度更高”</w:t>
      </w:r>
      <w:r>
        <w:rPr>
          <w:rStyle w:val="FootnoteReference"/>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6"/>
      </w:r>
      <w:r>
        <w:rPr>
          <w:rStyle w:val="FootnoteReference"/>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但也有研究者得出</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学生性别对学生课堂参与并无显著影响</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因此在课堂上，不同性别学生的课堂参与表现明显不同。</w:t>
      </w:r>
      <w:r>
        <w:rPr>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7"/>
      </w:r>
      <w:r>
        <w:rPr>
          <w:rStyle w:val="FootnoteReference"/>
          <w:rFonts w:ascii="幼圆" w:eastAsia="幼圆" w:hAnsi="幼圆" w:cs="幼圆" w:hint="eastAsia"/>
          <w:color w:val="auto"/>
          <w:sz w:val="24"/>
          <w:szCs w:val="24"/>
          <w:lang w:val="en-US" w:eastAsia="zh-CN"/>
        </w:rPr>
        <w:t>]</w:t>
      </w:r>
    </w:p>
    <w:p>
      <w:pPr>
        <w:numPr>
          <w:ilvl w:val="0"/>
          <w:numId w:val="0"/>
        </w:numPr>
        <w:spacing w:line="440" w:lineRule="exact"/>
        <w:ind w:firstLine="480" w:firstLineChars="200"/>
        <w:jc w:val="left"/>
        <w:rPr>
          <w:rFonts w:ascii="幼圆" w:eastAsia="幼圆" w:hAnsi="幼圆" w:cs="幼圆" w:hint="eastAsia"/>
          <w:color w:val="auto"/>
          <w:sz w:val="24"/>
          <w:vertAlign w:val="superscript"/>
        </w:rPr>
      </w:pP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学生的参与意识</w:t>
      </w:r>
      <w:r>
        <w:rPr>
          <w:rFonts w:ascii="幼圆" w:eastAsia="幼圆" w:hAnsi="幼圆" w:cs="幼圆" w:hint="eastAsia"/>
          <w:color w:val="auto"/>
          <w:sz w:val="24"/>
          <w:szCs w:val="24"/>
          <w:lang w:val="en-US" w:eastAsia="zh-CN"/>
        </w:rPr>
        <w:t>对于</w:t>
      </w:r>
      <w:r>
        <w:rPr>
          <w:rFonts w:ascii="幼圆" w:eastAsia="幼圆" w:hAnsi="幼圆" w:cs="幼圆" w:hint="eastAsia"/>
          <w:color w:val="auto"/>
          <w:sz w:val="24"/>
          <w:szCs w:val="24"/>
          <w:lang w:val="en-US" w:eastAsia="zh-CN"/>
        </w:rPr>
        <w:t>学生</w:t>
      </w:r>
      <w:r>
        <w:rPr>
          <w:rFonts w:ascii="幼圆" w:eastAsia="幼圆" w:hAnsi="幼圆" w:cs="幼圆" w:hint="eastAsia"/>
          <w:color w:val="auto"/>
          <w:sz w:val="24"/>
          <w:szCs w:val="24"/>
          <w:lang w:val="en-US" w:eastAsia="zh-CN"/>
        </w:rPr>
        <w:t>能否</w:t>
      </w:r>
      <w:r>
        <w:rPr>
          <w:rFonts w:ascii="幼圆" w:eastAsia="幼圆" w:hAnsi="幼圆" w:cs="幼圆" w:hint="eastAsia"/>
          <w:color w:val="auto"/>
          <w:sz w:val="24"/>
          <w:szCs w:val="24"/>
          <w:lang w:val="en-US" w:eastAsia="zh-CN"/>
        </w:rPr>
        <w:t>有意识</w:t>
      </w:r>
      <w:r>
        <w:rPr>
          <w:rFonts w:ascii="幼圆" w:eastAsia="幼圆" w:hAnsi="幼圆" w:cs="幼圆" w:hint="eastAsia"/>
          <w:color w:val="auto"/>
          <w:sz w:val="24"/>
          <w:szCs w:val="24"/>
          <w:lang w:val="en-US" w:eastAsia="zh-CN"/>
        </w:rPr>
        <w:t>地</w:t>
      </w:r>
      <w:r>
        <w:rPr>
          <w:rFonts w:ascii="幼圆" w:eastAsia="幼圆" w:hAnsi="幼圆" w:cs="幼圆" w:hint="eastAsia"/>
          <w:color w:val="auto"/>
          <w:sz w:val="24"/>
          <w:szCs w:val="24"/>
          <w:lang w:val="en-US" w:eastAsia="zh-CN"/>
        </w:rPr>
        <w:t>参与</w:t>
      </w:r>
      <w:r>
        <w:rPr>
          <w:rFonts w:ascii="幼圆" w:eastAsia="幼圆" w:hAnsi="幼圆" w:cs="幼圆" w:hint="eastAsia"/>
          <w:color w:val="auto"/>
          <w:sz w:val="24"/>
          <w:szCs w:val="24"/>
          <w:lang w:val="en-US" w:eastAsia="zh-CN"/>
        </w:rPr>
        <w:t>到小学数学</w:t>
      </w:r>
      <w:r>
        <w:rPr>
          <w:rFonts w:ascii="幼圆" w:eastAsia="幼圆" w:hAnsi="幼圆" w:cs="幼圆" w:hint="eastAsia"/>
          <w:color w:val="auto"/>
          <w:sz w:val="24"/>
          <w:szCs w:val="24"/>
          <w:lang w:val="en-US" w:eastAsia="zh-CN"/>
        </w:rPr>
        <w:t>课堂</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val="en-US" w:eastAsia="zh-CN"/>
        </w:rPr>
        <w:t>活动</w:t>
      </w:r>
      <w:r>
        <w:rPr>
          <w:rFonts w:ascii="幼圆" w:eastAsia="幼圆" w:hAnsi="幼圆" w:cs="幼圆" w:hint="eastAsia"/>
          <w:color w:val="auto"/>
          <w:sz w:val="24"/>
          <w:szCs w:val="24"/>
          <w:lang w:val="en-US" w:eastAsia="zh-CN"/>
        </w:rPr>
        <w:t>中非常重要</w:t>
      </w:r>
      <w:r>
        <w:rPr>
          <w:rFonts w:ascii="幼圆" w:eastAsia="幼圆" w:hAnsi="幼圆" w:cs="幼圆" w:hint="eastAsia"/>
          <w:color w:val="auto"/>
          <w:sz w:val="24"/>
          <w:szCs w:val="24"/>
          <w:lang w:val="en-US" w:eastAsia="zh-CN"/>
        </w:rPr>
        <w:t>。大部分研究者</w:t>
      </w:r>
      <w:r>
        <w:rPr>
          <w:rFonts w:ascii="幼圆" w:eastAsia="幼圆" w:hAnsi="幼圆" w:cs="幼圆" w:hint="eastAsia"/>
          <w:color w:val="auto"/>
          <w:sz w:val="24"/>
          <w:szCs w:val="24"/>
          <w:lang w:val="en-US" w:eastAsia="zh-CN"/>
        </w:rPr>
        <w:t>认为</w:t>
      </w:r>
      <w:r>
        <w:rPr>
          <w:rFonts w:ascii="幼圆" w:eastAsia="幼圆" w:hAnsi="幼圆" w:cs="幼圆" w:hint="eastAsia"/>
          <w:color w:val="auto"/>
          <w:sz w:val="24"/>
          <w:szCs w:val="24"/>
          <w:lang w:val="en-US" w:eastAsia="zh-CN"/>
        </w:rPr>
        <w:t>学生</w:t>
      </w:r>
      <w:r>
        <w:rPr>
          <w:rFonts w:ascii="幼圆" w:eastAsia="幼圆" w:hAnsi="幼圆" w:cs="幼圆" w:hint="eastAsia"/>
          <w:color w:val="auto"/>
          <w:sz w:val="24"/>
          <w:szCs w:val="24"/>
          <w:lang w:val="en-US" w:eastAsia="zh-CN"/>
        </w:rPr>
        <w:t>的课堂参与意识对学生是否主动进行课堂参与有很大影响。”</w:t>
      </w:r>
      <w:r>
        <w:rPr>
          <w:rStyle w:val="FootnoteReference"/>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8"/>
      </w:r>
      <w:r>
        <w:rPr>
          <w:rStyle w:val="FootnoteReference"/>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要提高学生的课堂参与水平，首先要树立参与课堂的意识，有了足够的课堂参与意识，学生就迈出了积极参与课堂学习的第一步。</w:t>
      </w:r>
    </w:p>
    <w:p>
      <w:pPr>
        <w:pStyle w:val="Heading3"/>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lang w:val="en-US" w:eastAsia="zh-CN"/>
        </w:rPr>
      </w:pPr>
      <w:bookmarkStart w:id="8" w:name="_Toc23235"/>
      <w:r>
        <w:rPr>
          <w:rFonts w:ascii="幼圆" w:eastAsia="幼圆" w:hAnsi="幼圆" w:cs="幼圆" w:hint="eastAsia"/>
          <w:lang w:val="en-US" w:eastAsia="zh-CN"/>
        </w:rPr>
        <w:t>2.小学生课堂参与的外在影响因素</w:t>
      </w:r>
      <w:bookmarkEnd w:id="8"/>
    </w:p>
    <w:p>
      <w:pPr>
        <w:numPr>
          <w:ilvl w:val="0"/>
          <w:numId w:val="0"/>
        </w:numPr>
        <w:spacing w:line="440" w:lineRule="exact"/>
        <w:ind w:firstLine="480" w:firstLineChars="200"/>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对于学生课堂参与的外在因素，主要从任课教师的教学和小学生人际交往的能力这两个重要因素研究对小学生平时课堂参与的重要影响。在任课教师教学和管理方面，学者们普遍认为教师的各种教学价值观念、教学方式等对广大学生们在课堂上的参与活动有一定的作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sz w:val="24"/>
        </w:rPr>
        <w:sectPr>
          <w:headerReference w:type="default" r:id="rId12"/>
          <w:footerReference w:type="default" r:id="rId13"/>
          <w:footnotePr>
            <w:pos w:val="beneathText"/>
          </w:footnotePr>
          <w:type w:val="nextPage"/>
          <w:pgSz w:w="11906" w:h="16838"/>
          <w:pgMar w:top="1440" w:right="850" w:bottom="1440" w:left="1701" w:header="851" w:footer="992" w:gutter="0"/>
          <w:pgBorders>
            <w:top w:val="single" w:sz="4" w:space="1" w:color="auto"/>
            <w:left w:val="none" w:sz="0" w:space="0" w:color="auto"/>
            <w:bottom w:val="single" w:sz="4" w:space="1" w:color="auto"/>
            <w:right w:val="none" w:sz="0" w:space="0" w:color="auto"/>
          </w:pgBorders>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大部分小学教师受中国传统教育文化观念影响，仍然坚持采用“灌输”式课堂教学指导观念，以引导小学生为教学中心，这样就不利于教师培养和不断提高其对学生进行的课堂活动参与。部分专家学者正在尝试通过多种改善课堂教学过程设计方式来大幅提升小学生对整个课堂的积极参与互动程度，不同的课堂教学方式同样可以充分激发不同学生的学习兴趣，使小学生能积极参与到小学数学课堂活动中。研究者们从如何改善小学教师课堂教学这些方面的问题开始进行广泛探索和深入研究，尤其是对教师教学中运用的教学方法和手段对学生课堂参与的影响程度方面，相关的研究较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学生之间的人际交往互动能力也在很大程度上直接影响着一个学生在小学数学教育课堂过程中的活动参与度。学生如果不仅能与其他在校学生之间保持良好的人际关系，还能有效促进其他学生在日常课堂生活中的互相合作；“还有大部分的学生如果能与其任课教师之间维持良好的人际关系，若学生能与教师维持良好的关系，也能促使学生能更加积极主动地参与到课堂的学习中。”</w:t>
      </w:r>
      <w:r>
        <w:rPr>
          <w:rStyle w:val="FootnoteReference"/>
          <w:rFonts w:ascii="幼圆" w:eastAsia="幼圆" w:hAnsi="幼圆" w:cs="幼圆" w:hint="eastAsia"/>
          <w:sz w:val="24"/>
          <w:szCs w:val="24"/>
          <w:lang w:val="en-US" w:eastAsia="zh-CN"/>
        </w:rPr>
        <w:t>[</w:t>
      </w:r>
      <w:r>
        <w:rPr>
          <w:rStyle w:val="FootnoteReference"/>
          <w:rFonts w:ascii="幼圆" w:eastAsia="幼圆" w:hAnsi="幼圆" w:cs="幼圆" w:hint="eastAsia"/>
          <w:sz w:val="24"/>
          <w:szCs w:val="24"/>
          <w:lang w:val="en-US" w:eastAsia="zh-CN"/>
        </w:rPr>
        <w:footnoteReference w:id="9"/>
      </w:r>
      <w:r>
        <w:rPr>
          <w:rStyle w:val="FootnoteReference"/>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因此，学生之间的关系和学生与教师之间的关系都会影响学生的课堂参与度，“研究者们更侧重于研究师生关系对学生课堂参与的影响。”</w:t>
      </w:r>
      <w:r>
        <w:rPr>
          <w:rStyle w:val="FootnoteReference"/>
          <w:rFonts w:ascii="幼圆" w:eastAsia="幼圆" w:hAnsi="幼圆" w:cs="幼圆" w:hint="eastAsia"/>
          <w:sz w:val="24"/>
          <w:szCs w:val="24"/>
          <w:lang w:val="en-US" w:eastAsia="zh-CN"/>
        </w:rPr>
        <w:t>[</w:t>
      </w:r>
      <w:r>
        <w:rPr>
          <w:rStyle w:val="FootnoteReference"/>
          <w:rFonts w:ascii="幼圆" w:eastAsia="幼圆" w:hAnsi="幼圆" w:cs="幼圆" w:hint="eastAsia"/>
          <w:sz w:val="24"/>
          <w:szCs w:val="24"/>
          <w:lang w:val="en-US" w:eastAsia="zh-CN"/>
        </w:rPr>
        <w:footnoteReference w:id="10"/>
      </w:r>
      <w:r>
        <w:rPr>
          <w:rStyle w:val="FootnoteReference"/>
          <w:rFonts w:ascii="幼圆" w:eastAsia="幼圆" w:hAnsi="幼圆" w:cs="幼圆" w:hint="eastAsia"/>
          <w:sz w:val="24"/>
          <w:szCs w:val="24"/>
          <w:lang w:val="en-US" w:eastAsia="zh-CN"/>
        </w:rPr>
        <w:t>]</w:t>
      </w:r>
    </w:p>
    <w:p>
      <w:pPr>
        <w:pStyle w:val="Heading3"/>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lang w:val="en-US" w:eastAsia="zh-CN"/>
        </w:rPr>
      </w:pPr>
      <w:bookmarkStart w:id="9" w:name="_Toc14129"/>
      <w:r>
        <w:rPr>
          <w:rFonts w:ascii="幼圆" w:eastAsia="幼圆" w:hAnsi="幼圆" w:cs="幼圆" w:hint="eastAsia"/>
          <w:lang w:val="en-US" w:eastAsia="zh-CN"/>
        </w:rPr>
        <w:t>3.和提升小学生课堂参与的策略</w:t>
      </w:r>
      <w:bookmarkEnd w:id="9"/>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曾琦认为，主体参与不仅是一个状态，而且是一个过程。增强学生参与意识是促进学生参与课堂的有效途径。必须通过经验来构建学生的学习，并且积极参与是有效的。因此，有必要强调，学生应树立主观参与的概念。”</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“魏立成认为，学校可以适当地采取多样化的方法来提高学生对知识学习的关注，从而克服他们的懈怠，嬉戏和其他不良习惯，并逐渐致力于学习。这对于学生参与学习具有重要作用。”</w:t>
      </w:r>
      <w:r>
        <w:rPr>
          <w:rStyle w:val="FootnoteReference"/>
          <w:rFonts w:ascii="幼圆" w:eastAsia="幼圆" w:hAnsi="幼圆" w:cs="幼圆" w:hint="eastAsia"/>
          <w:sz w:val="24"/>
          <w:szCs w:val="24"/>
          <w:lang w:val="en-US" w:eastAsia="zh-CN"/>
        </w:rPr>
        <w:t>[</w:t>
      </w:r>
      <w:r>
        <w:rPr>
          <w:rStyle w:val="FootnoteReference"/>
          <w:rFonts w:ascii="幼圆" w:eastAsia="幼圆" w:hAnsi="幼圆" w:cs="幼圆" w:hint="eastAsia"/>
          <w:sz w:val="24"/>
          <w:szCs w:val="24"/>
          <w:lang w:val="en-US" w:eastAsia="zh-CN"/>
        </w:rPr>
        <w:footnoteReference w:id="11"/>
      </w:r>
      <w:r>
        <w:rPr>
          <w:rStyle w:val="FootnoteReference"/>
          <w:rFonts w:ascii="幼圆" w:eastAsia="幼圆" w:hAnsi="幼圆" w:cs="幼圆" w:hint="eastAsia"/>
          <w:sz w:val="24"/>
          <w:szCs w:val="24"/>
          <w:lang w:val="en-US" w:eastAsia="zh-CN"/>
        </w:rPr>
        <w:t>]</w:t>
      </w:r>
    </w:p>
    <w:p>
      <w:pPr>
        <w:pStyle w:val="Heading3"/>
        <w:keepNext/>
        <w:keepLines/>
        <w:pageBreakBefore w:val="0"/>
        <w:widowControl w:val="0"/>
        <w:kinsoku/>
        <w:wordWrap/>
        <w:overflowPunct/>
        <w:topLinePunct w:val="0"/>
        <w:autoSpaceDE/>
        <w:autoSpaceDN/>
        <w:bidi w:val="0"/>
        <w:adjustRightInd/>
        <w:snapToGrid/>
        <w:spacing w:before="120" w:after="120" w:line="440" w:lineRule="exact"/>
        <w:ind w:firstLine="560" w:firstLineChars="200"/>
        <w:textAlignment w:val="auto"/>
        <w:rPr>
          <w:rFonts w:ascii="幼圆" w:eastAsia="幼圆" w:hAnsi="幼圆" w:cs="幼圆" w:hint="eastAsia"/>
          <w:lang w:val="en-US" w:eastAsia="zh-CN"/>
        </w:rPr>
      </w:pPr>
      <w:bookmarkStart w:id="10" w:name="_Toc10059"/>
      <w:bookmarkStart w:id="11" w:name="_Toc25797"/>
      <w:r>
        <w:rPr>
          <w:rFonts w:ascii="幼圆" w:eastAsia="幼圆" w:hAnsi="幼圆" w:cs="幼圆" w:hint="eastAsia"/>
          <w:lang w:val="en-US" w:eastAsia="zh-CN"/>
        </w:rPr>
        <w:t>4.</w:t>
      </w:r>
      <w:r>
        <w:rPr>
          <w:rFonts w:ascii="幼圆" w:eastAsia="幼圆" w:hAnsi="幼圆" w:cs="幼圆" w:hint="eastAsia"/>
          <w:lang w:val="en-US" w:eastAsia="zh-CN"/>
        </w:rPr>
        <w:t>对已有研究的评价与反思</w:t>
      </w:r>
      <w:bookmarkEnd w:id="10"/>
      <w:bookmarkEnd w:id="11"/>
    </w:p>
    <w:p>
      <w:pPr>
        <w:numPr>
          <w:ilvl w:val="0"/>
          <w:numId w:val="0"/>
        </w:numPr>
        <w:spacing w:line="440" w:lineRule="exact"/>
        <w:ind w:left="0" w:firstLine="420" w:leftChars="0" w:firstLineChars="175"/>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“目前大部分专家学者对于对小学生日常课堂活动参与的问题研究已经较为丰富。”</w:t>
      </w:r>
      <w:r>
        <w:rPr>
          <w:rStyle w:val="FootnoteReference"/>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12"/>
      </w:r>
      <w:r>
        <w:rPr>
          <w:rStyle w:val="FootnoteReference"/>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对于小学生日常课堂活动参与的一些现状、问题以及一些影响小学生日常课堂活动参与的主要因素都已经有了一定的研究分析，然而，目前针对小学五年级学生的数学课堂参与的研究还是比较少，尤其是针对小学五年级学生在数学课堂参与中表现不积极的具体原因分析并不完善，另外，针对小五年级学生在数学课堂参与中的主体地位的具体表现的研究较少。</w:t>
      </w:r>
      <w:r>
        <w:rPr>
          <w:rFonts w:ascii="幼圆" w:eastAsia="幼圆" w:hAnsi="幼圆" w:cs="幼圆" w:hint="eastAsia"/>
          <w:color w:val="auto"/>
          <w:sz w:val="24"/>
          <w:szCs w:val="24"/>
          <w:lang w:val="en-US" w:eastAsia="zh-CN"/>
        </w:rPr>
        <w:t>因此，笔者</w:t>
      </w:r>
      <w:r>
        <w:rPr>
          <w:rFonts w:ascii="幼圆" w:eastAsia="幼圆" w:hAnsi="幼圆" w:cs="幼圆" w:hint="eastAsia"/>
          <w:color w:val="auto"/>
          <w:sz w:val="24"/>
          <w:szCs w:val="24"/>
          <w:lang w:val="en-US" w:eastAsia="zh-CN"/>
        </w:rPr>
        <w:t>将针对</w:t>
      </w:r>
      <w:r>
        <w:rPr>
          <w:rFonts w:ascii="幼圆" w:eastAsia="幼圆" w:hAnsi="幼圆" w:cs="幼圆" w:hint="eastAsia"/>
          <w:color w:val="auto"/>
          <w:sz w:val="24"/>
          <w:szCs w:val="24"/>
          <w:lang w:val="en-US" w:eastAsia="zh-CN"/>
        </w:rPr>
        <w:t>小学</w:t>
      </w:r>
      <w:r>
        <w:rPr>
          <w:rFonts w:ascii="幼圆" w:eastAsia="幼圆" w:hAnsi="幼圆" w:cs="幼圆" w:hint="eastAsia"/>
          <w:color w:val="auto"/>
          <w:sz w:val="24"/>
          <w:szCs w:val="24"/>
          <w:lang w:val="en-US" w:eastAsia="zh-CN"/>
        </w:rPr>
        <w:t>五</w:t>
      </w:r>
      <w:r>
        <w:rPr>
          <w:rFonts w:ascii="幼圆" w:eastAsia="幼圆" w:hAnsi="幼圆" w:cs="幼圆" w:hint="eastAsia"/>
          <w:color w:val="auto"/>
          <w:sz w:val="24"/>
          <w:szCs w:val="24"/>
          <w:lang w:val="en-US" w:eastAsia="zh-CN"/>
        </w:rPr>
        <w:t>年级学生</w:t>
      </w:r>
      <w:r>
        <w:rPr>
          <w:rFonts w:ascii="幼圆" w:eastAsia="幼圆" w:hAnsi="幼圆" w:cs="幼圆" w:hint="eastAsia"/>
          <w:color w:val="auto"/>
          <w:sz w:val="24"/>
          <w:szCs w:val="24"/>
          <w:lang w:val="en-US" w:eastAsia="zh-CN"/>
        </w:rPr>
        <w:t>在数学课堂参与过程中</w:t>
      </w:r>
      <w:r>
        <w:rPr>
          <w:rFonts w:ascii="幼圆" w:eastAsia="幼圆" w:hAnsi="幼圆" w:cs="幼圆" w:hint="eastAsia"/>
          <w:color w:val="auto"/>
          <w:sz w:val="24"/>
          <w:szCs w:val="24"/>
          <w:lang w:val="en-US" w:eastAsia="zh-CN"/>
        </w:rPr>
        <w:t>的认知、情感和行为参与的现状</w:t>
      </w:r>
      <w:r>
        <w:rPr>
          <w:rFonts w:ascii="幼圆" w:eastAsia="幼圆" w:hAnsi="幼圆" w:cs="幼圆" w:hint="eastAsia"/>
          <w:color w:val="auto"/>
          <w:sz w:val="24"/>
          <w:szCs w:val="24"/>
          <w:lang w:val="en-US" w:eastAsia="zh-CN"/>
        </w:rPr>
        <w:t>中存在的</w:t>
      </w:r>
      <w:r>
        <w:rPr>
          <w:rFonts w:ascii="幼圆" w:eastAsia="幼圆" w:hAnsi="幼圆" w:cs="幼圆" w:hint="eastAsia"/>
          <w:color w:val="auto"/>
          <w:sz w:val="24"/>
          <w:szCs w:val="24"/>
          <w:lang w:val="en-US" w:eastAsia="zh-CN"/>
        </w:rPr>
        <w:t>问题</w:t>
      </w:r>
      <w:r>
        <w:rPr>
          <w:rFonts w:ascii="幼圆" w:eastAsia="幼圆" w:hAnsi="幼圆" w:cs="幼圆" w:hint="eastAsia"/>
          <w:color w:val="auto"/>
          <w:sz w:val="24"/>
          <w:szCs w:val="24"/>
          <w:lang w:val="en-US" w:eastAsia="zh-CN"/>
        </w:rPr>
        <w:t>，分析其</w:t>
      </w:r>
      <w:r>
        <w:rPr>
          <w:rFonts w:ascii="幼圆" w:eastAsia="幼圆" w:hAnsi="幼圆" w:cs="幼圆" w:hint="eastAsia"/>
          <w:color w:val="auto"/>
          <w:sz w:val="24"/>
          <w:szCs w:val="24"/>
          <w:lang w:val="en-US" w:eastAsia="zh-CN"/>
        </w:rPr>
        <w:t>原因，并在此基础上</w:t>
      </w:r>
      <w:r>
        <w:rPr>
          <w:rFonts w:ascii="幼圆" w:eastAsia="幼圆" w:hAnsi="幼圆" w:cs="幼圆" w:hint="eastAsia"/>
          <w:color w:val="auto"/>
          <w:sz w:val="24"/>
          <w:szCs w:val="24"/>
          <w:lang w:val="en-US" w:eastAsia="zh-CN"/>
        </w:rPr>
        <w:t>提出</w:t>
      </w:r>
      <w:r>
        <w:rPr>
          <w:rFonts w:ascii="幼圆" w:eastAsia="幼圆" w:hAnsi="幼圆" w:cs="幼圆" w:hint="eastAsia"/>
          <w:color w:val="auto"/>
          <w:sz w:val="24"/>
          <w:szCs w:val="24"/>
          <w:lang w:val="en-US" w:eastAsia="zh-CN"/>
        </w:rPr>
        <w:t>提高</w:t>
      </w:r>
      <w:r>
        <w:rPr>
          <w:rFonts w:ascii="幼圆" w:eastAsia="幼圆" w:hAnsi="幼圆" w:cs="幼圆" w:hint="eastAsia"/>
          <w:color w:val="auto"/>
          <w:sz w:val="24"/>
          <w:szCs w:val="24"/>
          <w:lang w:val="en-US" w:eastAsia="zh-CN"/>
        </w:rPr>
        <w:t>小学五年级学生数学</w:t>
      </w:r>
      <w:r>
        <w:rPr>
          <w:rFonts w:ascii="幼圆" w:eastAsia="幼圆" w:hAnsi="幼圆" w:cs="幼圆" w:hint="eastAsia"/>
          <w:color w:val="auto"/>
          <w:sz w:val="24"/>
          <w:szCs w:val="24"/>
          <w:lang w:val="en-US" w:eastAsia="zh-CN"/>
        </w:rPr>
        <w:t>课堂参与</w:t>
      </w:r>
      <w:r>
        <w:rPr>
          <w:rFonts w:ascii="幼圆" w:eastAsia="幼圆" w:hAnsi="幼圆" w:cs="幼圆" w:hint="eastAsia"/>
          <w:color w:val="auto"/>
          <w:sz w:val="24"/>
          <w:szCs w:val="24"/>
          <w:lang w:val="en-US" w:eastAsia="zh-CN"/>
        </w:rPr>
        <w:t>水平</w:t>
      </w:r>
      <w:r>
        <w:rPr>
          <w:rFonts w:ascii="幼圆" w:eastAsia="幼圆" w:hAnsi="幼圆" w:cs="幼圆" w:hint="eastAsia"/>
          <w:color w:val="auto"/>
          <w:sz w:val="24"/>
          <w:szCs w:val="24"/>
          <w:lang w:val="en-US" w:eastAsia="zh-CN"/>
        </w:rPr>
        <w:t>的策略。</w:t>
      </w:r>
      <w:r>
        <w:rPr>
          <w:rFonts w:ascii="幼圆" w:eastAsia="幼圆" w:hAnsi="幼圆" w:cs="幼圆" w:hint="eastAsia"/>
          <w:color w:val="auto"/>
          <w:sz w:val="24"/>
        </w:rPr>
        <w:br/>
      </w:r>
      <w:r>
        <w:rPr>
          <w:rFonts w:ascii="幼圆" w:eastAsia="幼圆" w:hAnsi="幼圆" w:cs="幼圆"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https://d.book118.com/946112043104010101</w:t>
        </w:r>
      </w:hyperlink>
    </w:p>
    <w:p>
      <w:pPr>
        <w:numPr>
          <w:ilvl w:val="0"/>
          <w:numId w:val="0"/>
        </w:numPr>
        <w:spacing w:line="440" w:lineRule="exact"/>
        <w:ind w:left="0" w:firstLine="420" w:leftChars="0" w:firstLineChars="175"/>
        <w:jc w:val="left"/>
        <w:rPr>
          <w:rFonts w:ascii="幼圆" w:eastAsia="幼圆" w:hAnsi="幼圆" w:cs="幼圆" w:hint="eastAsia"/>
          <w:color w:val="auto"/>
          <w:sz w:val="24"/>
        </w:rPr>
      </w:pPr>
    </w:p>
    <w:sectPr>
      <w:headerReference w:type="default" r:id="rId15"/>
      <w:footerReference w:type="default" r:id="rId16"/>
      <w:footnotePr>
        <w:pos w:val="beneathText"/>
      </w:footnotePr>
      <w:type w:val="nextPage"/>
      <w:pgSz w:w="11906" w:h="16838"/>
      <w:pgMar w:top="1440" w:right="850" w:bottom="1440" w:left="1701" w:header="851" w:footer="992" w:gutter="0"/>
      <w:pgBorders>
        <w:top w:val="single" w:sz="4" w:space="1" w:color="auto"/>
        <w:left w:val="none" w:sz="0" w:space="0" w:color="auto"/>
        <w:bottom w:val="single" w:sz="4" w:space="1" w:color="auto"/>
        <w:right w:val="none" w:sz="0" w:space="0" w:color="auto"/>
      </w:pgBorders>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Theme="minorEastAsia" w:hint="eastAsia"/>
        <w:lang w:val="en-US" w:eastAsia="zh-CN"/>
      </w:rPr>
    </w:pPr>
    <w:r>
      <w:rPr>
        <w:rFonts w:hint="default"/>
        <w:sz w:val="18"/>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Theme="minorEastAsia" w:hint="eastAsia"/>
        <w:lang w:val="en-US" w:eastAsia="zh-CN"/>
      </w:rPr>
    </w:pPr>
    <w:r>
      <w:rPr>
        <w:rFonts w:hint="default"/>
        <w:sz w:val="18"/>
        <w:lang w:val="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914793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Theme="minorEastAsia" w:hint="eastAsia"/>
        <w:lang w:val="en-US" w:eastAsia="zh-CN"/>
      </w:rPr>
    </w:pPr>
    <w:r>
      <w:rPr>
        <w:rFonts w:hint="default"/>
        <w:sz w:val="18"/>
        <w:lang w:val="en-US"/>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77521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Theme="minorEastAsia" w:hint="eastAsia"/>
        <w:lang w:val="en-US" w:eastAsia="zh-CN"/>
      </w:rPr>
    </w:pPr>
    <w:r>
      <w:rPr>
        <w:rFonts w:hint="default"/>
        <w:sz w:val="18"/>
        <w:lang w:val="en-US"/>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929727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Theme="minorEastAsia" w:hint="eastAsia"/>
        <w:lang w:val="en-US" w:eastAsia="zh-CN"/>
      </w:rPr>
    </w:pPr>
    <w:r>
      <w:rPr>
        <w:rFonts w:hint="default"/>
        <w:sz w:val="18"/>
        <w:lang w:val="en-US"/>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599181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footnote>
  <w:footnote w:type="continuationSeparator" w:id="1">
    <w:p/>
  </w:footnote>
  <w:footnote w:id="2">
    <w:p>
      <w:pPr>
        <w:numPr>
          <w:ilvl w:val="0"/>
          <w:numId w:val="0"/>
        </w:numPr>
      </w:pPr>
      <w:r>
        <w:rPr>
          <w:rStyle w:val="FootnoteReference"/>
        </w:rPr>
        <w:t>[</w:t>
      </w:r>
      <w:r>
        <w:rPr>
          <w:rStyle w:val="FootnoteReference"/>
        </w:rPr>
        <w:footnoteRef/>
      </w:r>
      <w:r>
        <w:rPr>
          <w:rStyle w:val="FootnoteReference"/>
        </w:rPr>
        <w:t>]</w:t>
      </w:r>
      <w:r>
        <w:t xml:space="preserve"> </w:t>
      </w:r>
      <w:r>
        <w:rPr>
          <w:rFonts w:hint="eastAsia"/>
        </w:rPr>
        <w:t>王娜. 小学高年级学生课堂参与的现状及对策研究[D].河南师范大学,2017.</w:t>
      </w:r>
    </w:p>
  </w:footnote>
  <w:footnote w:id="3">
    <w:p>
      <w:pPr>
        <w:numPr>
          <w:ilvl w:val="0"/>
          <w:numId w:val="0"/>
        </w:numPr>
      </w:pPr>
      <w:r>
        <w:rPr>
          <w:rStyle w:val="FootnoteReference"/>
        </w:rPr>
        <w:t>[</w:t>
      </w:r>
      <w:r>
        <w:rPr>
          <w:rStyle w:val="FootnoteReference"/>
        </w:rPr>
        <w:footnoteRef/>
      </w:r>
      <w:r>
        <w:rPr>
          <w:rStyle w:val="FootnoteReference"/>
        </w:rPr>
        <w:t>]</w:t>
      </w:r>
      <w:r>
        <w:t xml:space="preserve"> </w:t>
      </w:r>
      <w:r>
        <w:rPr>
          <w:rFonts w:hint="eastAsia"/>
        </w:rPr>
        <w:t>周虹莉. 小学生课堂主动参与研究[D].西华师范大学,2018.</w:t>
      </w:r>
    </w:p>
  </w:footnote>
  <w:footnote w:id="4">
    <w:p>
      <w:pPr>
        <w:numPr>
          <w:ilvl w:val="0"/>
          <w:numId w:val="0"/>
        </w:numPr>
      </w:pPr>
      <w:r>
        <w:rPr>
          <w:rStyle w:val="FootnoteReference"/>
        </w:rPr>
        <w:t>[</w:t>
      </w:r>
      <w:r>
        <w:rPr>
          <w:rStyle w:val="FootnoteReference"/>
        </w:rPr>
        <w:footnoteRef/>
      </w:r>
      <w:r>
        <w:rPr>
          <w:rStyle w:val="FootnoteReference"/>
        </w:rPr>
        <w:t>]</w:t>
      </w:r>
      <w:r>
        <w:t xml:space="preserve"> </w:t>
      </w:r>
      <w:r>
        <w:rPr>
          <w:rFonts w:hint="eastAsia"/>
        </w:rPr>
        <w:t>张雪. 小学高年级学生语文课堂参与现状的调查研究[D].河北师范大学,2020.</w:t>
      </w:r>
    </w:p>
    <w:p>
      <w:pPr>
        <w:pStyle w:val="FootnoteText"/>
        <w:snapToGrid w:val="0"/>
      </w:pPr>
    </w:p>
  </w:footnote>
  <w:footnote w:id="5">
    <w:p>
      <w:pPr>
        <w:keepNext w:val="0"/>
        <w:keepLines w:val="0"/>
        <w:widowControl/>
        <w:suppressLineNumbers w:val="0"/>
        <w:jc w:val="left"/>
      </w:pPr>
      <w:r>
        <w:rPr>
          <w:rStyle w:val="FootnoteReference"/>
        </w:rPr>
        <w:t>[</w:t>
      </w:r>
      <w:r>
        <w:rPr>
          <w:rStyle w:val="FootnoteReference"/>
        </w:rPr>
        <w:footnoteRef/>
      </w:r>
      <w:r>
        <w:rPr>
          <w:rStyle w:val="FootnoteReference"/>
        </w:rPr>
        <w:t>]</w:t>
      </w:r>
      <w:r>
        <w:t xml:space="preserve"> </w:t>
      </w:r>
      <w:r>
        <w:rPr>
          <w:rFonts w:hint="eastAsia"/>
        </w:rPr>
        <w:t>周虹莉. 小学生课堂主动参与研究[D].西华师范大学,2018.</w:t>
      </w:r>
    </w:p>
  </w:footnote>
  <w:footnote w:id="6">
    <w:p>
      <w:pPr>
        <w:keepNext w:val="0"/>
        <w:keepLines w:val="0"/>
        <w:widowControl/>
        <w:suppressLineNumbers w:val="0"/>
        <w:jc w:val="left"/>
      </w:pPr>
      <w:r>
        <w:rPr>
          <w:rStyle w:val="FootnoteReference"/>
        </w:rPr>
        <w:t>[</w:t>
      </w:r>
      <w:r>
        <w:rPr>
          <w:rStyle w:val="FootnoteReference"/>
        </w:rPr>
        <w:footnoteRef/>
      </w:r>
      <w:r>
        <w:rPr>
          <w:rStyle w:val="FootnoteReference"/>
        </w:rPr>
        <w:t>]</w:t>
      </w:r>
      <w:r>
        <w:t xml:space="preserve"> </w:t>
      </w:r>
      <w:r>
        <w:rPr>
          <w:rFonts w:hint="eastAsia"/>
        </w:rPr>
        <w:t>陈燕京. 教师教学行为对小学生参与度的影响研究[D].华中科技大学,2016.</w:t>
      </w:r>
    </w:p>
  </w:footnote>
  <w:footnote w:id="7">
    <w:p>
      <w:pPr>
        <w:numPr>
          <w:ilvl w:val="0"/>
          <w:numId w:val="0"/>
        </w:numPr>
      </w:pPr>
      <w:r>
        <w:rPr>
          <w:rStyle w:val="FootnoteReference"/>
        </w:rPr>
        <w:t>[</w:t>
      </w:r>
      <w:r>
        <w:rPr>
          <w:rStyle w:val="FootnoteReference"/>
        </w:rPr>
        <w:footnoteRef/>
      </w:r>
      <w:r>
        <w:rPr>
          <w:rStyle w:val="FootnoteReference"/>
        </w:rPr>
        <w:t>]</w:t>
      </w:r>
      <w:r>
        <w:t xml:space="preserve"> </w:t>
      </w:r>
      <w:r>
        <w:rPr>
          <w:rFonts w:hint="eastAsia"/>
        </w:rPr>
        <w:t>张燕. 小学高年级学生英语课堂参与的调查研究[D].上海师范大学,2019.</w:t>
      </w:r>
      <w:r>
        <w:rPr>
          <w:rFonts w:ascii="新宋体" w:eastAsia="新宋体" w:hAnsi="新宋体" w:cs="新宋体"/>
          <w:color w:val="000000"/>
          <w:kern w:val="0"/>
          <w:sz w:val="20"/>
          <w:szCs w:val="20"/>
          <w:lang w:val="en-US" w:eastAsia="zh-CN" w:bidi="ar"/>
        </w:rPr>
        <w:t xml:space="preserve"> </w:t>
      </w:r>
    </w:p>
  </w:footnote>
  <w:footnote w:id="8">
    <w:p>
      <w:pPr>
        <w:keepNext w:val="0"/>
        <w:keepLines w:val="0"/>
        <w:widowControl/>
        <w:suppressLineNumbers w:val="0"/>
        <w:jc w:val="left"/>
      </w:pPr>
      <w:r>
        <w:rPr>
          <w:rStyle w:val="FootnoteReference"/>
        </w:rPr>
        <w:t>[</w:t>
      </w:r>
      <w:r>
        <w:rPr>
          <w:rStyle w:val="FootnoteReference"/>
        </w:rPr>
        <w:footnoteRef/>
      </w:r>
      <w:r>
        <w:rPr>
          <w:rStyle w:val="FootnoteReference"/>
        </w:rPr>
        <w:t>]</w:t>
      </w:r>
      <w:r>
        <w:t xml:space="preserve"> </w:t>
      </w:r>
      <w:r>
        <w:rPr>
          <w:rFonts w:hint="eastAsia"/>
        </w:rPr>
        <w:t>孙尧. 运用思维导图提升高中生英语学习效果的实践研究[D].郑州大学,2018.</w:t>
      </w:r>
      <w:r>
        <w:rPr>
          <w:rFonts w:ascii="新宋体" w:eastAsia="新宋体" w:hAnsi="新宋体" w:cs="新宋体"/>
          <w:color w:val="000000"/>
          <w:kern w:val="0"/>
          <w:sz w:val="20"/>
          <w:szCs w:val="20"/>
          <w:lang w:val="en-US" w:eastAsia="zh-CN" w:bidi="ar"/>
        </w:rPr>
        <w:t xml:space="preserve"> </w:t>
      </w:r>
    </w:p>
  </w:footnote>
  <w:footnote w:id="9">
    <w:p>
      <w:pPr>
        <w:keepNext w:val="0"/>
        <w:keepLines w:val="0"/>
        <w:widowControl/>
        <w:suppressLineNumbers w:val="0"/>
        <w:jc w:val="left"/>
      </w:pPr>
      <w:r>
        <w:rPr>
          <w:rStyle w:val="FootnoteReference"/>
        </w:rPr>
        <w:t>[</w:t>
      </w:r>
      <w:r>
        <w:rPr>
          <w:rStyle w:val="FootnoteReference"/>
        </w:rPr>
        <w:footnoteRef/>
      </w:r>
      <w:r>
        <w:rPr>
          <w:rStyle w:val="FootnoteReference"/>
        </w:rPr>
        <w:t>]</w:t>
      </w:r>
      <w:r>
        <w:t xml:space="preserve"> </w:t>
      </w:r>
      <w:r>
        <w:rPr>
          <w:rFonts w:hint="eastAsia"/>
        </w:rPr>
        <w:t>刘春燕. 日记教学在小学语文教学中的运用[J]. 知识窗(教师版),2014(07):22.</w:t>
      </w:r>
    </w:p>
  </w:footnote>
  <w:footnote w:id="10">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唐洪秀. 高中生数学课堂参与现状及影响因素研究[D].四川师范大学,2015.</w:t>
      </w:r>
    </w:p>
  </w:footnote>
  <w:footnote w:id="11">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张雪. 小学高年级学生语文课堂参与现状的调查研究[D].河北师范大学,2020.</w:t>
      </w:r>
    </w:p>
  </w:footnote>
  <w:footnote w:id="12">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张璐伟. 小学生课堂教学参与行为研究[D].河北大学,2014.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color w:val="auto"/>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color w:val="auto"/>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color w:val="auto"/>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color w:val="auto"/>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color w:val="auto"/>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A908ED5"/>
    <w:multiLevelType w:val="singleLevel"/>
    <w:tmpl w:val="8A908ED5"/>
    <w:lvl w:ilvl="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pos w:val="beneathText"/>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804"/>
    <w:rsid w:val="001F5E11"/>
    <w:rsid w:val="009C34B6"/>
    <w:rsid w:val="00A65E15"/>
    <w:rsid w:val="00D75EC6"/>
    <w:rsid w:val="00EC1B43"/>
    <w:rsid w:val="00F016BA"/>
    <w:rsid w:val="01507A6F"/>
    <w:rsid w:val="01643F01"/>
    <w:rsid w:val="02056629"/>
    <w:rsid w:val="02152E16"/>
    <w:rsid w:val="021B3684"/>
    <w:rsid w:val="02231ED8"/>
    <w:rsid w:val="026E4BD8"/>
    <w:rsid w:val="038A18A1"/>
    <w:rsid w:val="03CB2644"/>
    <w:rsid w:val="043F4B1E"/>
    <w:rsid w:val="04550512"/>
    <w:rsid w:val="048D643D"/>
    <w:rsid w:val="04A47BD6"/>
    <w:rsid w:val="04AB4395"/>
    <w:rsid w:val="04BD5E29"/>
    <w:rsid w:val="05202D02"/>
    <w:rsid w:val="052D323E"/>
    <w:rsid w:val="05DD7E6A"/>
    <w:rsid w:val="065A4488"/>
    <w:rsid w:val="06F44EAA"/>
    <w:rsid w:val="07754B7B"/>
    <w:rsid w:val="078B22EB"/>
    <w:rsid w:val="07A536F3"/>
    <w:rsid w:val="08024BB3"/>
    <w:rsid w:val="08425A62"/>
    <w:rsid w:val="08B93C29"/>
    <w:rsid w:val="08CC3020"/>
    <w:rsid w:val="08F24905"/>
    <w:rsid w:val="092B7F94"/>
    <w:rsid w:val="09DA16CC"/>
    <w:rsid w:val="0A3A603A"/>
    <w:rsid w:val="0AB81090"/>
    <w:rsid w:val="0ACE4B87"/>
    <w:rsid w:val="0ADB3607"/>
    <w:rsid w:val="0AE63BD2"/>
    <w:rsid w:val="0B2442F7"/>
    <w:rsid w:val="0B4249B6"/>
    <w:rsid w:val="0B6460D3"/>
    <w:rsid w:val="0BBB0841"/>
    <w:rsid w:val="0BEC626E"/>
    <w:rsid w:val="0BFD03EB"/>
    <w:rsid w:val="0C630B4F"/>
    <w:rsid w:val="0C957811"/>
    <w:rsid w:val="0C9A35B1"/>
    <w:rsid w:val="0D613C11"/>
    <w:rsid w:val="0D7343D0"/>
    <w:rsid w:val="0DB15C53"/>
    <w:rsid w:val="0E3347E4"/>
    <w:rsid w:val="0F010353"/>
    <w:rsid w:val="0F1F66F5"/>
    <w:rsid w:val="0F423CC3"/>
    <w:rsid w:val="0F5270F7"/>
    <w:rsid w:val="0F6533BD"/>
    <w:rsid w:val="0F7A6924"/>
    <w:rsid w:val="0F7D5994"/>
    <w:rsid w:val="10765C17"/>
    <w:rsid w:val="107B6E2C"/>
    <w:rsid w:val="109120E8"/>
    <w:rsid w:val="109664DB"/>
    <w:rsid w:val="112958DA"/>
    <w:rsid w:val="11521643"/>
    <w:rsid w:val="11883BCD"/>
    <w:rsid w:val="11BF5790"/>
    <w:rsid w:val="11E317C7"/>
    <w:rsid w:val="124D0975"/>
    <w:rsid w:val="127E1F65"/>
    <w:rsid w:val="12E67A7C"/>
    <w:rsid w:val="13532195"/>
    <w:rsid w:val="135B275E"/>
    <w:rsid w:val="13B0035C"/>
    <w:rsid w:val="13C55DB3"/>
    <w:rsid w:val="13E9614D"/>
    <w:rsid w:val="142B7A3F"/>
    <w:rsid w:val="14331B8E"/>
    <w:rsid w:val="14C410C7"/>
    <w:rsid w:val="165E5F13"/>
    <w:rsid w:val="16A40241"/>
    <w:rsid w:val="16AA64E9"/>
    <w:rsid w:val="16AD53F9"/>
    <w:rsid w:val="16B9555D"/>
    <w:rsid w:val="16F14BCD"/>
    <w:rsid w:val="17004594"/>
    <w:rsid w:val="176735BC"/>
    <w:rsid w:val="176B3698"/>
    <w:rsid w:val="17E757CD"/>
    <w:rsid w:val="17F15473"/>
    <w:rsid w:val="19BD3C8B"/>
    <w:rsid w:val="19F60BF5"/>
    <w:rsid w:val="1A212BEC"/>
    <w:rsid w:val="1A3E325C"/>
    <w:rsid w:val="1A4C0FD0"/>
    <w:rsid w:val="1AFB42CF"/>
    <w:rsid w:val="1BA12090"/>
    <w:rsid w:val="1BB53AF1"/>
    <w:rsid w:val="1CD619D7"/>
    <w:rsid w:val="1D3473DC"/>
    <w:rsid w:val="1D9173B0"/>
    <w:rsid w:val="1D9B0187"/>
    <w:rsid w:val="1DC2306A"/>
    <w:rsid w:val="1E795BFA"/>
    <w:rsid w:val="1ED9728D"/>
    <w:rsid w:val="1EE5313E"/>
    <w:rsid w:val="2050162B"/>
    <w:rsid w:val="20B3181B"/>
    <w:rsid w:val="20C119A0"/>
    <w:rsid w:val="20C77F69"/>
    <w:rsid w:val="212D7089"/>
    <w:rsid w:val="2130664E"/>
    <w:rsid w:val="217C1AC3"/>
    <w:rsid w:val="21E400F5"/>
    <w:rsid w:val="21F63EB2"/>
    <w:rsid w:val="2253300A"/>
    <w:rsid w:val="226B7651"/>
    <w:rsid w:val="22CA1F4E"/>
    <w:rsid w:val="22DE1811"/>
    <w:rsid w:val="22F528F8"/>
    <w:rsid w:val="23132FF1"/>
    <w:rsid w:val="23A77A62"/>
    <w:rsid w:val="240E3A49"/>
    <w:rsid w:val="2465265A"/>
    <w:rsid w:val="252D6F97"/>
    <w:rsid w:val="25EA6949"/>
    <w:rsid w:val="25F9746D"/>
    <w:rsid w:val="26472674"/>
    <w:rsid w:val="266F6ADB"/>
    <w:rsid w:val="26AE0139"/>
    <w:rsid w:val="27727709"/>
    <w:rsid w:val="27A43126"/>
    <w:rsid w:val="27FD1EE8"/>
    <w:rsid w:val="28245AA6"/>
    <w:rsid w:val="2892628E"/>
    <w:rsid w:val="295966E7"/>
    <w:rsid w:val="299661A1"/>
    <w:rsid w:val="299964D5"/>
    <w:rsid w:val="29BA6647"/>
    <w:rsid w:val="2A1145FE"/>
    <w:rsid w:val="2A366BA2"/>
    <w:rsid w:val="2AFD0335"/>
    <w:rsid w:val="2B2378B8"/>
    <w:rsid w:val="2B31021E"/>
    <w:rsid w:val="2B8C6BA1"/>
    <w:rsid w:val="2B9D4AA5"/>
    <w:rsid w:val="2BBE2A4A"/>
    <w:rsid w:val="2C3B356F"/>
    <w:rsid w:val="2C4517D2"/>
    <w:rsid w:val="2CB039CC"/>
    <w:rsid w:val="2D3A5950"/>
    <w:rsid w:val="2D4F67A9"/>
    <w:rsid w:val="2DE116E4"/>
    <w:rsid w:val="2E3F1484"/>
    <w:rsid w:val="2EA37850"/>
    <w:rsid w:val="2EEB6675"/>
    <w:rsid w:val="2F455E3D"/>
    <w:rsid w:val="2F72315D"/>
    <w:rsid w:val="302D77AB"/>
    <w:rsid w:val="30D61758"/>
    <w:rsid w:val="31367CEF"/>
    <w:rsid w:val="318B076C"/>
    <w:rsid w:val="3263731D"/>
    <w:rsid w:val="329F15A5"/>
    <w:rsid w:val="32A96A44"/>
    <w:rsid w:val="332053CA"/>
    <w:rsid w:val="33B043ED"/>
    <w:rsid w:val="33BE43FC"/>
    <w:rsid w:val="345E2E8B"/>
    <w:rsid w:val="34733839"/>
    <w:rsid w:val="34AC3A8A"/>
    <w:rsid w:val="34CC20C1"/>
    <w:rsid w:val="35680CAD"/>
    <w:rsid w:val="35735598"/>
    <w:rsid w:val="358B69DD"/>
    <w:rsid w:val="359E6F2B"/>
    <w:rsid w:val="35E73F0E"/>
    <w:rsid w:val="36056475"/>
    <w:rsid w:val="36350B14"/>
    <w:rsid w:val="36916110"/>
    <w:rsid w:val="37FF333B"/>
    <w:rsid w:val="38E14EE4"/>
    <w:rsid w:val="39BF65C3"/>
    <w:rsid w:val="39C15BD5"/>
    <w:rsid w:val="3A30024E"/>
    <w:rsid w:val="3A352A31"/>
    <w:rsid w:val="3A8F2E74"/>
    <w:rsid w:val="3AD32EE5"/>
    <w:rsid w:val="3AF13FDE"/>
    <w:rsid w:val="3B1D693C"/>
    <w:rsid w:val="3B274201"/>
    <w:rsid w:val="3B36763B"/>
    <w:rsid w:val="3B4E2679"/>
    <w:rsid w:val="3BCC688C"/>
    <w:rsid w:val="3C144400"/>
    <w:rsid w:val="3C277F2C"/>
    <w:rsid w:val="3C4E1188"/>
    <w:rsid w:val="3C62708C"/>
    <w:rsid w:val="3D030A5A"/>
    <w:rsid w:val="3D46233D"/>
    <w:rsid w:val="3D663887"/>
    <w:rsid w:val="3D715AF3"/>
    <w:rsid w:val="3DCD79B1"/>
    <w:rsid w:val="3DDA38E5"/>
    <w:rsid w:val="3E111FAD"/>
    <w:rsid w:val="3E133ECD"/>
    <w:rsid w:val="3E6F56CE"/>
    <w:rsid w:val="3E816100"/>
    <w:rsid w:val="3EBA578D"/>
    <w:rsid w:val="3EBA59A0"/>
    <w:rsid w:val="3F794420"/>
    <w:rsid w:val="3FC82FA8"/>
    <w:rsid w:val="3FE37C5B"/>
    <w:rsid w:val="403820E8"/>
    <w:rsid w:val="40B87965"/>
    <w:rsid w:val="415B6C5A"/>
    <w:rsid w:val="42364CED"/>
    <w:rsid w:val="428C36C9"/>
    <w:rsid w:val="429F3EE5"/>
    <w:rsid w:val="431E690B"/>
    <w:rsid w:val="43443607"/>
    <w:rsid w:val="435B4218"/>
    <w:rsid w:val="4362422D"/>
    <w:rsid w:val="436A200F"/>
    <w:rsid w:val="43B22351"/>
    <w:rsid w:val="43F274CE"/>
    <w:rsid w:val="44052AAC"/>
    <w:rsid w:val="441C79C6"/>
    <w:rsid w:val="44361598"/>
    <w:rsid w:val="446570A1"/>
    <w:rsid w:val="447D7175"/>
    <w:rsid w:val="449C2B68"/>
    <w:rsid w:val="44C55461"/>
    <w:rsid w:val="4576235B"/>
    <w:rsid w:val="45E905CA"/>
    <w:rsid w:val="46682086"/>
    <w:rsid w:val="468C6F97"/>
    <w:rsid w:val="46D96882"/>
    <w:rsid w:val="47276357"/>
    <w:rsid w:val="474B6CD0"/>
    <w:rsid w:val="478E6459"/>
    <w:rsid w:val="478E6672"/>
    <w:rsid w:val="486C71F0"/>
    <w:rsid w:val="48A20821"/>
    <w:rsid w:val="48AA2CD2"/>
    <w:rsid w:val="49055405"/>
    <w:rsid w:val="496D3225"/>
    <w:rsid w:val="49907508"/>
    <w:rsid w:val="49997C71"/>
    <w:rsid w:val="49B72EE6"/>
    <w:rsid w:val="49FF48F4"/>
    <w:rsid w:val="4A267580"/>
    <w:rsid w:val="4AC2506B"/>
    <w:rsid w:val="4AE667D4"/>
    <w:rsid w:val="4B0522D3"/>
    <w:rsid w:val="4B22107F"/>
    <w:rsid w:val="4B3A41AE"/>
    <w:rsid w:val="4B5A2797"/>
    <w:rsid w:val="4BE36CA5"/>
    <w:rsid w:val="4C4351A9"/>
    <w:rsid w:val="4CA76925"/>
    <w:rsid w:val="4CDF7AAE"/>
    <w:rsid w:val="4D9A7D9C"/>
    <w:rsid w:val="4E0A46CE"/>
    <w:rsid w:val="4EEC4EC6"/>
    <w:rsid w:val="4F5A1463"/>
    <w:rsid w:val="4F9C04F0"/>
    <w:rsid w:val="505D72FC"/>
    <w:rsid w:val="508B4D13"/>
    <w:rsid w:val="50916ECF"/>
    <w:rsid w:val="5096213B"/>
    <w:rsid w:val="50BD52FD"/>
    <w:rsid w:val="512B6AE2"/>
    <w:rsid w:val="51623A43"/>
    <w:rsid w:val="5171062D"/>
    <w:rsid w:val="51AE4DDE"/>
    <w:rsid w:val="51CD2271"/>
    <w:rsid w:val="526A2105"/>
    <w:rsid w:val="527F7284"/>
    <w:rsid w:val="529E71A7"/>
    <w:rsid w:val="52C6120F"/>
    <w:rsid w:val="52DD57BF"/>
    <w:rsid w:val="530D5CAE"/>
    <w:rsid w:val="533A3256"/>
    <w:rsid w:val="533D4463"/>
    <w:rsid w:val="536075F7"/>
    <w:rsid w:val="53635ABA"/>
    <w:rsid w:val="539E46D6"/>
    <w:rsid w:val="53E16D58"/>
    <w:rsid w:val="54007273"/>
    <w:rsid w:val="5435642F"/>
    <w:rsid w:val="54E424BA"/>
    <w:rsid w:val="54F77263"/>
    <w:rsid w:val="559D577C"/>
    <w:rsid w:val="55F61847"/>
    <w:rsid w:val="567A252E"/>
    <w:rsid w:val="56C53FF4"/>
    <w:rsid w:val="56DB282B"/>
    <w:rsid w:val="57566B77"/>
    <w:rsid w:val="57BC2362"/>
    <w:rsid w:val="57E079E9"/>
    <w:rsid w:val="57FA01E7"/>
    <w:rsid w:val="58104394"/>
    <w:rsid w:val="58967BC8"/>
    <w:rsid w:val="59065E33"/>
    <w:rsid w:val="591D616E"/>
    <w:rsid w:val="59C21F13"/>
    <w:rsid w:val="5A074784"/>
    <w:rsid w:val="5A132EDD"/>
    <w:rsid w:val="5A685CCE"/>
    <w:rsid w:val="5A9C0E6A"/>
    <w:rsid w:val="5AF10F19"/>
    <w:rsid w:val="5AFD3E69"/>
    <w:rsid w:val="5B1731D8"/>
    <w:rsid w:val="5B3D08D9"/>
    <w:rsid w:val="5B743416"/>
    <w:rsid w:val="5B8E1F6D"/>
    <w:rsid w:val="5BBE1F30"/>
    <w:rsid w:val="5BD72EC6"/>
    <w:rsid w:val="5BF545CB"/>
    <w:rsid w:val="5CB375F3"/>
    <w:rsid w:val="5CF6124B"/>
    <w:rsid w:val="5CFD4577"/>
    <w:rsid w:val="5D0A2FA0"/>
    <w:rsid w:val="5D850DB0"/>
    <w:rsid w:val="5E0B2409"/>
    <w:rsid w:val="5E2C753E"/>
    <w:rsid w:val="5E426AEE"/>
    <w:rsid w:val="5F2C41BB"/>
    <w:rsid w:val="5F42047D"/>
    <w:rsid w:val="5FD01A60"/>
    <w:rsid w:val="60407075"/>
    <w:rsid w:val="60480031"/>
    <w:rsid w:val="60926EC5"/>
    <w:rsid w:val="611C2DDA"/>
    <w:rsid w:val="611E2543"/>
    <w:rsid w:val="615E2367"/>
    <w:rsid w:val="61BF50C5"/>
    <w:rsid w:val="61E85E97"/>
    <w:rsid w:val="62953174"/>
    <w:rsid w:val="62987295"/>
    <w:rsid w:val="62E65A71"/>
    <w:rsid w:val="631E0B74"/>
    <w:rsid w:val="632556B1"/>
    <w:rsid w:val="63721682"/>
    <w:rsid w:val="63C61F0E"/>
    <w:rsid w:val="648C7515"/>
    <w:rsid w:val="65C21817"/>
    <w:rsid w:val="661618A3"/>
    <w:rsid w:val="66661FB6"/>
    <w:rsid w:val="6674759A"/>
    <w:rsid w:val="66785E1C"/>
    <w:rsid w:val="66924718"/>
    <w:rsid w:val="683A1D67"/>
    <w:rsid w:val="684D76F4"/>
    <w:rsid w:val="68F23742"/>
    <w:rsid w:val="69145510"/>
    <w:rsid w:val="69D11B19"/>
    <w:rsid w:val="69FF5343"/>
    <w:rsid w:val="6A0F2121"/>
    <w:rsid w:val="6A807963"/>
    <w:rsid w:val="6AAB1AF1"/>
    <w:rsid w:val="6AF3236C"/>
    <w:rsid w:val="6AF96A1D"/>
    <w:rsid w:val="6B4348C4"/>
    <w:rsid w:val="6B9B091B"/>
    <w:rsid w:val="6B9B3530"/>
    <w:rsid w:val="6BA13170"/>
    <w:rsid w:val="6C0B1AFA"/>
    <w:rsid w:val="6CA56651"/>
    <w:rsid w:val="6CC85F15"/>
    <w:rsid w:val="6CF140CA"/>
    <w:rsid w:val="6D1C5701"/>
    <w:rsid w:val="6D61579B"/>
    <w:rsid w:val="6DE22B27"/>
    <w:rsid w:val="6E2B53BE"/>
    <w:rsid w:val="6E2C1369"/>
    <w:rsid w:val="6E71292C"/>
    <w:rsid w:val="6EA75534"/>
    <w:rsid w:val="6F0E62A9"/>
    <w:rsid w:val="6F675353"/>
    <w:rsid w:val="6FA31F11"/>
    <w:rsid w:val="6FC24F22"/>
    <w:rsid w:val="702001A5"/>
    <w:rsid w:val="70C47799"/>
    <w:rsid w:val="70D0602B"/>
    <w:rsid w:val="711F4D28"/>
    <w:rsid w:val="714607F9"/>
    <w:rsid w:val="71660FAB"/>
    <w:rsid w:val="716E72D5"/>
    <w:rsid w:val="71C75D99"/>
    <w:rsid w:val="729E2CEF"/>
    <w:rsid w:val="738D0A11"/>
    <w:rsid w:val="73C313E8"/>
    <w:rsid w:val="73DC472F"/>
    <w:rsid w:val="73E826C4"/>
    <w:rsid w:val="740002BE"/>
    <w:rsid w:val="747B44F2"/>
    <w:rsid w:val="748E0022"/>
    <w:rsid w:val="75406319"/>
    <w:rsid w:val="75A425A3"/>
    <w:rsid w:val="76025D39"/>
    <w:rsid w:val="761B4A47"/>
    <w:rsid w:val="765D5CDB"/>
    <w:rsid w:val="767B6182"/>
    <w:rsid w:val="76AC4DAA"/>
    <w:rsid w:val="76C41116"/>
    <w:rsid w:val="76FF5885"/>
    <w:rsid w:val="776C0DD1"/>
    <w:rsid w:val="77857D8C"/>
    <w:rsid w:val="77C90FE0"/>
    <w:rsid w:val="781C5AE1"/>
    <w:rsid w:val="78407940"/>
    <w:rsid w:val="79364D21"/>
    <w:rsid w:val="7A4E586A"/>
    <w:rsid w:val="7AA210C3"/>
    <w:rsid w:val="7BF01069"/>
    <w:rsid w:val="7BF54E51"/>
    <w:rsid w:val="7C165565"/>
    <w:rsid w:val="7C380099"/>
    <w:rsid w:val="7C7A3DB7"/>
    <w:rsid w:val="7CE76035"/>
    <w:rsid w:val="7D5715AC"/>
    <w:rsid w:val="7DB44AF1"/>
    <w:rsid w:val="7E0D37A1"/>
    <w:rsid w:val="7E2A090C"/>
    <w:rsid w:val="7E731EF4"/>
    <w:rsid w:val="7F04798E"/>
    <w:rsid w:val="7F155DEA"/>
    <w:rsid w:val="7F814961"/>
    <w:rsid w:val="7FBA4897"/>
    <w:rsid w:val="7FF318A9"/>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qFormat="1"/>
    <w:lsdException w:name="annotation text" w:semiHidden="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jc w:val="left"/>
      <w:outlineLvl w:val="0"/>
    </w:pPr>
    <w:rPr>
      <w:rFonts w:ascii="Times New Roman" w:eastAsia="宋体" w:hAnsi="Times New Roman"/>
      <w:b/>
      <w:bCs/>
      <w:kern w:val="44"/>
      <w:sz w:val="28"/>
      <w:szCs w:val="44"/>
    </w:rPr>
  </w:style>
  <w:style w:type="paragraph" w:styleId="Heading2">
    <w:name w:val="heading 2"/>
    <w:basedOn w:val="Normal"/>
    <w:next w:val="Normal"/>
    <w:qFormat/>
    <w:pPr>
      <w:keepNext/>
      <w:keepLines/>
      <w:spacing w:before="260" w:beforeLines="0" w:beforeAutospacing="0" w:after="260" w:afterLines="0" w:afterAutospacing="0" w:line="413" w:lineRule="auto"/>
      <w:jc w:val="left"/>
      <w:outlineLvl w:val="1"/>
    </w:pPr>
    <w:rPr>
      <w:rFonts w:ascii="Arial" w:eastAsia="宋体" w:hAnsi="Arial"/>
      <w:b/>
      <w:sz w:val="28"/>
    </w:rPr>
  </w:style>
  <w:style w:type="paragraph" w:styleId="Heading3">
    <w:name w:val="heading 3"/>
    <w:basedOn w:val="Normal"/>
    <w:next w:val="Normal"/>
    <w:autoRedefine/>
    <w:qFormat/>
    <w:pPr>
      <w:keepNext/>
      <w:keepLines/>
      <w:spacing w:before="260" w:beforeLines="0" w:beforeAutospacing="0" w:after="260" w:afterLines="0" w:afterAutospacing="0" w:line="413" w:lineRule="auto"/>
      <w:jc w:val="left"/>
      <w:outlineLvl w:val="2"/>
    </w:pPr>
    <w:rPr>
      <w:rFonts w:ascii="Times New Roman" w:eastAsia="宋体" w:hAnsi="Times New Roman"/>
      <w:b/>
      <w:sz w:val="28"/>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ommentText">
    <w:name w:val="annotation text"/>
    <w:basedOn w:val="Normal"/>
    <w:autoRedefine/>
    <w:uiPriority w:val="99"/>
    <w:unhideWhenUsed/>
    <w:qFormat/>
    <w:pPr>
      <w:jc w:val="left"/>
    </w:pPr>
  </w:style>
  <w:style w:type="paragraph" w:styleId="BodyText3">
    <w:name w:val="Body Text 3"/>
    <w:basedOn w:val="Normal"/>
    <w:qFormat/>
    <w:pPr>
      <w:spacing w:after="120"/>
    </w:pPr>
    <w:rPr>
      <w:sz w:val="16"/>
      <w:szCs w:val="16"/>
    </w:rPr>
  </w:style>
  <w:style w:type="paragraph" w:styleId="TOC3">
    <w:name w:val="toc 3"/>
    <w:basedOn w:val="Normal"/>
    <w:next w:val="Normal"/>
    <w:autoRedefine/>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FootnoteText">
    <w:name w:val="footnote text"/>
    <w:basedOn w:val="Normal"/>
    <w:autoRedefine/>
    <w:uiPriority w:val="99"/>
    <w:semiHidden/>
    <w:unhideWhenUsed/>
    <w:qFormat/>
    <w:pPr>
      <w:snapToGrid w:val="0"/>
      <w:jc w:val="left"/>
    </w:pPr>
    <w:rPr>
      <w:sz w:val="18"/>
    </w:rPr>
  </w:style>
  <w:style w:type="paragraph" w:styleId="TOC2">
    <w:name w:val="toc 2"/>
    <w:basedOn w:val="Normal"/>
    <w:next w:val="Normal"/>
    <w:qFormat/>
    <w:pPr>
      <w:ind w:left="420" w:leftChars="200"/>
    </w:pPr>
  </w:style>
  <w:style w:type="table" w:styleId="TableGrid">
    <w:name w:val="Table Grid"/>
    <w:basedOn w:val="TableNormal"/>
    <w:autoRedefine/>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qFormat/>
    <w:rPr>
      <w:vertAlign w:val="superscript"/>
    </w:rPr>
  </w:style>
  <w:style w:type="character" w:customStyle="1" w:styleId="1">
    <w:name w:val="标题 1 字符"/>
    <w:link w:val="Heading1"/>
    <w:qFormat/>
    <w:rPr>
      <w:rFonts w:ascii="Times New Roman" w:eastAsia="宋体" w:hAnsi="Times New Roman"/>
      <w:b/>
      <w:bCs/>
      <w:kern w:val="44"/>
      <w:sz w:val="28"/>
      <w:szCs w:val="44"/>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946112043104010101"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dc:creator>
  <cp:lastModifiedBy>ABEEL</cp:lastModifiedBy>
  <cp:revision>1</cp:revision>
  <dcterms:created xsi:type="dcterms:W3CDTF">2021-03-01T09:25:00Z</dcterms:created>
  <dcterms:modified xsi:type="dcterms:W3CDTF">2024-03-12T14:26:19Z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0EADBD00F2F84C9C9EEB1585751781F4_13</vt:lpwstr>
  </property>
  <property fmtid="{D5CDD505-2E9C-101B-9397-08002B2CF9AE}" pid="3" name="KSOProductBuildVer">
    <vt:lpwstr>2052-12.1.0.16388</vt:lpwstr>
  </property>
</Properties>
</file>