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农作物种子高效加工设备项目计划设计方案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0" w:history="1">
        <w:r>
          <w:rPr>
            <w:rFonts w:ascii="仿宋" w:eastAsia="仿宋" w:hAnsi="仿宋" w:cs="仿宋" w:hint="eastAsia"/>
            <w:lang w:eastAsia="zh-CN"/>
          </w:rPr>
          <w:t>概论</w:t>
        </w:r>
        <w:r>
          <w:tab/>
        </w:r>
        <w:r>
          <w:fldChar w:fldCharType="begin"/>
        </w:r>
        <w:r>
          <w:instrText xml:space="preserve"> PAGEREF _Toc21110 \h </w:instrText>
        </w:r>
        <w:r>
          <w:fldChar w:fldCharType="separate"/>
        </w:r>
        <w:r>
          <w:t>3</w:t>
        </w:r>
        <w:r>
          <w:fldChar w:fldCharType="end"/>
        </w:r>
      </w:hyperlink>
    </w:p>
    <w:p>
      <w:pPr>
        <w:pStyle w:val="TOC1"/>
        <w:tabs>
          <w:tab w:val="right" w:leader="dot" w:pos="8306"/>
        </w:tabs>
      </w:pPr>
      <w:hyperlink w:anchor="_Toc7489" w:history="1">
        <w:r>
          <w:rPr>
            <w:rFonts w:ascii="仿宋" w:eastAsia="仿宋" w:hAnsi="仿宋" w:cs="仿宋" w:hint="eastAsia"/>
            <w:lang w:eastAsia="zh-CN"/>
          </w:rPr>
          <w:t>一、农作物种子高效加工设备项目绩效评估</w:t>
        </w:r>
        <w:r>
          <w:tab/>
        </w:r>
        <w:r>
          <w:fldChar w:fldCharType="begin"/>
        </w:r>
        <w:r>
          <w:instrText xml:space="preserve"> PAGEREF _Toc7489 \h </w:instrText>
        </w:r>
        <w:r>
          <w:fldChar w:fldCharType="separate"/>
        </w:r>
        <w:r>
          <w:t>3</w:t>
        </w:r>
        <w:r>
          <w:fldChar w:fldCharType="end"/>
        </w:r>
      </w:hyperlink>
    </w:p>
    <w:p>
      <w:pPr>
        <w:pStyle w:val="TOC2"/>
        <w:tabs>
          <w:tab w:val="right" w:leader="dot" w:pos="8306"/>
        </w:tabs>
      </w:pPr>
      <w:hyperlink w:anchor="_Toc11708" w:history="1">
        <w:r>
          <w:rPr>
            <w:rFonts w:ascii="仿宋" w:eastAsia="仿宋" w:hAnsi="仿宋" w:cs="仿宋" w:hint="eastAsia"/>
            <w:lang w:eastAsia="zh-CN"/>
          </w:rPr>
          <w:t>(一)、绩效评估指标</w:t>
        </w:r>
        <w:r>
          <w:tab/>
        </w:r>
        <w:r>
          <w:fldChar w:fldCharType="begin"/>
        </w:r>
        <w:r>
          <w:instrText xml:space="preserve"> PAGEREF _Toc11708 \h </w:instrText>
        </w:r>
        <w:r>
          <w:fldChar w:fldCharType="separate"/>
        </w:r>
        <w:r>
          <w:t>3</w:t>
        </w:r>
        <w:r>
          <w:fldChar w:fldCharType="end"/>
        </w:r>
      </w:hyperlink>
    </w:p>
    <w:p>
      <w:pPr>
        <w:pStyle w:val="TOC2"/>
        <w:tabs>
          <w:tab w:val="right" w:leader="dot" w:pos="8306"/>
        </w:tabs>
      </w:pPr>
      <w:hyperlink w:anchor="_Toc609" w:history="1">
        <w:r>
          <w:rPr>
            <w:rFonts w:ascii="仿宋" w:eastAsia="仿宋" w:hAnsi="仿宋" w:cs="仿宋" w:hint="eastAsia"/>
            <w:lang w:eastAsia="zh-CN"/>
          </w:rPr>
          <w:t>(二)、绩效评估方法</w:t>
        </w:r>
        <w:r>
          <w:tab/>
        </w:r>
        <w:r>
          <w:fldChar w:fldCharType="begin"/>
        </w:r>
        <w:r>
          <w:instrText xml:space="preserve"> PAGEREF _Toc609 \h </w:instrText>
        </w:r>
        <w:r>
          <w:fldChar w:fldCharType="separate"/>
        </w:r>
        <w:r>
          <w:t>4</w:t>
        </w:r>
        <w:r>
          <w:fldChar w:fldCharType="end"/>
        </w:r>
      </w:hyperlink>
    </w:p>
    <w:p>
      <w:pPr>
        <w:pStyle w:val="TOC2"/>
        <w:tabs>
          <w:tab w:val="right" w:leader="dot" w:pos="8306"/>
        </w:tabs>
      </w:pPr>
      <w:hyperlink w:anchor="_Toc10276" w:history="1">
        <w:r>
          <w:rPr>
            <w:rFonts w:ascii="仿宋" w:eastAsia="仿宋" w:hAnsi="仿宋" w:cs="仿宋" w:hint="eastAsia"/>
            <w:lang w:eastAsia="zh-CN"/>
          </w:rPr>
          <w:t>(三)、绩效评估周期</w:t>
        </w:r>
        <w:r>
          <w:tab/>
        </w:r>
        <w:r>
          <w:fldChar w:fldCharType="begin"/>
        </w:r>
        <w:r>
          <w:instrText xml:space="preserve"> PAGEREF _Toc10276 \h </w:instrText>
        </w:r>
        <w:r>
          <w:fldChar w:fldCharType="separate"/>
        </w:r>
        <w:r>
          <w:t>5</w:t>
        </w:r>
        <w:r>
          <w:fldChar w:fldCharType="end"/>
        </w:r>
      </w:hyperlink>
    </w:p>
    <w:p>
      <w:pPr>
        <w:pStyle w:val="TOC1"/>
        <w:tabs>
          <w:tab w:val="right" w:leader="dot" w:pos="8306"/>
        </w:tabs>
      </w:pPr>
      <w:hyperlink w:anchor="_Toc27125" w:history="1">
        <w:r>
          <w:rPr>
            <w:rFonts w:ascii="仿宋" w:eastAsia="仿宋" w:hAnsi="仿宋" w:cs="仿宋" w:hint="eastAsia"/>
            <w:lang w:eastAsia="zh-CN"/>
          </w:rPr>
          <w:t>二、工艺说明</w:t>
        </w:r>
        <w:r>
          <w:tab/>
        </w:r>
        <w:r>
          <w:fldChar w:fldCharType="begin"/>
        </w:r>
        <w:r>
          <w:instrText xml:space="preserve"> PAGEREF _Toc27125 \h </w:instrText>
        </w:r>
        <w:r>
          <w:fldChar w:fldCharType="separate"/>
        </w:r>
        <w:r>
          <w:t>7</w:t>
        </w:r>
        <w:r>
          <w:fldChar w:fldCharType="end"/>
        </w:r>
      </w:hyperlink>
    </w:p>
    <w:p>
      <w:pPr>
        <w:pStyle w:val="TOC2"/>
        <w:tabs>
          <w:tab w:val="right" w:leader="dot" w:pos="8306"/>
        </w:tabs>
      </w:pPr>
      <w:hyperlink w:anchor="_Toc28836" w:history="1">
        <w:r>
          <w:rPr>
            <w:rFonts w:ascii="仿宋" w:eastAsia="仿宋" w:hAnsi="仿宋" w:cs="仿宋" w:hint="eastAsia"/>
            <w:lang w:eastAsia="zh-CN"/>
          </w:rPr>
          <w:t>(一)、技术管理特点</w:t>
        </w:r>
        <w:r>
          <w:tab/>
        </w:r>
        <w:r>
          <w:fldChar w:fldCharType="begin"/>
        </w:r>
        <w:r>
          <w:instrText xml:space="preserve"> PAGEREF _Toc28836 \h </w:instrText>
        </w:r>
        <w:r>
          <w:fldChar w:fldCharType="separate"/>
        </w:r>
        <w:r>
          <w:t>7</w:t>
        </w:r>
        <w:r>
          <w:fldChar w:fldCharType="end"/>
        </w:r>
      </w:hyperlink>
    </w:p>
    <w:p>
      <w:pPr>
        <w:pStyle w:val="TOC2"/>
        <w:tabs>
          <w:tab w:val="right" w:leader="dot" w:pos="8306"/>
        </w:tabs>
      </w:pPr>
      <w:hyperlink w:anchor="_Toc2022" w:history="1">
        <w:r>
          <w:rPr>
            <w:rFonts w:ascii="仿宋" w:eastAsia="仿宋" w:hAnsi="仿宋" w:cs="仿宋" w:hint="eastAsia"/>
            <w:lang w:eastAsia="zh-CN"/>
          </w:rPr>
          <w:t>(二)、农作物种子高效加工设备项目工艺技术设计方案</w:t>
        </w:r>
        <w:r>
          <w:tab/>
        </w:r>
        <w:r>
          <w:fldChar w:fldCharType="begin"/>
        </w:r>
        <w:r>
          <w:instrText xml:space="preserve"> PAGEREF _Toc2022 \h </w:instrText>
        </w:r>
        <w:r>
          <w:fldChar w:fldCharType="separate"/>
        </w:r>
        <w:r>
          <w:t>8</w:t>
        </w:r>
        <w:r>
          <w:fldChar w:fldCharType="end"/>
        </w:r>
      </w:hyperlink>
    </w:p>
    <w:p>
      <w:pPr>
        <w:pStyle w:val="TOC2"/>
        <w:tabs>
          <w:tab w:val="right" w:leader="dot" w:pos="8306"/>
        </w:tabs>
      </w:pPr>
      <w:hyperlink w:anchor="_Toc20770" w:history="1">
        <w:r>
          <w:rPr>
            <w:rFonts w:ascii="仿宋" w:eastAsia="仿宋" w:hAnsi="仿宋" w:cs="仿宋" w:hint="eastAsia"/>
            <w:lang w:eastAsia="zh-CN"/>
          </w:rPr>
          <w:t>(三)、设备选型方案</w:t>
        </w:r>
        <w:r>
          <w:tab/>
        </w:r>
        <w:r>
          <w:fldChar w:fldCharType="begin"/>
        </w:r>
        <w:r>
          <w:instrText xml:space="preserve"> PAGEREF _Toc20770 \h </w:instrText>
        </w:r>
        <w:r>
          <w:fldChar w:fldCharType="separate"/>
        </w:r>
        <w:r>
          <w:t>9</w:t>
        </w:r>
        <w:r>
          <w:fldChar w:fldCharType="end"/>
        </w:r>
      </w:hyperlink>
    </w:p>
    <w:p>
      <w:pPr>
        <w:pStyle w:val="TOC1"/>
        <w:tabs>
          <w:tab w:val="right" w:leader="dot" w:pos="8306"/>
        </w:tabs>
      </w:pPr>
      <w:hyperlink w:anchor="_Toc21913" w:history="1">
        <w:r>
          <w:rPr>
            <w:rFonts w:ascii="仿宋" w:eastAsia="仿宋" w:hAnsi="仿宋" w:cs="仿宋" w:hint="eastAsia"/>
            <w:lang w:eastAsia="zh-CN"/>
          </w:rPr>
          <w:t>三、市场分析、调研</w:t>
        </w:r>
        <w:r>
          <w:tab/>
        </w:r>
        <w:r>
          <w:fldChar w:fldCharType="begin"/>
        </w:r>
        <w:r>
          <w:instrText xml:space="preserve"> PAGEREF _Toc21913 \h </w:instrText>
        </w:r>
        <w:r>
          <w:fldChar w:fldCharType="separate"/>
        </w:r>
        <w:r>
          <w:t>11</w:t>
        </w:r>
        <w:r>
          <w:fldChar w:fldCharType="end"/>
        </w:r>
      </w:hyperlink>
    </w:p>
    <w:p>
      <w:pPr>
        <w:pStyle w:val="TOC2"/>
        <w:tabs>
          <w:tab w:val="right" w:leader="dot" w:pos="8306"/>
        </w:tabs>
      </w:pPr>
      <w:hyperlink w:anchor="_Toc16417" w:history="1">
        <w:r>
          <w:rPr>
            <w:rFonts w:ascii="仿宋" w:eastAsia="仿宋" w:hAnsi="仿宋" w:cs="仿宋" w:hint="eastAsia"/>
            <w:lang w:eastAsia="zh-CN"/>
          </w:rPr>
          <w:t>(一)、农作物种子高效加工设备行业分析</w:t>
        </w:r>
        <w:r>
          <w:tab/>
        </w:r>
        <w:r>
          <w:fldChar w:fldCharType="begin"/>
        </w:r>
        <w:r>
          <w:instrText xml:space="preserve"> PAGEREF _Toc16417 \h </w:instrText>
        </w:r>
        <w:r>
          <w:fldChar w:fldCharType="separate"/>
        </w:r>
        <w:r>
          <w:t>11</w:t>
        </w:r>
        <w:r>
          <w:fldChar w:fldCharType="end"/>
        </w:r>
      </w:hyperlink>
    </w:p>
    <w:p>
      <w:pPr>
        <w:pStyle w:val="TOC2"/>
        <w:tabs>
          <w:tab w:val="right" w:leader="dot" w:pos="8306"/>
        </w:tabs>
      </w:pPr>
      <w:hyperlink w:anchor="_Toc3952" w:history="1">
        <w:r>
          <w:rPr>
            <w:rFonts w:ascii="仿宋" w:eastAsia="仿宋" w:hAnsi="仿宋" w:cs="仿宋" w:hint="eastAsia"/>
            <w:lang w:eastAsia="zh-CN"/>
          </w:rPr>
          <w:t>(二)、农作物种子高效加工设备市场分析预测</w:t>
        </w:r>
        <w:r>
          <w:tab/>
        </w:r>
        <w:r>
          <w:fldChar w:fldCharType="begin"/>
        </w:r>
        <w:r>
          <w:instrText xml:space="preserve"> PAGEREF _Toc3952 \h </w:instrText>
        </w:r>
        <w:r>
          <w:fldChar w:fldCharType="separate"/>
        </w:r>
        <w:r>
          <w:t>12</w:t>
        </w:r>
        <w:r>
          <w:fldChar w:fldCharType="end"/>
        </w:r>
      </w:hyperlink>
    </w:p>
    <w:p>
      <w:pPr>
        <w:pStyle w:val="TOC1"/>
        <w:tabs>
          <w:tab w:val="right" w:leader="dot" w:pos="8306"/>
        </w:tabs>
      </w:pPr>
      <w:hyperlink w:anchor="_Toc20672" w:history="1">
        <w:r>
          <w:rPr>
            <w:rFonts w:ascii="仿宋" w:eastAsia="仿宋" w:hAnsi="仿宋" w:cs="仿宋" w:hint="eastAsia"/>
            <w:lang w:eastAsia="zh-CN"/>
          </w:rPr>
          <w:t>四、农作物种子高效加工设备项目土建工程</w:t>
        </w:r>
        <w:r>
          <w:tab/>
        </w:r>
        <w:r>
          <w:fldChar w:fldCharType="begin"/>
        </w:r>
        <w:r>
          <w:instrText xml:space="preserve"> PAGEREF _Toc20672 \h </w:instrText>
        </w:r>
        <w:r>
          <w:fldChar w:fldCharType="separate"/>
        </w:r>
        <w:r>
          <w:t>12</w:t>
        </w:r>
        <w:r>
          <w:fldChar w:fldCharType="end"/>
        </w:r>
      </w:hyperlink>
    </w:p>
    <w:p>
      <w:pPr>
        <w:pStyle w:val="TOC2"/>
        <w:tabs>
          <w:tab w:val="right" w:leader="dot" w:pos="8306"/>
        </w:tabs>
      </w:pPr>
      <w:hyperlink w:anchor="_Toc11081" w:history="1">
        <w:r>
          <w:rPr>
            <w:rFonts w:ascii="仿宋" w:eastAsia="仿宋" w:hAnsi="仿宋" w:cs="仿宋" w:hint="eastAsia"/>
            <w:lang w:eastAsia="zh-CN"/>
          </w:rPr>
          <w:t>(一)、建筑工程设计原则</w:t>
        </w:r>
        <w:r>
          <w:tab/>
        </w:r>
        <w:r>
          <w:fldChar w:fldCharType="begin"/>
        </w:r>
        <w:r>
          <w:instrText xml:space="preserve"> PAGEREF _Toc11081 \h </w:instrText>
        </w:r>
        <w:r>
          <w:fldChar w:fldCharType="separate"/>
        </w:r>
        <w:r>
          <w:t>12</w:t>
        </w:r>
        <w:r>
          <w:fldChar w:fldCharType="end"/>
        </w:r>
      </w:hyperlink>
    </w:p>
    <w:p>
      <w:pPr>
        <w:pStyle w:val="TOC2"/>
        <w:tabs>
          <w:tab w:val="right" w:leader="dot" w:pos="8306"/>
        </w:tabs>
      </w:pPr>
      <w:hyperlink w:anchor="_Toc31669" w:history="1">
        <w:r>
          <w:rPr>
            <w:rFonts w:ascii="仿宋" w:eastAsia="仿宋" w:hAnsi="仿宋" w:cs="仿宋" w:hint="eastAsia"/>
            <w:lang w:eastAsia="zh-CN"/>
          </w:rPr>
          <w:t>(二)、土建工程设计年限及安全等级</w:t>
        </w:r>
        <w:r>
          <w:tab/>
        </w:r>
        <w:r>
          <w:fldChar w:fldCharType="begin"/>
        </w:r>
        <w:r>
          <w:instrText xml:space="preserve"> PAGEREF _Toc31669 \h </w:instrText>
        </w:r>
        <w:r>
          <w:fldChar w:fldCharType="separate"/>
        </w:r>
        <w:r>
          <w:t>14</w:t>
        </w:r>
        <w:r>
          <w:fldChar w:fldCharType="end"/>
        </w:r>
      </w:hyperlink>
    </w:p>
    <w:p>
      <w:pPr>
        <w:pStyle w:val="TOC2"/>
        <w:tabs>
          <w:tab w:val="right" w:leader="dot" w:pos="8306"/>
        </w:tabs>
      </w:pPr>
      <w:hyperlink w:anchor="_Toc30729" w:history="1">
        <w:r>
          <w:rPr>
            <w:rFonts w:ascii="仿宋" w:eastAsia="仿宋" w:hAnsi="仿宋" w:cs="仿宋" w:hint="eastAsia"/>
            <w:lang w:eastAsia="zh-CN"/>
          </w:rPr>
          <w:t>(三)、建筑工程设计总体要求</w:t>
        </w:r>
        <w:r>
          <w:tab/>
        </w:r>
        <w:r>
          <w:fldChar w:fldCharType="begin"/>
        </w:r>
        <w:r>
          <w:instrText xml:space="preserve"> PAGEREF _Toc30729 \h </w:instrText>
        </w:r>
        <w:r>
          <w:fldChar w:fldCharType="separate"/>
        </w:r>
        <w:r>
          <w:t>15</w:t>
        </w:r>
        <w:r>
          <w:fldChar w:fldCharType="end"/>
        </w:r>
      </w:hyperlink>
    </w:p>
    <w:p>
      <w:pPr>
        <w:pStyle w:val="TOC2"/>
        <w:tabs>
          <w:tab w:val="right" w:leader="dot" w:pos="8306"/>
        </w:tabs>
      </w:pPr>
      <w:hyperlink w:anchor="_Toc20786" w:history="1">
        <w:r>
          <w:rPr>
            <w:rFonts w:ascii="仿宋" w:eastAsia="仿宋" w:hAnsi="仿宋" w:cs="仿宋" w:hint="eastAsia"/>
            <w:lang w:eastAsia="zh-CN"/>
          </w:rPr>
          <w:t>(四)、土建工程建设指标</w:t>
        </w:r>
        <w:r>
          <w:tab/>
        </w:r>
        <w:r>
          <w:fldChar w:fldCharType="begin"/>
        </w:r>
        <w:r>
          <w:instrText xml:space="preserve"> PAGEREF _Toc20786 \h </w:instrText>
        </w:r>
        <w:r>
          <w:fldChar w:fldCharType="separate"/>
        </w:r>
        <w:r>
          <w:t>16</w:t>
        </w:r>
        <w:r>
          <w:fldChar w:fldCharType="end"/>
        </w:r>
      </w:hyperlink>
    </w:p>
    <w:p>
      <w:pPr>
        <w:pStyle w:val="TOC1"/>
        <w:tabs>
          <w:tab w:val="right" w:leader="dot" w:pos="8306"/>
        </w:tabs>
      </w:pPr>
      <w:hyperlink w:anchor="_Toc22138" w:history="1">
        <w:r>
          <w:rPr>
            <w:rFonts w:ascii="仿宋" w:eastAsia="仿宋" w:hAnsi="仿宋" w:cs="仿宋" w:hint="eastAsia"/>
            <w:lang w:eastAsia="zh-CN"/>
          </w:rPr>
          <w:t>五、农作物种子高效加工设备项目建设背景及必要性分析</w:t>
        </w:r>
        <w:r>
          <w:tab/>
        </w:r>
        <w:r>
          <w:fldChar w:fldCharType="begin"/>
        </w:r>
        <w:r>
          <w:instrText xml:space="preserve"> PAGEREF _Toc22138 \h </w:instrText>
        </w:r>
        <w:r>
          <w:fldChar w:fldCharType="separate"/>
        </w:r>
        <w:r>
          <w:t>16</w:t>
        </w:r>
        <w:r>
          <w:fldChar w:fldCharType="end"/>
        </w:r>
      </w:hyperlink>
    </w:p>
    <w:p>
      <w:pPr>
        <w:pStyle w:val="TOC2"/>
        <w:tabs>
          <w:tab w:val="right" w:leader="dot" w:pos="8306"/>
        </w:tabs>
      </w:pPr>
      <w:hyperlink w:anchor="_Toc25294" w:history="1">
        <w:r>
          <w:rPr>
            <w:rFonts w:ascii="仿宋" w:eastAsia="仿宋" w:hAnsi="仿宋" w:cs="仿宋" w:hint="eastAsia"/>
            <w:lang w:eastAsia="zh-CN"/>
          </w:rPr>
          <w:t>(一)、农作物种子高效加工设备项目背景分析</w:t>
        </w:r>
        <w:r>
          <w:tab/>
        </w:r>
        <w:r>
          <w:fldChar w:fldCharType="begin"/>
        </w:r>
        <w:r>
          <w:instrText xml:space="preserve"> PAGEREF _Toc25294 \h </w:instrText>
        </w:r>
        <w:r>
          <w:fldChar w:fldCharType="separate"/>
        </w:r>
        <w:r>
          <w:t>16</w:t>
        </w:r>
        <w:r>
          <w:fldChar w:fldCharType="end"/>
        </w:r>
      </w:hyperlink>
    </w:p>
    <w:p>
      <w:pPr>
        <w:pStyle w:val="TOC2"/>
        <w:tabs>
          <w:tab w:val="right" w:leader="dot" w:pos="8306"/>
        </w:tabs>
      </w:pPr>
      <w:hyperlink w:anchor="_Toc15866" w:history="1">
        <w:r>
          <w:rPr>
            <w:rFonts w:ascii="仿宋" w:eastAsia="仿宋" w:hAnsi="仿宋" w:cs="仿宋" w:hint="eastAsia"/>
            <w:lang w:eastAsia="zh-CN"/>
          </w:rPr>
          <w:t>(二)、农作物种子高效加工设备项目建设必要性分析</w:t>
        </w:r>
        <w:r>
          <w:tab/>
        </w:r>
        <w:r>
          <w:fldChar w:fldCharType="begin"/>
        </w:r>
        <w:r>
          <w:instrText xml:space="preserve"> PAGEREF _Toc15866 \h </w:instrText>
        </w:r>
        <w:r>
          <w:fldChar w:fldCharType="separate"/>
        </w:r>
        <w:r>
          <w:t>18</w:t>
        </w:r>
        <w:r>
          <w:fldChar w:fldCharType="end"/>
        </w:r>
      </w:hyperlink>
    </w:p>
    <w:p>
      <w:pPr>
        <w:pStyle w:val="TOC1"/>
        <w:tabs>
          <w:tab w:val="right" w:leader="dot" w:pos="8306"/>
        </w:tabs>
      </w:pPr>
      <w:hyperlink w:anchor="_Toc28144" w:history="1">
        <w:r>
          <w:rPr>
            <w:rFonts w:ascii="仿宋" w:eastAsia="仿宋" w:hAnsi="仿宋" w:cs="仿宋" w:hint="eastAsia"/>
            <w:lang w:eastAsia="zh-CN"/>
          </w:rPr>
          <w:t>六、产品规划分析</w:t>
        </w:r>
        <w:r>
          <w:tab/>
        </w:r>
        <w:r>
          <w:fldChar w:fldCharType="begin"/>
        </w:r>
        <w:r>
          <w:instrText xml:space="preserve"> PAGEREF _Toc28144 \h </w:instrText>
        </w:r>
        <w:r>
          <w:fldChar w:fldCharType="separate"/>
        </w:r>
        <w:r>
          <w:t>19</w:t>
        </w:r>
        <w:r>
          <w:fldChar w:fldCharType="end"/>
        </w:r>
      </w:hyperlink>
    </w:p>
    <w:p>
      <w:pPr>
        <w:pStyle w:val="TOC2"/>
        <w:tabs>
          <w:tab w:val="right" w:leader="dot" w:pos="8306"/>
        </w:tabs>
      </w:pPr>
      <w:hyperlink w:anchor="_Toc5075" w:history="1">
        <w:r>
          <w:rPr>
            <w:rFonts w:ascii="仿宋" w:eastAsia="仿宋" w:hAnsi="仿宋" w:cs="仿宋" w:hint="eastAsia"/>
            <w:lang w:eastAsia="zh-CN"/>
          </w:rPr>
          <w:t>(一)、产品规划</w:t>
        </w:r>
        <w:r>
          <w:tab/>
        </w:r>
        <w:r>
          <w:fldChar w:fldCharType="begin"/>
        </w:r>
        <w:r>
          <w:instrText xml:space="preserve"> PAGEREF _Toc5075 \h </w:instrText>
        </w:r>
        <w:r>
          <w:fldChar w:fldCharType="separate"/>
        </w:r>
        <w:r>
          <w:t>19</w:t>
        </w:r>
        <w:r>
          <w:fldChar w:fldCharType="end"/>
        </w:r>
      </w:hyperlink>
    </w:p>
    <w:p>
      <w:pPr>
        <w:pStyle w:val="TOC2"/>
        <w:tabs>
          <w:tab w:val="right" w:leader="dot" w:pos="8306"/>
        </w:tabs>
      </w:pPr>
      <w:hyperlink w:anchor="_Toc21064" w:history="1">
        <w:r>
          <w:rPr>
            <w:rFonts w:ascii="仿宋" w:eastAsia="仿宋" w:hAnsi="仿宋" w:cs="仿宋" w:hint="eastAsia"/>
            <w:lang w:eastAsia="zh-CN"/>
          </w:rPr>
          <w:t>(二)、建设规模</w:t>
        </w:r>
        <w:r>
          <w:tab/>
        </w:r>
        <w:r>
          <w:fldChar w:fldCharType="begin"/>
        </w:r>
        <w:r>
          <w:instrText xml:space="preserve"> PAGEREF _Toc21064 \h </w:instrText>
        </w:r>
        <w:r>
          <w:fldChar w:fldCharType="separate"/>
        </w:r>
        <w:r>
          <w:t>20</w:t>
        </w:r>
        <w:r>
          <w:fldChar w:fldCharType="end"/>
        </w:r>
      </w:hyperlink>
    </w:p>
    <w:p>
      <w:pPr>
        <w:pStyle w:val="TOC1"/>
        <w:tabs>
          <w:tab w:val="right" w:leader="dot" w:pos="8306"/>
        </w:tabs>
      </w:pPr>
      <w:hyperlink w:anchor="_Toc21051" w:history="1">
        <w:r>
          <w:rPr>
            <w:rFonts w:ascii="仿宋" w:eastAsia="仿宋" w:hAnsi="仿宋" w:cs="仿宋" w:hint="eastAsia"/>
            <w:lang w:eastAsia="zh-CN"/>
          </w:rPr>
          <w:t>七、农作物种子高效加工设备项目创新与研发</w:t>
        </w:r>
        <w:r>
          <w:tab/>
        </w:r>
        <w:r>
          <w:fldChar w:fldCharType="begin"/>
        </w:r>
        <w:r>
          <w:instrText xml:space="preserve"> PAGEREF _Toc21051 \h </w:instrText>
        </w:r>
        <w:r>
          <w:fldChar w:fldCharType="separate"/>
        </w:r>
        <w:r>
          <w:t>21</w:t>
        </w:r>
        <w:r>
          <w:fldChar w:fldCharType="end"/>
        </w:r>
      </w:hyperlink>
    </w:p>
    <w:p>
      <w:pPr>
        <w:pStyle w:val="TOC2"/>
        <w:tabs>
          <w:tab w:val="right" w:leader="dot" w:pos="8306"/>
        </w:tabs>
      </w:pPr>
      <w:hyperlink w:anchor="_Toc32092" w:history="1">
        <w:r>
          <w:rPr>
            <w:rFonts w:ascii="仿宋" w:eastAsia="仿宋" w:hAnsi="仿宋" w:cs="仿宋" w:hint="eastAsia"/>
            <w:lang w:eastAsia="zh-CN"/>
          </w:rPr>
          <w:t>(一)、创新策略与方向</w:t>
        </w:r>
        <w:r>
          <w:tab/>
        </w:r>
        <w:r>
          <w:fldChar w:fldCharType="begin"/>
        </w:r>
        <w:r>
          <w:instrText xml:space="preserve"> PAGEREF _Toc32092 \h </w:instrText>
        </w:r>
        <w:r>
          <w:fldChar w:fldCharType="separate"/>
        </w:r>
        <w:r>
          <w:t>21</w:t>
        </w:r>
        <w:r>
          <w:fldChar w:fldCharType="end"/>
        </w:r>
      </w:hyperlink>
    </w:p>
    <w:p>
      <w:pPr>
        <w:pStyle w:val="TOC2"/>
        <w:tabs>
          <w:tab w:val="right" w:leader="dot" w:pos="8306"/>
        </w:tabs>
      </w:pPr>
      <w:hyperlink w:anchor="_Toc9279" w:history="1">
        <w:r>
          <w:rPr>
            <w:rFonts w:ascii="仿宋" w:eastAsia="仿宋" w:hAnsi="仿宋" w:cs="仿宋" w:hint="eastAsia"/>
            <w:lang w:eastAsia="zh-CN"/>
          </w:rPr>
          <w:t>(二)、研发规划与投入</w:t>
        </w:r>
        <w:r>
          <w:tab/>
        </w:r>
        <w:r>
          <w:fldChar w:fldCharType="begin"/>
        </w:r>
        <w:r>
          <w:instrText xml:space="preserve"> PAGEREF _Toc9279 \h </w:instrText>
        </w:r>
        <w:r>
          <w:fldChar w:fldCharType="separate"/>
        </w:r>
        <w:r>
          <w:t>23</w:t>
        </w:r>
        <w:r>
          <w:fldChar w:fldCharType="end"/>
        </w:r>
      </w:hyperlink>
    </w:p>
    <w:p>
      <w:pPr>
        <w:pStyle w:val="TOC1"/>
        <w:tabs>
          <w:tab w:val="right" w:leader="dot" w:pos="8306"/>
        </w:tabs>
      </w:pPr>
      <w:hyperlink w:anchor="_Toc31540" w:history="1">
        <w:r>
          <w:rPr>
            <w:rFonts w:ascii="仿宋" w:eastAsia="仿宋" w:hAnsi="仿宋" w:cs="仿宋" w:hint="eastAsia"/>
            <w:lang w:eastAsia="zh-CN"/>
          </w:rPr>
          <w:t>八、农作物种子高效加工设备项目人力资源培养与发展</w:t>
        </w:r>
        <w:r>
          <w:tab/>
        </w:r>
        <w:r>
          <w:fldChar w:fldCharType="begin"/>
        </w:r>
        <w:r>
          <w:instrText xml:space="preserve"> PAGEREF _Toc31540 \h </w:instrText>
        </w:r>
        <w:r>
          <w:fldChar w:fldCharType="separate"/>
        </w:r>
        <w:r>
          <w:t>24</w:t>
        </w:r>
        <w:r>
          <w:fldChar w:fldCharType="end"/>
        </w:r>
      </w:hyperlink>
    </w:p>
    <w:p>
      <w:pPr>
        <w:pStyle w:val="TOC2"/>
        <w:tabs>
          <w:tab w:val="right" w:leader="dot" w:pos="8306"/>
        </w:tabs>
      </w:pPr>
      <w:hyperlink w:anchor="_Toc1581" w:history="1">
        <w:r>
          <w:rPr>
            <w:rFonts w:ascii="仿宋" w:eastAsia="仿宋" w:hAnsi="仿宋" w:cs="仿宋" w:hint="eastAsia"/>
            <w:lang w:eastAsia="zh-CN"/>
          </w:rPr>
          <w:t>(一)、人才需求与规划</w:t>
        </w:r>
        <w:r>
          <w:tab/>
        </w:r>
        <w:r>
          <w:fldChar w:fldCharType="begin"/>
        </w:r>
        <w:r>
          <w:instrText xml:space="preserve"> PAGEREF _Toc1581 \h </w:instrText>
        </w:r>
        <w:r>
          <w:fldChar w:fldCharType="separate"/>
        </w:r>
        <w:r>
          <w:t>24</w:t>
        </w:r>
        <w:r>
          <w:fldChar w:fldCharType="end"/>
        </w:r>
      </w:hyperlink>
    </w:p>
    <w:p>
      <w:pPr>
        <w:pStyle w:val="TOC2"/>
        <w:tabs>
          <w:tab w:val="right" w:leader="dot" w:pos="8306"/>
        </w:tabs>
      </w:pPr>
      <w:hyperlink w:anchor="_Toc7589" w:history="1">
        <w:r>
          <w:rPr>
            <w:rFonts w:ascii="仿宋" w:eastAsia="仿宋" w:hAnsi="仿宋" w:cs="仿宋" w:hint="eastAsia"/>
            <w:lang w:eastAsia="zh-CN"/>
          </w:rPr>
          <w:t>(二)、培训与发展计划</w:t>
        </w:r>
        <w:r>
          <w:tab/>
        </w:r>
        <w:r>
          <w:fldChar w:fldCharType="begin"/>
        </w:r>
        <w:r>
          <w:instrText xml:space="preserve"> PAGEREF _Toc7589 \h </w:instrText>
        </w:r>
        <w:r>
          <w:fldChar w:fldCharType="separate"/>
        </w:r>
        <w:r>
          <w:t>25</w:t>
        </w:r>
        <w:r>
          <w:fldChar w:fldCharType="end"/>
        </w:r>
      </w:hyperlink>
    </w:p>
    <w:p>
      <w:pPr>
        <w:pStyle w:val="TOC1"/>
        <w:tabs>
          <w:tab w:val="right" w:leader="dot" w:pos="8306"/>
        </w:tabs>
      </w:pPr>
      <w:hyperlink w:anchor="_Toc13888" w:history="1">
        <w:r>
          <w:rPr>
            <w:rFonts w:ascii="仿宋" w:eastAsia="仿宋" w:hAnsi="仿宋" w:cs="仿宋" w:hint="eastAsia"/>
            <w:lang w:eastAsia="zh-CN"/>
          </w:rPr>
          <w:t>九、农作物种子高效加工设备项目经营效益</w:t>
        </w:r>
        <w:r>
          <w:tab/>
        </w:r>
        <w:r>
          <w:fldChar w:fldCharType="begin"/>
        </w:r>
        <w:r>
          <w:instrText xml:space="preserve"> PAGEREF _Toc13888 \h </w:instrText>
        </w:r>
        <w:r>
          <w:fldChar w:fldCharType="separate"/>
        </w:r>
        <w:r>
          <w:t>25</w:t>
        </w:r>
        <w:r>
          <w:fldChar w:fldCharType="end"/>
        </w:r>
      </w:hyperlink>
    </w:p>
    <w:p>
      <w:pPr>
        <w:pStyle w:val="TOC2"/>
        <w:tabs>
          <w:tab w:val="right" w:leader="dot" w:pos="8306"/>
        </w:tabs>
      </w:pPr>
      <w:hyperlink w:anchor="_Toc30424" w:history="1">
        <w:r>
          <w:rPr>
            <w:rFonts w:ascii="仿宋" w:eastAsia="仿宋" w:hAnsi="仿宋" w:cs="仿宋" w:hint="eastAsia"/>
            <w:lang w:eastAsia="zh-CN"/>
          </w:rPr>
          <w:t>(一)、经济评价财务测算</w:t>
        </w:r>
        <w:r>
          <w:tab/>
        </w:r>
        <w:r>
          <w:fldChar w:fldCharType="begin"/>
        </w:r>
        <w:r>
          <w:instrText xml:space="preserve"> PAGEREF _Toc30424 \h </w:instrText>
        </w:r>
        <w:r>
          <w:fldChar w:fldCharType="separate"/>
        </w:r>
        <w:r>
          <w:t>25</w:t>
        </w:r>
        <w:r>
          <w:fldChar w:fldCharType="end"/>
        </w:r>
      </w:hyperlink>
    </w:p>
    <w:p>
      <w:pPr>
        <w:pStyle w:val="TOC2"/>
        <w:tabs>
          <w:tab w:val="right" w:leader="dot" w:pos="8306"/>
        </w:tabs>
      </w:pPr>
      <w:hyperlink w:anchor="_Toc24459" w:history="1">
        <w:r>
          <w:rPr>
            <w:rFonts w:ascii="仿宋" w:eastAsia="仿宋" w:hAnsi="仿宋" w:cs="仿宋" w:hint="eastAsia"/>
            <w:lang w:eastAsia="zh-CN"/>
          </w:rPr>
          <w:t>(二)、农作物种子高效加工设备项目盈利能力分析</w:t>
        </w:r>
        <w:r>
          <w:tab/>
        </w:r>
        <w:r>
          <w:fldChar w:fldCharType="begin"/>
        </w:r>
        <w:r>
          <w:instrText xml:space="preserve"> PAGEREF _Toc24459 \h </w:instrText>
        </w:r>
        <w:r>
          <w:fldChar w:fldCharType="separate"/>
        </w:r>
        <w:r>
          <w:t>27</w:t>
        </w:r>
        <w:r>
          <w:fldChar w:fldCharType="end"/>
        </w:r>
      </w:hyperlink>
    </w:p>
    <w:p>
      <w:pPr>
        <w:pStyle w:val="TOC1"/>
        <w:tabs>
          <w:tab w:val="right" w:leader="dot" w:pos="8306"/>
        </w:tabs>
      </w:pPr>
      <w:hyperlink w:anchor="_Toc2284" w:history="1">
        <w:r>
          <w:rPr>
            <w:rFonts w:ascii="仿宋" w:eastAsia="仿宋" w:hAnsi="仿宋" w:cs="仿宋" w:hint="eastAsia"/>
            <w:lang w:eastAsia="zh-CN"/>
          </w:rPr>
          <w:t>十、农作物种子高效加工设备项目技术管理</w:t>
        </w:r>
        <w:r>
          <w:tab/>
        </w:r>
        <w:r>
          <w:fldChar w:fldCharType="begin"/>
        </w:r>
        <w:r>
          <w:instrText xml:space="preserve"> PAGEREF _Toc2284 \h </w:instrText>
        </w:r>
        <w:r>
          <w:fldChar w:fldCharType="separate"/>
        </w:r>
        <w:r>
          <w:t>28</w:t>
        </w:r>
        <w:r>
          <w:fldChar w:fldCharType="end"/>
        </w:r>
      </w:hyperlink>
    </w:p>
    <w:p>
      <w:pPr>
        <w:pStyle w:val="TOC2"/>
        <w:tabs>
          <w:tab w:val="right" w:leader="dot" w:pos="8306"/>
        </w:tabs>
      </w:pPr>
      <w:hyperlink w:anchor="_Toc31110" w:history="1">
        <w:r>
          <w:rPr>
            <w:rFonts w:ascii="仿宋" w:eastAsia="仿宋" w:hAnsi="仿宋" w:cs="仿宋" w:hint="eastAsia"/>
            <w:lang w:eastAsia="zh-CN"/>
          </w:rPr>
          <w:t>(一)、技术方案选用方向</w:t>
        </w:r>
        <w:r>
          <w:tab/>
        </w:r>
        <w:r>
          <w:fldChar w:fldCharType="begin"/>
        </w:r>
        <w:r>
          <w:instrText xml:space="preserve"> PAGEREF _Toc31110 \h </w:instrText>
        </w:r>
        <w:r>
          <w:fldChar w:fldCharType="separate"/>
        </w:r>
        <w:r>
          <w:t>28</w:t>
        </w:r>
        <w:r>
          <w:fldChar w:fldCharType="end"/>
        </w:r>
      </w:hyperlink>
    </w:p>
    <w:p>
      <w:pPr>
        <w:pStyle w:val="TOC2"/>
        <w:tabs>
          <w:tab w:val="right" w:leader="dot" w:pos="8306"/>
        </w:tabs>
      </w:pPr>
      <w:hyperlink w:anchor="_Toc23542" w:history="1">
        <w:r>
          <w:rPr>
            <w:rFonts w:ascii="仿宋" w:eastAsia="仿宋" w:hAnsi="仿宋" w:cs="仿宋" w:hint="eastAsia"/>
            <w:lang w:eastAsia="zh-CN"/>
          </w:rPr>
          <w:t>(二)、工艺技术方案选用原则</w:t>
        </w:r>
        <w:r>
          <w:tab/>
        </w:r>
        <w:r>
          <w:fldChar w:fldCharType="begin"/>
        </w:r>
        <w:r>
          <w:instrText xml:space="preserve"> PAGEREF _Toc23542 \h </w:instrText>
        </w:r>
        <w:r>
          <w:fldChar w:fldCharType="separate"/>
        </w:r>
        <w:r>
          <w:t>30</w:t>
        </w:r>
        <w:r>
          <w:fldChar w:fldCharType="end"/>
        </w:r>
      </w:hyperlink>
    </w:p>
    <w:p>
      <w:pPr>
        <w:pStyle w:val="TOC2"/>
        <w:tabs>
          <w:tab w:val="right" w:leader="dot" w:pos="8306"/>
        </w:tabs>
      </w:pPr>
      <w:hyperlink w:anchor="_Toc26782" w:history="1">
        <w:r>
          <w:rPr>
            <w:rFonts w:ascii="仿宋" w:eastAsia="仿宋" w:hAnsi="仿宋" w:cs="仿宋" w:hint="eastAsia"/>
            <w:lang w:eastAsia="zh-CN"/>
          </w:rPr>
          <w:t>(三)、工艺技术方案要求</w:t>
        </w:r>
        <w:r>
          <w:tab/>
        </w:r>
        <w:r>
          <w:fldChar w:fldCharType="begin"/>
        </w:r>
        <w:r>
          <w:instrText xml:space="preserve"> PAGEREF _Toc26782 \h </w:instrText>
        </w:r>
        <w:r>
          <w:fldChar w:fldCharType="separate"/>
        </w:r>
        <w:r>
          <w:t>32</w:t>
        </w:r>
        <w:r>
          <w:fldChar w:fldCharType="end"/>
        </w:r>
      </w:hyperlink>
    </w:p>
    <w:p>
      <w:pPr>
        <w:pStyle w:val="TOC1"/>
        <w:tabs>
          <w:tab w:val="right" w:leader="dot" w:pos="8306"/>
        </w:tabs>
      </w:pPr>
      <w:hyperlink w:anchor="_Toc29862" w:history="1">
        <w:r>
          <w:rPr>
            <w:rFonts w:ascii="仿宋" w:eastAsia="仿宋" w:hAnsi="仿宋" w:cs="仿宋" w:hint="eastAsia"/>
            <w:lang w:eastAsia="zh-CN"/>
          </w:rPr>
          <w:t>十一、生产安全保护</w:t>
        </w:r>
        <w:r>
          <w:tab/>
        </w:r>
        <w:r>
          <w:fldChar w:fldCharType="begin"/>
        </w:r>
        <w:r>
          <w:instrText xml:space="preserve"> PAGEREF _Toc29862 \h </w:instrText>
        </w:r>
        <w:r>
          <w:fldChar w:fldCharType="separate"/>
        </w:r>
        <w:r>
          <w:t>34</w:t>
        </w:r>
        <w:r>
          <w:fldChar w:fldCharType="end"/>
        </w:r>
      </w:hyperlink>
    </w:p>
    <w:p>
      <w:pPr>
        <w:pStyle w:val="TOC2"/>
        <w:tabs>
          <w:tab w:val="right" w:leader="dot" w:pos="8306"/>
        </w:tabs>
      </w:pPr>
      <w:hyperlink w:anchor="_Toc4288" w:history="1">
        <w:r>
          <w:rPr>
            <w:rFonts w:ascii="仿宋" w:eastAsia="仿宋" w:hAnsi="仿宋" w:cs="仿宋" w:hint="eastAsia"/>
            <w:lang w:eastAsia="zh-CN"/>
          </w:rPr>
          <w:t>(一)、消防安全</w:t>
        </w:r>
        <w:r>
          <w:tab/>
        </w:r>
        <w:r>
          <w:fldChar w:fldCharType="begin"/>
        </w:r>
        <w:r>
          <w:instrText xml:space="preserve"> PAGEREF _Toc4288 \h </w:instrText>
        </w:r>
        <w:r>
          <w:fldChar w:fldCharType="separate"/>
        </w:r>
        <w:r>
          <w:t>34</w:t>
        </w:r>
        <w:r>
          <w:fldChar w:fldCharType="end"/>
        </w:r>
      </w:hyperlink>
    </w:p>
    <w:p>
      <w:pPr>
        <w:pStyle w:val="TOC2"/>
        <w:tabs>
          <w:tab w:val="right" w:leader="dot" w:pos="8306"/>
        </w:tabs>
      </w:pPr>
      <w:hyperlink w:anchor="_Toc14674" w:history="1">
        <w:r>
          <w:rPr>
            <w:rFonts w:ascii="仿宋" w:eastAsia="仿宋" w:hAnsi="仿宋" w:cs="仿宋" w:hint="eastAsia"/>
            <w:lang w:eastAsia="zh-CN"/>
          </w:rPr>
          <w:t>(二)、防火防爆总图布置措施</w:t>
        </w:r>
        <w:r>
          <w:tab/>
        </w:r>
        <w:r>
          <w:fldChar w:fldCharType="begin"/>
        </w:r>
        <w:r>
          <w:instrText xml:space="preserve"> PAGEREF _Toc14674 \h </w:instrText>
        </w:r>
        <w:r>
          <w:fldChar w:fldCharType="separate"/>
        </w:r>
        <w:r>
          <w:t>36</w:t>
        </w:r>
        <w:r>
          <w:fldChar w:fldCharType="end"/>
        </w:r>
      </w:hyperlink>
    </w:p>
    <w:p>
      <w:pPr>
        <w:pStyle w:val="TOC2"/>
        <w:tabs>
          <w:tab w:val="right" w:leader="dot" w:pos="8306"/>
        </w:tabs>
      </w:pPr>
      <w:hyperlink w:anchor="_Toc20657" w:history="1">
        <w:r>
          <w:rPr>
            <w:rFonts w:ascii="仿宋" w:eastAsia="仿宋" w:hAnsi="仿宋" w:cs="仿宋" w:hint="eastAsia"/>
            <w:lang w:eastAsia="zh-CN"/>
          </w:rPr>
          <w:t>(三)、自然灾害防范措施</w:t>
        </w:r>
        <w:r>
          <w:tab/>
        </w:r>
        <w:r>
          <w:fldChar w:fldCharType="begin"/>
        </w:r>
        <w:r>
          <w:instrText xml:space="preserve"> PAGEREF _Toc20657 \h </w:instrText>
        </w:r>
        <w:r>
          <w:fldChar w:fldCharType="separate"/>
        </w:r>
        <w:r>
          <w:t>37</w:t>
        </w:r>
        <w:r>
          <w:fldChar w:fldCharType="end"/>
        </w:r>
      </w:hyperlink>
    </w:p>
    <w:p>
      <w:pPr>
        <w:pStyle w:val="TOC2"/>
        <w:tabs>
          <w:tab w:val="right" w:leader="dot" w:pos="8306"/>
        </w:tabs>
      </w:pPr>
      <w:hyperlink w:anchor="_Toc66" w:history="1">
        <w:r>
          <w:rPr>
            <w:rFonts w:ascii="仿宋" w:eastAsia="仿宋" w:hAnsi="仿宋" w:cs="仿宋" w:hint="eastAsia"/>
            <w:lang w:eastAsia="zh-CN"/>
          </w:rPr>
          <w:t>(四)、安全色及安全标志使用要求</w:t>
        </w:r>
        <w:r>
          <w:tab/>
        </w:r>
        <w:r>
          <w:fldChar w:fldCharType="begin"/>
        </w:r>
        <w:r>
          <w:instrText xml:space="preserve"> PAGEREF _Toc66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38" w:history="1">
        <w:r>
          <w:rPr>
            <w:rFonts w:ascii="仿宋" w:eastAsia="仿宋" w:hAnsi="仿宋" w:cs="仿宋" w:hint="eastAsia"/>
            <w:lang w:eastAsia="zh-CN"/>
          </w:rPr>
          <w:t>(五)、防尘防毒措施</w:t>
        </w:r>
        <w:r>
          <w:tab/>
        </w:r>
        <w:r>
          <w:fldChar w:fldCharType="begin"/>
        </w:r>
        <w:r>
          <w:instrText xml:space="preserve"> PAGEREF _Toc21938 \h </w:instrText>
        </w:r>
        <w:r>
          <w:fldChar w:fldCharType="separate"/>
        </w:r>
        <w:r>
          <w:t>39</w:t>
        </w:r>
        <w:r>
          <w:fldChar w:fldCharType="end"/>
        </w:r>
      </w:hyperlink>
    </w:p>
    <w:p>
      <w:pPr>
        <w:pStyle w:val="TOC2"/>
        <w:tabs>
          <w:tab w:val="right" w:leader="dot" w:pos="8306"/>
        </w:tabs>
      </w:pPr>
      <w:hyperlink w:anchor="_Toc6510" w:history="1">
        <w:r>
          <w:rPr>
            <w:rFonts w:ascii="仿宋" w:eastAsia="仿宋" w:hAnsi="仿宋" w:cs="仿宋" w:hint="eastAsia"/>
            <w:lang w:eastAsia="zh-CN"/>
          </w:rPr>
          <w:t>(六)、防静电、触电防护及防雷措施</w:t>
        </w:r>
        <w:r>
          <w:tab/>
        </w:r>
        <w:r>
          <w:fldChar w:fldCharType="begin"/>
        </w:r>
        <w:r>
          <w:instrText xml:space="preserve"> PAGEREF _Toc6510 \h </w:instrText>
        </w:r>
        <w:r>
          <w:fldChar w:fldCharType="separate"/>
        </w:r>
        <w:r>
          <w:t>40</w:t>
        </w:r>
        <w:r>
          <w:fldChar w:fldCharType="end"/>
        </w:r>
      </w:hyperlink>
    </w:p>
    <w:p>
      <w:pPr>
        <w:pStyle w:val="TOC2"/>
        <w:tabs>
          <w:tab w:val="right" w:leader="dot" w:pos="8306"/>
        </w:tabs>
      </w:pPr>
      <w:hyperlink w:anchor="_Toc28869" w:history="1">
        <w:r>
          <w:rPr>
            <w:rFonts w:ascii="仿宋" w:eastAsia="仿宋" w:hAnsi="仿宋" w:cs="仿宋" w:hint="eastAsia"/>
            <w:lang w:eastAsia="zh-CN"/>
          </w:rPr>
          <w:t>(七)、机械设备安全保障措施</w:t>
        </w:r>
        <w:r>
          <w:tab/>
        </w:r>
        <w:r>
          <w:fldChar w:fldCharType="begin"/>
        </w:r>
        <w:r>
          <w:instrText xml:space="preserve"> PAGEREF _Toc28869 \h </w:instrText>
        </w:r>
        <w:r>
          <w:fldChar w:fldCharType="separate"/>
        </w:r>
        <w:r>
          <w:t>41</w:t>
        </w:r>
        <w:r>
          <w:fldChar w:fldCharType="end"/>
        </w:r>
      </w:hyperlink>
    </w:p>
    <w:p>
      <w:pPr>
        <w:pStyle w:val="TOC1"/>
        <w:tabs>
          <w:tab w:val="right" w:leader="dot" w:pos="8306"/>
        </w:tabs>
      </w:pPr>
      <w:hyperlink w:anchor="_Toc30475" w:history="1">
        <w:r>
          <w:rPr>
            <w:rFonts w:ascii="仿宋" w:eastAsia="仿宋" w:hAnsi="仿宋" w:cs="仿宋" w:hint="eastAsia"/>
            <w:lang w:eastAsia="zh-CN"/>
          </w:rPr>
          <w:t>十二、农作物种子高效加工设备项目人力资源管理</w:t>
        </w:r>
        <w:r>
          <w:tab/>
        </w:r>
        <w:r>
          <w:fldChar w:fldCharType="begin"/>
        </w:r>
        <w:r>
          <w:instrText xml:space="preserve"> PAGEREF _Toc30475 \h </w:instrText>
        </w:r>
        <w:r>
          <w:fldChar w:fldCharType="separate"/>
        </w:r>
        <w:r>
          <w:t>43</w:t>
        </w:r>
        <w:r>
          <w:fldChar w:fldCharType="end"/>
        </w:r>
      </w:hyperlink>
    </w:p>
    <w:p>
      <w:pPr>
        <w:pStyle w:val="TOC2"/>
        <w:tabs>
          <w:tab w:val="right" w:leader="dot" w:pos="8306"/>
        </w:tabs>
      </w:pPr>
      <w:hyperlink w:anchor="_Toc9095" w:history="1">
        <w:r>
          <w:rPr>
            <w:rFonts w:ascii="仿宋" w:eastAsia="仿宋" w:hAnsi="仿宋" w:cs="仿宋" w:hint="eastAsia"/>
            <w:lang w:eastAsia="zh-CN"/>
          </w:rPr>
          <w:t>(一)、建立健全的预算管理制度</w:t>
        </w:r>
        <w:r>
          <w:tab/>
        </w:r>
        <w:r>
          <w:fldChar w:fldCharType="begin"/>
        </w:r>
        <w:r>
          <w:instrText xml:space="preserve"> PAGEREF _Toc9095 \h </w:instrText>
        </w:r>
        <w:r>
          <w:fldChar w:fldCharType="separate"/>
        </w:r>
        <w:r>
          <w:t>43</w:t>
        </w:r>
        <w:r>
          <w:fldChar w:fldCharType="end"/>
        </w:r>
      </w:hyperlink>
    </w:p>
    <w:p>
      <w:pPr>
        <w:pStyle w:val="TOC2"/>
        <w:tabs>
          <w:tab w:val="right" w:leader="dot" w:pos="8306"/>
        </w:tabs>
      </w:pPr>
      <w:hyperlink w:anchor="_Toc29592" w:history="1">
        <w:r>
          <w:rPr>
            <w:rFonts w:ascii="仿宋" w:eastAsia="仿宋" w:hAnsi="仿宋" w:cs="仿宋" w:hint="eastAsia"/>
            <w:lang w:eastAsia="zh-CN"/>
          </w:rPr>
          <w:t>(二)、加强资金流动监控</w:t>
        </w:r>
        <w:r>
          <w:tab/>
        </w:r>
        <w:r>
          <w:fldChar w:fldCharType="begin"/>
        </w:r>
        <w:r>
          <w:instrText xml:space="preserve"> PAGEREF _Toc29592 \h </w:instrText>
        </w:r>
        <w:r>
          <w:fldChar w:fldCharType="separate"/>
        </w:r>
        <w:r>
          <w:t>45</w:t>
        </w:r>
        <w:r>
          <w:fldChar w:fldCharType="end"/>
        </w:r>
      </w:hyperlink>
    </w:p>
    <w:p>
      <w:pPr>
        <w:pStyle w:val="TOC2"/>
        <w:tabs>
          <w:tab w:val="right" w:leader="dot" w:pos="8306"/>
        </w:tabs>
      </w:pPr>
      <w:hyperlink w:anchor="_Toc2182" w:history="1">
        <w:r>
          <w:rPr>
            <w:rFonts w:ascii="仿宋" w:eastAsia="仿宋" w:hAnsi="仿宋" w:cs="仿宋" w:hint="eastAsia"/>
            <w:lang w:eastAsia="zh-CN"/>
          </w:rPr>
          <w:t>(三)、制定完善的风险控制机制</w:t>
        </w:r>
        <w:r>
          <w:tab/>
        </w:r>
        <w:r>
          <w:fldChar w:fldCharType="begin"/>
        </w:r>
        <w:r>
          <w:instrText xml:space="preserve"> PAGEREF _Toc2182 \h </w:instrText>
        </w:r>
        <w:r>
          <w:fldChar w:fldCharType="separate"/>
        </w:r>
        <w:r>
          <w:t>46</w:t>
        </w:r>
        <w:r>
          <w:fldChar w:fldCharType="end"/>
        </w:r>
      </w:hyperlink>
    </w:p>
    <w:p>
      <w:pPr>
        <w:pStyle w:val="TOC2"/>
        <w:tabs>
          <w:tab w:val="right" w:leader="dot" w:pos="8306"/>
        </w:tabs>
      </w:pPr>
      <w:hyperlink w:anchor="_Toc26959" w:history="1">
        <w:r>
          <w:rPr>
            <w:rFonts w:ascii="仿宋" w:eastAsia="仿宋" w:hAnsi="仿宋" w:cs="仿宋" w:hint="eastAsia"/>
            <w:lang w:eastAsia="zh-CN"/>
          </w:rPr>
          <w:t>(四)、优化成本管理</w:t>
        </w:r>
        <w:r>
          <w:tab/>
        </w:r>
        <w:r>
          <w:fldChar w:fldCharType="begin"/>
        </w:r>
        <w:r>
          <w:instrText xml:space="preserve"> PAGEREF _Toc26959 \h </w:instrText>
        </w:r>
        <w:r>
          <w:fldChar w:fldCharType="separate"/>
        </w:r>
        <w:r>
          <w:t>48</w:t>
        </w:r>
        <w:r>
          <w:fldChar w:fldCharType="end"/>
        </w:r>
      </w:hyperlink>
    </w:p>
    <w:p>
      <w:pPr>
        <w:pStyle w:val="TOC1"/>
        <w:tabs>
          <w:tab w:val="right" w:leader="dot" w:pos="8306"/>
        </w:tabs>
      </w:pPr>
      <w:hyperlink w:anchor="_Toc7017" w:history="1">
        <w:r>
          <w:rPr>
            <w:rFonts w:ascii="仿宋" w:eastAsia="仿宋" w:hAnsi="仿宋" w:cs="仿宋" w:hint="eastAsia"/>
            <w:lang w:eastAsia="zh-CN"/>
          </w:rPr>
          <w:t>十三、营销与推广策略</w:t>
        </w:r>
        <w:r>
          <w:tab/>
        </w:r>
        <w:r>
          <w:fldChar w:fldCharType="begin"/>
        </w:r>
        <w:r>
          <w:instrText xml:space="preserve"> PAGEREF _Toc7017 \h </w:instrText>
        </w:r>
        <w:r>
          <w:fldChar w:fldCharType="separate"/>
        </w:r>
        <w:r>
          <w:t>49</w:t>
        </w:r>
        <w:r>
          <w:fldChar w:fldCharType="end"/>
        </w:r>
      </w:hyperlink>
    </w:p>
    <w:p>
      <w:pPr>
        <w:pStyle w:val="TOC2"/>
        <w:tabs>
          <w:tab w:val="right" w:leader="dot" w:pos="8306"/>
        </w:tabs>
      </w:pPr>
      <w:hyperlink w:anchor="_Toc11814" w:history="1">
        <w:r>
          <w:rPr>
            <w:rFonts w:ascii="仿宋" w:eastAsia="仿宋" w:hAnsi="仿宋" w:cs="仿宋" w:hint="eastAsia"/>
            <w:lang w:eastAsia="zh-CN"/>
          </w:rPr>
          <w:t>(一)、产品/服务定位与特点</w:t>
        </w:r>
        <w:r>
          <w:tab/>
        </w:r>
        <w:r>
          <w:fldChar w:fldCharType="begin"/>
        </w:r>
        <w:r>
          <w:instrText xml:space="preserve"> PAGEREF _Toc11814 \h </w:instrText>
        </w:r>
        <w:r>
          <w:fldChar w:fldCharType="separate"/>
        </w:r>
        <w:r>
          <w:t>49</w:t>
        </w:r>
        <w:r>
          <w:fldChar w:fldCharType="end"/>
        </w:r>
      </w:hyperlink>
    </w:p>
    <w:p>
      <w:pPr>
        <w:pStyle w:val="TOC2"/>
        <w:tabs>
          <w:tab w:val="right" w:leader="dot" w:pos="8306"/>
        </w:tabs>
      </w:pPr>
      <w:hyperlink w:anchor="_Toc18301" w:history="1">
        <w:r>
          <w:rPr>
            <w:rFonts w:ascii="仿宋" w:eastAsia="仿宋" w:hAnsi="仿宋" w:cs="仿宋" w:hint="eastAsia"/>
            <w:lang w:eastAsia="zh-CN"/>
          </w:rPr>
          <w:t>(二)、市场定位与竞争分析</w:t>
        </w:r>
        <w:r>
          <w:tab/>
        </w:r>
        <w:r>
          <w:fldChar w:fldCharType="begin"/>
        </w:r>
        <w:r>
          <w:instrText xml:space="preserve"> PAGEREF _Toc18301 \h </w:instrText>
        </w:r>
        <w:r>
          <w:fldChar w:fldCharType="separate"/>
        </w:r>
        <w:r>
          <w:t>50</w:t>
        </w:r>
        <w:r>
          <w:fldChar w:fldCharType="end"/>
        </w:r>
      </w:hyperlink>
    </w:p>
    <w:p>
      <w:pPr>
        <w:pStyle w:val="TOC2"/>
        <w:tabs>
          <w:tab w:val="right" w:leader="dot" w:pos="8306"/>
        </w:tabs>
      </w:pPr>
      <w:hyperlink w:anchor="_Toc24769" w:history="1">
        <w:r>
          <w:rPr>
            <w:rFonts w:ascii="仿宋" w:eastAsia="仿宋" w:hAnsi="仿宋" w:cs="仿宋" w:hint="eastAsia"/>
            <w:lang w:eastAsia="zh-CN"/>
          </w:rPr>
          <w:t>(三)、营销渠道与策略</w:t>
        </w:r>
        <w:r>
          <w:tab/>
        </w:r>
        <w:r>
          <w:fldChar w:fldCharType="begin"/>
        </w:r>
        <w:r>
          <w:instrText xml:space="preserve"> PAGEREF _Toc24769 \h </w:instrText>
        </w:r>
        <w:r>
          <w:fldChar w:fldCharType="separate"/>
        </w:r>
        <w:r>
          <w:t>52</w:t>
        </w:r>
        <w:r>
          <w:fldChar w:fldCharType="end"/>
        </w:r>
      </w:hyperlink>
    </w:p>
    <w:p>
      <w:pPr>
        <w:pStyle w:val="TOC2"/>
        <w:tabs>
          <w:tab w:val="right" w:leader="dot" w:pos="8306"/>
        </w:tabs>
      </w:pPr>
      <w:hyperlink w:anchor="_Toc5968" w:history="1">
        <w:r>
          <w:rPr>
            <w:rFonts w:ascii="仿宋" w:eastAsia="仿宋" w:hAnsi="仿宋" w:cs="仿宋" w:hint="eastAsia"/>
            <w:lang w:eastAsia="zh-CN"/>
          </w:rPr>
          <w:t>(四)、推广与宣传活动</w:t>
        </w:r>
        <w:r>
          <w:tab/>
        </w:r>
        <w:r>
          <w:fldChar w:fldCharType="begin"/>
        </w:r>
        <w:r>
          <w:instrText xml:space="preserve"> PAGEREF _Toc5968 \h </w:instrText>
        </w:r>
        <w:r>
          <w:fldChar w:fldCharType="separate"/>
        </w:r>
        <w:r>
          <w:t>53</w:t>
        </w:r>
        <w:r>
          <w:fldChar w:fldCharType="end"/>
        </w:r>
      </w:hyperlink>
    </w:p>
    <w:p>
      <w:pPr>
        <w:pStyle w:val="TOC1"/>
        <w:tabs>
          <w:tab w:val="right" w:leader="dot" w:pos="8306"/>
        </w:tabs>
      </w:pPr>
      <w:hyperlink w:anchor="_Toc5633" w:history="1">
        <w:r>
          <w:rPr>
            <w:rFonts w:ascii="仿宋" w:eastAsia="仿宋" w:hAnsi="仿宋" w:cs="仿宋" w:hint="eastAsia"/>
            <w:lang w:eastAsia="zh-CN"/>
          </w:rPr>
          <w:t>十四、农作物种子高效加工设备项目实施保障措施</w:t>
        </w:r>
        <w:r>
          <w:tab/>
        </w:r>
        <w:r>
          <w:fldChar w:fldCharType="begin"/>
        </w:r>
        <w:r>
          <w:instrText xml:space="preserve"> PAGEREF _Toc5633 \h </w:instrText>
        </w:r>
        <w:r>
          <w:fldChar w:fldCharType="separate"/>
        </w:r>
        <w:r>
          <w:t>58</w:t>
        </w:r>
        <w:r>
          <w:fldChar w:fldCharType="end"/>
        </w:r>
      </w:hyperlink>
    </w:p>
    <w:p>
      <w:pPr>
        <w:pStyle w:val="TOC2"/>
        <w:tabs>
          <w:tab w:val="right" w:leader="dot" w:pos="8306"/>
        </w:tabs>
      </w:pPr>
      <w:hyperlink w:anchor="_Toc30342" w:history="1">
        <w:r>
          <w:rPr>
            <w:rFonts w:ascii="仿宋" w:eastAsia="仿宋" w:hAnsi="仿宋" w:cs="仿宋" w:hint="eastAsia"/>
            <w:lang w:eastAsia="zh-CN"/>
          </w:rPr>
          <w:t>(一)、农作物种子高效加工设备项目实施保障机制</w:t>
        </w:r>
        <w:r>
          <w:tab/>
        </w:r>
        <w:r>
          <w:fldChar w:fldCharType="begin"/>
        </w:r>
        <w:r>
          <w:instrText xml:space="preserve"> PAGEREF _Toc30342 \h </w:instrText>
        </w:r>
        <w:r>
          <w:fldChar w:fldCharType="separate"/>
        </w:r>
        <w:r>
          <w:t>58</w:t>
        </w:r>
        <w:r>
          <w:fldChar w:fldCharType="end"/>
        </w:r>
      </w:hyperlink>
    </w:p>
    <w:p>
      <w:pPr>
        <w:pStyle w:val="TOC2"/>
        <w:tabs>
          <w:tab w:val="right" w:leader="dot" w:pos="8306"/>
        </w:tabs>
      </w:pPr>
      <w:hyperlink w:anchor="_Toc13340" w:history="1">
        <w:r>
          <w:rPr>
            <w:rFonts w:ascii="仿宋" w:eastAsia="仿宋" w:hAnsi="仿宋" w:cs="仿宋" w:hint="eastAsia"/>
            <w:lang w:eastAsia="zh-CN"/>
          </w:rPr>
          <w:t>(二)、农作物种子高效加工设备项目法律合规要求</w:t>
        </w:r>
        <w:r>
          <w:tab/>
        </w:r>
        <w:r>
          <w:fldChar w:fldCharType="begin"/>
        </w:r>
        <w:r>
          <w:instrText xml:space="preserve"> PAGEREF _Toc13340 \h </w:instrText>
        </w:r>
        <w:r>
          <w:fldChar w:fldCharType="separate"/>
        </w:r>
        <w:r>
          <w:t>62</w:t>
        </w:r>
        <w:r>
          <w:fldChar w:fldCharType="end"/>
        </w:r>
      </w:hyperlink>
    </w:p>
    <w:p>
      <w:pPr>
        <w:pStyle w:val="TOC2"/>
        <w:tabs>
          <w:tab w:val="right" w:leader="dot" w:pos="8306"/>
        </w:tabs>
      </w:pPr>
      <w:hyperlink w:anchor="_Toc16151" w:history="1">
        <w:r>
          <w:rPr>
            <w:rFonts w:ascii="仿宋" w:eastAsia="仿宋" w:hAnsi="仿宋" w:cs="仿宋" w:hint="eastAsia"/>
            <w:lang w:eastAsia="zh-CN"/>
          </w:rPr>
          <w:t>(三)、农作物种子高效加工设备项目合同管理与法律事务</w:t>
        </w:r>
        <w:r>
          <w:tab/>
        </w:r>
        <w:r>
          <w:fldChar w:fldCharType="begin"/>
        </w:r>
        <w:r>
          <w:instrText xml:space="preserve"> PAGEREF _Toc16151 \h </w:instrText>
        </w:r>
        <w:r>
          <w:fldChar w:fldCharType="separate"/>
        </w:r>
        <w:r>
          <w:t>67</w:t>
        </w:r>
        <w:r>
          <w:fldChar w:fldCharType="end"/>
        </w:r>
      </w:hyperlink>
    </w:p>
    <w:p>
      <w:pPr>
        <w:pStyle w:val="TOC2"/>
        <w:tabs>
          <w:tab w:val="right" w:leader="dot" w:pos="8306"/>
        </w:tabs>
      </w:pPr>
      <w:hyperlink w:anchor="_Toc28512" w:history="1">
        <w:r>
          <w:rPr>
            <w:rFonts w:ascii="仿宋" w:eastAsia="仿宋" w:hAnsi="仿宋" w:cs="仿宋" w:hint="eastAsia"/>
            <w:lang w:eastAsia="zh-CN"/>
          </w:rPr>
          <w:t>(四)、农作物种子高效加工设备项目知识产权保护策略</w:t>
        </w:r>
        <w:r>
          <w:tab/>
        </w:r>
        <w:r>
          <w:fldChar w:fldCharType="begin"/>
        </w:r>
        <w:r>
          <w:instrText xml:space="preserve"> PAGEREF _Toc28512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89"/>
      <w:r>
        <w:rPr>
          <w:rFonts w:ascii="仿宋" w:eastAsia="仿宋" w:hAnsi="仿宋" w:cs="仿宋" w:hint="eastAsia"/>
          <w:sz w:val="28"/>
          <w:lang w:eastAsia="zh-CN"/>
        </w:rPr>
        <w:t>一、农作物种子高效加工设备项目绩效评估</w:t>
      </w:r>
      <w:bookmarkEnd w:id="2"/>
    </w:p>
    <w:p>
      <w:pPr>
        <w:pStyle w:val="Heading2"/>
        <w:rPr>
          <w:rFonts w:ascii="仿宋" w:eastAsia="仿宋" w:hAnsi="仿宋" w:cs="仿宋" w:hint="eastAsia"/>
          <w:lang w:eastAsia="zh-CN"/>
        </w:rPr>
      </w:pPr>
      <w:bookmarkStart w:id="3" w:name="_Toc117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中，我们设计了一套全面的绩效评估指标，以确保农作物种子高效加工设备项目的可控和成功交付。这些指标跨足农作物种子高效加工设备项目目标、成本、进度和质量等多个维度，为我们提供了全面洞察农作物种子高效加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目标达成率是我们关注的首要指标。我们设定了明确的目标，并通过定期监测和评估，迅速发现并应对潜在的目标偏差。这为农作物种子高效加工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成本绩效是另一个核心关注点。通过实际成本与预算成本的对比分析，我们深入了解成本差异的原因，及时调整资源分配，保持农作物种子高效加工设备项目在经济效益方面的合理水平。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进度作为关键的绩效指标之一，得到了精心的关注。我们制定了详细的农作物种子高效加工设备项目进度计划，并设立了进度符合度指标，确保实际进度与计划进度保持一致。这使我们能够快速发现和解决潜在的进度问题，保持农作物种子高效加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作物种子高效加工设备项目绩效的不可或缺的一环。我们引入了一系列的质量标准和客户满意度指标，以确保农作物种子高效加工设备项目交付的成果在质量上达到或超越预期水平。通过持续监测这些指标，我们努力提升农作物种子高效加工设备项目整体质量水平，为农作物种子高效加工设备项目的成功交付提供有力保障。通过这些科学且全面的绩效评估，我们能够更好地引导农作物种子高效加工设备项目的持续改进，确保农作物种子高效加工设备项目目标的顺利达成。</w:t>
      </w:r>
    </w:p>
    <w:p>
      <w:pPr>
        <w:pStyle w:val="Heading2"/>
        <w:ind w:firstLine="560" w:firstLineChars="200"/>
        <w:rPr>
          <w:rFonts w:ascii="仿宋" w:eastAsia="仿宋" w:hAnsi="仿宋" w:cs="仿宋" w:hint="eastAsia"/>
          <w:sz w:val="28"/>
          <w:lang w:eastAsia="zh-CN"/>
        </w:rPr>
      </w:pPr>
      <w:bookmarkStart w:id="4" w:name="_Toc6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绩效评估是农作物种子高效加工设备项目中的关键环节，为确保农作物种子高效加工设备项目达到预期目标，我们采用了多层次、多维度的绩效评估方法。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作物种子高效加工设备项目的战略目标对齐，确保每个决策和行动都与农作物种子高效加工设备项目整体目标保持一致。团队会定期召开战略对齐会议，审视当前工作与农作物种子高效加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作物种子高效加工设备项目进度、质量、成本和风险等方面。这些指标通过数据收集和分析，为农作物种子高效加工设备项目管理团队提供了客观的评估依据。例如，我们通过农作物种子高效加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作物种子高效加工设备项目内部，还考虑了农作物种子高效加工设备项目对外部环境的影响。我们定期进行干系人满意度调查，以了解各利益相关方对农作物种子高效加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这种多层次、多角度的绩效评估方法，使得我们能够全面了解农作物种子高效加工设备项目的运行状态，及时做出调整，确保农作物种子高效加工设备项目在不断变化的环境中保持稳健前行。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27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为了确保农作物种子高效加工设备项目的有效管理和不断优化，我们采用了精心设计的绩效评估周期。这个周期旨在实现灵活、实时和全面的评估，以适应农作物种子高效加工设备项目执行中的各种挑战。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作物种子高效加工设备项目的不同需求，分为短期、中期和长期。短期评估关注每个迭代或工作周期，以及时发现和解决当前任务中的问题。中期评估涵盖几个迭代，深入了解整体农作物种子高效加工设备项目的趋势和性能。长期评估则着眼于整个农作物种子高效加工设备项目阶段，确保农作物种子高效加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作物种子高效加工设备项目管理工具和协作平台，团队成员能够随时更新和分享农作物种子高效加工设备项目数据。这种实时性的反馈机制使我们能够及时察觉潜在问题，快速调整，保持农作物种子高效加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农作物种子高效加工设备项目的决策制定密不可分。每个周期的农作物种子高效加工设备项目回顾会议成为集体总结经验、识别问题深层次原因并找到创新解决方案的平台。这种定期的反思与调整机制使农作物种子高效加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12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83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的技术管理特点体现在其创新导向。通过引入最先进的技术趋势和解决方案，农作物种子高效加工设备项目致力于提升科技含量、提高质量和效率水平。这意味着我们将采用最新的工具和方法，确保农作物种子高效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作物种子高效加工设备项目技术管理的显著特征。通过整合不同领域的技术资源，我们实现了跨学科的协同工作。这有助于优化技术架构，提高整体效能。此外，整合性策略还促进了不同技术团队之间的紧密沟通和高效合作，确保农作物种子高效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作物种子高效加工设备项目所采用的技术。通过不断优化技术方案，农作物种子高效加工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作物种子高效加工设备项目团队将在农作物种子高效加工设备项目初期识别可能的技术风险，并采取相应的预防和应对措施。通过建立健全的风险评估机制，农作物种子高效加工设备项目能够在实施过程中及时发现并解决潜在的技术问题，保障农作物种子高效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作物种子高效加工设备项目中，技术将成为农作物种子高效加工设备项目成功的有力支持。这一深度剖析揭示了技术管理在农作物种子高效加工设备项目实施中的关键作用，为农作物种子高效加工设备项目的技术基础奠定了坚实的基础。</w:t>
      </w:r>
    </w:p>
    <w:p>
      <w:pPr>
        <w:pStyle w:val="Heading2"/>
        <w:ind w:firstLine="560" w:firstLineChars="200"/>
        <w:rPr>
          <w:rFonts w:ascii="仿宋" w:eastAsia="仿宋" w:hAnsi="仿宋" w:cs="仿宋" w:hint="eastAsia"/>
          <w:sz w:val="28"/>
          <w:lang w:eastAsia="zh-CN"/>
        </w:rPr>
      </w:pPr>
      <w:bookmarkStart w:id="8" w:name="_Toc2022"/>
      <w:r>
        <w:rPr>
          <w:rFonts w:ascii="仿宋" w:eastAsia="仿宋" w:hAnsi="仿宋" w:cs="仿宋" w:hint="eastAsia"/>
          <w:sz w:val="28"/>
          <w:lang w:eastAsia="zh-CN"/>
        </w:rPr>
        <w:t>(二)、农作物种子高效加工设备项目工艺技术设计方案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作物种子高效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作物种子高效加工设备项目将严格按照相关行业规范要求进行组织。通过有效控制产品质量，农作物种子高效加工设备项目将致力于为顾客提供优质的农作物种子高效加工设备项目产品和良好的服务。这体现了农作物种子高效加工设备项目对于生产活动合规性和质量标准的高度重视，为农作物种子高效加工设备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作物种子高效加工设备项目注重生态效益和清洁生产原则。农作物种子高效加工设备项目建设将紧密结合地方特色经济发展，与社会经济发展规划和区域环境保护规划方案相协调一致。通过与当地区域自然生态系统的结合，农作物种子高效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作物种子高效加工设备项目产品具有多样化的客户需求和个性化的特点。因此，农作物种子高效加工设备项目产品规格品种多样，且单批生产数量较小。为满足这一特点，农作物种子高效加工设备项目承办单位将建设先进的柔性制造生产线。通过广泛应用柔性制造技术，农作物种子高效加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作物种子高效加工设备项目采用的技术具有较高的技术含量和自动化水平，处于国内先进水平。这一技术选用不仅体现了对生产效率、质量和环境友好性的高标准要求，同时为农作物种子高效加工设备项目的可持续发展奠定了坚实的基础。</w:t>
      </w:r>
    </w:p>
    <w:p>
      <w:pPr>
        <w:pStyle w:val="Heading2"/>
        <w:ind w:firstLine="560" w:firstLineChars="200"/>
        <w:rPr>
          <w:rFonts w:ascii="仿宋" w:eastAsia="仿宋" w:hAnsi="仿宋" w:cs="仿宋" w:hint="eastAsia"/>
          <w:sz w:val="28"/>
          <w:lang w:eastAsia="zh-CN"/>
        </w:rPr>
      </w:pPr>
      <w:bookmarkStart w:id="9" w:name="_Toc2077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为确保农作物种子高效加工设备项目的高效生产和技术实施，我们制定了一套精心设计的设备选型方案，以满足农作物种子高效加工设备项目生产、质量和环保的要求。该方案的主要特点如下：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作物种子高效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作物种子高效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191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417"/>
      <w:r>
        <w:rPr>
          <w:rFonts w:ascii="仿宋" w:eastAsia="仿宋" w:hAnsi="仿宋" w:cs="仿宋" w:hint="eastAsia"/>
          <w:lang w:eastAsia="zh-CN"/>
        </w:rPr>
        <w:t>(一)、农作物种子高效加工设备行业分析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行业一直以来都是市场的关注焦点。行业内的发展趋势、竞争态势以及潜在机会都对农作物种子高效加工设备项目的推进产生深远的影响。通过深入研究行业的整体概貌，我们将更好地理解行业的核心特征，为农作物种子高效加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行业，技术一直是推动创新和发展的关键因素。我们将对当前技术趋势进行详尽分析，包括但不限于人工智能、大数据应用、先进制造技术等。这有助于农作物种子高效加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农作物种子高效加工设备项目成功的基础。我们将对主要竞争对手进行深入研究，包括其市场份额、产品特点、市场定位等。通过全面了解竞争对手的优势和劣势，农作物种子高效加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952"/>
      <w:r>
        <w:rPr>
          <w:rFonts w:ascii="仿宋" w:eastAsia="仿宋" w:hAnsi="仿宋" w:cs="仿宋" w:hint="eastAsia"/>
          <w:sz w:val="28"/>
          <w:lang w:eastAsia="zh-CN"/>
        </w:rPr>
        <w:t>(二)、农作物种子高效加工设备市场分析预测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作物种子高效加工设备市场未来的增长趋势。这包括市场的整体规模、各细分领域的发展趋势等。农作物种子高效加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作物种子高效加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作物种子高效加工设备项目实施过程中需要充分考虑的因素。我们将对市场风险进行全面评估，包括但不限于政策法规风险、市场竞争风险、技术变革风险等。通过对潜在风险的深入分析，农作物种子高效加工设备项目可以制定相应的风险缓解策略，降低不确定性对农作物种子高效加工设备项目的影响。</w:t>
      </w:r>
    </w:p>
    <w:p>
      <w:pPr>
        <w:pStyle w:val="Heading1"/>
        <w:ind w:firstLine="560" w:firstLineChars="200"/>
        <w:rPr>
          <w:rFonts w:ascii="仿宋" w:eastAsia="仿宋" w:hAnsi="仿宋" w:cs="仿宋" w:hint="eastAsia"/>
          <w:sz w:val="28"/>
          <w:lang w:eastAsia="zh-CN"/>
        </w:rPr>
      </w:pPr>
      <w:bookmarkStart w:id="13" w:name="_Toc20672"/>
      <w:r>
        <w:rPr>
          <w:rFonts w:ascii="仿宋" w:eastAsia="仿宋" w:hAnsi="仿宋" w:cs="仿宋" w:hint="eastAsia"/>
          <w:sz w:val="28"/>
          <w:lang w:eastAsia="zh-CN"/>
        </w:rPr>
        <w:t>四、农作物种子高效加工设备项目土建工程</w:t>
      </w:r>
      <w:bookmarkEnd w:id="13"/>
    </w:p>
    <w:p>
      <w:pPr>
        <w:pStyle w:val="Heading2"/>
        <w:rPr>
          <w:rFonts w:ascii="仿宋" w:eastAsia="仿宋" w:hAnsi="仿宋" w:cs="仿宋" w:hint="eastAsia"/>
          <w:lang w:eastAsia="zh-CN"/>
        </w:rPr>
      </w:pPr>
      <w:bookmarkStart w:id="14" w:name="_Toc11081"/>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在农作物种子高效加工设备项目的建筑工程设计中，我们将秉承一系列重要的设计原则，以确保农作物种子高效加工设备项目建筑在功能、美观、可持续性等方面达到最佳效果。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首要原则是确保建筑的功能性得到最大化的发挥。我们将充分理解农作物种子高效加工设备项目的实际需求，合理布局各个功能区域，保证建筑在满足业务需求的同时，提供高效的工作环境。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在建筑设计中，我们将综合考虑建设和运营成本。通过精细的经济效益分析，确保设计方案在高效利用资源的同时，对农作物种子高效加工设备项目的长期盈利能力有积极的贡献。</w:t>
      </w:r>
    </w:p>
    <w:p>
      <w:pPr>
        <w:pStyle w:val="Heading2"/>
        <w:ind w:firstLine="560" w:firstLineChars="200"/>
        <w:rPr>
          <w:rFonts w:ascii="仿宋" w:eastAsia="仿宋" w:hAnsi="仿宋" w:cs="仿宋" w:hint="eastAsia"/>
          <w:sz w:val="28"/>
          <w:lang w:eastAsia="zh-CN"/>
        </w:rPr>
      </w:pPr>
      <w:bookmarkStart w:id="15" w:name="_Toc3166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种子高效加工设备项目的土建工程设计中，我们将精准设定设计年限，结合农作物种子高效加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作物种子高效加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072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农作物种子高效加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作物种子高效加工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农作物种子高效加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078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本期工程农作物种子高效加工设备项目预计总建筑面积XXX平方米，其中：计容建筑面积XXX平方米，计划建筑工程投资XX万元，占农作物种子高效加工设备项目总投资的XX%。</w:t>
      </w:r>
    </w:p>
    <w:p>
      <w:pPr>
        <w:pStyle w:val="Heading1"/>
        <w:ind w:firstLine="560" w:firstLineChars="200"/>
        <w:rPr>
          <w:rFonts w:ascii="仿宋" w:eastAsia="仿宋" w:hAnsi="仿宋" w:cs="仿宋" w:hint="eastAsia"/>
          <w:sz w:val="28"/>
          <w:lang w:eastAsia="zh-CN"/>
        </w:rPr>
      </w:pPr>
      <w:bookmarkStart w:id="18" w:name="_Toc22138"/>
      <w:r>
        <w:rPr>
          <w:rFonts w:ascii="仿宋" w:eastAsia="仿宋" w:hAnsi="仿宋" w:cs="仿宋" w:hint="eastAsia"/>
          <w:sz w:val="28"/>
          <w:lang w:eastAsia="zh-CN"/>
        </w:rPr>
        <w:t>五、农作物种子高效加工设备项目建设背景及必要性分析</w:t>
      </w:r>
      <w:bookmarkEnd w:id="18"/>
    </w:p>
    <w:p>
      <w:pPr>
        <w:pStyle w:val="Heading2"/>
        <w:rPr>
          <w:rFonts w:ascii="仿宋" w:eastAsia="仿宋" w:hAnsi="仿宋" w:cs="仿宋" w:hint="eastAsia"/>
          <w:lang w:eastAsia="zh-CN"/>
        </w:rPr>
      </w:pPr>
      <w:bookmarkStart w:id="19" w:name="_Toc25294"/>
      <w:r>
        <w:rPr>
          <w:rFonts w:ascii="仿宋" w:eastAsia="仿宋" w:hAnsi="仿宋" w:cs="仿宋" w:hint="eastAsia"/>
          <w:lang w:eastAsia="zh-CN"/>
        </w:rPr>
        <w:t>(一)、农作物种子高效加工设备项目背景分析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种子高效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作物种子高效加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作物种子高效加工设备项目在这个潮流中的定位。同时，我们将关注行业内涌现的新兴机遇，以便农作物种子高效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https://d.book118.com/946114132111010101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农作物种子高效加工设备项目计划设计方案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280C6A"/>
    <w:rsid w:val="36280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11413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2024-03-02T06:10:00Z</dcterms:created>
  <dcterms:modified xsi:type="dcterms:W3CDTF">2024-03-02T06:10:25Z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5D0560B10CCD48D1A2A7E182D247D16D_11</vt:lpwstr>
  </property>
  <property fmtid="{D5CDD505-2E9C-101B-9397-08002B2CF9AE}" pid="3" name="KSOProductBuildVer">
    <vt:lpwstr>2052-12.1.0.16388</vt:lpwstr>
  </property>
</Properties>
</file>