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eastAsia="仿宋_GB2312"/>
          <w:sz w:val="36"/>
          <w:szCs w:val="36"/>
        </w:rPr>
      </w:pPr>
    </w:p>
    <w:p>
      <w:pPr>
        <w:rPr>
          <w:rFonts w:eastAsia="仿宋_GB2312"/>
          <w:sz w:val="36"/>
          <w:szCs w:val="36"/>
        </w:rPr>
      </w:pPr>
    </w:p>
    <w:p>
      <w:pPr>
        <w:adjustRightInd w:val="0"/>
        <w:snapToGrid w:val="0"/>
        <w:jc w:val="center"/>
        <w:outlineLvl w:val="0"/>
        <w:rPr>
          <w:rFonts w:eastAsia="方正小标宋_GBK"/>
          <w:bCs/>
          <w:sz w:val="72"/>
          <w:szCs w:val="72"/>
        </w:rPr>
      </w:pPr>
      <w:r>
        <w:rPr>
          <w:rFonts w:eastAsia="方正小标宋_GBK"/>
          <w:bCs/>
          <w:sz w:val="72"/>
          <w:szCs w:val="72"/>
        </w:rPr>
        <w:t>建设项目环境影响报告表</w:t>
      </w:r>
    </w:p>
    <w:p>
      <w:pPr>
        <w:adjustRightInd w:val="0"/>
        <w:snapToGrid w:val="0"/>
        <w:spacing w:before="192" w:beforeLines="80"/>
        <w:jc w:val="center"/>
        <w:rPr>
          <w:rFonts w:eastAsia="楷体_GB2312"/>
          <w:bCs/>
          <w:sz w:val="48"/>
          <w:szCs w:val="48"/>
        </w:rPr>
      </w:pPr>
      <w:r>
        <w:rPr>
          <w:rFonts w:eastAsia="楷体_GB2312"/>
          <w:bCs/>
          <w:sz w:val="48"/>
          <w:szCs w:val="48"/>
        </w:rPr>
        <w:t>（污染影响类）</w:t>
      </w:r>
    </w:p>
    <w:p/>
    <w:p/>
    <w:p/>
    <w:p>
      <w:pPr>
        <w:jc w:val="center"/>
        <w:rPr>
          <w:rFonts w:eastAsia="仿宋"/>
          <w:sz w:val="52"/>
          <w:szCs w:val="52"/>
        </w:rPr>
      </w:pPr>
    </w:p>
    <w:p>
      <w:pPr>
        <w:ind w:firstLine="1040"/>
        <w:rPr>
          <w:rFonts w:eastAsia="仿宋"/>
          <w:sz w:val="44"/>
          <w:szCs w:val="44"/>
        </w:rPr>
      </w:pPr>
    </w:p>
    <w:p>
      <w:pPr>
        <w:ind w:firstLine="1040"/>
        <w:rPr>
          <w:rFonts w:eastAsia="仿宋"/>
          <w:sz w:val="44"/>
          <w:szCs w:val="44"/>
        </w:rPr>
      </w:pPr>
    </w:p>
    <w:p>
      <w:pPr>
        <w:ind w:firstLine="1040"/>
        <w:rPr>
          <w:rFonts w:eastAsia="仿宋"/>
          <w:sz w:val="44"/>
          <w:szCs w:val="44"/>
        </w:rPr>
      </w:pPr>
    </w:p>
    <w:p>
      <w:pPr>
        <w:ind w:firstLine="1040"/>
        <w:rPr>
          <w:rFonts w:eastAsia="仿宋"/>
          <w:sz w:val="44"/>
          <w:szCs w:val="44"/>
        </w:rPr>
      </w:pPr>
    </w:p>
    <w:p>
      <w:pPr>
        <w:ind w:firstLine="1040"/>
        <w:rPr>
          <w:rFonts w:eastAsia="仿宋"/>
          <w:sz w:val="44"/>
          <w:szCs w:val="44"/>
        </w:rPr>
      </w:pPr>
    </w:p>
    <w:p>
      <w:pPr>
        <w:ind w:firstLine="1040"/>
        <w:rPr>
          <w:rFonts w:eastAsia="仿宋"/>
          <w:sz w:val="44"/>
          <w:szCs w:val="44"/>
        </w:rPr>
      </w:pPr>
    </w:p>
    <w:p>
      <w:pPr>
        <w:ind w:firstLine="1040"/>
        <w:rPr>
          <w:rFonts w:eastAsia="仿宋"/>
          <w:sz w:val="44"/>
          <w:szCs w:val="44"/>
        </w:rPr>
      </w:pPr>
    </w:p>
    <w:p>
      <w:pPr>
        <w:ind w:firstLine="1040"/>
        <w:rPr>
          <w:rFonts w:eastAsia="仿宋"/>
          <w:sz w:val="44"/>
          <w:szCs w:val="44"/>
        </w:rPr>
      </w:pPr>
    </w:p>
    <w:p>
      <w:pPr>
        <w:ind w:firstLine="1040"/>
        <w:rPr>
          <w:rFonts w:eastAsia="仿宋"/>
          <w:sz w:val="44"/>
          <w:szCs w:val="44"/>
        </w:rPr>
      </w:pPr>
    </w:p>
    <w:p>
      <w:pPr>
        <w:adjustRightInd w:val="0"/>
        <w:snapToGrid w:val="0"/>
        <w:spacing w:line="288" w:lineRule="auto"/>
        <w:rPr>
          <w:rFonts w:eastAsia="仿宋_GB2312"/>
          <w:sz w:val="36"/>
          <w:szCs w:val="36"/>
          <w:u w:val="single"/>
        </w:rPr>
      </w:pPr>
      <w:r>
        <w:rPr>
          <w:rFonts w:eastAsia="仿宋_GB2312"/>
          <w:sz w:val="36"/>
          <w:szCs w:val="36"/>
        </w:rPr>
        <w:t>项 目 名 称：</w:t>
      </w:r>
      <w:r>
        <w:rPr>
          <w:rFonts w:eastAsia="仿宋_GB2312"/>
          <w:sz w:val="36"/>
          <w:szCs w:val="36"/>
          <w:u w:val="single"/>
        </w:rPr>
        <w:t xml:space="preserve">    </w:t>
      </w:r>
      <w:r>
        <w:rPr>
          <w:rFonts w:eastAsia="仿宋_GB2312" w:hint="eastAsia"/>
          <w:sz w:val="36"/>
          <w:szCs w:val="36"/>
          <w:u w:val="single"/>
        </w:rPr>
        <w:t xml:space="preserve">  新建6吨生物质锅炉项目</w:t>
      </w:r>
      <w:r>
        <w:rPr>
          <w:rFonts w:eastAsia="仿宋_GB2312"/>
          <w:sz w:val="36"/>
          <w:szCs w:val="36"/>
          <w:u w:val="single"/>
        </w:rPr>
        <w:t xml:space="preserve">     </w:t>
      </w:r>
    </w:p>
    <w:p>
      <w:pPr>
        <w:adjustRightInd w:val="0"/>
        <w:snapToGrid w:val="0"/>
        <w:spacing w:line="288" w:lineRule="auto"/>
        <w:rPr>
          <w:rFonts w:eastAsia="仿宋_GB2312"/>
          <w:sz w:val="36"/>
          <w:szCs w:val="36"/>
          <w:u w:val="single"/>
        </w:rPr>
        <w:sectPr>
          <w:footerReference w:type="even" r:id="rId6"/>
          <w:footerReference w:type="default" r:id="rId7"/>
          <w:pgSz w:w="11906" w:h="16838"/>
          <w:pgMar w:top="1701" w:right="1531" w:bottom="1701" w:left="1531" w:header="851" w:footer="1077" w:gutter="0"/>
          <w:pgNumType w:start="3"/>
          <w:cols w:num="1" w:space="720"/>
          <w:docGrid w:linePitch="312" w:charSpace="0"/>
        </w:sectPr>
      </w:pPr>
      <w:r>
        <w:rPr>
          <w:rFonts w:eastAsia="仿宋_GB2312"/>
          <w:sz w:val="36"/>
          <w:szCs w:val="36"/>
        </w:rPr>
        <w:t>建设单位（盖章）：</w:t>
      </w:r>
      <w:r>
        <w:rPr>
          <w:rFonts w:eastAsia="仿宋_GB2312" w:hint="eastAsia"/>
          <w:sz w:val="36"/>
          <w:szCs w:val="36"/>
          <w:u w:val="single"/>
        </w:rPr>
        <w:t xml:space="preserve">  </w:t>
      </w:r>
      <w:r>
        <w:rPr>
          <w:rFonts w:eastAsia="仿宋_GB2312"/>
          <w:sz w:val="36"/>
          <w:szCs w:val="36"/>
          <w:u w:val="single"/>
        </w:rPr>
        <w:t>大荔县</w:t>
      </w:r>
      <w:r>
        <w:rPr>
          <w:rFonts w:eastAsia="仿宋_GB2312" w:hint="eastAsia"/>
          <w:sz w:val="36"/>
          <w:szCs w:val="36"/>
          <w:u w:val="single"/>
        </w:rPr>
        <w:t xml:space="preserve">安仁镇少辉泡沫厂    </w:t>
      </w:r>
    </w:p>
    <w:p>
      <w:pPr>
        <w:adjustRightInd w:val="0"/>
        <w:snapToGrid w:val="0"/>
        <w:spacing w:line="288" w:lineRule="auto"/>
        <w:rPr>
          <w:rFonts w:eastAsia="仿宋_GB2312"/>
          <w:sz w:val="36"/>
          <w:szCs w:val="36"/>
          <w:u w:val="single"/>
        </w:rPr>
      </w:pPr>
      <w:r>
        <w:rPr>
          <w:rFonts w:eastAsia="仿宋_GB2312"/>
          <w:sz w:val="36"/>
          <w:szCs w:val="36"/>
        </w:rPr>
        <w:t>编 制 日 期：</w:t>
      </w:r>
      <w:r>
        <w:rPr>
          <w:rFonts w:eastAsia="仿宋_GB2312"/>
          <w:sz w:val="36"/>
          <w:szCs w:val="36"/>
          <w:u w:val="single"/>
        </w:rPr>
        <w:t xml:space="preserve">            202</w:t>
      </w:r>
      <w:r>
        <w:rPr>
          <w:rFonts w:eastAsia="仿宋_GB2312" w:hint="eastAsia"/>
          <w:sz w:val="36"/>
          <w:szCs w:val="36"/>
          <w:u w:val="single"/>
        </w:rPr>
        <w:t>2</w:t>
      </w:r>
      <w:r>
        <w:rPr>
          <w:rFonts w:eastAsia="仿宋_GB2312"/>
          <w:sz w:val="36"/>
          <w:szCs w:val="36"/>
          <w:u w:val="single"/>
        </w:rPr>
        <w:t>年</w:t>
      </w:r>
      <w:r>
        <w:rPr>
          <w:rFonts w:eastAsia="仿宋_GB2312" w:hint="eastAsia"/>
          <w:sz w:val="36"/>
          <w:szCs w:val="36"/>
          <w:u w:val="single"/>
        </w:rPr>
        <w:t>4</w:t>
      </w:r>
      <w:r>
        <w:rPr>
          <w:rFonts w:eastAsia="仿宋_GB2312"/>
          <w:sz w:val="36"/>
          <w:szCs w:val="36"/>
          <w:u w:val="single"/>
        </w:rPr>
        <w:t xml:space="preserve">月          </w:t>
      </w:r>
    </w:p>
    <w:p>
      <w:pPr>
        <w:adjustRightInd w:val="0"/>
        <w:snapToGrid w:val="0"/>
        <w:spacing w:line="288" w:lineRule="auto"/>
        <w:ind w:firstLine="1040"/>
        <w:rPr>
          <w:rFonts w:eastAsia="仿宋_GB2312"/>
          <w:sz w:val="36"/>
          <w:szCs w:val="36"/>
          <w:u w:val="single"/>
        </w:rPr>
      </w:pPr>
      <w:bookmarkStart w:id="0" w:name="_Hlk57884087"/>
    </w:p>
    <w:p>
      <w:pPr>
        <w:adjustRightInd w:val="0"/>
        <w:snapToGrid w:val="0"/>
        <w:spacing w:line="288" w:lineRule="auto"/>
        <w:ind w:firstLine="1040"/>
        <w:rPr>
          <w:rFonts w:eastAsia="仿宋_GB2312"/>
          <w:sz w:val="36"/>
          <w:szCs w:val="36"/>
        </w:rPr>
      </w:pPr>
    </w:p>
    <w:p>
      <w:pPr>
        <w:adjustRightInd w:val="0"/>
        <w:snapToGrid w:val="0"/>
        <w:spacing w:line="288" w:lineRule="auto"/>
        <w:ind w:firstLine="1040"/>
        <w:rPr>
          <w:rFonts w:eastAsia="仿宋_GB2312"/>
          <w:sz w:val="36"/>
          <w:szCs w:val="36"/>
        </w:rPr>
      </w:pPr>
    </w:p>
    <w:bookmarkEnd w:id="0"/>
    <w:p>
      <w:pPr>
        <w:adjustRightInd w:val="0"/>
        <w:snapToGrid w:val="0"/>
        <w:spacing w:line="288" w:lineRule="auto"/>
        <w:jc w:val="center"/>
        <w:rPr>
          <w:rFonts w:eastAsia="楷体_GB2312"/>
          <w:sz w:val="36"/>
          <w:szCs w:val="36"/>
        </w:rPr>
      </w:pPr>
      <w:r>
        <w:rPr>
          <w:rFonts w:eastAsia="楷体_GB2312"/>
          <w:sz w:val="36"/>
          <w:szCs w:val="36"/>
        </w:rPr>
        <w:t>中华人民共和国生态环境部制</w:t>
      </w:r>
    </w:p>
    <w:p>
      <w:pPr>
        <w:adjustRightInd w:val="0"/>
        <w:snapToGrid w:val="0"/>
        <w:spacing w:line="288" w:lineRule="auto"/>
        <w:ind w:firstLine="1040"/>
        <w:rPr>
          <w:rFonts w:eastAsia="仿宋_GB2312"/>
          <w:sz w:val="36"/>
          <w:szCs w:val="36"/>
        </w:rPr>
        <w:sectPr>
          <w:footerReference w:type="even" r:id="rId8"/>
          <w:footerReference w:type="default" r:id="rId9"/>
          <w:type w:val="nextPage"/>
          <w:pgSz w:w="11906" w:h="16838"/>
          <w:pgMar w:top="1701" w:right="1531" w:bottom="1701" w:left="1531" w:header="851" w:footer="1077" w:gutter="0"/>
          <w:pgNumType w:start="4"/>
          <w:cols w:num="1" w:space="720"/>
          <w:titlePg w:val="0"/>
          <w:docGrid w:linePitch="312" w:charSpace="0"/>
        </w:sectPr>
      </w:pPr>
    </w:p>
    <w:p>
      <w:pPr>
        <w:pStyle w:val="NormalWeb"/>
        <w:jc w:val="center"/>
        <w:outlineLvl w:val="0"/>
        <w:rPr>
          <w:rFonts w:ascii="Times New Roman" w:eastAsia="黑体" w:hAnsi="Times New Roman"/>
          <w:snapToGrid w:val="0"/>
          <w:sz w:val="30"/>
          <w:szCs w:val="30"/>
        </w:rPr>
      </w:pPr>
      <w:r>
        <w:rPr>
          <w:rFonts w:ascii="Times New Roman" w:eastAsia="黑体" w:hAnsi="Times New Roman"/>
          <w:snapToGrid w:val="0"/>
          <w:sz w:val="30"/>
          <w:szCs w:val="30"/>
        </w:rPr>
        <w:t>一、建设项目基本情况</w:t>
      </w:r>
    </w:p>
    <w:tbl>
      <w:tblPr>
        <w:tblStyle w:val="TableNormal"/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52"/>
        <w:gridCol w:w="2274"/>
        <w:gridCol w:w="1581"/>
        <w:gridCol w:w="2963"/>
      </w:tblGrid>
      <w:tr>
        <w:tblPrEx>
          <w:tblW w:w="0" w:type="auto"/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/>
          <w:jc w:val="center"/>
        </w:trPr>
        <w:tc>
          <w:tcPr>
            <w:tcW w:w="2052" w:type="dxa"/>
            <w:tcMar>
              <w:top w:w="16" w:type="dxa"/>
              <w:left w:w="16" w:type="dxa"/>
              <w:right w:w="16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建设项目名称</w:t>
            </w:r>
          </w:p>
        </w:tc>
        <w:tc>
          <w:tcPr>
            <w:tcW w:w="6818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bookmarkStart w:id="1" w:name="_GoBack"/>
            <w:r>
              <w:rPr>
                <w:rFonts w:hint="eastAsia"/>
                <w:sz w:val="24"/>
              </w:rPr>
              <w:t>新建6吨生物质锅炉项目</w:t>
            </w:r>
            <w:bookmarkEnd w:id="1"/>
          </w:p>
        </w:tc>
      </w:tr>
      <w:tr>
        <w:tblPrEx>
          <w:tblW w:w="0" w:type="auto"/>
          <w:jc w:val="cente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/>
          <w:jc w:val="center"/>
        </w:trPr>
        <w:tc>
          <w:tcPr>
            <w:tcW w:w="2052" w:type="dxa"/>
            <w:tcMar>
              <w:top w:w="16" w:type="dxa"/>
              <w:left w:w="16" w:type="dxa"/>
              <w:right w:w="16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项目代码</w:t>
            </w:r>
          </w:p>
        </w:tc>
        <w:tc>
          <w:tcPr>
            <w:tcW w:w="6818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2108-610523-04-01-257098</w:t>
            </w:r>
          </w:p>
        </w:tc>
      </w:tr>
      <w:tr>
        <w:tblPrEx>
          <w:tblW w:w="0" w:type="auto"/>
          <w:jc w:val="cente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/>
          <w:jc w:val="center"/>
        </w:trPr>
        <w:tc>
          <w:tcPr>
            <w:tcW w:w="2052" w:type="dxa"/>
            <w:tcMar>
              <w:top w:w="16" w:type="dxa"/>
              <w:left w:w="16" w:type="dxa"/>
              <w:right w:w="16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建设单位联系人</w:t>
            </w:r>
          </w:p>
        </w:tc>
        <w:tc>
          <w:tcPr>
            <w:tcW w:w="2274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581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联系方式</w:t>
            </w:r>
          </w:p>
        </w:tc>
        <w:tc>
          <w:tcPr>
            <w:tcW w:w="2963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/>
          <w:jc w:val="center"/>
        </w:trPr>
        <w:tc>
          <w:tcPr>
            <w:tcW w:w="2052" w:type="dxa"/>
            <w:tcMar>
              <w:top w:w="16" w:type="dxa"/>
              <w:left w:w="16" w:type="dxa"/>
              <w:right w:w="16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建设地点</w:t>
            </w:r>
          </w:p>
        </w:tc>
        <w:tc>
          <w:tcPr>
            <w:tcW w:w="6818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大荔县安仁镇少辉泡沫厂</w:t>
            </w:r>
          </w:p>
        </w:tc>
      </w:tr>
      <w:tr>
        <w:tblPrEx>
          <w:tblW w:w="0" w:type="auto"/>
          <w:jc w:val="cente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/>
          <w:jc w:val="center"/>
        </w:trPr>
        <w:tc>
          <w:tcPr>
            <w:tcW w:w="2052" w:type="dxa"/>
            <w:tcMar>
              <w:top w:w="16" w:type="dxa"/>
              <w:left w:w="16" w:type="dxa"/>
              <w:right w:w="16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地理坐标</w:t>
            </w:r>
          </w:p>
        </w:tc>
        <w:tc>
          <w:tcPr>
            <w:tcW w:w="6818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N34°52′59.</w:t>
            </w:r>
            <w:r>
              <w:rPr>
                <w:rFonts w:hint="eastAsia"/>
                <w:sz w:val="24"/>
              </w:rPr>
              <w:t>0</w:t>
            </w:r>
            <w:r>
              <w:rPr>
                <w:sz w:val="24"/>
              </w:rPr>
              <w:t>19"，E110°02′44.</w:t>
            </w:r>
            <w:r>
              <w:rPr>
                <w:rFonts w:hint="eastAsia"/>
                <w:sz w:val="24"/>
              </w:rPr>
              <w:t>0</w:t>
            </w:r>
            <w:r>
              <w:rPr>
                <w:sz w:val="24"/>
              </w:rPr>
              <w:t>20"</w:t>
            </w:r>
          </w:p>
        </w:tc>
      </w:tr>
      <w:tr>
        <w:tblPrEx>
          <w:tblW w:w="0" w:type="auto"/>
          <w:jc w:val="cente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/>
          <w:jc w:val="center"/>
        </w:trPr>
        <w:tc>
          <w:tcPr>
            <w:tcW w:w="2052" w:type="dxa"/>
            <w:tcMar>
              <w:top w:w="16" w:type="dxa"/>
              <w:left w:w="16" w:type="dxa"/>
              <w:right w:w="16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国民经济</w:t>
            </w:r>
          </w:p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行业类别</w:t>
            </w:r>
          </w:p>
        </w:tc>
        <w:tc>
          <w:tcPr>
            <w:tcW w:w="2274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D4430热力生产和供应</w:t>
            </w:r>
          </w:p>
        </w:tc>
        <w:tc>
          <w:tcPr>
            <w:tcW w:w="1581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bookmarkStart w:id="2" w:name="_Hlk49843745"/>
            <w:r>
              <w:rPr>
                <w:sz w:val="24"/>
              </w:rPr>
              <w:t>建设项目</w:t>
            </w:r>
          </w:p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行业类别</w:t>
            </w:r>
            <w:bookmarkEnd w:id="2"/>
          </w:p>
        </w:tc>
        <w:tc>
          <w:tcPr>
            <w:tcW w:w="2963" w:type="dxa"/>
            <w:vAlign w:val="center"/>
          </w:tcPr>
          <w:p>
            <w:pPr>
              <w:adjustRightInd w:val="0"/>
              <w:snapToGrid w:val="0"/>
              <w:rPr>
                <w:sz w:val="24"/>
              </w:rPr>
            </w:pPr>
            <w:r>
              <w:rPr>
                <w:rFonts w:hint="eastAsia"/>
                <w:sz w:val="24"/>
              </w:rPr>
              <w:t>91热力生产和供应工程</w:t>
            </w:r>
          </w:p>
        </w:tc>
      </w:tr>
      <w:tr>
        <w:tblPrEx>
          <w:tblW w:w="0" w:type="auto"/>
          <w:jc w:val="cente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9"/>
          <w:jc w:val="center"/>
        </w:trPr>
        <w:tc>
          <w:tcPr>
            <w:tcW w:w="2052" w:type="dxa"/>
            <w:tcMar>
              <w:top w:w="16" w:type="dxa"/>
              <w:left w:w="16" w:type="dxa"/>
              <w:right w:w="16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建设性质</w:t>
            </w:r>
          </w:p>
        </w:tc>
        <w:tc>
          <w:tcPr>
            <w:tcW w:w="2274" w:type="dxa"/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ascii="Wingdings 2" w:hAnsi="Wingdings 2"/>
                <w:sz w:val="24"/>
              </w:rPr>
              <w:sym w:font="Wingdings 2" w:char="F052"/>
            </w:r>
            <w:r>
              <w:rPr>
                <w:sz w:val="24"/>
              </w:rPr>
              <w:t>新建（迁建）</w:t>
            </w:r>
          </w:p>
          <w:p>
            <w:pPr>
              <w:jc w:val="left"/>
              <w:rPr>
                <w:sz w:val="24"/>
              </w:rPr>
            </w:pPr>
            <w:r>
              <w:rPr>
                <w:rFonts w:ascii="Wingdings 2" w:hAnsi="Wingdings 2"/>
                <w:sz w:val="24"/>
              </w:rPr>
              <w:sym w:font="Wingdings 2" w:char="F0A3"/>
            </w:r>
            <w:r>
              <w:rPr>
                <w:sz w:val="24"/>
              </w:rPr>
              <w:t>改建</w:t>
            </w:r>
          </w:p>
          <w:p>
            <w:pPr>
              <w:jc w:val="left"/>
              <w:rPr>
                <w:sz w:val="24"/>
              </w:rPr>
            </w:pPr>
            <w:r>
              <w:rPr>
                <w:rFonts w:ascii="Wingdings 2" w:hAnsi="Wingdings 2"/>
                <w:sz w:val="24"/>
              </w:rPr>
              <w:sym w:font="Wingdings 2" w:char="F0A3"/>
            </w:r>
            <w:r>
              <w:rPr>
                <w:sz w:val="24"/>
              </w:rPr>
              <w:t>扩建</w:t>
            </w:r>
          </w:p>
          <w:p>
            <w:pPr>
              <w:jc w:val="left"/>
              <w:rPr>
                <w:sz w:val="24"/>
              </w:rPr>
            </w:pPr>
            <w:r>
              <w:rPr>
                <w:rFonts w:ascii="Wingdings 2" w:hAnsi="Wingdings 2"/>
                <w:sz w:val="24"/>
              </w:rPr>
              <w:sym w:font="Wingdings 2" w:char="F0A3"/>
            </w:r>
            <w:r>
              <w:rPr>
                <w:sz w:val="24"/>
              </w:rPr>
              <w:t>技术改造</w:t>
            </w:r>
          </w:p>
        </w:tc>
        <w:tc>
          <w:tcPr>
            <w:tcW w:w="1581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建设项目</w:t>
            </w:r>
          </w:p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申报情形</w:t>
            </w:r>
          </w:p>
        </w:tc>
        <w:tc>
          <w:tcPr>
            <w:tcW w:w="2963" w:type="dxa"/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ascii="Wingdings 2" w:hAnsi="Wingdings 2"/>
                <w:sz w:val="24"/>
              </w:rPr>
              <w:sym w:font="Wingdings 2" w:char="F052"/>
            </w:r>
            <w:r>
              <w:rPr>
                <w:sz w:val="24"/>
              </w:rPr>
              <w:t xml:space="preserve">首次申报项目             </w:t>
            </w:r>
          </w:p>
          <w:p>
            <w:pPr>
              <w:jc w:val="left"/>
              <w:rPr>
                <w:sz w:val="24"/>
              </w:rPr>
            </w:pPr>
            <w:r>
              <w:rPr>
                <w:rFonts w:ascii="Wingdings 2" w:hAnsi="Wingdings 2"/>
                <w:sz w:val="24"/>
              </w:rPr>
              <w:sym w:font="Wingdings 2" w:char="F0A3"/>
            </w:r>
            <w:r>
              <w:rPr>
                <w:sz w:val="24"/>
              </w:rPr>
              <w:t>不予批准后再次申报项目</w:t>
            </w:r>
          </w:p>
          <w:p>
            <w:pPr>
              <w:jc w:val="left"/>
              <w:rPr>
                <w:sz w:val="24"/>
              </w:rPr>
            </w:pPr>
            <w:r>
              <w:rPr>
                <w:rFonts w:ascii="Wingdings 2" w:hAnsi="Wingdings 2"/>
                <w:sz w:val="24"/>
              </w:rPr>
              <w:sym w:font="Wingdings 2" w:char="F0A3"/>
            </w:r>
            <w:r>
              <w:rPr>
                <w:sz w:val="24"/>
              </w:rPr>
              <w:t xml:space="preserve">超五年重新审核项目     </w:t>
            </w:r>
          </w:p>
          <w:p>
            <w:pPr>
              <w:jc w:val="left"/>
              <w:rPr>
                <w:sz w:val="24"/>
              </w:rPr>
            </w:pPr>
            <w:r>
              <w:rPr>
                <w:rFonts w:ascii="Wingdings 2" w:hAnsi="Wingdings 2"/>
                <w:sz w:val="24"/>
              </w:rPr>
              <w:sym w:font="Wingdings 2" w:char="F0A3"/>
            </w:r>
            <w:r>
              <w:rPr>
                <w:sz w:val="24"/>
              </w:rPr>
              <w:t>重大变动重新报批项目</w:t>
            </w:r>
          </w:p>
        </w:tc>
      </w:tr>
      <w:tr>
        <w:tblPrEx>
          <w:tblW w:w="0" w:type="auto"/>
          <w:jc w:val="cente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/>
          <w:jc w:val="center"/>
        </w:trPr>
        <w:tc>
          <w:tcPr>
            <w:tcW w:w="2052" w:type="dxa"/>
            <w:tcMar>
              <w:top w:w="16" w:type="dxa"/>
              <w:left w:w="16" w:type="dxa"/>
              <w:right w:w="16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项目审批（核准/</w:t>
            </w:r>
          </w:p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备案）部门（选填）</w:t>
            </w:r>
          </w:p>
        </w:tc>
        <w:tc>
          <w:tcPr>
            <w:tcW w:w="2274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大荔县行政审批服务局</w:t>
            </w:r>
          </w:p>
        </w:tc>
        <w:tc>
          <w:tcPr>
            <w:tcW w:w="1581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项目审批（核准/</w:t>
            </w:r>
          </w:p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备案）文号（选填）</w:t>
            </w:r>
          </w:p>
        </w:tc>
        <w:tc>
          <w:tcPr>
            <w:tcW w:w="2963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/</w:t>
            </w:r>
          </w:p>
        </w:tc>
      </w:tr>
      <w:tr>
        <w:tblPrEx>
          <w:tblW w:w="0" w:type="auto"/>
          <w:jc w:val="cente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/>
          <w:jc w:val="center"/>
        </w:trPr>
        <w:tc>
          <w:tcPr>
            <w:tcW w:w="2052" w:type="dxa"/>
            <w:tcMar>
              <w:top w:w="16" w:type="dxa"/>
              <w:left w:w="16" w:type="dxa"/>
              <w:right w:w="16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总投资（万元）</w:t>
            </w:r>
          </w:p>
        </w:tc>
        <w:tc>
          <w:tcPr>
            <w:tcW w:w="2274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30</w:t>
            </w:r>
          </w:p>
        </w:tc>
        <w:tc>
          <w:tcPr>
            <w:tcW w:w="1581" w:type="dxa"/>
            <w:tcMar>
              <w:top w:w="16" w:type="dxa"/>
              <w:left w:w="16" w:type="dxa"/>
              <w:right w:w="16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环保投资（万元）</w:t>
            </w:r>
          </w:p>
        </w:tc>
        <w:tc>
          <w:tcPr>
            <w:tcW w:w="2963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7.1</w:t>
            </w:r>
          </w:p>
        </w:tc>
      </w:tr>
      <w:tr>
        <w:tblPrEx>
          <w:tblW w:w="0" w:type="auto"/>
          <w:jc w:val="cente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/>
          <w:jc w:val="center"/>
        </w:trPr>
        <w:tc>
          <w:tcPr>
            <w:tcW w:w="2052" w:type="dxa"/>
            <w:tcMar>
              <w:top w:w="16" w:type="dxa"/>
              <w:left w:w="16" w:type="dxa"/>
              <w:right w:w="16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环保投资占比（%）</w:t>
            </w:r>
          </w:p>
        </w:tc>
        <w:tc>
          <w:tcPr>
            <w:tcW w:w="2274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23.7</w:t>
            </w:r>
          </w:p>
        </w:tc>
        <w:tc>
          <w:tcPr>
            <w:tcW w:w="1581" w:type="dxa"/>
            <w:tcMar>
              <w:top w:w="16" w:type="dxa"/>
              <w:left w:w="16" w:type="dxa"/>
              <w:right w:w="16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施工工期</w:t>
            </w:r>
          </w:p>
        </w:tc>
        <w:tc>
          <w:tcPr>
            <w:tcW w:w="2963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1个月</w:t>
            </w:r>
          </w:p>
        </w:tc>
      </w:tr>
      <w:tr>
        <w:tblPrEx>
          <w:tblW w:w="0" w:type="auto"/>
          <w:jc w:val="cente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/>
          <w:jc w:val="center"/>
        </w:trPr>
        <w:tc>
          <w:tcPr>
            <w:tcW w:w="2052" w:type="dxa"/>
            <w:tcMar>
              <w:top w:w="16" w:type="dxa"/>
              <w:left w:w="16" w:type="dxa"/>
              <w:right w:w="16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是否开工建设</w:t>
            </w:r>
          </w:p>
        </w:tc>
        <w:tc>
          <w:tcPr>
            <w:tcW w:w="2274" w:type="dxa"/>
            <w:vAlign w:val="center"/>
          </w:tcPr>
          <w:p>
            <w:pPr>
              <w:adjustRightInd w:val="0"/>
              <w:snapToGrid w:val="0"/>
              <w:rPr>
                <w:sz w:val="24"/>
              </w:rPr>
            </w:pPr>
            <w:r>
              <w:rPr>
                <w:rFonts w:ascii="Wingdings 2" w:hAnsi="Wingdings 2"/>
                <w:sz w:val="24"/>
              </w:rPr>
              <w:sym w:font="Wingdings 2" w:char="F0A3"/>
            </w:r>
            <w:r>
              <w:rPr>
                <w:sz w:val="24"/>
              </w:rPr>
              <w:t>否</w:t>
            </w:r>
          </w:p>
          <w:p>
            <w:pPr>
              <w:adjustRightInd w:val="0"/>
              <w:snapToGrid w:val="0"/>
              <w:rPr>
                <w:sz w:val="24"/>
              </w:rPr>
            </w:pPr>
            <w:r>
              <w:rPr>
                <w:rFonts w:ascii="Wingdings 2" w:hAnsi="Wingdings 2"/>
                <w:sz w:val="24"/>
              </w:rPr>
              <w:sym w:font="Wingdings 2" w:char="F052"/>
            </w:r>
            <w:r>
              <w:rPr>
                <w:sz w:val="24"/>
              </w:rPr>
              <w:t>是：</w:t>
            </w:r>
            <w:r>
              <w:rPr>
                <w:rFonts w:hint="eastAsia"/>
                <w:sz w:val="24"/>
                <w:u w:val="single"/>
              </w:rPr>
              <w:t>锅炉房利用厂区现有厂房，锅炉主体及配套设备正在安装。</w:t>
            </w:r>
          </w:p>
        </w:tc>
        <w:tc>
          <w:tcPr>
            <w:tcW w:w="1581" w:type="dxa"/>
            <w:tcMar>
              <w:top w:w="16" w:type="dxa"/>
              <w:left w:w="16" w:type="dxa"/>
              <w:right w:w="16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用地（用海）</w:t>
            </w:r>
          </w:p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>面积（m</w:t>
            </w:r>
            <w:r>
              <w:rPr>
                <w:spacing w:val="-6"/>
                <w:sz w:val="24"/>
                <w:vertAlign w:val="superscript"/>
              </w:rPr>
              <w:t>2</w:t>
            </w:r>
            <w:r>
              <w:rPr>
                <w:spacing w:val="-6"/>
                <w:sz w:val="24"/>
              </w:rPr>
              <w:t>）</w:t>
            </w:r>
          </w:p>
        </w:tc>
        <w:tc>
          <w:tcPr>
            <w:tcW w:w="2963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利用现有占地</w:t>
            </w:r>
          </w:p>
        </w:tc>
      </w:tr>
      <w:tr>
        <w:tblPrEx>
          <w:tblW w:w="0" w:type="auto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/>
          <w:jc w:val="center"/>
        </w:trPr>
        <w:tc>
          <w:tcPr>
            <w:tcW w:w="2052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专项评价设置情况</w:t>
            </w:r>
          </w:p>
        </w:tc>
        <w:tc>
          <w:tcPr>
            <w:tcW w:w="6818" w:type="dxa"/>
            <w:gridSpan w:val="3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b/>
                <w:bCs/>
                <w:kern w:val="0"/>
                <w:szCs w:val="21"/>
              </w:rPr>
            </w:pPr>
            <w:r>
              <w:rPr>
                <w:rFonts w:hint="eastAsia"/>
                <w:b/>
                <w:bCs/>
                <w:kern w:val="0"/>
                <w:szCs w:val="21"/>
              </w:rPr>
              <w:t>表1-1    专项评价设置判定一览表</w:t>
            </w:r>
          </w:p>
          <w:tbl>
            <w:tblPr>
              <w:tblStyle w:val="TableNormal"/>
              <w:tblW w:w="5000" w:type="pct"/>
              <w:jc w:val="center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974"/>
              <w:gridCol w:w="2526"/>
              <w:gridCol w:w="2329"/>
              <w:gridCol w:w="743"/>
            </w:tblGrid>
            <w:tr>
              <w:tblPrEx>
                <w:tblW w:w="5000" w:type="pct"/>
                <w:jc w:val="center"/>
                <w:tbl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  <w:insideH w:val="single" w:sz="4" w:space="0" w:color="auto"/>
                  <w:insideV w:val="single" w:sz="4" w:space="0" w:color="auto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40"/>
                <w:jc w:val="center"/>
              </w:trPr>
              <w:tc>
                <w:tcPr>
                  <w:tcW w:w="741" w:type="pct"/>
                  <w:tcBorders>
                    <w:tl2br w:val="nil"/>
                    <w:tr2bl w:val="nil"/>
                  </w:tcBorders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kern w:val="0"/>
                      <w:szCs w:val="21"/>
                    </w:rPr>
                  </w:pPr>
                  <w:r>
                    <w:rPr>
                      <w:rFonts w:cs="宋体" w:hint="eastAsia"/>
                      <w:b/>
                      <w:kern w:val="0"/>
                      <w:szCs w:val="21"/>
                      <w:lang w:bidi="ar"/>
                    </w:rPr>
                    <w:t>专项评价类别</w:t>
                  </w:r>
                </w:p>
              </w:tc>
              <w:tc>
                <w:tcPr>
                  <w:tcW w:w="1921" w:type="pct"/>
                  <w:tcBorders>
                    <w:tl2br w:val="nil"/>
                    <w:tr2bl w:val="nil"/>
                  </w:tcBorders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kern w:val="0"/>
                      <w:szCs w:val="21"/>
                    </w:rPr>
                  </w:pPr>
                  <w:r>
                    <w:rPr>
                      <w:rFonts w:cs="宋体" w:hint="eastAsia"/>
                      <w:b/>
                      <w:kern w:val="0"/>
                      <w:szCs w:val="21"/>
                      <w:lang w:bidi="ar"/>
                    </w:rPr>
                    <w:t>设置原则</w:t>
                  </w:r>
                </w:p>
              </w:tc>
              <w:tc>
                <w:tcPr>
                  <w:tcW w:w="1771" w:type="pct"/>
                  <w:tcBorders>
                    <w:tl2br w:val="nil"/>
                    <w:tr2bl w:val="nil"/>
                  </w:tcBorders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kern w:val="0"/>
                      <w:szCs w:val="21"/>
                    </w:rPr>
                  </w:pPr>
                  <w:r>
                    <w:rPr>
                      <w:rFonts w:cs="宋体" w:hint="eastAsia"/>
                      <w:b/>
                      <w:kern w:val="0"/>
                      <w:szCs w:val="21"/>
                      <w:lang w:bidi="ar"/>
                    </w:rPr>
                    <w:t>项目情况</w:t>
                  </w:r>
                </w:p>
              </w:tc>
              <w:tc>
                <w:tcPr>
                  <w:tcW w:w="565" w:type="pct"/>
                  <w:tcBorders>
                    <w:tl2br w:val="nil"/>
                    <w:tr2bl w:val="nil"/>
                  </w:tcBorders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宋体"/>
                      <w:b/>
                      <w:kern w:val="0"/>
                      <w:szCs w:val="21"/>
                      <w:lang w:bidi="ar"/>
                    </w:rPr>
                  </w:pPr>
                  <w:r>
                    <w:rPr>
                      <w:rFonts w:cs="宋体" w:hint="eastAsia"/>
                      <w:b/>
                      <w:kern w:val="0"/>
                      <w:szCs w:val="21"/>
                      <w:lang w:bidi="ar"/>
                    </w:rPr>
                    <w:t>是否</w:t>
                  </w:r>
                </w:p>
                <w:p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kern w:val="0"/>
                      <w:szCs w:val="21"/>
                    </w:rPr>
                  </w:pPr>
                  <w:r>
                    <w:rPr>
                      <w:rFonts w:cs="宋体" w:hint="eastAsia"/>
                      <w:b/>
                      <w:kern w:val="0"/>
                      <w:szCs w:val="21"/>
                      <w:lang w:bidi="ar"/>
                    </w:rPr>
                    <w:t>设置</w:t>
                  </w:r>
                </w:p>
              </w:tc>
            </w:tr>
            <w:tr>
              <w:tblPrEx>
                <w:tblW w:w="5000" w:type="pct"/>
                <w:jc w:val="center"/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40"/>
                <w:jc w:val="center"/>
              </w:trPr>
              <w:tc>
                <w:tcPr>
                  <w:tcW w:w="741" w:type="pct"/>
                  <w:tcBorders>
                    <w:tl2br w:val="nil"/>
                    <w:tr2bl w:val="nil"/>
                  </w:tcBorders>
                  <w:vAlign w:val="center"/>
                </w:tcPr>
                <w:p>
                  <w:pPr>
                    <w:jc w:val="center"/>
                    <w:rPr>
                      <w:rFonts w:cs="宋体"/>
                      <w:kern w:val="0"/>
                      <w:szCs w:val="21"/>
                      <w:lang w:bidi="ar"/>
                    </w:rPr>
                  </w:pPr>
                  <w:r>
                    <w:rPr>
                      <w:rFonts w:cs="宋体" w:hint="eastAsia"/>
                      <w:kern w:val="0"/>
                      <w:szCs w:val="21"/>
                      <w:lang w:bidi="ar"/>
                    </w:rPr>
                    <w:t>大气</w:t>
                  </w:r>
                </w:p>
              </w:tc>
              <w:tc>
                <w:tcPr>
                  <w:tcW w:w="1921" w:type="pct"/>
                  <w:tcBorders>
                    <w:tl2br w:val="nil"/>
                    <w:tr2bl w:val="nil"/>
                  </w:tcBorders>
                  <w:vAlign w:val="center"/>
                </w:tcPr>
                <w:p>
                  <w:pPr>
                    <w:spacing w:after="0"/>
                    <w:jc w:val="center"/>
                    <w:rPr>
                      <w:szCs w:val="21"/>
                      <w:lang w:bidi="ar"/>
                    </w:rPr>
                  </w:pPr>
                  <w:r>
                    <w:rPr>
                      <w:rFonts w:hint="eastAsia"/>
                      <w:szCs w:val="21"/>
                      <w:lang w:bidi="ar"/>
                    </w:rPr>
                    <w:t>排放废气含有有毒有害污染物、</w:t>
                  </w:r>
                  <w:r>
                    <w:rPr>
                      <w:kern w:val="0"/>
                      <w:szCs w:val="21"/>
                    </w:rPr>
                    <w:t>二噁英、苯并[α]芘</w:t>
                  </w:r>
                </w:p>
              </w:tc>
              <w:tc>
                <w:tcPr>
                  <w:tcW w:w="1771" w:type="pct"/>
                  <w:tcBorders>
                    <w:tl2br w:val="nil"/>
                    <w:tr2bl w:val="nil"/>
                  </w:tcBorders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spacing w:after="0"/>
                    <w:jc w:val="center"/>
                    <w:rPr>
                      <w:kern w:val="0"/>
                      <w:szCs w:val="21"/>
                    </w:rPr>
                  </w:pPr>
                  <w:r>
                    <w:rPr>
                      <w:kern w:val="0"/>
                      <w:szCs w:val="21"/>
                    </w:rPr>
                    <w:t>项目排放的废气主要为</w:t>
                  </w:r>
                </w:p>
              </w:tc>
              <w:tc>
                <w:tcPr>
                  <w:tcW w:w="565" w:type="pct"/>
                  <w:tcBorders>
                    <w:tl2br w:val="nil"/>
                    <w:tr2bl w:val="nil"/>
                  </w:tcBorders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jc w:val="center"/>
                    <w:rPr>
                      <w:kern w:val="0"/>
                      <w:szCs w:val="21"/>
                    </w:rPr>
                  </w:pPr>
                  <w:r>
                    <w:rPr>
                      <w:rFonts w:hint="eastAsia"/>
                      <w:kern w:val="0"/>
                      <w:szCs w:val="21"/>
                    </w:rPr>
                    <w:t>否</w:t>
                  </w:r>
                </w:p>
              </w:tc>
            </w:tr>
          </w:tbl>
          <w:p/>
        </w:tc>
      </w:tr>
    </w:tbl>
    <w:p>
      <w:pPr>
        <w:sectPr>
          <w:footerReference w:type="even" r:id="rId10"/>
          <w:footerReference w:type="default" r:id="rId11"/>
          <w:pgSz w:w="11906" w:h="16838"/>
          <w:pgMar w:top="1701" w:right="1531" w:bottom="1701" w:left="1531" w:header="851" w:footer="1077" w:gutter="0"/>
          <w:pgNumType w:fmt="numberInDash" w:start="1"/>
          <w:cols w:num="1" w:space="720"/>
          <w:docGrid w:linePitch="312" w:charSpace="0"/>
        </w:sectPr>
      </w:pPr>
    </w:p>
    <w:tbl>
      <w:tblPr>
        <w:tblStyle w:val="TableNormal"/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2"/>
        <w:gridCol w:w="6818"/>
      </w:tblGrid>
      <w:tr>
        <w:tblPrEx>
          <w:tblW w:w="0" w:type="auto"/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/>
          <w:jc w:val="center"/>
        </w:trPr>
        <w:tc>
          <w:tcPr>
            <w:tcW w:w="2052" w:type="dxa"/>
            <w:vAlign w:val="center"/>
          </w:tcPr>
          <w:p/>
        </w:tc>
        <w:tc>
          <w:tcPr>
            <w:tcW w:w="6818" w:type="dxa"/>
            <w:vAlign w:val="center"/>
          </w:tcPr>
          <w:tbl>
            <w:tblPr>
              <w:tblStyle w:val="TableNormal"/>
              <w:tblW w:w="5000" w:type="pct"/>
              <w:jc w:val="center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974"/>
              <w:gridCol w:w="2526"/>
              <w:gridCol w:w="2329"/>
              <w:gridCol w:w="743"/>
            </w:tblGrid>
            <w:tr>
              <w:tblPrEx>
                <w:tblW w:w="5000" w:type="pct"/>
                <w:jc w:val="center"/>
                <w:tbl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  <w:insideH w:val="single" w:sz="4" w:space="0" w:color="auto"/>
                  <w:insideV w:val="single" w:sz="4" w:space="0" w:color="auto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40"/>
                <w:jc w:val="center"/>
              </w:trPr>
              <w:tc>
                <w:tcPr>
                  <w:tcW w:w="741" w:type="pct"/>
                  <w:tcBorders>
                    <w:tl2br w:val="nil"/>
                    <w:tr2bl w:val="nil"/>
                  </w:tcBorders>
                  <w:vAlign w:val="center"/>
                </w:tcPr>
                <w:p/>
              </w:tc>
              <w:tc>
                <w:tcPr>
                  <w:tcW w:w="1921" w:type="pct"/>
                  <w:tcBorders>
                    <w:tl2br w:val="nil"/>
                    <w:tr2bl w:val="nil"/>
                  </w:tcBorders>
                  <w:vAlign w:val="center"/>
                </w:tcPr>
                <w:p>
                  <w:pPr>
                    <w:spacing w:before="0"/>
                    <w:jc w:val="center"/>
                    <w:rPr>
                      <w:szCs w:val="21"/>
                      <w:lang w:bidi="ar"/>
                    </w:rPr>
                  </w:pPr>
                  <w:r>
                    <w:rPr>
                      <w:rFonts w:hint="eastAsia"/>
                      <w:kern w:val="0"/>
                      <w:szCs w:val="21"/>
                    </w:rPr>
                    <w:t>、氰化物、氯气且厂界外500米范围内有环境空气保护目标的建设项目</w:t>
                  </w:r>
                </w:p>
              </w:tc>
              <w:tc>
                <w:tcPr>
                  <w:tcW w:w="1771" w:type="pct"/>
                  <w:tcBorders>
                    <w:tl2br w:val="nil"/>
                    <w:tr2bl w:val="nil"/>
                  </w:tcBorders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spacing w:before="0"/>
                    <w:jc w:val="center"/>
                    <w:rPr>
                      <w:kern w:val="0"/>
                      <w:szCs w:val="21"/>
                    </w:rPr>
                  </w:pPr>
                  <w:r>
                    <w:rPr>
                      <w:rFonts w:hint="eastAsia"/>
                      <w:kern w:val="0"/>
                      <w:szCs w:val="21"/>
                    </w:rPr>
                    <w:t>二氧化硫、氮氧化物、烟尘</w:t>
                  </w:r>
                  <w:r>
                    <w:rPr>
                      <w:kern w:val="0"/>
                      <w:szCs w:val="21"/>
                    </w:rPr>
                    <w:t>，不涉及有毒有害污染物、二噁英、苯并[α]芘</w:t>
                  </w:r>
                  <w:r>
                    <w:rPr>
                      <w:rFonts w:hint="eastAsia"/>
                      <w:kern w:val="0"/>
                      <w:szCs w:val="21"/>
                    </w:rPr>
                    <w:t>、氰化物、氯气</w:t>
                  </w:r>
                </w:p>
              </w:tc>
              <w:tc>
                <w:tcPr>
                  <w:tcW w:w="565" w:type="pct"/>
                  <w:tcBorders>
                    <w:tl2br w:val="nil"/>
                    <w:tr2bl w:val="nil"/>
                  </w:tcBorders>
                  <w:vAlign w:val="center"/>
                </w:tcPr>
                <w:p/>
              </w:tc>
            </w:tr>
            <w:tr>
              <w:tblPrEx>
                <w:tblW w:w="5000" w:type="pct"/>
                <w:jc w:val="center"/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40"/>
                <w:jc w:val="center"/>
              </w:trPr>
              <w:tc>
                <w:tcPr>
                  <w:tcW w:w="741" w:type="pct"/>
                  <w:tcBorders>
                    <w:tl2br w:val="nil"/>
                    <w:tr2bl w:val="nil"/>
                  </w:tcBorders>
                  <w:vAlign w:val="center"/>
                </w:tcPr>
                <w:p>
                  <w:pPr>
                    <w:jc w:val="center"/>
                    <w:rPr>
                      <w:rFonts w:cs="宋体"/>
                      <w:kern w:val="0"/>
                      <w:szCs w:val="21"/>
                      <w:lang w:bidi="ar"/>
                    </w:rPr>
                  </w:pPr>
                  <w:r>
                    <w:rPr>
                      <w:rFonts w:cs="宋体" w:hint="eastAsia"/>
                      <w:kern w:val="0"/>
                      <w:szCs w:val="21"/>
                      <w:lang w:bidi="ar"/>
                    </w:rPr>
                    <w:t>地表水</w:t>
                  </w:r>
                </w:p>
              </w:tc>
              <w:tc>
                <w:tcPr>
                  <w:tcW w:w="1921" w:type="pct"/>
                  <w:tcBorders>
                    <w:tl2br w:val="nil"/>
                    <w:tr2bl w:val="nil"/>
                  </w:tcBorders>
                  <w:vAlign w:val="center"/>
                </w:tcPr>
                <w:p>
                  <w:pPr>
                    <w:jc w:val="center"/>
                    <w:rPr>
                      <w:szCs w:val="21"/>
                      <w:lang w:bidi="ar"/>
                    </w:rPr>
                  </w:pPr>
                  <w:r>
                    <w:rPr>
                      <w:rFonts w:hint="eastAsia"/>
                      <w:szCs w:val="21"/>
                      <w:lang w:bidi="ar"/>
                    </w:rPr>
                    <w:t>新增工业废水直排建设项目（槽罐车外送污水处理厂的除外）；新增废水直排的污水集中处理厂</w:t>
                  </w:r>
                </w:p>
              </w:tc>
              <w:tc>
                <w:tcPr>
                  <w:tcW w:w="1771" w:type="pct"/>
                  <w:tcBorders>
                    <w:tl2br w:val="nil"/>
                    <w:tr2bl w:val="nil"/>
                  </w:tcBorders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jc w:val="center"/>
                    <w:rPr>
                      <w:kern w:val="0"/>
                      <w:szCs w:val="21"/>
                    </w:rPr>
                  </w:pPr>
                  <w:r>
                    <w:rPr>
                      <w:rFonts w:hint="eastAsia"/>
                      <w:kern w:val="0"/>
                      <w:szCs w:val="21"/>
                    </w:rPr>
                    <w:t>项目废水主要为锅炉清净下水，锅炉清净下水经沉淀后厂区洒水抑尘不外排</w:t>
                  </w:r>
                </w:p>
              </w:tc>
              <w:tc>
                <w:tcPr>
                  <w:tcW w:w="565" w:type="pct"/>
                  <w:tcBorders>
                    <w:tl2br w:val="nil"/>
                    <w:tr2bl w:val="nil"/>
                  </w:tcBorders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jc w:val="center"/>
                    <w:rPr>
                      <w:kern w:val="0"/>
                      <w:szCs w:val="21"/>
                    </w:rPr>
                  </w:pPr>
                  <w:r>
                    <w:rPr>
                      <w:rFonts w:hint="eastAsia"/>
                      <w:kern w:val="0"/>
                      <w:szCs w:val="21"/>
                    </w:rPr>
                    <w:t>否</w:t>
                  </w:r>
                </w:p>
              </w:tc>
            </w:tr>
            <w:tr>
              <w:tblPrEx>
                <w:tblW w:w="5000" w:type="pct"/>
                <w:jc w:val="center"/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40"/>
                <w:jc w:val="center"/>
              </w:trPr>
              <w:tc>
                <w:tcPr>
                  <w:tcW w:w="741" w:type="pct"/>
                  <w:tcBorders>
                    <w:tl2br w:val="nil"/>
                    <w:tr2bl w:val="nil"/>
                  </w:tcBorders>
                  <w:vAlign w:val="center"/>
                </w:tcPr>
                <w:p>
                  <w:pPr>
                    <w:jc w:val="center"/>
                    <w:rPr>
                      <w:rFonts w:cs="宋体"/>
                      <w:kern w:val="0"/>
                      <w:szCs w:val="21"/>
                      <w:lang w:bidi="ar"/>
                    </w:rPr>
                  </w:pPr>
                  <w:r>
                    <w:rPr>
                      <w:rFonts w:cs="宋体" w:hint="eastAsia"/>
                      <w:kern w:val="0"/>
                      <w:szCs w:val="21"/>
                      <w:lang w:bidi="ar"/>
                    </w:rPr>
                    <w:t>环境</w:t>
                  </w:r>
                </w:p>
                <w:p>
                  <w:pPr>
                    <w:jc w:val="center"/>
                    <w:rPr>
                      <w:rFonts w:cs="宋体"/>
                      <w:kern w:val="0"/>
                      <w:szCs w:val="21"/>
                      <w:lang w:bidi="ar"/>
                    </w:rPr>
                  </w:pPr>
                  <w:r>
                    <w:rPr>
                      <w:rFonts w:cs="宋体" w:hint="eastAsia"/>
                      <w:kern w:val="0"/>
                      <w:szCs w:val="21"/>
                      <w:lang w:bidi="ar"/>
                    </w:rPr>
                    <w:t>风险</w:t>
                  </w:r>
                </w:p>
              </w:tc>
              <w:tc>
                <w:tcPr>
                  <w:tcW w:w="1921" w:type="pct"/>
                  <w:tcBorders>
                    <w:tl2br w:val="nil"/>
                    <w:tr2bl w:val="nil"/>
                  </w:tcBorders>
                  <w:vAlign w:val="center"/>
                </w:tcPr>
                <w:p>
                  <w:pPr>
                    <w:jc w:val="center"/>
                    <w:rPr>
                      <w:szCs w:val="21"/>
                      <w:lang w:bidi="ar"/>
                    </w:rPr>
                  </w:pPr>
                  <w:r>
                    <w:rPr>
                      <w:rFonts w:hint="eastAsia"/>
                      <w:szCs w:val="21"/>
                      <w:lang w:bidi="ar"/>
                    </w:rPr>
                    <w:t>有毒有害和易燃易爆危险物质存储量超过临界量的建设项目</w:t>
                  </w:r>
                </w:p>
              </w:tc>
              <w:tc>
                <w:tcPr>
                  <w:tcW w:w="1771" w:type="pct"/>
                  <w:tcBorders>
                    <w:tl2br w:val="nil"/>
                    <w:tr2bl w:val="nil"/>
                  </w:tcBorders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jc w:val="center"/>
                    <w:rPr>
                      <w:kern w:val="0"/>
                      <w:szCs w:val="21"/>
                    </w:rPr>
                  </w:pPr>
                  <w:r>
                    <w:rPr>
                      <w:rFonts w:hint="eastAsia"/>
                      <w:kern w:val="0"/>
                      <w:szCs w:val="21"/>
                    </w:rPr>
                    <w:t>项目涉及的风险物质主要是生物质颗粒，经采取措施后环境风险较小</w:t>
                  </w:r>
                </w:p>
              </w:tc>
              <w:tc>
                <w:tcPr>
                  <w:tcW w:w="565" w:type="pct"/>
                  <w:tcBorders>
                    <w:tl2br w:val="nil"/>
                    <w:tr2bl w:val="nil"/>
                  </w:tcBorders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jc w:val="center"/>
                    <w:rPr>
                      <w:kern w:val="0"/>
                      <w:szCs w:val="21"/>
                    </w:rPr>
                  </w:pPr>
                  <w:r>
                    <w:rPr>
                      <w:rFonts w:hint="eastAsia"/>
                      <w:kern w:val="0"/>
                      <w:szCs w:val="21"/>
                    </w:rPr>
                    <w:t>否</w:t>
                  </w:r>
                </w:p>
              </w:tc>
            </w:tr>
            <w:tr>
              <w:tblPrEx>
                <w:tblW w:w="5000" w:type="pct"/>
                <w:jc w:val="center"/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40"/>
                <w:jc w:val="center"/>
              </w:trPr>
              <w:tc>
                <w:tcPr>
                  <w:tcW w:w="741" w:type="pct"/>
                  <w:tcBorders>
                    <w:tl2br w:val="nil"/>
                    <w:tr2bl w:val="nil"/>
                  </w:tcBorders>
                  <w:vAlign w:val="center"/>
                </w:tcPr>
                <w:p>
                  <w:pPr>
                    <w:jc w:val="center"/>
                    <w:rPr>
                      <w:rFonts w:cs="宋体"/>
                      <w:kern w:val="0"/>
                      <w:szCs w:val="21"/>
                      <w:lang w:bidi="ar"/>
                    </w:rPr>
                  </w:pPr>
                  <w:r>
                    <w:rPr>
                      <w:rFonts w:cs="宋体" w:hint="eastAsia"/>
                      <w:kern w:val="0"/>
                      <w:szCs w:val="21"/>
                      <w:lang w:bidi="ar"/>
                    </w:rPr>
                    <w:t>生态</w:t>
                  </w:r>
                </w:p>
              </w:tc>
              <w:tc>
                <w:tcPr>
                  <w:tcW w:w="1921" w:type="pct"/>
                  <w:tcBorders>
                    <w:tl2br w:val="nil"/>
                    <w:tr2bl w:val="nil"/>
                  </w:tcBorders>
                  <w:vAlign w:val="center"/>
                </w:tcPr>
                <w:p>
                  <w:pPr>
                    <w:jc w:val="center"/>
                    <w:rPr>
                      <w:szCs w:val="21"/>
                      <w:lang w:bidi="ar"/>
                    </w:rPr>
                  </w:pPr>
                  <w:r>
                    <w:rPr>
                      <w:rFonts w:hint="eastAsia"/>
                      <w:szCs w:val="21"/>
                      <w:lang w:bidi="ar"/>
                    </w:rPr>
                    <w:t>取水口下游500米范围内有重要水生生物的自然产卵场、索饵场、越冬场和洄游通道的新增河道取水的污染类建设项目</w:t>
                  </w:r>
                </w:p>
              </w:tc>
              <w:tc>
                <w:tcPr>
                  <w:tcW w:w="1771" w:type="pct"/>
                  <w:tcBorders>
                    <w:tl2br w:val="nil"/>
                    <w:tr2bl w:val="nil"/>
                  </w:tcBorders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jc w:val="center"/>
                    <w:rPr>
                      <w:kern w:val="0"/>
                      <w:szCs w:val="21"/>
                    </w:rPr>
                  </w:pPr>
                  <w:r>
                    <w:rPr>
                      <w:rFonts w:hint="eastAsia"/>
                      <w:kern w:val="0"/>
                      <w:szCs w:val="21"/>
                    </w:rPr>
                    <w:t>项目用水由自备井供给，不涉及取水口</w:t>
                  </w:r>
                </w:p>
              </w:tc>
              <w:tc>
                <w:tcPr>
                  <w:tcW w:w="565" w:type="pct"/>
                  <w:tcBorders>
                    <w:tl2br w:val="nil"/>
                    <w:tr2bl w:val="nil"/>
                  </w:tcBorders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jc w:val="center"/>
                    <w:rPr>
                      <w:kern w:val="0"/>
                      <w:szCs w:val="21"/>
                    </w:rPr>
                  </w:pPr>
                  <w:r>
                    <w:rPr>
                      <w:rFonts w:hint="eastAsia"/>
                      <w:kern w:val="0"/>
                      <w:szCs w:val="21"/>
                    </w:rPr>
                    <w:t>否</w:t>
                  </w:r>
                </w:p>
              </w:tc>
            </w:tr>
            <w:tr>
              <w:tblPrEx>
                <w:tblW w:w="5000" w:type="pct"/>
                <w:jc w:val="center"/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40"/>
                <w:jc w:val="center"/>
              </w:trPr>
              <w:tc>
                <w:tcPr>
                  <w:tcW w:w="741" w:type="pct"/>
                  <w:tcBorders>
                    <w:tl2br w:val="nil"/>
                    <w:tr2bl w:val="nil"/>
                  </w:tcBorders>
                  <w:vAlign w:val="center"/>
                </w:tcPr>
                <w:p>
                  <w:pPr>
                    <w:jc w:val="center"/>
                    <w:rPr>
                      <w:rFonts w:cs="宋体"/>
                      <w:kern w:val="0"/>
                      <w:szCs w:val="21"/>
                      <w:lang w:bidi="ar"/>
                    </w:rPr>
                  </w:pPr>
                  <w:r>
                    <w:rPr>
                      <w:rFonts w:cs="宋体" w:hint="eastAsia"/>
                      <w:kern w:val="0"/>
                      <w:szCs w:val="21"/>
                      <w:lang w:bidi="ar"/>
                    </w:rPr>
                    <w:t>海洋</w:t>
                  </w:r>
                </w:p>
              </w:tc>
              <w:tc>
                <w:tcPr>
                  <w:tcW w:w="1921" w:type="pct"/>
                  <w:tcBorders>
                    <w:tl2br w:val="nil"/>
                    <w:tr2bl w:val="nil"/>
                  </w:tcBorders>
                  <w:vAlign w:val="center"/>
                </w:tcPr>
                <w:p>
                  <w:pPr>
                    <w:jc w:val="center"/>
                    <w:rPr>
                      <w:szCs w:val="21"/>
                      <w:lang w:bidi="ar"/>
                    </w:rPr>
                  </w:pPr>
                  <w:r>
                    <w:rPr>
                      <w:rFonts w:hint="eastAsia"/>
                      <w:szCs w:val="21"/>
                      <w:lang w:bidi="ar"/>
                    </w:rPr>
                    <w:t>直接向海排放污染物的海洋工程建设项目</w:t>
                  </w:r>
                </w:p>
              </w:tc>
              <w:tc>
                <w:tcPr>
                  <w:tcW w:w="1771" w:type="pct"/>
                  <w:tcBorders>
                    <w:tl2br w:val="nil"/>
                    <w:tr2bl w:val="nil"/>
                  </w:tcBorders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jc w:val="center"/>
                    <w:rPr>
                      <w:kern w:val="0"/>
                      <w:szCs w:val="21"/>
                    </w:rPr>
                  </w:pPr>
                  <w:r>
                    <w:rPr>
                      <w:rFonts w:hint="eastAsia"/>
                      <w:kern w:val="0"/>
                      <w:szCs w:val="21"/>
                    </w:rPr>
                    <w:t>不属于海洋工程建设项目</w:t>
                  </w:r>
                </w:p>
              </w:tc>
              <w:tc>
                <w:tcPr>
                  <w:tcW w:w="565" w:type="pct"/>
                  <w:tcBorders>
                    <w:tl2br w:val="nil"/>
                    <w:tr2bl w:val="nil"/>
                  </w:tcBorders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jc w:val="center"/>
                    <w:rPr>
                      <w:kern w:val="0"/>
                      <w:szCs w:val="21"/>
                    </w:rPr>
                  </w:pPr>
                  <w:r>
                    <w:rPr>
                      <w:rFonts w:hint="eastAsia"/>
                      <w:kern w:val="0"/>
                      <w:szCs w:val="21"/>
                    </w:rPr>
                    <w:t>否</w:t>
                  </w:r>
                </w:p>
              </w:tc>
            </w:tr>
          </w:tbl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kern w:val="0"/>
                <w:sz w:val="24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/>
          <w:jc w:val="center"/>
        </w:trPr>
        <w:tc>
          <w:tcPr>
            <w:tcW w:w="2052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kern w:val="0"/>
                <w:sz w:val="24"/>
              </w:rPr>
            </w:pPr>
            <w:r>
              <w:rPr>
                <w:sz w:val="24"/>
              </w:rPr>
              <w:t>规划情况</w:t>
            </w:r>
          </w:p>
        </w:tc>
        <w:tc>
          <w:tcPr>
            <w:tcW w:w="6818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无</w:t>
            </w:r>
          </w:p>
        </w:tc>
      </w:tr>
      <w:tr>
        <w:tblPrEx>
          <w:tblW w:w="0" w:type="auto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/>
          <w:jc w:val="center"/>
        </w:trPr>
        <w:tc>
          <w:tcPr>
            <w:tcW w:w="2052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规划环境影响</w:t>
            </w:r>
          </w:p>
          <w:p>
            <w:pPr>
              <w:adjustRightInd w:val="0"/>
              <w:snapToGrid w:val="0"/>
              <w:jc w:val="center"/>
              <w:rPr>
                <w:kern w:val="0"/>
                <w:sz w:val="24"/>
              </w:rPr>
            </w:pPr>
            <w:r>
              <w:rPr>
                <w:sz w:val="24"/>
              </w:rPr>
              <w:t>评价情况</w:t>
            </w:r>
          </w:p>
        </w:tc>
        <w:tc>
          <w:tcPr>
            <w:tcW w:w="6818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无</w:t>
            </w:r>
          </w:p>
        </w:tc>
      </w:tr>
      <w:tr>
        <w:tblPrEx>
          <w:tblW w:w="0" w:type="auto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/>
          <w:jc w:val="center"/>
        </w:trPr>
        <w:tc>
          <w:tcPr>
            <w:tcW w:w="2052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规划及规划环境</w:t>
            </w:r>
          </w:p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影响评价符合性分析</w:t>
            </w:r>
          </w:p>
        </w:tc>
        <w:tc>
          <w:tcPr>
            <w:tcW w:w="6818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无</w:t>
            </w:r>
          </w:p>
        </w:tc>
      </w:tr>
    </w:tbl>
    <w:p>
      <w:pPr>
        <w:sectPr>
          <w:footerReference w:type="even" r:id="rId12"/>
          <w:footerReference w:type="default" r:id="rId13"/>
          <w:type w:val="nextPage"/>
          <w:pgSz w:w="11906" w:h="16838"/>
          <w:pgMar w:top="1701" w:right="1531" w:bottom="1701" w:left="1531" w:header="851" w:footer="1077" w:gutter="0"/>
          <w:pgNumType w:fmt="numberInDash" w:start="2"/>
          <w:cols w:num="1" w:space="720"/>
          <w:titlePg w:val="0"/>
          <w:docGrid w:linePitch="312" w:charSpace="0"/>
        </w:sectPr>
      </w:pPr>
    </w:p>
    <w:tbl>
      <w:tblPr>
        <w:tblStyle w:val="TableNormal"/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2"/>
        <w:gridCol w:w="6818"/>
      </w:tblGrid>
      <w:tr>
        <w:tblPrEx>
          <w:tblW w:w="0" w:type="auto"/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2"/>
          <w:jc w:val="center"/>
        </w:trPr>
        <w:tc>
          <w:tcPr>
            <w:tcW w:w="2052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其他符合性分析</w:t>
            </w:r>
          </w:p>
        </w:tc>
        <w:tc>
          <w:tcPr>
            <w:tcW w:w="6818" w:type="dxa"/>
            <w:vAlign w:val="center"/>
          </w:tcPr>
          <w:p>
            <w:pPr>
              <w:spacing w:line="360" w:lineRule="auto"/>
              <w:ind w:firstLine="480" w:firstLineChars="200"/>
              <w:jc w:val="left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sz w:val="24"/>
              </w:rPr>
              <w:t>1、</w:t>
            </w:r>
            <w:r>
              <w:rPr>
                <w:b/>
                <w:sz w:val="24"/>
              </w:rPr>
              <w:t>产业政策符合性分析</w:t>
            </w:r>
          </w:p>
          <w:p>
            <w:pPr>
              <w:pStyle w:val="PlainText"/>
              <w:spacing w:line="360" w:lineRule="auto"/>
              <w:ind w:firstLine="480" w:firstLineChars="20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根据《国民经济行业分类》（GB/T4754-2017）本项目涉及行业类别为“</w:t>
            </w:r>
            <w:r>
              <w:rPr>
                <w:rFonts w:hint="eastAsia"/>
                <w:sz w:val="24"/>
              </w:rPr>
              <w:t>D4430热力生产和供应</w:t>
            </w:r>
            <w:r>
              <w:rPr>
                <w:rFonts w:ascii="Times New Roman" w:hAnsi="Times New Roman"/>
                <w:sz w:val="24"/>
              </w:rPr>
              <w:t>”。根据《产业结构调整指导目录（2019年本）》，《促进产业结构调整暂行规定》（国发[2005]40号）第十三条“不属于鼓励类、限制类和淘汰类，且符合国家有关法律、法规和政策规定的，为允许类”，亦不属于《市场准入负面清单》（发改经体〔2019〕1685号）中</w:t>
            </w:r>
            <w:r>
              <w:rPr>
                <w:rFonts w:ascii="Times New Roman" w:hAnsi="Times New Roman"/>
                <w:bCs/>
                <w:sz w:val="24"/>
              </w:rPr>
              <w:t>禁止准入类及许可准入类事项，可视为允许类</w:t>
            </w:r>
            <w:r>
              <w:rPr>
                <w:rFonts w:ascii="Times New Roman" w:hAnsi="Times New Roman"/>
                <w:sz w:val="24"/>
              </w:rPr>
              <w:t>，符合国家产业政策。</w:t>
            </w:r>
          </w:p>
          <w:p>
            <w:pPr>
              <w:adjustRightInd w:val="0"/>
              <w:snapToGrid w:val="0"/>
              <w:spacing w:line="360" w:lineRule="auto"/>
              <w:ind w:firstLine="480" w:firstLineChars="20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2、与相关规划和环保政策符合性分析</w:t>
            </w:r>
          </w:p>
          <w:p>
            <w:pPr>
              <w:adjustRightInd w:val="0"/>
              <w:snapToGrid w:val="0"/>
              <w:spacing w:line="360" w:lineRule="auto"/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本项目与相关规划和</w:t>
            </w:r>
            <w:r>
              <w:rPr>
                <w:sz w:val="24"/>
              </w:rPr>
              <w:t>环保政策相符性分析见表1</w:t>
            </w:r>
            <w:r>
              <w:rPr>
                <w:rFonts w:hint="eastAsia"/>
                <w:sz w:val="24"/>
              </w:rPr>
              <w:t>-2</w:t>
            </w:r>
            <w:r>
              <w:rPr>
                <w:sz w:val="24"/>
              </w:rPr>
              <w:t>。</w:t>
            </w:r>
          </w:p>
          <w:p>
            <w:pPr>
              <w:pStyle w:val="Caption"/>
              <w:keepNext/>
              <w:adjustRightInd w:val="0"/>
              <w:snapToGrid w:val="0"/>
              <w:jc w:val="center"/>
              <w:rPr>
                <w:rFonts w:ascii="Times New Roman" w:eastAsia="宋体" w:hAnsi="Times New Roman"/>
                <w:b/>
                <w:sz w:val="21"/>
                <w:szCs w:val="24"/>
              </w:rPr>
            </w:pPr>
            <w:r>
              <w:rPr>
                <w:rFonts w:ascii="Times New Roman" w:eastAsia="宋体" w:hAnsi="Times New Roman"/>
                <w:b/>
                <w:sz w:val="21"/>
                <w:szCs w:val="24"/>
              </w:rPr>
              <w:t>表</w:t>
            </w:r>
            <w:r>
              <w:rPr>
                <w:rFonts w:ascii="Times New Roman" w:eastAsia="宋体" w:hAnsi="Times New Roman"/>
                <w:b/>
                <w:sz w:val="21"/>
                <w:szCs w:val="24"/>
              </w:rPr>
              <w:fldChar w:fldCharType="begin"/>
            </w:r>
            <w:r>
              <w:rPr>
                <w:rFonts w:ascii="Times New Roman" w:eastAsia="宋体" w:hAnsi="Times New Roman"/>
                <w:b/>
                <w:sz w:val="21"/>
                <w:szCs w:val="24"/>
              </w:rPr>
              <w:instrText xml:space="preserve"> SEQ 表 \* ARABIC </w:instrText>
            </w:r>
            <w:r>
              <w:rPr>
                <w:rFonts w:ascii="Times New Roman" w:eastAsia="宋体" w:hAnsi="Times New Roman"/>
                <w:b/>
                <w:sz w:val="21"/>
                <w:szCs w:val="24"/>
              </w:rPr>
              <w:fldChar w:fldCharType="separate"/>
            </w:r>
            <w:r>
              <w:rPr>
                <w:rFonts w:ascii="Times New Roman" w:eastAsia="宋体" w:hAnsi="Times New Roman"/>
                <w:b/>
                <w:sz w:val="21"/>
                <w:szCs w:val="24"/>
              </w:rPr>
              <w:t>1</w:t>
            </w:r>
            <w:r>
              <w:rPr>
                <w:rFonts w:ascii="Times New Roman" w:eastAsia="宋体" w:hAnsi="Times New Roman"/>
                <w:b/>
                <w:sz w:val="21"/>
                <w:szCs w:val="24"/>
              </w:rPr>
              <w:fldChar w:fldCharType="end"/>
            </w:r>
            <w:r>
              <w:rPr>
                <w:rFonts w:ascii="Times New Roman" w:eastAsia="宋体" w:hAnsi="Times New Roman" w:hint="eastAsia"/>
                <w:b/>
                <w:sz w:val="21"/>
                <w:szCs w:val="24"/>
              </w:rPr>
              <w:t>-2</w:t>
            </w:r>
            <w:r>
              <w:rPr>
                <w:rFonts w:ascii="Times New Roman" w:eastAsia="宋体" w:hAnsi="Times New Roman"/>
                <w:b/>
                <w:sz w:val="21"/>
                <w:szCs w:val="24"/>
              </w:rPr>
              <w:t xml:space="preserve">  与相关规划和环保政策符合性分析</w:t>
            </w:r>
          </w:p>
          <w:tbl>
            <w:tblPr>
              <w:tblStyle w:val="TableNormal"/>
              <w:tblW w:w="4996" w:type="pct"/>
              <w:tblInd w:w="0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405"/>
              <w:gridCol w:w="3196"/>
              <w:gridCol w:w="1337"/>
              <w:gridCol w:w="629"/>
            </w:tblGrid>
            <w:tr>
              <w:tblPrEx>
                <w:tblW w:w="4996" w:type="pct"/>
                <w:tblInd w:w="0" w:type="dxa"/>
                <w:tbl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  <w:insideH w:val="single" w:sz="4" w:space="0" w:color="auto"/>
                  <w:insideV w:val="single" w:sz="4" w:space="0" w:color="auto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070" w:type="pct"/>
                  <w:vAlign w:val="center"/>
                </w:tcPr>
                <w:p>
                  <w:pPr>
                    <w:adjustRightInd w:val="0"/>
                    <w:snapToGrid w:val="0"/>
                    <w:jc w:val="center"/>
                    <w:rPr>
                      <w:b/>
                      <w:szCs w:val="21"/>
                    </w:rPr>
                  </w:pPr>
                  <w:r>
                    <w:rPr>
                      <w:rFonts w:hint="eastAsia"/>
                      <w:b/>
                      <w:szCs w:val="21"/>
                    </w:rPr>
                    <w:t>名称</w:t>
                  </w:r>
                </w:p>
              </w:tc>
              <w:tc>
                <w:tcPr>
                  <w:tcW w:w="2433" w:type="pct"/>
                  <w:vAlign w:val="center"/>
                </w:tcPr>
                <w:p>
                  <w:pPr>
                    <w:adjustRightInd w:val="0"/>
                    <w:snapToGrid w:val="0"/>
                    <w:jc w:val="center"/>
                    <w:rPr>
                      <w:b/>
                      <w:szCs w:val="21"/>
                    </w:rPr>
                  </w:pPr>
                  <w:r>
                    <w:rPr>
                      <w:rFonts w:hint="eastAsia"/>
                      <w:b/>
                      <w:szCs w:val="21"/>
                    </w:rPr>
                    <w:t>具体要求</w:t>
                  </w:r>
                </w:p>
              </w:tc>
              <w:tc>
                <w:tcPr>
                  <w:tcW w:w="1018" w:type="pct"/>
                  <w:vAlign w:val="center"/>
                </w:tcPr>
                <w:p>
                  <w:pPr>
                    <w:adjustRightInd w:val="0"/>
                    <w:snapToGrid w:val="0"/>
                    <w:jc w:val="center"/>
                    <w:rPr>
                      <w:b/>
                      <w:szCs w:val="21"/>
                    </w:rPr>
                  </w:pPr>
                  <w:r>
                    <w:rPr>
                      <w:rFonts w:hint="eastAsia"/>
                      <w:b/>
                      <w:szCs w:val="21"/>
                    </w:rPr>
                    <w:t>本项目情况</w:t>
                  </w:r>
                </w:p>
              </w:tc>
              <w:tc>
                <w:tcPr>
                  <w:tcW w:w="479" w:type="pct"/>
                  <w:vAlign w:val="center"/>
                </w:tcPr>
                <w:p>
                  <w:pPr>
                    <w:adjustRightInd w:val="0"/>
                    <w:snapToGrid w:val="0"/>
                    <w:ind w:left="-105" w:right="-105" w:leftChars="-50" w:rightChars="-50"/>
                    <w:jc w:val="center"/>
                    <w:rPr>
                      <w:b/>
                      <w:szCs w:val="21"/>
                    </w:rPr>
                  </w:pPr>
                  <w:r>
                    <w:rPr>
                      <w:rFonts w:hint="eastAsia"/>
                      <w:b/>
                      <w:szCs w:val="21"/>
                    </w:rPr>
                    <w:t>符合性</w:t>
                  </w:r>
                </w:p>
              </w:tc>
            </w:tr>
            <w:tr>
              <w:tblPrEx>
                <w:tblW w:w="4996" w:type="pct"/>
                <w:tblInd w:w="0" w:type="dxa"/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070" w:type="pct"/>
                  <w:vAlign w:val="center"/>
                </w:tcPr>
                <w:p>
                  <w:pPr>
                    <w:adjustRightInd w:val="0"/>
                    <w:snapToGrid w:val="0"/>
                    <w:ind w:left="-105" w:right="-105" w:leftChars="-50" w:rightChars="-50"/>
                    <w:jc w:val="center"/>
                    <w:rPr>
                      <w:kern w:val="0"/>
                      <w:szCs w:val="21"/>
                    </w:rPr>
                  </w:pPr>
                  <w:r>
                    <w:rPr>
                      <w:rFonts w:hint="eastAsia"/>
                      <w:kern w:val="0"/>
                      <w:szCs w:val="21"/>
                    </w:rPr>
                    <w:t>《陕西省人民政府关于加快实施“三线一单”生态环境分区管控的意见》（陕政发〔2020〕11号）</w:t>
                  </w:r>
                </w:p>
              </w:tc>
              <w:tc>
                <w:tcPr>
                  <w:tcW w:w="2433" w:type="pct"/>
                  <w:vAlign w:val="center"/>
                </w:tcPr>
                <w:p>
                  <w:pPr>
                    <w:pStyle w:val="Default1"/>
                    <w:snapToGrid w:val="0"/>
                    <w:jc w:val="both"/>
                    <w:rPr>
                      <w:rFonts w:ascii="Times New Roman" w:cs="Times New Roman"/>
                      <w:color w:val="auto"/>
                      <w:sz w:val="21"/>
                      <w:szCs w:val="21"/>
                    </w:rPr>
                  </w:pPr>
                  <w:r>
                    <w:rPr>
                      <w:rFonts w:ascii="Times New Roman" w:cs="Times New Roman" w:hint="eastAsia"/>
                      <w:color w:val="auto"/>
                      <w:sz w:val="21"/>
                      <w:szCs w:val="21"/>
                    </w:rPr>
                    <w:t>（三）主要目标：</w:t>
                  </w:r>
                </w:p>
                <w:p>
                  <w:pPr>
                    <w:pStyle w:val="Default1"/>
                    <w:snapToGrid w:val="0"/>
                    <w:jc w:val="both"/>
                    <w:rPr>
                      <w:rFonts w:ascii="Times New Roman" w:cs="Times New Roman"/>
                      <w:color w:val="auto"/>
                      <w:sz w:val="21"/>
                      <w:szCs w:val="21"/>
                    </w:rPr>
                  </w:pPr>
                  <w:r>
                    <w:rPr>
                      <w:rFonts w:ascii="Times New Roman" w:cs="Times New Roman" w:hint="eastAsia"/>
                      <w:color w:val="auto"/>
                      <w:sz w:val="21"/>
                      <w:szCs w:val="21"/>
                    </w:rPr>
                    <w:t>2025年，全省生态环境持续改善，主要污染物排放总量持续减少，资源能源利用效率大幅提高，生产生活方式绿色转型成效显著，秦岭、黄河等重要生态安全屏障更加牢固，基本形成生态环境分区管控体系。</w:t>
                  </w:r>
                </w:p>
                <w:p>
                  <w:pPr>
                    <w:pStyle w:val="Default1"/>
                    <w:snapToGrid w:val="0"/>
                    <w:jc w:val="both"/>
                    <w:rPr>
                      <w:rFonts w:ascii="Times New Roman" w:cs="Times New Roman"/>
                      <w:color w:val="auto"/>
                      <w:sz w:val="21"/>
                      <w:szCs w:val="21"/>
                    </w:rPr>
                  </w:pPr>
                  <w:r>
                    <w:rPr>
                      <w:rFonts w:ascii="Times New Roman" w:cs="Times New Roman" w:hint="eastAsia"/>
                      <w:color w:val="auto"/>
                      <w:sz w:val="21"/>
                      <w:szCs w:val="21"/>
                    </w:rPr>
                    <w:t>2035年，全省生态环境根本好转，节约资源和保护生态的绿色生产生活方式广泛形成，建成完善的生态环境分区管控体系，基本实现生态环境治理体系和治理能力现代化及美丽陕西建设目标。</w:t>
                  </w:r>
                </w:p>
              </w:tc>
              <w:tc>
                <w:tcPr>
                  <w:tcW w:w="1018" w:type="pct"/>
                  <w:vAlign w:val="center"/>
                </w:tcPr>
                <w:p>
                  <w:pPr>
                    <w:pStyle w:val="Default1"/>
                    <w:snapToGrid w:val="0"/>
                    <w:jc w:val="both"/>
                    <w:rPr>
                      <w:rFonts w:ascii="Times New Roman" w:cs="Times New Roman"/>
                      <w:color w:val="auto"/>
                      <w:sz w:val="21"/>
                      <w:szCs w:val="21"/>
                    </w:rPr>
                  </w:pPr>
                  <w:r>
                    <w:rPr>
                      <w:rFonts w:ascii="Times New Roman" w:cs="Times New Roman" w:hint="eastAsia"/>
                      <w:color w:val="auto"/>
                      <w:sz w:val="21"/>
                      <w:szCs w:val="21"/>
                    </w:rPr>
                    <w:t>本项目生产废水综合利用不外排；锅炉废气经处理后达标排放；固体废物均能得到合理处置。对周围环境影响较小。</w:t>
                  </w:r>
                </w:p>
              </w:tc>
              <w:tc>
                <w:tcPr>
                  <w:tcW w:w="479" w:type="pct"/>
                  <w:vAlign w:val="center"/>
                </w:tcPr>
                <w:p>
                  <w:pPr>
                    <w:pStyle w:val="Default1"/>
                    <w:snapToGrid w:val="0"/>
                    <w:jc w:val="center"/>
                    <w:rPr>
                      <w:rFonts w:ascii="Times New Roman" w:cs="Times New Roman"/>
                      <w:color w:val="auto"/>
                      <w:sz w:val="21"/>
                      <w:szCs w:val="21"/>
                    </w:rPr>
                  </w:pPr>
                  <w:r>
                    <w:rPr>
                      <w:rFonts w:ascii="Times New Roman" w:cs="Times New Roman" w:hint="eastAsia"/>
                      <w:color w:val="auto"/>
                      <w:sz w:val="21"/>
                      <w:szCs w:val="21"/>
                    </w:rPr>
                    <w:t>符合</w:t>
                  </w:r>
                </w:p>
              </w:tc>
            </w:tr>
            <w:tr>
              <w:tblPrEx>
                <w:tblW w:w="4996" w:type="pct"/>
                <w:tblInd w:w="0" w:type="dxa"/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070" w:type="pct"/>
                  <w:vAlign w:val="center"/>
                </w:tcPr>
                <w:p>
                  <w:pPr>
                    <w:adjustRightInd w:val="0"/>
                    <w:snapToGrid w:val="0"/>
                    <w:spacing w:after="0"/>
                    <w:ind w:left="-105" w:right="-105" w:leftChars="-50" w:rightChars="-50"/>
                    <w:jc w:val="center"/>
                    <w:rPr>
                      <w:kern w:val="0"/>
                      <w:szCs w:val="21"/>
                    </w:rPr>
                  </w:pPr>
                </w:p>
              </w:tc>
              <w:tc>
                <w:tcPr>
                  <w:tcW w:w="2433" w:type="pct"/>
                  <w:vAlign w:val="center"/>
                </w:tcPr>
                <w:p>
                  <w:pPr>
                    <w:pStyle w:val="Default1"/>
                    <w:snapToGrid w:val="0"/>
                    <w:jc w:val="both"/>
                    <w:rPr>
                      <w:rFonts w:ascii="Times New Roman" w:cs="Times New Roman"/>
                      <w:color w:val="auto"/>
                      <w:sz w:val="21"/>
                      <w:szCs w:val="21"/>
                    </w:rPr>
                  </w:pPr>
                  <w:r>
                    <w:rPr>
                      <w:rFonts w:ascii="Times New Roman" w:cs="Times New Roman" w:hint="eastAsia"/>
                      <w:color w:val="auto"/>
                      <w:sz w:val="21"/>
                      <w:szCs w:val="21"/>
                    </w:rPr>
                    <w:t>重点管控单元与本项目有关的管控要求摘抄：</w:t>
                  </w:r>
                </w:p>
                <w:p>
                  <w:pPr>
                    <w:pStyle w:val="Default1"/>
                    <w:snapToGrid w:val="0"/>
                    <w:jc w:val="both"/>
                    <w:rPr>
                      <w:rFonts w:ascii="Times New Roman" w:cs="Times New Roman"/>
                      <w:color w:val="auto"/>
                      <w:sz w:val="21"/>
                      <w:szCs w:val="21"/>
                    </w:rPr>
                  </w:pPr>
                  <w:r>
                    <w:rPr>
                      <w:rFonts w:ascii="Times New Roman" w:cs="Times New Roman" w:hint="eastAsia"/>
                      <w:color w:val="auto"/>
                      <w:sz w:val="21"/>
                      <w:szCs w:val="21"/>
                    </w:rPr>
                    <w:t>（1）大气环境受体敏感区</w:t>
                  </w:r>
                </w:p>
                <w:p>
                  <w:pPr>
                    <w:pStyle w:val="Default1"/>
                    <w:snapToGrid w:val="0"/>
                    <w:spacing w:after="0"/>
                    <w:jc w:val="both"/>
                    <w:rPr>
                      <w:rFonts w:ascii="Times New Roman" w:cs="Times New Roman"/>
                      <w:color w:val="auto"/>
                      <w:sz w:val="21"/>
                      <w:szCs w:val="21"/>
                    </w:rPr>
                  </w:pPr>
                </w:p>
              </w:tc>
              <w:tc>
                <w:tcPr>
                  <w:tcW w:w="1018" w:type="pct"/>
                  <w:vAlign w:val="center"/>
                </w:tcPr>
                <w:p>
                  <w:pPr>
                    <w:pStyle w:val="Default1"/>
                    <w:snapToGrid w:val="0"/>
                    <w:spacing w:after="0"/>
                    <w:jc w:val="both"/>
                    <w:rPr>
                      <w:rFonts w:ascii="Times New Roman" w:cs="Times New Roman"/>
                      <w:color w:val="auto"/>
                      <w:sz w:val="21"/>
                      <w:szCs w:val="21"/>
                    </w:rPr>
                  </w:pPr>
                </w:p>
              </w:tc>
              <w:tc>
                <w:tcPr>
                  <w:tcW w:w="479" w:type="pct"/>
                  <w:vAlign w:val="center"/>
                </w:tcPr>
                <w:p>
                  <w:pPr>
                    <w:pStyle w:val="Default1"/>
                    <w:snapToGrid w:val="0"/>
                    <w:jc w:val="center"/>
                    <w:rPr>
                      <w:rFonts w:ascii="Times New Roman" w:cs="Times New Roman"/>
                      <w:color w:val="auto"/>
                      <w:sz w:val="21"/>
                      <w:szCs w:val="21"/>
                    </w:rPr>
                  </w:pPr>
                  <w:r>
                    <w:rPr>
                      <w:rFonts w:ascii="Times New Roman" w:cs="Times New Roman" w:hint="eastAsia"/>
                      <w:color w:val="auto"/>
                      <w:sz w:val="21"/>
                      <w:szCs w:val="21"/>
                    </w:rPr>
                    <w:t>符合</w:t>
                  </w:r>
                </w:p>
              </w:tc>
            </w:tr>
          </w:tbl>
          <w:p/>
        </w:tc>
      </w:tr>
    </w:tbl>
    <w:p>
      <w:pPr>
        <w:sectPr>
          <w:footerReference w:type="even" r:id="rId14"/>
          <w:footerReference w:type="default" r:id="rId15"/>
          <w:type w:val="nextPage"/>
          <w:pgSz w:w="11906" w:h="16838"/>
          <w:pgMar w:top="1701" w:right="1531" w:bottom="1701" w:left="1531" w:header="851" w:footer="1077" w:gutter="0"/>
          <w:pgNumType w:fmt="numberInDash" w:start="3"/>
          <w:cols w:num="1" w:space="720"/>
          <w:titlePg w:val="0"/>
          <w:docGrid w:linePitch="312" w:charSpace="0"/>
        </w:sectPr>
      </w:pPr>
    </w:p>
    <w:tbl>
      <w:tblPr>
        <w:tblStyle w:val="TableNormal"/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2"/>
        <w:gridCol w:w="6818"/>
      </w:tblGrid>
      <w:tr>
        <w:tblPrEx>
          <w:tblW w:w="0" w:type="auto"/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2"/>
          <w:jc w:val="center"/>
        </w:trPr>
        <w:tc>
          <w:tcPr>
            <w:tcW w:w="2052" w:type="dxa"/>
            <w:vAlign w:val="center"/>
          </w:tcPr>
          <w:p/>
        </w:tc>
        <w:tc>
          <w:tcPr>
            <w:tcW w:w="6818" w:type="dxa"/>
            <w:vAlign w:val="center"/>
          </w:tcPr>
          <w:tbl>
            <w:tblPr>
              <w:tblStyle w:val="TableNormal"/>
              <w:tblW w:w="4996" w:type="pct"/>
              <w:tblInd w:w="0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405"/>
              <w:gridCol w:w="3196"/>
              <w:gridCol w:w="1337"/>
              <w:gridCol w:w="629"/>
            </w:tblGrid>
            <w:tr>
              <w:tblPrEx>
                <w:tblW w:w="4996" w:type="pct"/>
                <w:tblInd w:w="0" w:type="dxa"/>
                <w:tbl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  <w:insideH w:val="single" w:sz="4" w:space="0" w:color="auto"/>
                  <w:insideV w:val="single" w:sz="4" w:space="0" w:color="auto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070" w:type="pct"/>
                  <w:vAlign w:val="center"/>
                </w:tcPr>
                <w:p>
                  <w:pPr>
                    <w:adjustRightInd w:val="0"/>
                    <w:snapToGrid w:val="0"/>
                    <w:spacing w:before="0"/>
                    <w:ind w:left="-105" w:right="-105" w:leftChars="-50" w:rightChars="-50"/>
                    <w:jc w:val="center"/>
                    <w:rPr>
                      <w:kern w:val="0"/>
                      <w:szCs w:val="21"/>
                    </w:rPr>
                  </w:pPr>
                  <w:r>
                    <w:rPr>
                      <w:rFonts w:hint="eastAsia"/>
                      <w:kern w:val="0"/>
                      <w:szCs w:val="21"/>
                    </w:rPr>
                    <w:t>《渭南市人民政府关于印发渭南市“三线一单”生态环境分区管控方案的通知》（渭政发〔2021〕35号）</w:t>
                  </w:r>
                </w:p>
              </w:tc>
              <w:tc>
                <w:tcPr>
                  <w:tcW w:w="2433" w:type="pct"/>
                  <w:vAlign w:val="center"/>
                </w:tcPr>
                <w:p>
                  <w:pPr>
                    <w:pStyle w:val="Default1"/>
                    <w:snapToGrid w:val="0"/>
                    <w:spacing w:before="0"/>
                    <w:jc w:val="both"/>
                    <w:rPr>
                      <w:rFonts w:ascii="Times New Roman" w:cs="Times New Roman"/>
                      <w:color w:val="auto"/>
                      <w:sz w:val="21"/>
                      <w:szCs w:val="21"/>
                    </w:rPr>
                  </w:pPr>
                  <w:r>
                    <w:rPr>
                      <w:rFonts w:ascii="Times New Roman" w:cs="Times New Roman" w:hint="eastAsia"/>
                      <w:color w:val="auto"/>
                      <w:sz w:val="21"/>
                      <w:szCs w:val="21"/>
                    </w:rPr>
                    <w:t>空间约束：严格控制新增煤电、石化、化工、钢铁、有色金属冶炼、建材等“两高”行业项目；加快城市建成区重污染企业搬迁改造或关闭退出。</w:t>
                  </w:r>
                </w:p>
                <w:p>
                  <w:pPr>
                    <w:pStyle w:val="Default1"/>
                    <w:snapToGrid w:val="0"/>
                    <w:jc w:val="both"/>
                    <w:rPr>
                      <w:rFonts w:ascii="Times New Roman" w:cs="Times New Roman"/>
                      <w:color w:val="auto"/>
                      <w:sz w:val="21"/>
                      <w:szCs w:val="21"/>
                    </w:rPr>
                  </w:pPr>
                  <w:r>
                    <w:rPr>
                      <w:rFonts w:ascii="Times New Roman" w:cs="Times New Roman" w:hint="eastAsia"/>
                      <w:color w:val="auto"/>
                      <w:sz w:val="21"/>
                      <w:szCs w:val="21"/>
                    </w:rPr>
                    <w:t>污染排放管控：区域内保留企业采用先进生产工艺、严格落实污染治理设施，污染物执行超低排放或特别排放限值；控制机动车增速，推动汽车全面实现新能源化；加大餐饮油烟治理力度，排放油烟的饮食业单位全部安装油烟净化装置并实现达标排放。</w:t>
                  </w:r>
                </w:p>
                <w:p>
                  <w:pPr>
                    <w:pStyle w:val="Default1"/>
                    <w:snapToGrid w:val="0"/>
                    <w:jc w:val="both"/>
                    <w:rPr>
                      <w:rFonts w:ascii="Times New Roman" w:cs="Times New Roman"/>
                      <w:color w:val="auto"/>
                      <w:sz w:val="21"/>
                      <w:szCs w:val="21"/>
                    </w:rPr>
                  </w:pPr>
                  <w:r>
                    <w:rPr>
                      <w:rFonts w:ascii="Times New Roman" w:cs="Times New Roman" w:hint="eastAsia"/>
                      <w:color w:val="auto"/>
                      <w:sz w:val="21"/>
                      <w:szCs w:val="21"/>
                    </w:rPr>
                    <w:t>（2）大气环境弱扩散区</w:t>
                  </w:r>
                </w:p>
                <w:p>
                  <w:pPr>
                    <w:pStyle w:val="Default1"/>
                    <w:snapToGrid w:val="0"/>
                    <w:jc w:val="both"/>
                    <w:rPr>
                      <w:rFonts w:ascii="Times New Roman" w:cs="Times New Roman"/>
                      <w:color w:val="auto"/>
                      <w:sz w:val="21"/>
                      <w:szCs w:val="21"/>
                    </w:rPr>
                  </w:pPr>
                  <w:r>
                    <w:rPr>
                      <w:rFonts w:ascii="Times New Roman" w:cs="Times New Roman" w:hint="eastAsia"/>
                      <w:color w:val="auto"/>
                      <w:sz w:val="21"/>
                      <w:szCs w:val="21"/>
                    </w:rPr>
                    <w:t>空间约束：严格控制新增煤电、石化、化工、钢铁、有色金属冶炼、建材等“两高”行业项目。</w:t>
                  </w:r>
                </w:p>
                <w:p>
                  <w:pPr>
                    <w:pStyle w:val="Default1"/>
                    <w:snapToGrid w:val="0"/>
                    <w:jc w:val="both"/>
                    <w:rPr>
                      <w:rFonts w:ascii="Times New Roman" w:cs="Times New Roman"/>
                      <w:color w:val="auto"/>
                      <w:sz w:val="21"/>
                      <w:szCs w:val="21"/>
                    </w:rPr>
                  </w:pPr>
                  <w:r>
                    <w:rPr>
                      <w:rFonts w:ascii="Times New Roman" w:cs="Times New Roman" w:hint="eastAsia"/>
                      <w:color w:val="auto"/>
                      <w:sz w:val="21"/>
                      <w:szCs w:val="21"/>
                    </w:rPr>
                    <w:t>污染排放管控：加强大气污染物减排力度，推进散煤替代和清洁利用，推进“煤改电”、“煤改气”工程；严禁秸秆燃烧，强化扬尘管控。</w:t>
                  </w:r>
                </w:p>
              </w:tc>
              <w:tc>
                <w:tcPr>
                  <w:tcW w:w="1018" w:type="pct"/>
                  <w:vAlign w:val="center"/>
                </w:tcPr>
                <w:p>
                  <w:pPr>
                    <w:pStyle w:val="Default1"/>
                    <w:snapToGrid w:val="0"/>
                    <w:spacing w:before="0"/>
                    <w:jc w:val="both"/>
                    <w:rPr>
                      <w:rFonts w:ascii="Times New Roman" w:cs="Times New Roman"/>
                      <w:color w:val="auto"/>
                      <w:sz w:val="21"/>
                      <w:szCs w:val="21"/>
                    </w:rPr>
                  </w:pPr>
                  <w:r>
                    <w:rPr>
                      <w:rFonts w:ascii="Times New Roman" w:cs="Times New Roman" w:hint="eastAsia"/>
                      <w:color w:val="auto"/>
                      <w:sz w:val="21"/>
                      <w:szCs w:val="21"/>
                    </w:rPr>
                    <w:t>本项目位于重点管控单元（附图一），但不属于“两高”项目，本项目采用生物质成型颗粒作为燃料，项目对废气产生环节均采取处理措施，废气均能达标排放。</w:t>
                  </w:r>
                </w:p>
              </w:tc>
              <w:tc>
                <w:tcPr>
                  <w:tcW w:w="479" w:type="pct"/>
                  <w:vAlign w:val="center"/>
                </w:tcPr>
                <w:p/>
              </w:tc>
            </w:tr>
            <w:tr>
              <w:tblPrEx>
                <w:tblW w:w="4996" w:type="pct"/>
                <w:tblInd w:w="0" w:type="dxa"/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070" w:type="pct"/>
                  <w:vAlign w:val="center"/>
                </w:tcPr>
                <w:p>
                  <w:pPr>
                    <w:adjustRightInd w:val="0"/>
                    <w:snapToGrid w:val="0"/>
                    <w:ind w:left="-105" w:right="-105" w:leftChars="-50" w:rightChars="-50"/>
                    <w:jc w:val="center"/>
                    <w:rPr>
                      <w:b/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《大气污染防治行动计划》（气十条）（国发</w:t>
                  </w:r>
                  <w:r>
                    <w:t>〔20</w:t>
                  </w:r>
                  <w:r>
                    <w:rPr>
                      <w:rFonts w:hint="eastAsia"/>
                    </w:rPr>
                    <w:t>13</w:t>
                  </w:r>
                  <w:r>
                    <w:t>〕</w:t>
                  </w:r>
                  <w:r>
                    <w:rPr>
                      <w:szCs w:val="21"/>
                    </w:rPr>
                    <w:t>37</w:t>
                  </w:r>
                  <w:r>
                    <w:rPr>
                      <w:rFonts w:hint="eastAsia"/>
                      <w:szCs w:val="21"/>
                    </w:rPr>
                    <w:t>号）</w:t>
                  </w:r>
                </w:p>
              </w:tc>
              <w:tc>
                <w:tcPr>
                  <w:tcW w:w="2433" w:type="pct"/>
                  <w:vAlign w:val="center"/>
                </w:tcPr>
                <w:p>
                  <w:pPr>
                    <w:adjustRightInd w:val="0"/>
                    <w:snapToGrid w:val="0"/>
                    <w:rPr>
                      <w:b/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（二）深化面源污染治理。综合整治城市扬尘。加强施工扬尘监管，积极推进绿色施工，建设工程施工现场应全封闭设置围挡墙，严禁敞开式作业，施工现场道路应进行地面硬化。渣土运输车辆应采取密闭措施，并逐步安装卫星定位系统。推行道路机械化清扫等低尘作业方式。大型煤堆、料堆要实现封闭储存或建设防风抑尘设施。推进城市及周边绿化和防风防沙林建设，扩大城市建成区绿地规模。</w:t>
                  </w:r>
                </w:p>
              </w:tc>
              <w:tc>
                <w:tcPr>
                  <w:tcW w:w="1018" w:type="pct"/>
                  <w:vAlign w:val="center"/>
                </w:tcPr>
                <w:p>
                  <w:pPr>
                    <w:adjustRightInd w:val="0"/>
                    <w:snapToGrid w:val="0"/>
                    <w:ind w:left="-63" w:right="-63" w:leftChars="-30" w:rightChars="-30"/>
                    <w:jc w:val="center"/>
                    <w:rPr>
                      <w:b/>
                      <w:szCs w:val="21"/>
                    </w:rPr>
                  </w:pPr>
                  <w:r>
                    <w:rPr>
                      <w:rFonts w:hint="eastAsia"/>
                      <w:bCs/>
                      <w:szCs w:val="21"/>
                    </w:rPr>
                    <w:t>厂区道路硬化，原料采用袋装在库房内存。</w:t>
                  </w:r>
                </w:p>
              </w:tc>
              <w:tc>
                <w:tcPr>
                  <w:tcW w:w="479" w:type="pct"/>
                  <w:vAlign w:val="center"/>
                </w:tcPr>
                <w:p>
                  <w:pPr>
                    <w:adjustRightInd w:val="0"/>
                    <w:snapToGrid w:val="0"/>
                    <w:jc w:val="center"/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符合</w:t>
                  </w:r>
                </w:p>
              </w:tc>
            </w:tr>
            <w:tr>
              <w:tblPrEx>
                <w:tblW w:w="4996" w:type="pct"/>
                <w:tblInd w:w="0" w:type="dxa"/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070" w:type="pct"/>
                  <w:vAlign w:val="center"/>
                </w:tcPr>
                <w:p>
                  <w:pPr>
                    <w:adjustRightInd w:val="0"/>
                    <w:snapToGrid w:val="0"/>
                    <w:ind w:left="-105" w:right="-105" w:leftChars="-50" w:rightChars="-50"/>
                    <w:jc w:val="center"/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陕西省铁腕治霾打赢蓝天保卫战三年行动方案（</w:t>
                  </w:r>
                  <w:r>
                    <w:rPr>
                      <w:szCs w:val="21"/>
                    </w:rPr>
                    <w:t>2018-2020</w:t>
                  </w:r>
                  <w:r>
                    <w:rPr>
                      <w:rFonts w:hint="eastAsia"/>
                      <w:szCs w:val="21"/>
                    </w:rPr>
                    <w:t>年）（修订版）</w:t>
                  </w:r>
                </w:p>
              </w:tc>
              <w:tc>
                <w:tcPr>
                  <w:tcW w:w="2433" w:type="pct"/>
                  <w:vAlign w:val="center"/>
                </w:tcPr>
                <w:p>
                  <w:pPr>
                    <w:adjustRightInd w:val="0"/>
                    <w:snapToGrid w:val="0"/>
                    <w:rPr>
                      <w:szCs w:val="21"/>
                    </w:rPr>
                  </w:pPr>
                  <w:r>
                    <w:rPr>
                      <w:rFonts w:hint="eastAsia"/>
                      <w:bCs/>
                      <w:szCs w:val="21"/>
                    </w:rPr>
                    <w:t>加快发展清洁能源和新能源，有序发展水电，优化风能、太阳能开发布局，因地制宜发展生物质能、地热能等。在具备资源条件的地方，鼓励发展县域生物质热电联产、生物质成型燃料锅炉及生物天然气</w:t>
                  </w:r>
                </w:p>
              </w:tc>
              <w:tc>
                <w:tcPr>
                  <w:tcW w:w="1018" w:type="pct"/>
                  <w:vAlign w:val="center"/>
                </w:tcPr>
                <w:p>
                  <w:pPr>
                    <w:adjustRightInd w:val="0"/>
                    <w:snapToGrid w:val="0"/>
                    <w:ind w:left="-63" w:right="-63" w:leftChars="-30" w:rightChars="-30"/>
                    <w:jc w:val="center"/>
                    <w:rPr>
                      <w:szCs w:val="21"/>
                    </w:rPr>
                  </w:pPr>
                  <w:r>
                    <w:rPr>
                      <w:rFonts w:hint="eastAsia"/>
                      <w:bCs/>
                      <w:szCs w:val="21"/>
                    </w:rPr>
                    <w:t>本项目属于生物质成型燃料锅炉供热项目</w:t>
                  </w:r>
                </w:p>
              </w:tc>
              <w:tc>
                <w:tcPr>
                  <w:tcW w:w="479" w:type="pct"/>
                  <w:vAlign w:val="center"/>
                </w:tcPr>
                <w:p>
                  <w:pPr>
                    <w:keepNext/>
                    <w:adjustRightInd w:val="0"/>
                    <w:snapToGrid w:val="0"/>
                    <w:jc w:val="center"/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符合</w:t>
                  </w:r>
                </w:p>
              </w:tc>
            </w:tr>
          </w:tbl>
          <w:p>
            <w:pPr>
              <w:adjustRightInd w:val="0"/>
              <w:snapToGrid w:val="0"/>
              <w:spacing w:line="360" w:lineRule="auto"/>
              <w:ind w:firstLine="480" w:firstLineChars="20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3、“三线一单”相符性分析</w:t>
            </w:r>
          </w:p>
        </w:tc>
      </w:tr>
    </w:tbl>
    <w:p>
      <w:pPr>
        <w:sectPr>
          <w:footerReference w:type="even" r:id="rId16"/>
          <w:footerReference w:type="default" r:id="rId17"/>
          <w:type w:val="nextPage"/>
          <w:pgSz w:w="11906" w:h="16838"/>
          <w:pgMar w:top="1701" w:right="1531" w:bottom="1701" w:left="1531" w:header="851" w:footer="1077" w:gutter="0"/>
          <w:pgNumType w:fmt="numberInDash" w:start="4"/>
          <w:cols w:num="1" w:space="720"/>
          <w:titlePg w:val="0"/>
          <w:docGrid w:linePitch="312" w:charSpace="0"/>
        </w:sectPr>
      </w:pPr>
    </w:p>
    <w:tbl>
      <w:tblPr>
        <w:tblStyle w:val="TableNormal"/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2"/>
        <w:gridCol w:w="6818"/>
      </w:tblGrid>
      <w:tr>
        <w:tblPrEx>
          <w:tblW w:w="0" w:type="auto"/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2"/>
          <w:jc w:val="center"/>
        </w:trPr>
        <w:tc>
          <w:tcPr>
            <w:tcW w:w="2052" w:type="dxa"/>
            <w:vAlign w:val="center"/>
          </w:tcPr>
          <w:p/>
        </w:tc>
        <w:tc>
          <w:tcPr>
            <w:tcW w:w="6818" w:type="dxa"/>
            <w:vAlign w:val="center"/>
          </w:tcPr>
          <w:p>
            <w:pPr>
              <w:adjustRightInd w:val="0"/>
              <w:snapToGrid w:val="0"/>
              <w:spacing w:line="360" w:lineRule="auto"/>
              <w:ind w:firstLine="480" w:firstLineChars="20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根据环保部《关于以改善环境质量为核心加强环境影响评价管理的通知》要求，切实加强环境管理，落实“生态保护红线、环境质量底线、资源利用上线和环境准入负面清单”（简称“三线一单”）约束，建立项目环评审批与规划环评、现有项目环境管理、区域环境质量联动机制，更好的发挥环评制度从源头防范环境污染和生态破坏的作用，加快推进改善环境质量。本项目与“三线一单”符合性分析见表1-3。</w:t>
            </w:r>
          </w:p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b/>
                <w:bCs/>
                <w:kern w:val="0"/>
                <w:szCs w:val="21"/>
              </w:rPr>
            </w:pPr>
            <w:r>
              <w:rPr>
                <w:b/>
                <w:bCs/>
                <w:kern w:val="0"/>
                <w:szCs w:val="21"/>
              </w:rPr>
              <w:t>表1-</w:t>
            </w:r>
            <w:r>
              <w:rPr>
                <w:rFonts w:hint="eastAsia"/>
                <w:b/>
                <w:bCs/>
                <w:kern w:val="0"/>
                <w:szCs w:val="21"/>
              </w:rPr>
              <w:t>3</w:t>
            </w:r>
            <w:r>
              <w:rPr>
                <w:b/>
                <w:bCs/>
                <w:kern w:val="0"/>
                <w:szCs w:val="21"/>
              </w:rPr>
              <w:t xml:space="preserve">    项目与</w:t>
            </w:r>
            <w:r>
              <w:rPr>
                <w:rFonts w:hint="eastAsia"/>
                <w:b/>
                <w:bCs/>
                <w:kern w:val="0"/>
                <w:szCs w:val="21"/>
              </w:rPr>
              <w:t>“三线一单”符合性分析</w:t>
            </w:r>
          </w:p>
          <w:tbl>
            <w:tblPr>
              <w:tblStyle w:val="TableNormal"/>
              <w:tblW w:w="4999" w:type="pct"/>
              <w:jc w:val="center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038"/>
              <w:gridCol w:w="4880"/>
              <w:gridCol w:w="653"/>
            </w:tblGrid>
            <w:tr>
              <w:tblPrEx>
                <w:tblW w:w="4999" w:type="pct"/>
                <w:jc w:val="center"/>
                <w:tbl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  <w:insideH w:val="single" w:sz="6" w:space="0" w:color="auto"/>
                  <w:insideV w:val="single" w:sz="6" w:space="0" w:color="auto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40"/>
                <w:jc w:val="center"/>
              </w:trPr>
              <w:tc>
                <w:tcPr>
                  <w:tcW w:w="790" w:type="pct"/>
                  <w:vAlign w:val="center"/>
                </w:tcPr>
                <w:p>
                  <w:pPr>
                    <w:jc w:val="center"/>
                    <w:rPr>
                      <w:b/>
                      <w:szCs w:val="21"/>
                    </w:rPr>
                  </w:pPr>
                  <w:r>
                    <w:rPr>
                      <w:b/>
                      <w:szCs w:val="21"/>
                    </w:rPr>
                    <w:t>“</w:t>
                  </w:r>
                  <w:r>
                    <w:rPr>
                      <w:rFonts w:hint="eastAsia"/>
                      <w:b/>
                      <w:szCs w:val="21"/>
                    </w:rPr>
                    <w:t>三线一单”</w:t>
                  </w:r>
                </w:p>
              </w:tc>
              <w:tc>
                <w:tcPr>
                  <w:tcW w:w="3713" w:type="pct"/>
                  <w:vAlign w:val="center"/>
                </w:tcPr>
                <w:p>
                  <w:pPr>
                    <w:ind w:firstLine="422"/>
                    <w:jc w:val="center"/>
                    <w:rPr>
                      <w:b/>
                      <w:szCs w:val="21"/>
                    </w:rPr>
                  </w:pPr>
                  <w:r>
                    <w:rPr>
                      <w:rFonts w:hint="eastAsia"/>
                      <w:b/>
                      <w:szCs w:val="21"/>
                    </w:rPr>
                    <w:t>本项目情况</w:t>
                  </w:r>
                </w:p>
              </w:tc>
              <w:tc>
                <w:tcPr>
                  <w:tcW w:w="497" w:type="pct"/>
                  <w:vAlign w:val="center"/>
                </w:tcPr>
                <w:p>
                  <w:pPr>
                    <w:jc w:val="center"/>
                    <w:rPr>
                      <w:b/>
                      <w:szCs w:val="21"/>
                    </w:rPr>
                  </w:pPr>
                  <w:r>
                    <w:rPr>
                      <w:rFonts w:hint="eastAsia"/>
                      <w:b/>
                      <w:szCs w:val="21"/>
                    </w:rPr>
                    <w:t>符合性</w:t>
                  </w:r>
                </w:p>
              </w:tc>
            </w:tr>
            <w:tr>
              <w:tblPrEx>
                <w:tblW w:w="4999" w:type="pct"/>
                <w:jc w:val="center"/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40"/>
                <w:jc w:val="center"/>
              </w:trPr>
              <w:tc>
                <w:tcPr>
                  <w:tcW w:w="790" w:type="pct"/>
                  <w:vAlign w:val="center"/>
                </w:tcPr>
                <w:p>
                  <w:pPr>
                    <w:jc w:val="center"/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生态保护红线</w:t>
                  </w:r>
                </w:p>
              </w:tc>
              <w:tc>
                <w:tcPr>
                  <w:tcW w:w="3713" w:type="pct"/>
                  <w:vAlign w:val="center"/>
                </w:tcPr>
                <w:p>
                  <w:pPr>
                    <w:tabs>
                      <w:tab w:val="left" w:pos="0"/>
                    </w:tabs>
                    <w:jc w:val="left"/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陕西省政府常务会议明确14类重点区域将被纳入全省生态保护红线划分范围，实行分级管控。14类重点区域为：自然保护区、饮用水水源保护区、风景名胜区、森林公园、地质公园、湿地公园、重要湿地、水产种质资源保护区、生态公益林、洪水调蓄区、重要水库、国家良好湖泊、重点生态功能区、生态敏感脆弱区等</w:t>
                  </w:r>
                </w:p>
                <w:p>
                  <w:pPr>
                    <w:tabs>
                      <w:tab w:val="left" w:pos="0"/>
                    </w:tabs>
                    <w:jc w:val="left"/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项目评价区域范围内不涉及上述14类重点区域</w:t>
                  </w:r>
                </w:p>
              </w:tc>
              <w:tc>
                <w:tcPr>
                  <w:tcW w:w="497" w:type="pct"/>
                  <w:vAlign w:val="center"/>
                </w:tcPr>
                <w:p>
                  <w:pPr>
                    <w:tabs>
                      <w:tab w:val="left" w:pos="0"/>
                    </w:tabs>
                    <w:jc w:val="center"/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符合</w:t>
                  </w:r>
                </w:p>
              </w:tc>
            </w:tr>
            <w:tr>
              <w:tblPrEx>
                <w:tblW w:w="4999" w:type="pct"/>
                <w:jc w:val="center"/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40"/>
                <w:jc w:val="center"/>
              </w:trPr>
              <w:tc>
                <w:tcPr>
                  <w:tcW w:w="790" w:type="pct"/>
                  <w:vAlign w:val="center"/>
                </w:tcPr>
                <w:p>
                  <w:pPr>
                    <w:jc w:val="center"/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环境质量底线</w:t>
                  </w:r>
                </w:p>
              </w:tc>
              <w:tc>
                <w:tcPr>
                  <w:tcW w:w="3713" w:type="pct"/>
                  <w:vAlign w:val="center"/>
                </w:tcPr>
                <w:p>
                  <w:pPr>
                    <w:jc w:val="left"/>
                    <w:rPr>
                      <w:kern w:val="0"/>
                      <w:szCs w:val="21"/>
                    </w:rPr>
                  </w:pPr>
                  <w:r>
                    <w:rPr>
                      <w:rFonts w:cs="宋体" w:hint="eastAsia"/>
                      <w:kern w:val="0"/>
                      <w:szCs w:val="21"/>
                      <w:lang w:val="en"/>
                    </w:rPr>
                    <w:t>项目区大气环境执行</w:t>
                  </w:r>
                  <w:r>
                    <w:rPr>
                      <w:rFonts w:hint="eastAsia"/>
                      <w:szCs w:val="21"/>
                    </w:rPr>
                    <w:t>《环境空气质量标准》（GB3095-2012）中二级标准要求，地下水执行《地下水质量标准》（GB/T14848-2017）中</w:t>
                  </w:r>
                  <w:r>
                    <w:rPr>
                      <w:rFonts w:cs="宋体" w:hint="eastAsia"/>
                      <w:snapToGrid w:val="0"/>
                      <w:szCs w:val="21"/>
                    </w:rPr>
                    <w:t>Ⅲ</w:t>
                  </w:r>
                  <w:r>
                    <w:rPr>
                      <w:snapToGrid w:val="0"/>
                      <w:szCs w:val="21"/>
                    </w:rPr>
                    <w:t>类标准</w:t>
                  </w:r>
                  <w:r>
                    <w:rPr>
                      <w:rFonts w:hint="eastAsia"/>
                      <w:szCs w:val="21"/>
                    </w:rPr>
                    <w:t>要求</w:t>
                  </w:r>
                  <w:r>
                    <w:rPr>
                      <w:rFonts w:hint="eastAsia"/>
                      <w:snapToGrid w:val="0"/>
                      <w:szCs w:val="21"/>
                    </w:rPr>
                    <w:t>，</w:t>
                  </w:r>
                  <w:r>
                    <w:rPr>
                      <w:snapToGrid w:val="0"/>
                      <w:szCs w:val="21"/>
                    </w:rPr>
                    <w:t>声环境执行</w:t>
                  </w:r>
                  <w:r>
                    <w:rPr>
                      <w:rFonts w:hAnsi="宋体" w:hint="eastAsia"/>
                      <w:szCs w:val="21"/>
                    </w:rPr>
                    <w:t>《声环境质量标准》（GB3096-2008）中2类标准</w:t>
                  </w:r>
                  <w:r>
                    <w:rPr>
                      <w:rFonts w:hint="eastAsia"/>
                      <w:szCs w:val="21"/>
                    </w:rPr>
                    <w:t>要求</w:t>
                  </w:r>
                  <w:r>
                    <w:rPr>
                      <w:rFonts w:hAnsi="宋体" w:hint="eastAsia"/>
                      <w:szCs w:val="21"/>
                    </w:rPr>
                    <w:t>；</w:t>
                  </w:r>
                  <w:r>
                    <w:rPr>
                      <w:rFonts w:cs="宋体" w:hint="eastAsia"/>
                      <w:kern w:val="0"/>
                      <w:szCs w:val="21"/>
                      <w:lang w:val="en"/>
                    </w:rPr>
                    <w:t>项目的锅炉污水综合利用不外排，项目建成后，对周围环境质量的影响较小，基本不会对周边环境质量产生影响</w:t>
                  </w:r>
                </w:p>
              </w:tc>
              <w:tc>
                <w:tcPr>
                  <w:tcW w:w="497" w:type="pct"/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jc w:val="center"/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符合</w:t>
                  </w:r>
                </w:p>
              </w:tc>
            </w:tr>
            <w:tr>
              <w:tblPrEx>
                <w:tblW w:w="4999" w:type="pct"/>
                <w:jc w:val="center"/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40"/>
                <w:jc w:val="center"/>
              </w:trPr>
              <w:tc>
                <w:tcPr>
                  <w:tcW w:w="790" w:type="pct"/>
                  <w:vAlign w:val="center"/>
                </w:tcPr>
                <w:p>
                  <w:pPr>
                    <w:jc w:val="center"/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资源利用上线</w:t>
                  </w:r>
                </w:p>
              </w:tc>
              <w:tc>
                <w:tcPr>
                  <w:tcW w:w="3713" w:type="pct"/>
                  <w:vAlign w:val="center"/>
                </w:tcPr>
                <w:p>
                  <w:pPr>
                    <w:tabs>
                      <w:tab w:val="left" w:pos="0"/>
                    </w:tabs>
                    <w:jc w:val="left"/>
                    <w:rPr>
                      <w:szCs w:val="21"/>
                    </w:rPr>
                  </w:pPr>
                  <w:r>
                    <w:rPr>
                      <w:rFonts w:cs="宋体" w:hint="eastAsia"/>
                      <w:kern w:val="0"/>
                      <w:szCs w:val="21"/>
                      <w:lang w:val="en"/>
                    </w:rPr>
                    <w:t>项目营运过程消耗一定量的水、电等资源，资源消耗相对区域资源利用总量很小，符合资源利用上线的要求</w:t>
                  </w:r>
                  <w:r>
                    <w:rPr>
                      <w:rFonts w:hint="eastAsia"/>
                      <w:szCs w:val="21"/>
                    </w:rPr>
                    <w:t>，因此，项目不触及资源利用上线。</w:t>
                  </w:r>
                </w:p>
              </w:tc>
              <w:tc>
                <w:tcPr>
                  <w:tcW w:w="497" w:type="pct"/>
                  <w:vAlign w:val="center"/>
                </w:tcPr>
                <w:p>
                  <w:pPr>
                    <w:tabs>
                      <w:tab w:val="left" w:pos="0"/>
                    </w:tabs>
                    <w:jc w:val="center"/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符合</w:t>
                  </w:r>
                </w:p>
              </w:tc>
            </w:tr>
            <w:tr>
              <w:tblPrEx>
                <w:tblW w:w="4999" w:type="pct"/>
                <w:jc w:val="center"/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40"/>
                <w:jc w:val="center"/>
              </w:trPr>
              <w:tc>
                <w:tcPr>
                  <w:tcW w:w="790" w:type="pct"/>
                  <w:vAlign w:val="center"/>
                </w:tcPr>
                <w:p>
                  <w:pPr>
                    <w:jc w:val="center"/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环境准入负面清单</w:t>
                  </w:r>
                </w:p>
              </w:tc>
              <w:tc>
                <w:tcPr>
                  <w:tcW w:w="3713" w:type="pct"/>
                  <w:vAlign w:val="center"/>
                </w:tcPr>
                <w:p>
                  <w:pPr>
                    <w:tabs>
                      <w:tab w:val="left" w:pos="0"/>
                    </w:tabs>
                    <w:jc w:val="center"/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项目建设符合国家产业政策，布局选线、资源利用效率、资源配置等均不触及负面清单，且项目不在《陕西省国家重点生态功能区产业准入负面清单（试行）》范围内。</w:t>
                  </w:r>
                </w:p>
              </w:tc>
              <w:tc>
                <w:tcPr>
                  <w:tcW w:w="497" w:type="pct"/>
                  <w:vAlign w:val="center"/>
                </w:tcPr>
                <w:p>
                  <w:pPr>
                    <w:tabs>
                      <w:tab w:val="left" w:pos="0"/>
                    </w:tabs>
                    <w:jc w:val="center"/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符合</w:t>
                  </w:r>
                </w:p>
              </w:tc>
            </w:tr>
          </w:tbl>
          <w:p>
            <w:pPr>
              <w:spacing w:line="360" w:lineRule="auto"/>
              <w:ind w:firstLine="480" w:firstLineChars="20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4、</w:t>
            </w:r>
            <w:r>
              <w:rPr>
                <w:sz w:val="24"/>
              </w:rPr>
              <w:t>选址合理性</w:t>
            </w:r>
          </w:p>
          <w:p>
            <w:pPr>
              <w:spacing w:after="0" w:line="360" w:lineRule="auto"/>
              <w:ind w:firstLine="480" w:firstLineChars="200"/>
              <w:rPr>
                <w:sz w:val="24"/>
              </w:rPr>
            </w:pPr>
          </w:p>
        </w:tc>
      </w:tr>
    </w:tbl>
    <w:p>
      <w:r>
        <w:br/>
      </w:r>
      <w:r>
        <w:br/>
      </w:r>
    </w:p>
    <w:p>
      <w:pPr>
        <w:widowControl/>
        <w:spacing w:after="0" w:line="240" w:lineRule="auto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https://d.book118.com/946115202134010103</w:t>
        </w:r>
      </w:hyperlink>
    </w:p>
    <w:p/>
    <w:sectPr>
      <w:footerReference w:type="even" r:id="rId19"/>
      <w:footerReference w:type="default" r:id="rId20"/>
      <w:type w:val="nextPage"/>
      <w:pgSz w:w="11906" w:h="16838"/>
      <w:pgMar w:top="1701" w:right="1531" w:bottom="1701" w:left="1531" w:header="851" w:footer="1077" w:gutter="0"/>
      <w:pgNumType w:fmt="numberInDash" w:start="5"/>
      <w:cols w:num="1" w:space="720"/>
      <w:titlePg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1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rPr>
        <w:rStyle w:val="PageNumber"/>
      </w:rPr>
    </w:pPr>
    <w:r>
      <w:fldChar w:fldCharType="begin"/>
    </w:r>
    <w:r>
      <w:rPr>
        <w:rStyle w:val="PageNumber"/>
      </w:rPr>
      <w:instrText xml:space="preserve">PAGE  </w:instrText>
    </w:r>
    <w:r>
      <w:fldChar w:fldCharType="separate"/>
    </w:r>
    <w:r>
      <w:fldChar w:fldCharType="end"/>
    </w:r>
  </w:p>
  <w:p>
    <w:pPr>
      <w:pStyle w:val="Footer"/>
      <w:ind w:right="360" w:firstLine="360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ind w:right="360" w:firstLine="360"/>
    </w:pPr>
    <w: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84885739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Footer"/>
                            <w:rPr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int="eastAsia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sz w:val="21"/>
                              <w:szCs w:val="21"/>
                            </w:rPr>
                            <w:t>- 3 -</w:t>
                          </w:r>
                          <w:r>
                            <w:rPr>
                              <w:rFonts w:hint="eastAsia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2051" type="#_x0000_t202" style="width:2in;height:2in;margin-top:0;margin-left:0;mso-position-horizontal:center;mso-position-horizontal-relative:margin;mso-wrap-distance-bottom:0;mso-wrap-distance-left:9pt;mso-wrap-distance-right:9pt;mso-wrap-distance-top:0;mso-wrap-style:none;position:absolute;v-text-anchor:top;z-index:251662336" filled="f" fillcolor="this" stroked="f">
              <v:textbox style="mso-fit-shape-to-text:t" inset="0,0,0,0">
                <w:txbxContent>
                  <w:p>
                    <w:pPr>
                      <w:pStyle w:val="Footer"/>
                      <w:rPr>
                        <w:sz w:val="21"/>
                        <w:szCs w:val="21"/>
                      </w:rPr>
                    </w:pPr>
                    <w:r>
                      <w:rPr>
                        <w:rFonts w:hint="eastAsia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hint="eastAsia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sz w:val="21"/>
                        <w:szCs w:val="21"/>
                      </w:rPr>
                      <w:t>- 3 -</w:t>
                    </w:r>
                    <w:r>
                      <w:rPr>
                        <w:rFonts w:hint="eastAsia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rPr>
        <w:rStyle w:val="PageNumber"/>
      </w:rPr>
    </w:pPr>
    <w:r>
      <w:fldChar w:fldCharType="begin"/>
    </w:r>
    <w:r>
      <w:rPr>
        <w:rStyle w:val="PageNumber"/>
      </w:rPr>
      <w:instrText xml:space="preserve">PAGE  </w:instrText>
    </w:r>
    <w:r>
      <w:fldChar w:fldCharType="separate"/>
    </w:r>
    <w:r>
      <w:fldChar w:fldCharType="end"/>
    </w:r>
  </w:p>
  <w:p>
    <w:pPr>
      <w:pStyle w:val="Footer"/>
      <w:ind w:right="360" w:firstLine="360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ind w:right="360" w:firstLine="360"/>
    </w:pPr>
    <w: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50908346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Footer"/>
                            <w:rPr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int="eastAsia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sz w:val="21"/>
                              <w:szCs w:val="21"/>
                            </w:rPr>
                            <w:t>- 5 -</w:t>
                          </w:r>
                          <w:r>
                            <w:rPr>
                              <w:rFonts w:hint="eastAsia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2052" type="#_x0000_t202" style="width:2in;height:2in;margin-top:0;margin-left:0;mso-position-horizontal:center;mso-position-horizontal-relative:margin;mso-wrap-distance-bottom:0;mso-wrap-distance-left:9pt;mso-wrap-distance-right:9pt;mso-wrap-distance-top:0;mso-wrap-style:none;position:absolute;v-text-anchor:top;z-index:251664384" filled="f" fillcolor="this" stroked="f">
              <v:textbox style="mso-fit-shape-to-text:t" inset="0,0,0,0">
                <w:txbxContent>
                  <w:p>
                    <w:pPr>
                      <w:pStyle w:val="Footer"/>
                      <w:rPr>
                        <w:sz w:val="21"/>
                        <w:szCs w:val="21"/>
                      </w:rPr>
                    </w:pPr>
                    <w:r>
                      <w:rPr>
                        <w:rFonts w:hint="eastAsia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hint="eastAsia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sz w:val="21"/>
                        <w:szCs w:val="21"/>
                      </w:rPr>
                      <w:t>- 5 -</w:t>
                    </w:r>
                    <w:r>
                      <w:rPr>
                        <w:rFonts w:hint="eastAsia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rPr>
        <w:rStyle w:val="PageNumber"/>
      </w:rPr>
    </w:pPr>
    <w:r>
      <w:fldChar w:fldCharType="begin"/>
    </w:r>
    <w:r>
      <w:rPr>
        <w:rStyle w:val="PageNumber"/>
      </w:rPr>
      <w:instrText xml:space="preserve">PAGE  </w:instrText>
    </w:r>
    <w:r>
      <w:fldChar w:fldCharType="separate"/>
    </w:r>
    <w:r>
      <w:fldChar w:fldCharType="end"/>
    </w:r>
  </w:p>
  <w:p>
    <w:pPr>
      <w:pStyle w:val="Footer"/>
      <w:ind w:right="360" w:firstLine="360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ind w:right="360" w:firstLine="360"/>
    </w:pPr>
    <w: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742752195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Footer"/>
                            <w:rPr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int="eastAsia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sz w:val="21"/>
                              <w:szCs w:val="21"/>
                            </w:rPr>
                            <w:t>- 5 -</w:t>
                          </w:r>
                          <w:r>
                            <w:rPr>
                              <w:rFonts w:hint="eastAsia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2053" type="#_x0000_t202" style="width:2in;height:2in;margin-top:0;margin-left:0;mso-position-horizontal:center;mso-position-horizontal-relative:margin;mso-wrap-distance-bottom:0;mso-wrap-distance-left:9pt;mso-wrap-distance-right:9pt;mso-wrap-distance-top:0;mso-wrap-style:none;position:absolute;v-text-anchor:top;z-index:251666432" filled="f" fillcolor="this" stroked="f">
              <v:textbox style="mso-fit-shape-to-text:t" inset="0,0,0,0">
                <w:txbxContent>
                  <w:p>
                    <w:pPr>
                      <w:pStyle w:val="Footer"/>
                      <w:rPr>
                        <w:sz w:val="21"/>
                        <w:szCs w:val="21"/>
                      </w:rPr>
                    </w:pPr>
                    <w:r>
                      <w:rPr>
                        <w:rFonts w:hint="eastAsia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hint="eastAsia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sz w:val="21"/>
                        <w:szCs w:val="21"/>
                      </w:rPr>
                      <w:t>- 5 -</w:t>
                    </w:r>
                    <w:r>
                      <w:rPr>
                        <w:rFonts w:hint="eastAsia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ind w:right="360"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rPr>
        <w:rStyle w:val="PageNumber"/>
      </w:rPr>
    </w:pPr>
    <w:r>
      <w:fldChar w:fldCharType="begin"/>
    </w:r>
    <w:r>
      <w:rPr>
        <w:rStyle w:val="PageNumber"/>
      </w:rPr>
      <w:instrText xml:space="preserve">PAGE  </w:instrText>
    </w:r>
    <w:r>
      <w:fldChar w:fldCharType="separate"/>
    </w:r>
    <w:r>
      <w:fldChar w:fldCharType="end"/>
    </w:r>
  </w:p>
  <w:p>
    <w:pPr>
      <w:pStyle w:val="Footer"/>
      <w:ind w:right="360" w:firstLine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ind w:right="360"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rPr>
        <w:rStyle w:val="PageNumber"/>
      </w:rPr>
    </w:pPr>
    <w:r>
      <w:fldChar w:fldCharType="begin"/>
    </w:r>
    <w:r>
      <w:rPr>
        <w:rStyle w:val="PageNumber"/>
      </w:rPr>
      <w:instrText xml:space="preserve">PAGE  </w:instrText>
    </w:r>
    <w:r>
      <w:fldChar w:fldCharType="separate"/>
    </w:r>
    <w:r>
      <w:fldChar w:fldCharType="end"/>
    </w:r>
  </w:p>
  <w:p>
    <w:pPr>
      <w:pStyle w:val="Footer"/>
      <w:ind w:right="360" w:firstLine="360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ind w:right="360"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Footer"/>
                            <w:rPr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int="eastAsia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sz w:val="21"/>
                              <w:szCs w:val="21"/>
                            </w:rPr>
                            <w:t>- 1 -</w:t>
                          </w:r>
                          <w:r>
                            <w:rPr>
                              <w:rFonts w:hint="eastAsia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2049" type="#_x0000_t202" style="width:2in;height:2in;margin-top:0;margin-left:0;mso-position-horizontal:center;mso-position-horizontal-relative:margin;mso-wrap-distance-bottom:0;mso-wrap-distance-left:9pt;mso-wrap-distance-right:9pt;mso-wrap-distance-top:0;mso-wrap-style:none;position:absolute;v-text-anchor:top;z-index:251658240" filled="f" fillcolor="this" stroked="f">
              <v:textbox style="mso-fit-shape-to-text:t" inset="0,0,0,0">
                <w:txbxContent>
                  <w:p>
                    <w:pPr>
                      <w:pStyle w:val="Footer"/>
                      <w:rPr>
                        <w:sz w:val="21"/>
                        <w:szCs w:val="21"/>
                      </w:rPr>
                    </w:pPr>
                    <w:r>
                      <w:rPr>
                        <w:rFonts w:hint="eastAsia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hint="eastAsia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sz w:val="21"/>
                        <w:szCs w:val="21"/>
                      </w:rPr>
                      <w:t>- 1 -</w:t>
                    </w:r>
                    <w:r>
                      <w:rPr>
                        <w:rFonts w:hint="eastAsia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rPr>
        <w:rStyle w:val="PageNumber"/>
      </w:rPr>
    </w:pPr>
    <w:r>
      <w:fldChar w:fldCharType="begin"/>
    </w:r>
    <w:r>
      <w:rPr>
        <w:rStyle w:val="PageNumber"/>
      </w:rPr>
      <w:instrText xml:space="preserve">PAGE  </w:instrText>
    </w:r>
    <w:r>
      <w:fldChar w:fldCharType="separate"/>
    </w:r>
    <w:r>
      <w:fldChar w:fldCharType="end"/>
    </w:r>
  </w:p>
  <w:p>
    <w:pPr>
      <w:pStyle w:val="Footer"/>
      <w:ind w:right="360" w:firstLine="360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ind w:right="360" w:firstLine="360"/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591063947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Footer"/>
                            <w:rPr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int="eastAsia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sz w:val="21"/>
                              <w:szCs w:val="21"/>
                            </w:rPr>
                            <w:t>- 2 -</w:t>
                          </w:r>
                          <w:r>
                            <w:rPr>
                              <w:rFonts w:hint="eastAsia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2050" type="#_x0000_t202" style="width:2in;height:2in;margin-top:0;margin-left:0;mso-position-horizontal:center;mso-position-horizontal-relative:margin;mso-wrap-distance-bottom:0;mso-wrap-distance-left:9pt;mso-wrap-distance-right:9pt;mso-wrap-distance-top:0;mso-wrap-style:none;position:absolute;v-text-anchor:top;z-index:251660288" filled="f" fillcolor="this" stroked="f">
              <v:textbox style="mso-fit-shape-to-text:t" inset="0,0,0,0">
                <w:txbxContent>
                  <w:p>
                    <w:pPr>
                      <w:pStyle w:val="Footer"/>
                      <w:rPr>
                        <w:sz w:val="21"/>
                        <w:szCs w:val="21"/>
                      </w:rPr>
                    </w:pPr>
                    <w:r>
                      <w:rPr>
                        <w:rFonts w:hint="eastAsia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hint="eastAsia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sz w:val="21"/>
                        <w:szCs w:val="21"/>
                      </w:rPr>
                      <w:t>- 2 -</w:t>
                    </w:r>
                    <w:r>
                      <w:rPr>
                        <w:rFonts w:hint="eastAsia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rPr>
        <w:rStyle w:val="PageNumber"/>
      </w:rPr>
    </w:pPr>
    <w:r>
      <w:fldChar w:fldCharType="begin"/>
    </w:r>
    <w:r>
      <w:rPr>
        <w:rStyle w:val="PageNumber"/>
      </w:rPr>
      <w:instrText xml:space="preserve">PAGE  </w:instrText>
    </w:r>
    <w:r>
      <w:fldChar w:fldCharType="separate"/>
    </w:r>
    <w:r>
      <w:fldChar w:fldCharType="end"/>
    </w:r>
  </w:p>
  <w:p>
    <w:pPr>
      <w:pStyle w:val="Footer"/>
      <w:ind w:right="360" w:firstLine="36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91197677"/>
    <w:multiLevelType w:val="multilevel"/>
    <w:tmpl w:val="91197677"/>
    <w:lvl w:ilvl="0">
      <w:start w:val="1"/>
      <w:numFmt w:val="decimal"/>
      <w:lvlText w:val="%1"/>
      <w:lvlJc w:val="left"/>
      <w:pPr>
        <w:tabs>
          <w:tab w:val="left" w:pos="432"/>
        </w:tabs>
        <w:ind w:left="0" w:firstLine="0"/>
      </w:pPr>
      <w:rPr>
        <w:rFonts w:hint="eastAsia"/>
        <w:sz w:val="44"/>
        <w:szCs w:val="44"/>
      </w:rPr>
    </w:lvl>
    <w:lvl w:ilvl="1">
      <w:start w:val="1"/>
      <w:numFmt w:val="decimal"/>
      <w:pStyle w:val="110"/>
      <w:lvlText w:val="%1.%2"/>
      <w:lvlJc w:val="left"/>
      <w:pPr>
        <w:tabs>
          <w:tab w:val="left" w:pos="432"/>
        </w:tabs>
        <w:ind w:left="0" w:firstLine="0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left" w:pos="574"/>
        </w:tabs>
        <w:ind w:left="0" w:firstLine="0"/>
      </w:pPr>
      <w:rPr>
        <w:rFonts w:ascii="Times New Roman" w:hAnsi="Times New Roman" w:cs="宋体" w:hint="default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pStyle w:val="Heading4"/>
      <w:lvlText w:val="%1.%2.%3.%4"/>
      <w:lvlJc w:val="left"/>
      <w:pPr>
        <w:tabs>
          <w:tab w:val="left" w:pos="858"/>
        </w:tabs>
        <w:ind w:left="426" w:firstLine="0"/>
      </w:pPr>
      <w:rPr>
        <w:rFonts w:ascii="Times New Roman" w:hAnsi="Times New Roman" w:cs="宋体" w:hint="eastAsia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4">
      <w:start w:val="1"/>
      <w:numFmt w:val="decimal"/>
      <w:lvlText w:val="%1.%2.%3.%4.%5"/>
      <w:lvlJc w:val="left"/>
      <w:pPr>
        <w:tabs>
          <w:tab w:val="left" w:pos="1000"/>
        </w:tabs>
        <w:ind w:left="568" w:firstLine="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left" w:pos="1142"/>
        </w:tabs>
        <w:ind w:left="710" w:firstLine="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left" w:pos="1284"/>
        </w:tabs>
        <w:ind w:left="852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left" w:pos="1426"/>
        </w:tabs>
        <w:ind w:left="994" w:firstLine="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1568"/>
        </w:tabs>
        <w:ind w:left="1136" w:firstLine="0"/>
      </w:pPr>
      <w:rPr>
        <w:rFonts w:hint="eastAsia"/>
      </w:rPr>
    </w:lvl>
  </w:abstractNum>
  <w:abstractNum w:abstractNumId="1">
    <w:nsid w:val="D0ED9825"/>
    <w:multiLevelType w:val="singleLevel"/>
    <w:tmpl w:val="D0ED9825"/>
    <w:lvl w:ilvl="0">
      <w:start w:val="1"/>
      <w:numFmt w:val="bullet"/>
      <w:pStyle w:val="ListBullet2"/>
      <w:lvlText w:val=""/>
      <w:lvlJc w:val="left"/>
      <w:pPr>
        <w:tabs>
          <w:tab w:val="left" w:pos="780"/>
        </w:tabs>
        <w:ind w:left="780" w:hanging="360"/>
      </w:pPr>
      <w:rPr>
        <w:rFonts w:ascii="Wingdings" w:hAnsi="Wingdings" w:hint="default"/>
      </w:rPr>
    </w:lvl>
  </w:abstractNum>
  <w:abstractNum w:abstractNumId="2">
    <w:nsid w:val="110BA376"/>
    <w:multiLevelType w:val="singleLevel"/>
    <w:tmpl w:val="110BA376"/>
    <w:lvl w:ilvl="0">
      <w:start w:val="1"/>
      <w:numFmt w:val="bullet"/>
      <w:pStyle w:val="ListBullet5"/>
      <w:lvlText w:val=""/>
      <w:lvlJc w:val="left"/>
      <w:pPr>
        <w:tabs>
          <w:tab w:val="left" w:pos="2040"/>
        </w:tabs>
        <w:ind w:left="20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bordersDoNotSurroundHeader/>
  <w:bordersDoNotSurroundFooter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420A"/>
    <w:rsid w:val="00014E2A"/>
    <w:rsid w:val="00047588"/>
    <w:rsid w:val="000E3A96"/>
    <w:rsid w:val="00132A8D"/>
    <w:rsid w:val="00142555"/>
    <w:rsid w:val="00172A27"/>
    <w:rsid w:val="00386711"/>
    <w:rsid w:val="00407EF1"/>
    <w:rsid w:val="00435B76"/>
    <w:rsid w:val="004C6E14"/>
    <w:rsid w:val="004E302C"/>
    <w:rsid w:val="004F11F1"/>
    <w:rsid w:val="0058644B"/>
    <w:rsid w:val="00666A29"/>
    <w:rsid w:val="00745467"/>
    <w:rsid w:val="00775570"/>
    <w:rsid w:val="007A4156"/>
    <w:rsid w:val="007F7824"/>
    <w:rsid w:val="0088032C"/>
    <w:rsid w:val="008B3EB1"/>
    <w:rsid w:val="008C17D6"/>
    <w:rsid w:val="009815A8"/>
    <w:rsid w:val="009D7D15"/>
    <w:rsid w:val="00A31759"/>
    <w:rsid w:val="00A34518"/>
    <w:rsid w:val="00A37FA7"/>
    <w:rsid w:val="00A4070F"/>
    <w:rsid w:val="00AB36EC"/>
    <w:rsid w:val="00AE1544"/>
    <w:rsid w:val="00B60332"/>
    <w:rsid w:val="00C5790C"/>
    <w:rsid w:val="00C663FB"/>
    <w:rsid w:val="00C90C6B"/>
    <w:rsid w:val="00CA3A62"/>
    <w:rsid w:val="00D10D98"/>
    <w:rsid w:val="00D12873"/>
    <w:rsid w:val="00D62692"/>
    <w:rsid w:val="00DB30FE"/>
    <w:rsid w:val="00DE6094"/>
    <w:rsid w:val="00F11EFC"/>
    <w:rsid w:val="00F723F8"/>
    <w:rsid w:val="00FD176F"/>
    <w:rsid w:val="00FF77F4"/>
    <w:rsid w:val="012D7A5C"/>
    <w:rsid w:val="01A83054"/>
    <w:rsid w:val="02351A53"/>
    <w:rsid w:val="028572C6"/>
    <w:rsid w:val="02DB5683"/>
    <w:rsid w:val="033C5650"/>
    <w:rsid w:val="03401A88"/>
    <w:rsid w:val="035F32D4"/>
    <w:rsid w:val="03CE2AD3"/>
    <w:rsid w:val="03D249F9"/>
    <w:rsid w:val="040E4C43"/>
    <w:rsid w:val="0442421A"/>
    <w:rsid w:val="04825DF1"/>
    <w:rsid w:val="04B21584"/>
    <w:rsid w:val="04C2729D"/>
    <w:rsid w:val="04CD5EB0"/>
    <w:rsid w:val="04D506FB"/>
    <w:rsid w:val="04F177CD"/>
    <w:rsid w:val="04F77D9A"/>
    <w:rsid w:val="052C0693"/>
    <w:rsid w:val="058C1584"/>
    <w:rsid w:val="058D64A0"/>
    <w:rsid w:val="059254D7"/>
    <w:rsid w:val="059D74E5"/>
    <w:rsid w:val="05E81204"/>
    <w:rsid w:val="0629624E"/>
    <w:rsid w:val="06573448"/>
    <w:rsid w:val="065A09A0"/>
    <w:rsid w:val="06995E77"/>
    <w:rsid w:val="06A7481A"/>
    <w:rsid w:val="06B30047"/>
    <w:rsid w:val="06FE7463"/>
    <w:rsid w:val="071F1279"/>
    <w:rsid w:val="078447C2"/>
    <w:rsid w:val="079646B1"/>
    <w:rsid w:val="07A76D7D"/>
    <w:rsid w:val="07F13F81"/>
    <w:rsid w:val="08001CAF"/>
    <w:rsid w:val="08A42D47"/>
    <w:rsid w:val="08B163A4"/>
    <w:rsid w:val="08B7550A"/>
    <w:rsid w:val="08E1679A"/>
    <w:rsid w:val="08F95CF5"/>
    <w:rsid w:val="09056575"/>
    <w:rsid w:val="09080782"/>
    <w:rsid w:val="09085BDD"/>
    <w:rsid w:val="09264FD0"/>
    <w:rsid w:val="097819F3"/>
    <w:rsid w:val="09F07D13"/>
    <w:rsid w:val="0A8F52FA"/>
    <w:rsid w:val="0ABB4D4D"/>
    <w:rsid w:val="0AEB5C9F"/>
    <w:rsid w:val="0B3A19C0"/>
    <w:rsid w:val="0BC71289"/>
    <w:rsid w:val="0BE63990"/>
    <w:rsid w:val="0BE9450B"/>
    <w:rsid w:val="0C571542"/>
    <w:rsid w:val="0C7D366B"/>
    <w:rsid w:val="0C871DDF"/>
    <w:rsid w:val="0CB62EE4"/>
    <w:rsid w:val="0CEB1EFF"/>
    <w:rsid w:val="0CFE7C7F"/>
    <w:rsid w:val="0DAD0EA4"/>
    <w:rsid w:val="0DCA0156"/>
    <w:rsid w:val="0DF203A2"/>
    <w:rsid w:val="0DFC0148"/>
    <w:rsid w:val="0E004D6B"/>
    <w:rsid w:val="0E0A7F54"/>
    <w:rsid w:val="0E0D3F68"/>
    <w:rsid w:val="0E2248D1"/>
    <w:rsid w:val="0E94556B"/>
    <w:rsid w:val="0EA203F5"/>
    <w:rsid w:val="0EC26B23"/>
    <w:rsid w:val="0F2E61CD"/>
    <w:rsid w:val="0F420649"/>
    <w:rsid w:val="0F4633DC"/>
    <w:rsid w:val="0F497560"/>
    <w:rsid w:val="0FAF4297"/>
    <w:rsid w:val="0FD23A5B"/>
    <w:rsid w:val="0FDB7246"/>
    <w:rsid w:val="103C0D8C"/>
    <w:rsid w:val="104046F1"/>
    <w:rsid w:val="1048360C"/>
    <w:rsid w:val="109C519E"/>
    <w:rsid w:val="10B00EF5"/>
    <w:rsid w:val="10BD5320"/>
    <w:rsid w:val="110D7BFA"/>
    <w:rsid w:val="112626FC"/>
    <w:rsid w:val="11316E64"/>
    <w:rsid w:val="115D775A"/>
    <w:rsid w:val="116250DB"/>
    <w:rsid w:val="119E21F5"/>
    <w:rsid w:val="11C33C60"/>
    <w:rsid w:val="11DB37EC"/>
    <w:rsid w:val="12691B4D"/>
    <w:rsid w:val="12B041A6"/>
    <w:rsid w:val="12FA4F23"/>
    <w:rsid w:val="13C0240B"/>
    <w:rsid w:val="13F24251"/>
    <w:rsid w:val="14544C54"/>
    <w:rsid w:val="14737E65"/>
    <w:rsid w:val="154D3CC8"/>
    <w:rsid w:val="156E1D84"/>
    <w:rsid w:val="15700F52"/>
    <w:rsid w:val="157C5B0E"/>
    <w:rsid w:val="1581346A"/>
    <w:rsid w:val="158C6A5B"/>
    <w:rsid w:val="15FD295C"/>
    <w:rsid w:val="16085B06"/>
    <w:rsid w:val="161B35D6"/>
    <w:rsid w:val="1620781E"/>
    <w:rsid w:val="1629791F"/>
    <w:rsid w:val="16BE47CE"/>
    <w:rsid w:val="171537FB"/>
    <w:rsid w:val="171E6E39"/>
    <w:rsid w:val="17AF3C2C"/>
    <w:rsid w:val="17B43332"/>
    <w:rsid w:val="17D341FF"/>
    <w:rsid w:val="17F31E32"/>
    <w:rsid w:val="180E7B8A"/>
    <w:rsid w:val="182F11A0"/>
    <w:rsid w:val="18A17612"/>
    <w:rsid w:val="18BB4454"/>
    <w:rsid w:val="18CB7AFC"/>
    <w:rsid w:val="19B02F20"/>
    <w:rsid w:val="19EA48A8"/>
    <w:rsid w:val="1A317E72"/>
    <w:rsid w:val="1A6F39F1"/>
    <w:rsid w:val="1A7B182D"/>
    <w:rsid w:val="1A7F0DC8"/>
    <w:rsid w:val="1B2A303D"/>
    <w:rsid w:val="1B354D3F"/>
    <w:rsid w:val="1B48417D"/>
    <w:rsid w:val="1B4F6099"/>
    <w:rsid w:val="1B727586"/>
    <w:rsid w:val="1BB11892"/>
    <w:rsid w:val="1BB30C88"/>
    <w:rsid w:val="1BE647C5"/>
    <w:rsid w:val="1C452D21"/>
    <w:rsid w:val="1C477A13"/>
    <w:rsid w:val="1C8458B0"/>
    <w:rsid w:val="1C88127D"/>
    <w:rsid w:val="1C9C3E04"/>
    <w:rsid w:val="1CDE39B5"/>
    <w:rsid w:val="1D204E1F"/>
    <w:rsid w:val="1D2927FA"/>
    <w:rsid w:val="1D4B1781"/>
    <w:rsid w:val="1D9641B4"/>
    <w:rsid w:val="1DAF1978"/>
    <w:rsid w:val="1E7E2761"/>
    <w:rsid w:val="1E920386"/>
    <w:rsid w:val="1E992FDE"/>
    <w:rsid w:val="1E9E6B87"/>
    <w:rsid w:val="1EC03AC9"/>
    <w:rsid w:val="1ED567F6"/>
    <w:rsid w:val="1ED90F39"/>
    <w:rsid w:val="1EE2752C"/>
    <w:rsid w:val="1F3B4314"/>
    <w:rsid w:val="1F43414D"/>
    <w:rsid w:val="1F575784"/>
    <w:rsid w:val="1F683351"/>
    <w:rsid w:val="1F8946A2"/>
    <w:rsid w:val="1F9C06B7"/>
    <w:rsid w:val="1F9C327E"/>
    <w:rsid w:val="20050607"/>
    <w:rsid w:val="202D473B"/>
    <w:rsid w:val="207F228D"/>
    <w:rsid w:val="209B7599"/>
    <w:rsid w:val="20C64BC7"/>
    <w:rsid w:val="20CF2C29"/>
    <w:rsid w:val="20D7547D"/>
    <w:rsid w:val="20F25812"/>
    <w:rsid w:val="213B6201"/>
    <w:rsid w:val="215D1295"/>
    <w:rsid w:val="2198417F"/>
    <w:rsid w:val="2199323F"/>
    <w:rsid w:val="21CB64F0"/>
    <w:rsid w:val="21E042A3"/>
    <w:rsid w:val="21E61CF0"/>
    <w:rsid w:val="21EC6B16"/>
    <w:rsid w:val="220234EB"/>
    <w:rsid w:val="22060C8D"/>
    <w:rsid w:val="221336D7"/>
    <w:rsid w:val="2229615A"/>
    <w:rsid w:val="226279BF"/>
    <w:rsid w:val="226A313D"/>
    <w:rsid w:val="22722982"/>
    <w:rsid w:val="22964935"/>
    <w:rsid w:val="22F831FC"/>
    <w:rsid w:val="22FE759B"/>
    <w:rsid w:val="230E17AB"/>
    <w:rsid w:val="232235E2"/>
    <w:rsid w:val="237478A0"/>
    <w:rsid w:val="23C16696"/>
    <w:rsid w:val="23CB02EE"/>
    <w:rsid w:val="24430779"/>
    <w:rsid w:val="244803F1"/>
    <w:rsid w:val="24DF7C1B"/>
    <w:rsid w:val="2538579E"/>
    <w:rsid w:val="256773CD"/>
    <w:rsid w:val="256D11A3"/>
    <w:rsid w:val="25702380"/>
    <w:rsid w:val="25A84EAD"/>
    <w:rsid w:val="25CB699A"/>
    <w:rsid w:val="25EC6989"/>
    <w:rsid w:val="262E239F"/>
    <w:rsid w:val="26C66C3A"/>
    <w:rsid w:val="26DD6F09"/>
    <w:rsid w:val="26EE06BE"/>
    <w:rsid w:val="26FA7573"/>
    <w:rsid w:val="27192F63"/>
    <w:rsid w:val="272852C2"/>
    <w:rsid w:val="273A2060"/>
    <w:rsid w:val="274266DF"/>
    <w:rsid w:val="275A38CA"/>
    <w:rsid w:val="27CE5393"/>
    <w:rsid w:val="27FB6DA3"/>
    <w:rsid w:val="2833566F"/>
    <w:rsid w:val="2883524E"/>
    <w:rsid w:val="28D67A26"/>
    <w:rsid w:val="28DD3CAA"/>
    <w:rsid w:val="291D395F"/>
    <w:rsid w:val="29766D3B"/>
    <w:rsid w:val="29E97EBB"/>
    <w:rsid w:val="2A0435AE"/>
    <w:rsid w:val="2A07426B"/>
    <w:rsid w:val="2A305C48"/>
    <w:rsid w:val="2A73549D"/>
    <w:rsid w:val="2A7A4E4E"/>
    <w:rsid w:val="2A9727BD"/>
    <w:rsid w:val="2AA833AE"/>
    <w:rsid w:val="2AB24B6C"/>
    <w:rsid w:val="2AB611B0"/>
    <w:rsid w:val="2B4B0D44"/>
    <w:rsid w:val="2BAA5B41"/>
    <w:rsid w:val="2BBC2341"/>
    <w:rsid w:val="2BD053C1"/>
    <w:rsid w:val="2C2B7FAD"/>
    <w:rsid w:val="2C3229F7"/>
    <w:rsid w:val="2C4916C8"/>
    <w:rsid w:val="2C5F4D08"/>
    <w:rsid w:val="2C725274"/>
    <w:rsid w:val="2C7B2447"/>
    <w:rsid w:val="2C823388"/>
    <w:rsid w:val="2CF829F4"/>
    <w:rsid w:val="2D245076"/>
    <w:rsid w:val="2DA85FF5"/>
    <w:rsid w:val="2DB52087"/>
    <w:rsid w:val="2DCF592C"/>
    <w:rsid w:val="2DFA6AF5"/>
    <w:rsid w:val="2E6654F1"/>
    <w:rsid w:val="2EB75F86"/>
    <w:rsid w:val="2EDE2A0B"/>
    <w:rsid w:val="2FD1433A"/>
    <w:rsid w:val="2FFB5F4D"/>
    <w:rsid w:val="302F021E"/>
    <w:rsid w:val="30816616"/>
    <w:rsid w:val="30970168"/>
    <w:rsid w:val="30A56B26"/>
    <w:rsid w:val="30FB5C41"/>
    <w:rsid w:val="311001EA"/>
    <w:rsid w:val="31684E52"/>
    <w:rsid w:val="31752981"/>
    <w:rsid w:val="31842241"/>
    <w:rsid w:val="31E236B5"/>
    <w:rsid w:val="325D70D2"/>
    <w:rsid w:val="32894078"/>
    <w:rsid w:val="32D31050"/>
    <w:rsid w:val="32F940FB"/>
    <w:rsid w:val="33001EF0"/>
    <w:rsid w:val="335839AE"/>
    <w:rsid w:val="3360274D"/>
    <w:rsid w:val="33CC57CF"/>
    <w:rsid w:val="33F1119C"/>
    <w:rsid w:val="33F367E2"/>
    <w:rsid w:val="342B66B6"/>
    <w:rsid w:val="34456785"/>
    <w:rsid w:val="345078EB"/>
    <w:rsid w:val="34CD2EE8"/>
    <w:rsid w:val="34E3023E"/>
    <w:rsid w:val="34E94765"/>
    <w:rsid w:val="350B3A8F"/>
    <w:rsid w:val="352357D0"/>
    <w:rsid w:val="35773F01"/>
    <w:rsid w:val="35857F2C"/>
    <w:rsid w:val="35DF3F78"/>
    <w:rsid w:val="35F06E4E"/>
    <w:rsid w:val="36031A94"/>
    <w:rsid w:val="368C4181"/>
    <w:rsid w:val="369C6176"/>
    <w:rsid w:val="36AA5CC8"/>
    <w:rsid w:val="36E9420D"/>
    <w:rsid w:val="3718683C"/>
    <w:rsid w:val="374C1566"/>
    <w:rsid w:val="378037A4"/>
    <w:rsid w:val="379241B5"/>
    <w:rsid w:val="37940711"/>
    <w:rsid w:val="37EA4666"/>
    <w:rsid w:val="37FC154F"/>
    <w:rsid w:val="381B32D2"/>
    <w:rsid w:val="38425FCB"/>
    <w:rsid w:val="38530195"/>
    <w:rsid w:val="385C6756"/>
    <w:rsid w:val="385E7B08"/>
    <w:rsid w:val="38650D17"/>
    <w:rsid w:val="38C86193"/>
    <w:rsid w:val="39082CCB"/>
    <w:rsid w:val="392A7A3E"/>
    <w:rsid w:val="39376D92"/>
    <w:rsid w:val="394022BE"/>
    <w:rsid w:val="39650EDA"/>
    <w:rsid w:val="39885DDF"/>
    <w:rsid w:val="3A036B93"/>
    <w:rsid w:val="3A4827EA"/>
    <w:rsid w:val="3A943A7A"/>
    <w:rsid w:val="3AE540AB"/>
    <w:rsid w:val="3B9C0513"/>
    <w:rsid w:val="3BB05688"/>
    <w:rsid w:val="3BE51F22"/>
    <w:rsid w:val="3C1B1B4F"/>
    <w:rsid w:val="3C827616"/>
    <w:rsid w:val="3C8C128D"/>
    <w:rsid w:val="3CF2500F"/>
    <w:rsid w:val="3CF44E8F"/>
    <w:rsid w:val="3D1E58B3"/>
    <w:rsid w:val="3D21251E"/>
    <w:rsid w:val="3D523B17"/>
    <w:rsid w:val="3D834F97"/>
    <w:rsid w:val="3D8D1B56"/>
    <w:rsid w:val="3DA21D9C"/>
    <w:rsid w:val="3DB153E0"/>
    <w:rsid w:val="3DC0184F"/>
    <w:rsid w:val="3E362DD8"/>
    <w:rsid w:val="3EF847F8"/>
    <w:rsid w:val="3F0A6404"/>
    <w:rsid w:val="3F146752"/>
    <w:rsid w:val="3F9E7AF5"/>
    <w:rsid w:val="3FA8278B"/>
    <w:rsid w:val="3FFD4B78"/>
    <w:rsid w:val="400F6ECB"/>
    <w:rsid w:val="402B2736"/>
    <w:rsid w:val="409516B4"/>
    <w:rsid w:val="40F96091"/>
    <w:rsid w:val="412B741A"/>
    <w:rsid w:val="41EC69A5"/>
    <w:rsid w:val="41EF04C2"/>
    <w:rsid w:val="41F44EA2"/>
    <w:rsid w:val="41FF07DF"/>
    <w:rsid w:val="420A6CE1"/>
    <w:rsid w:val="42107D03"/>
    <w:rsid w:val="42311A4C"/>
    <w:rsid w:val="42797C2C"/>
    <w:rsid w:val="429819F6"/>
    <w:rsid w:val="42995679"/>
    <w:rsid w:val="42A743C9"/>
    <w:rsid w:val="42E252EB"/>
    <w:rsid w:val="42E45CC8"/>
    <w:rsid w:val="43576D68"/>
    <w:rsid w:val="436C19E3"/>
    <w:rsid w:val="438F76A3"/>
    <w:rsid w:val="43FF626F"/>
    <w:rsid w:val="44C44D83"/>
    <w:rsid w:val="44E76AED"/>
    <w:rsid w:val="44F86E52"/>
    <w:rsid w:val="4559337A"/>
    <w:rsid w:val="4579262A"/>
    <w:rsid w:val="459414EA"/>
    <w:rsid w:val="45C71470"/>
    <w:rsid w:val="45CB6BD4"/>
    <w:rsid w:val="45F83ED5"/>
    <w:rsid w:val="46063F35"/>
    <w:rsid w:val="4606457E"/>
    <w:rsid w:val="4686142D"/>
    <w:rsid w:val="46A14151"/>
    <w:rsid w:val="46BF017A"/>
    <w:rsid w:val="46FF753A"/>
    <w:rsid w:val="4716664F"/>
    <w:rsid w:val="473C332E"/>
    <w:rsid w:val="47471CD1"/>
    <w:rsid w:val="475E4469"/>
    <w:rsid w:val="47905A6E"/>
    <w:rsid w:val="47BC06ED"/>
    <w:rsid w:val="484F5C15"/>
    <w:rsid w:val="48B17245"/>
    <w:rsid w:val="490F7E91"/>
    <w:rsid w:val="49191C76"/>
    <w:rsid w:val="49A20E5D"/>
    <w:rsid w:val="49D025AC"/>
    <w:rsid w:val="4A2E70D4"/>
    <w:rsid w:val="4A343A63"/>
    <w:rsid w:val="4A5B0F77"/>
    <w:rsid w:val="4A713D5B"/>
    <w:rsid w:val="4A910200"/>
    <w:rsid w:val="4AA818EA"/>
    <w:rsid w:val="4AB11499"/>
    <w:rsid w:val="4AD8435B"/>
    <w:rsid w:val="4B5E6D3E"/>
    <w:rsid w:val="4B613EF8"/>
    <w:rsid w:val="4B67327E"/>
    <w:rsid w:val="4BCB7649"/>
    <w:rsid w:val="4C071A54"/>
    <w:rsid w:val="4C5F4282"/>
    <w:rsid w:val="4C7B3687"/>
    <w:rsid w:val="4CE127EC"/>
    <w:rsid w:val="4D153591"/>
    <w:rsid w:val="4D1926C8"/>
    <w:rsid w:val="4D43240D"/>
    <w:rsid w:val="4D5E5F93"/>
    <w:rsid w:val="4DDD40B9"/>
    <w:rsid w:val="4E393B54"/>
    <w:rsid w:val="4E460DFE"/>
    <w:rsid w:val="4E5865E4"/>
    <w:rsid w:val="4E867B5E"/>
    <w:rsid w:val="4EA04DD8"/>
    <w:rsid w:val="4ED07E64"/>
    <w:rsid w:val="4EE47F07"/>
    <w:rsid w:val="4EEF3A25"/>
    <w:rsid w:val="4F7B39F5"/>
    <w:rsid w:val="4FF16231"/>
    <w:rsid w:val="4FFD2947"/>
    <w:rsid w:val="50264F48"/>
    <w:rsid w:val="505A5FE7"/>
    <w:rsid w:val="507B36C6"/>
    <w:rsid w:val="50BE4376"/>
    <w:rsid w:val="50C45112"/>
    <w:rsid w:val="50C71059"/>
    <w:rsid w:val="50E146D7"/>
    <w:rsid w:val="514E605B"/>
    <w:rsid w:val="51500E17"/>
    <w:rsid w:val="518F1EFB"/>
    <w:rsid w:val="51E1684B"/>
    <w:rsid w:val="5251740D"/>
    <w:rsid w:val="52625E07"/>
    <w:rsid w:val="52832382"/>
    <w:rsid w:val="52D4293A"/>
    <w:rsid w:val="53353674"/>
    <w:rsid w:val="533F5A53"/>
    <w:rsid w:val="539343D7"/>
    <w:rsid w:val="540C3D1B"/>
    <w:rsid w:val="545432F6"/>
    <w:rsid w:val="54691000"/>
    <w:rsid w:val="547679C3"/>
    <w:rsid w:val="54AA61A7"/>
    <w:rsid w:val="54C6643E"/>
    <w:rsid w:val="550A5AC7"/>
    <w:rsid w:val="55270112"/>
    <w:rsid w:val="5527447E"/>
    <w:rsid w:val="553E1482"/>
    <w:rsid w:val="556528EE"/>
    <w:rsid w:val="55A41C12"/>
    <w:rsid w:val="55C1502E"/>
    <w:rsid w:val="562314FF"/>
    <w:rsid w:val="56327896"/>
    <w:rsid w:val="56402032"/>
    <w:rsid w:val="56E65DA0"/>
    <w:rsid w:val="56FB7DE8"/>
    <w:rsid w:val="570855A2"/>
    <w:rsid w:val="57796D41"/>
    <w:rsid w:val="579264AA"/>
    <w:rsid w:val="580C6586"/>
    <w:rsid w:val="58173082"/>
    <w:rsid w:val="583D53DC"/>
    <w:rsid w:val="58630AFB"/>
    <w:rsid w:val="58AC3AD0"/>
    <w:rsid w:val="58E26C0C"/>
    <w:rsid w:val="59155F51"/>
    <w:rsid w:val="591B18A8"/>
    <w:rsid w:val="59CE7B7E"/>
    <w:rsid w:val="59D81538"/>
    <w:rsid w:val="59FE3B67"/>
    <w:rsid w:val="5A3F7BFE"/>
    <w:rsid w:val="5A4761B8"/>
    <w:rsid w:val="5A9B3816"/>
    <w:rsid w:val="5B081F3B"/>
    <w:rsid w:val="5B1C5DE0"/>
    <w:rsid w:val="5B62326C"/>
    <w:rsid w:val="5BF24CB6"/>
    <w:rsid w:val="5C0D1677"/>
    <w:rsid w:val="5C1F28A9"/>
    <w:rsid w:val="5C5D0AD3"/>
    <w:rsid w:val="5C8A5CB9"/>
    <w:rsid w:val="5C8B515A"/>
    <w:rsid w:val="5CAB7133"/>
    <w:rsid w:val="5D4C229C"/>
    <w:rsid w:val="5D647B23"/>
    <w:rsid w:val="5D924EEB"/>
    <w:rsid w:val="5DE67EB8"/>
    <w:rsid w:val="5E0C085F"/>
    <w:rsid w:val="5E3E4744"/>
    <w:rsid w:val="5E5E0931"/>
    <w:rsid w:val="5E7843F5"/>
    <w:rsid w:val="5E9E1102"/>
    <w:rsid w:val="5EA94CCB"/>
    <w:rsid w:val="5ED70827"/>
    <w:rsid w:val="5EF71FA8"/>
    <w:rsid w:val="5F013351"/>
    <w:rsid w:val="5F7433CC"/>
    <w:rsid w:val="5FE07CE2"/>
    <w:rsid w:val="5FF252D4"/>
    <w:rsid w:val="60410A43"/>
    <w:rsid w:val="605259D2"/>
    <w:rsid w:val="60550ABB"/>
    <w:rsid w:val="606F56F2"/>
    <w:rsid w:val="608C4A04"/>
    <w:rsid w:val="60A15543"/>
    <w:rsid w:val="60EC3290"/>
    <w:rsid w:val="611436EF"/>
    <w:rsid w:val="612E33AD"/>
    <w:rsid w:val="613413D1"/>
    <w:rsid w:val="614E1131"/>
    <w:rsid w:val="61EC1B31"/>
    <w:rsid w:val="61F2632C"/>
    <w:rsid w:val="62324AB3"/>
    <w:rsid w:val="624677A0"/>
    <w:rsid w:val="632B7E18"/>
    <w:rsid w:val="635775F2"/>
    <w:rsid w:val="635D5A27"/>
    <w:rsid w:val="6361081B"/>
    <w:rsid w:val="639E3605"/>
    <w:rsid w:val="63D35DEA"/>
    <w:rsid w:val="63F57065"/>
    <w:rsid w:val="641C3F26"/>
    <w:rsid w:val="64632409"/>
    <w:rsid w:val="64991946"/>
    <w:rsid w:val="64F31EDD"/>
    <w:rsid w:val="65057A6B"/>
    <w:rsid w:val="650B01E0"/>
    <w:rsid w:val="650B5F84"/>
    <w:rsid w:val="65CA4AFC"/>
    <w:rsid w:val="65DB3123"/>
    <w:rsid w:val="660A6D98"/>
    <w:rsid w:val="66312852"/>
    <w:rsid w:val="66A535F8"/>
    <w:rsid w:val="66D749BC"/>
    <w:rsid w:val="66E23498"/>
    <w:rsid w:val="6758092C"/>
    <w:rsid w:val="68670C13"/>
    <w:rsid w:val="68AB6439"/>
    <w:rsid w:val="68BE3016"/>
    <w:rsid w:val="68D17EA7"/>
    <w:rsid w:val="692B027B"/>
    <w:rsid w:val="69650B97"/>
    <w:rsid w:val="696C6442"/>
    <w:rsid w:val="69A74920"/>
    <w:rsid w:val="69AB6E4B"/>
    <w:rsid w:val="69B6112D"/>
    <w:rsid w:val="69C273AC"/>
    <w:rsid w:val="69F50171"/>
    <w:rsid w:val="6A406228"/>
    <w:rsid w:val="6A455013"/>
    <w:rsid w:val="6A5E3794"/>
    <w:rsid w:val="6AB00C02"/>
    <w:rsid w:val="6AD155FE"/>
    <w:rsid w:val="6B7F3912"/>
    <w:rsid w:val="6B8762E9"/>
    <w:rsid w:val="6BA63132"/>
    <w:rsid w:val="6BC46BE5"/>
    <w:rsid w:val="6BE76CE8"/>
    <w:rsid w:val="6C28034B"/>
    <w:rsid w:val="6C410FB9"/>
    <w:rsid w:val="6C721B55"/>
    <w:rsid w:val="6C7B20B3"/>
    <w:rsid w:val="6CB15213"/>
    <w:rsid w:val="6CD61AED"/>
    <w:rsid w:val="6D097024"/>
    <w:rsid w:val="6D3F7424"/>
    <w:rsid w:val="6D986669"/>
    <w:rsid w:val="6DF11E71"/>
    <w:rsid w:val="6DFC689A"/>
    <w:rsid w:val="6E017F7B"/>
    <w:rsid w:val="6E275B06"/>
    <w:rsid w:val="6E317AE8"/>
    <w:rsid w:val="6E5A74E1"/>
    <w:rsid w:val="6E974835"/>
    <w:rsid w:val="6ED413C8"/>
    <w:rsid w:val="6EED5F9B"/>
    <w:rsid w:val="6EF523A0"/>
    <w:rsid w:val="6F234D0E"/>
    <w:rsid w:val="6F395EB6"/>
    <w:rsid w:val="6F7D2838"/>
    <w:rsid w:val="6FCF485A"/>
    <w:rsid w:val="6FD547B3"/>
    <w:rsid w:val="6FE2753E"/>
    <w:rsid w:val="6FE4383A"/>
    <w:rsid w:val="701A7BC8"/>
    <w:rsid w:val="70223DF1"/>
    <w:rsid w:val="702C34D8"/>
    <w:rsid w:val="704C1E79"/>
    <w:rsid w:val="70690423"/>
    <w:rsid w:val="707C1542"/>
    <w:rsid w:val="70897F21"/>
    <w:rsid w:val="70944ACC"/>
    <w:rsid w:val="70BE6170"/>
    <w:rsid w:val="70E1732C"/>
    <w:rsid w:val="70F0607D"/>
    <w:rsid w:val="70F36631"/>
    <w:rsid w:val="70F800E5"/>
    <w:rsid w:val="711D38FA"/>
    <w:rsid w:val="71395EF1"/>
    <w:rsid w:val="713B2754"/>
    <w:rsid w:val="71EF2C61"/>
    <w:rsid w:val="71FB6E51"/>
    <w:rsid w:val="725130AB"/>
    <w:rsid w:val="726E7AB1"/>
    <w:rsid w:val="730F560F"/>
    <w:rsid w:val="733E0B7A"/>
    <w:rsid w:val="735D1BE7"/>
    <w:rsid w:val="73FC5E88"/>
    <w:rsid w:val="740E3846"/>
    <w:rsid w:val="742E5B71"/>
    <w:rsid w:val="749250D2"/>
    <w:rsid w:val="74AE21BE"/>
    <w:rsid w:val="74BB0C79"/>
    <w:rsid w:val="74DC1462"/>
    <w:rsid w:val="74FF557F"/>
    <w:rsid w:val="751C36BC"/>
    <w:rsid w:val="755B0969"/>
    <w:rsid w:val="75A23280"/>
    <w:rsid w:val="769270D8"/>
    <w:rsid w:val="76AE35A0"/>
    <w:rsid w:val="76FB1B00"/>
    <w:rsid w:val="772E391F"/>
    <w:rsid w:val="77362EE0"/>
    <w:rsid w:val="77364873"/>
    <w:rsid w:val="779433EC"/>
    <w:rsid w:val="77D145D5"/>
    <w:rsid w:val="77DC01A4"/>
    <w:rsid w:val="780D4605"/>
    <w:rsid w:val="78184EAD"/>
    <w:rsid w:val="78204FC6"/>
    <w:rsid w:val="78277A09"/>
    <w:rsid w:val="785F407B"/>
    <w:rsid w:val="78A866BB"/>
    <w:rsid w:val="78B01C39"/>
    <w:rsid w:val="78B8632B"/>
    <w:rsid w:val="78CB480E"/>
    <w:rsid w:val="79163290"/>
    <w:rsid w:val="79187CB3"/>
    <w:rsid w:val="79423AAF"/>
    <w:rsid w:val="796E57AC"/>
    <w:rsid w:val="7A782B6A"/>
    <w:rsid w:val="7AE245F3"/>
    <w:rsid w:val="7B037FEE"/>
    <w:rsid w:val="7B303A63"/>
    <w:rsid w:val="7B386CC6"/>
    <w:rsid w:val="7B412E2B"/>
    <w:rsid w:val="7B9B1357"/>
    <w:rsid w:val="7BB01789"/>
    <w:rsid w:val="7C3E07C0"/>
    <w:rsid w:val="7C8812F2"/>
    <w:rsid w:val="7CF962A2"/>
    <w:rsid w:val="7D455260"/>
    <w:rsid w:val="7D8B43E0"/>
    <w:rsid w:val="7D8D732A"/>
    <w:rsid w:val="7DA82A7B"/>
    <w:rsid w:val="7E490824"/>
    <w:rsid w:val="7EAE1885"/>
    <w:rsid w:val="7ECC4445"/>
    <w:rsid w:val="7ECD777F"/>
    <w:rsid w:val="7ED70112"/>
    <w:rsid w:val="7F7C0E82"/>
    <w:rsid w:val="7F8267FB"/>
  </w:rsids>
  <w:docVars>
    <w:docVar w:name="commondata" w:val="eyJoZGlkIjoiYzNlMTM3YzUxNTRlODQzYmRiMTUwMzE2ZTg3ZjFlZWQ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 w:qFormat="1"/>
    <w:lsdException w:name="toc 2" w:semiHidden="0" w:uiPriority="0" w:unhideWhenUsed="0" w:qFormat="1"/>
    <w:lsdException w:name="toc 3" w:semiHidden="0" w:uiPriority="0" w:unhideWhenUsed="0" w:qFormat="1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 w:qFormat="1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nhideWhenUsed="0" w:qFormat="1"/>
    <w:lsdException w:name="index heading" w:semiHidden="0" w:uiPriority="0" w:unhideWhenUsed="0"/>
    <w:lsdException w:name="caption" w:semiHidden="0" w:uiPriority="0" w:unhideWhenUsed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 w:qFormat="1"/>
    <w:lsdException w:name="line number" w:semiHidden="0" w:uiPriority="0" w:unhideWhenUsed="0"/>
    <w:lsdException w:name="page number" w:semiHidden="0" w:uiPriority="0" w:unhideWhenUsed="0" w:qFormat="1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 w:qFormat="1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 w:qFormat="1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 w:qFormat="1"/>
    <w:lsdException w:name="Body Text" w:semiHidden="0" w:uiPriority="0" w:unhideWhenUsed="0"/>
    <w:lsdException w:name="Body Text Indent" w:semiHidden="0" w:uiPriority="0" w:unhideWhenUsed="0" w:qFormat="1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 w:qFormat="1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 w:qFormat="1"/>
    <w:lsdException w:name="FollowedHyperlink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 w:qFormat="1"/>
    <w:lsdException w:name="E-mail Signature" w:semiHidden="0" w:uiPriority="0" w:unhideWhenUsed="0"/>
    <w:lsdException w:name="Normal (Web)" w:semiHidden="0" w:uiPriority="0" w:unhideWhenUsed="0" w:qFormat="1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 w:qFormat="1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link w:val="1Char"/>
    <w:qFormat/>
    <w:pPr>
      <w:keepNext/>
      <w:keepLines/>
      <w:adjustRightInd w:val="0"/>
      <w:snapToGrid w:val="0"/>
      <w:jc w:val="left"/>
      <w:outlineLvl w:val="0"/>
    </w:pPr>
    <w:rPr>
      <w:b/>
      <w:bCs/>
      <w:kern w:val="44"/>
      <w:sz w:val="30"/>
      <w:szCs w:val="44"/>
    </w:rPr>
  </w:style>
  <w:style w:type="paragraph" w:styleId="Heading2">
    <w:name w:val="heading 2"/>
    <w:basedOn w:val="Normal"/>
    <w:next w:val="Normal"/>
    <w:link w:val="2Char"/>
    <w:semiHidden/>
    <w:unhideWhenUsed/>
    <w:qFormat/>
    <w:pPr>
      <w:outlineLvl w:val="1"/>
    </w:pPr>
    <w:rPr>
      <w:rFonts w:eastAsia="华文仿宋"/>
      <w:b/>
      <w:sz w:val="28"/>
      <w:szCs w:val="22"/>
    </w:rPr>
  </w:style>
  <w:style w:type="paragraph" w:styleId="Heading3">
    <w:name w:val="heading 3"/>
    <w:basedOn w:val="Normal"/>
    <w:next w:val="Normal"/>
    <w:link w:val="3Char"/>
    <w:semiHidden/>
    <w:unhideWhenUsed/>
    <w:qFormat/>
    <w:pPr>
      <w:keepNext/>
      <w:keepLines/>
      <w:adjustRightInd w:val="0"/>
      <w:snapToGrid w:val="0"/>
      <w:spacing w:before="50" w:beforeLines="50" w:line="360" w:lineRule="auto"/>
      <w:outlineLvl w:val="2"/>
    </w:pPr>
    <w:rPr>
      <w:rFonts w:eastAsia="仿宋"/>
      <w:b/>
      <w:bCs/>
      <w:sz w:val="28"/>
      <w:szCs w:val="32"/>
    </w:rPr>
  </w:style>
  <w:style w:type="paragraph" w:styleId="Heading4">
    <w:name w:val="heading 4"/>
    <w:basedOn w:val="Normal"/>
    <w:next w:val="Normal"/>
    <w:unhideWhenUsed/>
    <w:qFormat/>
    <w:pPr>
      <w:keepNext/>
      <w:keepLines/>
      <w:numPr>
        <w:ilvl w:val="3"/>
        <w:numId w:val="1"/>
      </w:numPr>
      <w:tabs>
        <w:tab w:val="left" w:pos="1044"/>
      </w:tabs>
      <w:adjustRightInd w:val="0"/>
      <w:snapToGrid w:val="0"/>
      <w:spacing w:before="50" w:beforeLines="50" w:line="360" w:lineRule="auto"/>
      <w:ind w:left="0" w:firstLine="964" w:firstLineChars="200"/>
      <w:outlineLvl w:val="3"/>
    </w:pPr>
    <w:rPr>
      <w:b/>
      <w:bCs/>
      <w:kern w:val="0"/>
      <w:sz w:val="24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Indent">
    <w:name w:val="Normal Indent"/>
    <w:basedOn w:val="Normal"/>
    <w:next w:val="Normal"/>
    <w:link w:val="Char2"/>
    <w:qFormat/>
    <w:pPr>
      <w:ind w:firstLine="420"/>
    </w:pPr>
    <w:rPr>
      <w:szCs w:val="20"/>
    </w:rPr>
  </w:style>
  <w:style w:type="paragraph" w:styleId="Caption">
    <w:name w:val="caption"/>
    <w:basedOn w:val="Normal"/>
    <w:next w:val="Normal"/>
    <w:qFormat/>
    <w:rPr>
      <w:rFonts w:ascii="Cambria" w:eastAsia="黑体" w:hAnsi="Cambria"/>
      <w:sz w:val="20"/>
      <w:szCs w:val="20"/>
    </w:rPr>
  </w:style>
  <w:style w:type="paragraph" w:styleId="BodyTextIndent">
    <w:name w:val="Body Text Indent"/>
    <w:basedOn w:val="Normal"/>
    <w:qFormat/>
    <w:pPr>
      <w:spacing w:after="120"/>
      <w:ind w:left="420" w:leftChars="200"/>
    </w:pPr>
  </w:style>
  <w:style w:type="paragraph" w:styleId="ListBullet2">
    <w:name w:val="List Bullet 2"/>
    <w:basedOn w:val="Normal"/>
    <w:qFormat/>
    <w:pPr>
      <w:numPr>
        <w:ilvl w:val="0"/>
        <w:numId w:val="2"/>
      </w:numPr>
    </w:pPr>
  </w:style>
  <w:style w:type="paragraph" w:styleId="TOC3">
    <w:name w:val="toc 3"/>
    <w:basedOn w:val="Normal"/>
    <w:next w:val="Normal"/>
    <w:qFormat/>
    <w:pPr>
      <w:spacing w:line="460" w:lineRule="exact"/>
      <w:ind w:firstLine="843" w:firstLineChars="300"/>
    </w:pPr>
    <w:rPr>
      <w:rFonts w:eastAsia="仿宋"/>
      <w:sz w:val="24"/>
      <w:szCs w:val="21"/>
    </w:rPr>
  </w:style>
  <w:style w:type="paragraph" w:styleId="PlainText">
    <w:name w:val="Plain Text"/>
    <w:basedOn w:val="Normal"/>
    <w:qFormat/>
    <w:rPr>
      <w:rFonts w:ascii="宋体" w:hAnsi="Courier New"/>
    </w:rPr>
  </w:style>
  <w:style w:type="paragraph" w:styleId="ListBullet5">
    <w:name w:val="List Bullet 5"/>
    <w:basedOn w:val="Normal"/>
    <w:qFormat/>
    <w:pPr>
      <w:numPr>
        <w:ilvl w:val="0"/>
        <w:numId w:val="3"/>
      </w:numPr>
    </w:pPr>
    <w:rPr>
      <w:rFonts w:asciiTheme="minorHAnsi" w:eastAsiaTheme="minorEastAsia" w:hAnsiTheme="minorHAnsi" w:cstheme="minorBidi"/>
    </w:rPr>
  </w:style>
  <w:style w:type="paragraph" w:styleId="BalloonText">
    <w:name w:val="Balloon Text"/>
    <w:basedOn w:val="Normal"/>
    <w:link w:val="Char"/>
    <w:rPr>
      <w:sz w:val="18"/>
      <w:szCs w:val="18"/>
    </w:rPr>
  </w:style>
  <w:style w:type="paragraph" w:styleId="Footer">
    <w:name w:val="footer"/>
    <w:basedOn w:val="Normal"/>
    <w:uiPriority w:val="99"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20"/>
    </w:rPr>
  </w:style>
  <w:style w:type="paragraph" w:styleId="Header">
    <w:name w:val="header"/>
    <w:basedOn w:val="Normal"/>
    <w:next w:val="5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20"/>
    </w:rPr>
  </w:style>
  <w:style w:type="paragraph" w:customStyle="1" w:styleId="5">
    <w:name w:val="样式5"/>
    <w:basedOn w:val="1"/>
    <w:qFormat/>
    <w:pPr>
      <w:snapToGrid w:val="0"/>
      <w:spacing w:beforeLines="20" w:afterLines="20" w:line="480" w:lineRule="exact"/>
      <w:ind w:firstLine="523" w:firstLineChars="218"/>
    </w:pPr>
    <w:rPr>
      <w:i/>
      <w:iCs/>
    </w:rPr>
  </w:style>
  <w:style w:type="paragraph" w:customStyle="1" w:styleId="1">
    <w:name w:val="正文1"/>
    <w:basedOn w:val="Normal"/>
    <w:next w:val="Normal"/>
    <w:qFormat/>
    <w:pPr>
      <w:adjustRightInd w:val="0"/>
      <w:spacing w:line="315" w:lineRule="atLeast"/>
    </w:pPr>
    <w:rPr>
      <w:rFonts w:ascii="宋体" w:hint="eastAsia"/>
      <w:kern w:val="0"/>
      <w:sz w:val="24"/>
      <w:szCs w:val="22"/>
    </w:rPr>
  </w:style>
  <w:style w:type="paragraph" w:styleId="TOC1">
    <w:name w:val="toc 1"/>
    <w:basedOn w:val="Normal"/>
    <w:next w:val="Normal"/>
    <w:link w:val="1Char0"/>
    <w:qFormat/>
    <w:pPr>
      <w:spacing w:line="500" w:lineRule="exact"/>
    </w:pPr>
    <w:rPr>
      <w:rFonts w:eastAsia="华文仿宋"/>
      <w:b/>
      <w:sz w:val="28"/>
      <w:szCs w:val="22"/>
    </w:rPr>
  </w:style>
  <w:style w:type="paragraph" w:styleId="TOC2">
    <w:name w:val="toc 2"/>
    <w:basedOn w:val="Normal"/>
    <w:next w:val="Normal"/>
    <w:qFormat/>
    <w:pPr>
      <w:adjustRightInd w:val="0"/>
      <w:snapToGrid w:val="0"/>
      <w:spacing w:line="360" w:lineRule="auto"/>
      <w:ind w:firstLine="422" w:firstLineChars="150"/>
      <w:jc w:val="left"/>
    </w:pPr>
    <w:rPr>
      <w:rFonts w:eastAsia="仿宋"/>
      <w:smallCaps/>
      <w:sz w:val="24"/>
    </w:rPr>
  </w:style>
  <w:style w:type="paragraph" w:styleId="NormalWeb">
    <w:name w:val="Normal (Web)"/>
    <w:basedOn w:val="Normal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0"/>
    </w:rPr>
  </w:style>
  <w:style w:type="paragraph" w:styleId="BodyTextFirstIndent2">
    <w:name w:val="Body Text First Indent 2"/>
    <w:basedOn w:val="Normal"/>
    <w:next w:val="Normal"/>
    <w:qFormat/>
    <w:pPr>
      <w:ind w:firstLine="420" w:firstLineChars="200"/>
    </w:pPr>
  </w:style>
  <w:style w:type="table" w:styleId="TableGrid">
    <w:name w:val="Table Grid"/>
    <w:basedOn w:val="TableNormal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qFormat/>
  </w:style>
  <w:style w:type="character" w:styleId="FollowedHyperlink">
    <w:name w:val="FollowedHyperlink"/>
    <w:basedOn w:val="DefaultParagraphFont"/>
    <w:qFormat/>
    <w:rPr>
      <w:color w:val="800080"/>
      <w:u w:val="none"/>
    </w:rPr>
  </w:style>
  <w:style w:type="character" w:styleId="Emphasis">
    <w:name w:val="Emphasis"/>
    <w:basedOn w:val="DefaultParagraphFont"/>
    <w:qFormat/>
  </w:style>
  <w:style w:type="character" w:styleId="Hyperlink">
    <w:name w:val="Hyperlink"/>
    <w:basedOn w:val="DefaultParagraphFont"/>
    <w:qFormat/>
    <w:rPr>
      <w:rFonts w:ascii="Times New Roman" w:eastAsia="宋体" w:hAnsi="Times New Roman"/>
      <w:color w:val="0268CD"/>
      <w:sz w:val="28"/>
      <w:u w:val="none"/>
    </w:rPr>
  </w:style>
  <w:style w:type="character" w:styleId="CommentReference">
    <w:name w:val="annotation reference"/>
    <w:qFormat/>
    <w:rPr>
      <w:sz w:val="21"/>
      <w:szCs w:val="21"/>
    </w:rPr>
  </w:style>
  <w:style w:type="character" w:customStyle="1" w:styleId="2Char">
    <w:name w:val="标题 2 Char"/>
    <w:link w:val="Heading2"/>
    <w:qFormat/>
    <w:rPr>
      <w:rFonts w:ascii="Times New Roman" w:eastAsia="华文仿宋" w:hAnsi="Times New Roman" w:cs="Times New Roman"/>
      <w:b/>
      <w:kern w:val="2"/>
      <w:sz w:val="28"/>
      <w:szCs w:val="22"/>
      <w:lang w:val="en-US" w:eastAsia="zh-CN" w:bidi="ar-SA"/>
    </w:rPr>
  </w:style>
  <w:style w:type="character" w:customStyle="1" w:styleId="1Char">
    <w:name w:val="标题 1 Char"/>
    <w:link w:val="Heading1"/>
    <w:qFormat/>
    <w:rPr>
      <w:rFonts w:ascii="Times New Roman" w:eastAsia="宋体" w:hAnsi="Times New Roman" w:cs="Times New Roman"/>
      <w:b/>
      <w:bCs/>
      <w:kern w:val="44"/>
      <w:sz w:val="30"/>
      <w:szCs w:val="44"/>
    </w:rPr>
  </w:style>
  <w:style w:type="character" w:customStyle="1" w:styleId="3Char">
    <w:name w:val="标题 3 Char"/>
    <w:link w:val="Heading3"/>
    <w:uiPriority w:val="99"/>
    <w:qFormat/>
    <w:rPr>
      <w:rFonts w:ascii="Times New Roman" w:eastAsia="仿宋_GB2312" w:hAnsi="Times New Roman" w:cs="Times New Roman"/>
      <w:b/>
      <w:bCs/>
      <w:kern w:val="2"/>
      <w:sz w:val="24"/>
      <w:szCs w:val="32"/>
      <w:lang w:val="en-US" w:eastAsia="zh-CN" w:bidi="ar-SA"/>
    </w:rPr>
  </w:style>
  <w:style w:type="paragraph" w:customStyle="1" w:styleId="11">
    <w:name w:val="目录 11"/>
    <w:qFormat/>
    <w:pPr>
      <w:adjustRightInd w:val="0"/>
      <w:snapToGrid w:val="0"/>
      <w:spacing w:before="50" w:beforeLines="50" w:after="50" w:afterLines="50"/>
    </w:pPr>
    <w:rPr>
      <w:rFonts w:ascii="Times New Roman" w:eastAsia="黑体" w:hAnsi="Times New Roman" w:cstheme="minorBidi"/>
      <w:sz w:val="28"/>
      <w:lang w:val="en-US" w:eastAsia="zh-CN" w:bidi="ar-SA"/>
    </w:rPr>
  </w:style>
  <w:style w:type="paragraph" w:customStyle="1" w:styleId="22">
    <w:name w:val="目录 22"/>
    <w:qFormat/>
    <w:pPr>
      <w:adjustRightInd w:val="0"/>
      <w:snapToGrid w:val="0"/>
      <w:spacing w:line="400" w:lineRule="exact"/>
      <w:ind w:firstLine="240" w:firstLineChars="100"/>
    </w:pPr>
    <w:rPr>
      <w:rFonts w:ascii="Calibri" w:eastAsia="宋体" w:hAnsi="Calibri" w:cstheme="minorBidi"/>
      <w:sz w:val="24"/>
      <w:lang w:val="en-US" w:eastAsia="zh-CN" w:bidi="ar-SA"/>
    </w:rPr>
  </w:style>
  <w:style w:type="paragraph" w:customStyle="1" w:styleId="WPSOffice3">
    <w:name w:val="WPSOffice手动目录 3"/>
    <w:qFormat/>
    <w:pPr>
      <w:adjustRightInd w:val="0"/>
      <w:snapToGrid w:val="0"/>
      <w:spacing w:line="400" w:lineRule="exact"/>
      <w:ind w:firstLine="480" w:firstLineChars="200"/>
    </w:pPr>
    <w:rPr>
      <w:rFonts w:ascii="Times New Roman" w:eastAsia="宋体" w:hAnsi="Times New Roman" w:cstheme="minorBidi"/>
      <w:sz w:val="24"/>
      <w:lang w:val="en-US" w:eastAsia="zh-CN" w:bidi="ar-SA"/>
    </w:rPr>
  </w:style>
  <w:style w:type="paragraph" w:customStyle="1" w:styleId="WPSOffice1">
    <w:name w:val="WPSOffice手动目录 1"/>
    <w:qFormat/>
    <w:pPr>
      <w:adjustRightInd w:val="0"/>
      <w:snapToGrid w:val="0"/>
      <w:spacing w:before="50" w:beforeLines="50" w:after="50" w:afterLines="50"/>
    </w:pPr>
    <w:rPr>
      <w:rFonts w:ascii="Times New Roman" w:eastAsia="黑体" w:hAnsi="Times New Roman" w:cstheme="minorBidi"/>
      <w:sz w:val="28"/>
      <w:lang w:val="en-US" w:eastAsia="zh-CN" w:bidi="ar-SA"/>
    </w:rPr>
  </w:style>
  <w:style w:type="paragraph" w:customStyle="1" w:styleId="WPSOffice2">
    <w:name w:val="WPSOffice手动目录 2"/>
    <w:qFormat/>
    <w:pPr>
      <w:adjustRightInd w:val="0"/>
      <w:snapToGrid w:val="0"/>
      <w:spacing w:line="400" w:lineRule="exact"/>
      <w:ind w:firstLine="240" w:firstLineChars="100"/>
    </w:pPr>
    <w:rPr>
      <w:rFonts w:ascii="Times New Roman" w:eastAsia="宋体" w:hAnsi="Times New Roman" w:cstheme="minorBidi"/>
      <w:sz w:val="24"/>
      <w:lang w:val="en-US" w:eastAsia="zh-CN" w:bidi="ar-SA"/>
    </w:rPr>
  </w:style>
  <w:style w:type="paragraph" w:customStyle="1" w:styleId="110">
    <w:name w:val="题1.1"/>
    <w:basedOn w:val="Normal"/>
    <w:qFormat/>
    <w:pPr>
      <w:numPr>
        <w:ilvl w:val="1"/>
        <w:numId w:val="1"/>
      </w:numPr>
    </w:pPr>
  </w:style>
  <w:style w:type="paragraph" w:customStyle="1" w:styleId="10">
    <w:name w:val="报告表标题1"/>
    <w:basedOn w:val="Normal"/>
    <w:next w:val="Normal"/>
    <w:qFormat/>
    <w:pPr>
      <w:pageBreakBefore/>
      <w:spacing w:line="600" w:lineRule="exact"/>
    </w:pPr>
    <w:rPr>
      <w:b/>
      <w:sz w:val="30"/>
    </w:rPr>
  </w:style>
  <w:style w:type="character" w:customStyle="1" w:styleId="1Char0">
    <w:name w:val="目录 1 Char"/>
    <w:link w:val="TOC1"/>
    <w:uiPriority w:val="39"/>
    <w:qFormat/>
    <w:rPr>
      <w:rFonts w:ascii="Times New Roman" w:eastAsia="华文仿宋" w:hAnsi="Times New Roman" w:cs="Times New Roman"/>
      <w:b/>
      <w:sz w:val="28"/>
      <w:szCs w:val="22"/>
    </w:rPr>
  </w:style>
  <w:style w:type="paragraph" w:customStyle="1" w:styleId="12">
    <w:name w:val="样式1"/>
    <w:basedOn w:val="ListBullet2"/>
    <w:qFormat/>
    <w:pPr>
      <w:spacing w:after="40" w:line="300" w:lineRule="atLeast"/>
      <w:jc w:val="center"/>
      <w:outlineLvl w:val="2"/>
    </w:pPr>
    <w:rPr>
      <w:rFonts w:eastAsia="楷体_GB2312"/>
      <w:szCs w:val="20"/>
    </w:rPr>
  </w:style>
  <w:style w:type="paragraph" w:customStyle="1" w:styleId="22Char01">
    <w:name w:val="样式 样式 样式 小四 左 首行缩进:  2 字符 + 首行缩进:  2 字符 Char + 右  0 字符1"/>
    <w:basedOn w:val="Normal"/>
    <w:qFormat/>
    <w:pPr>
      <w:adjustRightInd w:val="0"/>
      <w:spacing w:line="360" w:lineRule="auto"/>
      <w:ind w:firstLine="200" w:firstLineChars="200"/>
      <w:jc w:val="left"/>
    </w:pPr>
    <w:rPr>
      <w:sz w:val="24"/>
      <w:szCs w:val="20"/>
    </w:rPr>
  </w:style>
  <w:style w:type="paragraph" w:customStyle="1" w:styleId="-ls">
    <w:name w:val="正文-ls"/>
    <w:basedOn w:val="Normal"/>
    <w:qFormat/>
    <w:pPr>
      <w:spacing w:line="360" w:lineRule="auto"/>
      <w:ind w:firstLine="200" w:firstLineChars="200"/>
    </w:pPr>
    <w:rPr>
      <w:rFonts w:hAnsi="宋体" w:cs="宋体"/>
      <w:sz w:val="24"/>
      <w:szCs w:val="20"/>
    </w:rPr>
  </w:style>
  <w:style w:type="paragraph" w:customStyle="1" w:styleId="a">
    <w:name w:val="表格"/>
    <w:basedOn w:val="Normal"/>
    <w:next w:val="Normal"/>
    <w:link w:val="Char0"/>
    <w:qFormat/>
    <w:pPr>
      <w:adjustRightInd w:val="0"/>
      <w:snapToGrid w:val="0"/>
      <w:spacing w:beforeLines="10" w:afterLines="10" w:line="259" w:lineRule="auto"/>
      <w:jc w:val="center"/>
    </w:pPr>
    <w:rPr>
      <w:rFonts w:ascii="宋体"/>
      <w:kern w:val="0"/>
      <w:szCs w:val="20"/>
    </w:rPr>
  </w:style>
  <w:style w:type="paragraph" w:customStyle="1" w:styleId="21">
    <w:name w:val="中等深浅网格 21"/>
    <w:basedOn w:val="Normal"/>
    <w:next w:val="Normal"/>
    <w:uiPriority w:val="1"/>
    <w:qFormat/>
    <w:pPr>
      <w:jc w:val="center"/>
    </w:pPr>
  </w:style>
  <w:style w:type="paragraph" w:customStyle="1" w:styleId="a0">
    <w:name w:val="样式 表中文字 + 小四"/>
    <w:basedOn w:val="Normal"/>
    <w:qFormat/>
    <w:pPr>
      <w:widowControl/>
      <w:jc w:val="center"/>
    </w:pPr>
    <w:rPr>
      <w:rFonts w:ascii="宋体" w:hAnsi="宋体" w:cs="宋体" w:hint="eastAsia"/>
      <w:kern w:val="0"/>
      <w:szCs w:val="21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  <w:spacing w:line="360" w:lineRule="atLeast"/>
      <w:jc w:val="both"/>
      <w:textAlignment w:val="baseline"/>
    </w:pPr>
    <w:rPr>
      <w:rFonts w:ascii="宋体" w:eastAsia="Times New Roman" w:hAnsi="宋体" w:cs="宋体"/>
      <w:color w:val="000000"/>
      <w:sz w:val="24"/>
      <w:szCs w:val="24"/>
      <w:lang w:val="en-US" w:eastAsia="zh-CN" w:bidi="ar-SA"/>
    </w:rPr>
  </w:style>
  <w:style w:type="character" w:customStyle="1" w:styleId="disabled">
    <w:name w:val="disabled"/>
    <w:basedOn w:val="DefaultParagraphFont"/>
    <w:qFormat/>
    <w:rPr>
      <w:vanish/>
    </w:rPr>
  </w:style>
  <w:style w:type="character" w:customStyle="1" w:styleId="znspantitle">
    <w:name w:val="znspantitle"/>
    <w:basedOn w:val="DefaultParagraphFont"/>
    <w:qFormat/>
    <w:rPr>
      <w:b/>
      <w:bCs/>
      <w:color w:val="333333"/>
    </w:rPr>
  </w:style>
  <w:style w:type="character" w:customStyle="1" w:styleId="Char">
    <w:name w:val="批注框文本 Char"/>
    <w:basedOn w:val="DefaultParagraphFont"/>
    <w:link w:val="BalloonText"/>
    <w:rPr>
      <w:kern w:val="2"/>
      <w:sz w:val="18"/>
      <w:szCs w:val="18"/>
    </w:rPr>
  </w:style>
  <w:style w:type="paragraph" w:customStyle="1" w:styleId="Default1">
    <w:name w:val="Default1"/>
    <w:qFormat/>
    <w:pPr>
      <w:widowControl w:val="0"/>
      <w:autoSpaceDE w:val="0"/>
      <w:autoSpaceDN w:val="0"/>
      <w:adjustRightInd w:val="0"/>
    </w:pPr>
    <w:rPr>
      <w:rFonts w:ascii="宋体" w:eastAsia="宋体" w:hAnsi="Times New Roman" w:cs="宋体"/>
      <w:color w:val="000000"/>
      <w:sz w:val="24"/>
      <w:szCs w:val="24"/>
      <w:lang w:val="en-US" w:eastAsia="zh-CN" w:bidi="ar-SA"/>
    </w:rPr>
  </w:style>
  <w:style w:type="character" w:customStyle="1" w:styleId="Char0">
    <w:name w:val="表格 Char"/>
    <w:basedOn w:val="DefaultParagraphFont"/>
    <w:link w:val="a"/>
    <w:qFormat/>
    <w:rPr>
      <w:rFonts w:ascii="宋体"/>
      <w:sz w:val="21"/>
    </w:rPr>
  </w:style>
  <w:style w:type="paragraph" w:customStyle="1" w:styleId="a1">
    <w:name w:val="报告书三级标题"/>
    <w:basedOn w:val="Normal"/>
    <w:link w:val="Char1"/>
    <w:qFormat/>
    <w:pPr>
      <w:spacing w:line="420" w:lineRule="exact"/>
    </w:pPr>
    <w:rPr>
      <w:rFonts w:asciiTheme="minorHAnsi" w:eastAsiaTheme="minorEastAsia" w:hAnsiTheme="minorHAnsi" w:cstheme="minorBidi"/>
      <w:b/>
      <w:szCs w:val="21"/>
    </w:rPr>
  </w:style>
  <w:style w:type="paragraph" w:customStyle="1" w:styleId="TableParagraph">
    <w:name w:val="Table Paragraph"/>
    <w:basedOn w:val="Normal"/>
    <w:uiPriority w:val="1"/>
    <w:qFormat/>
    <w:pPr>
      <w:jc w:val="left"/>
    </w:pPr>
    <w:rPr>
      <w:rFonts w:ascii="Calibri" w:hAnsi="Calibri" w:eastAsiaTheme="minorEastAsia" w:cstheme="minorBidi"/>
      <w:kern w:val="0"/>
      <w:sz w:val="22"/>
      <w:szCs w:val="22"/>
      <w:lang w:eastAsia="en-US"/>
    </w:rPr>
  </w:style>
  <w:style w:type="character" w:customStyle="1" w:styleId="Char1">
    <w:name w:val="报告书三级标题 Char"/>
    <w:link w:val="a1"/>
    <w:rPr>
      <w:rFonts w:asciiTheme="minorHAnsi" w:eastAsiaTheme="minorEastAsia" w:hAnsiTheme="minorHAnsi" w:cstheme="minorBidi"/>
      <w:b/>
      <w:kern w:val="2"/>
      <w:sz w:val="21"/>
      <w:szCs w:val="21"/>
    </w:rPr>
  </w:style>
  <w:style w:type="paragraph" w:customStyle="1" w:styleId="a2">
    <w:name w:val="表内容"/>
    <w:pPr>
      <w:widowControl w:val="0"/>
      <w:ind w:left="-30" w:right="-30" w:leftChars="-30" w:rightChars="-30"/>
      <w:jc w:val="center"/>
    </w:pPr>
    <w:rPr>
      <w:rFonts w:ascii="Times New Roman" w:eastAsia="宋体" w:hAnsi="Times New Roman" w:cs="Times New Roman"/>
      <w:kern w:val="2"/>
      <w:sz w:val="21"/>
      <w:szCs w:val="21"/>
      <w:lang w:val="en-US" w:eastAsia="zh-CN" w:bidi="ar-SA"/>
    </w:rPr>
  </w:style>
  <w:style w:type="character" w:customStyle="1" w:styleId="Char2">
    <w:name w:val="正文缩进 Char"/>
    <w:link w:val="NormalIndent"/>
    <w:qFormat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footer" Target="footer7.xml" /><Relationship Id="rId13" Type="http://schemas.openxmlformats.org/officeDocument/2006/relationships/footer" Target="footer8.xml" /><Relationship Id="rId14" Type="http://schemas.openxmlformats.org/officeDocument/2006/relationships/footer" Target="footer9.xml" /><Relationship Id="rId15" Type="http://schemas.openxmlformats.org/officeDocument/2006/relationships/footer" Target="footer10.xml" /><Relationship Id="rId16" Type="http://schemas.openxmlformats.org/officeDocument/2006/relationships/footer" Target="footer11.xml" /><Relationship Id="rId17" Type="http://schemas.openxmlformats.org/officeDocument/2006/relationships/footer" Target="footer12.xml" /><Relationship Id="rId18" Type="http://schemas.openxmlformats.org/officeDocument/2006/relationships/hyperlink" Target="https://d.book118.com/946115202134010103" TargetMode="External" /><Relationship Id="rId19" Type="http://schemas.openxmlformats.org/officeDocument/2006/relationships/footer" Target="footer13.xml" /><Relationship Id="rId2" Type="http://schemas.openxmlformats.org/officeDocument/2006/relationships/webSettings" Target="webSettings.xml" /><Relationship Id="rId20" Type="http://schemas.openxmlformats.org/officeDocument/2006/relationships/footer" Target="footer14.xml" /><Relationship Id="rId21" Type="http://schemas.openxmlformats.org/officeDocument/2006/relationships/theme" Target="theme/theme1.xml" /><Relationship Id="rId22" Type="http://schemas.openxmlformats.org/officeDocument/2006/relationships/numbering" Target="numbering.xml" /><Relationship Id="rId23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footer" Target="footer4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A05F3F7-B9C9-46C0-8EDA-A405EF0ECB8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633</TotalTime>
  <Pages>8</Pages>
  <Words>17355</Words>
  <Characters>19934</Characters>
  <Application>Microsoft Office Word</Application>
  <DocSecurity>0</DocSecurity>
  <Lines>160</Lines>
  <Paragraphs>45</Paragraphs>
  <ScaleCrop>false</ScaleCrop>
  <Company>CN</Company>
  <LinksUpToDate>false</LinksUpToDate>
  <CharactersWithSpaces>20112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WPS_1559717548</cp:lastModifiedBy>
  <cp:revision>116</cp:revision>
  <dcterms:created xsi:type="dcterms:W3CDTF">2022-02-21T03:36:00Z</dcterms:created>
  <dcterms:modified xsi:type="dcterms:W3CDTF">2024-03-20T04:22:02Z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6DF2504FDF8E4D0AA7EB98E707AF1B98</vt:lpwstr>
  </property>
  <property fmtid="{D5CDD505-2E9C-101B-9397-08002B2CF9AE}" pid="3" name="KSOProductBuildVer">
    <vt:lpwstr>2052-11.1.0.10009</vt:lpwstr>
  </property>
</Properties>
</file>