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涂料增稠剂项目规划设计方案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5" w:history="1">
        <w:r>
          <w:rPr>
            <w:rFonts w:ascii="仿宋" w:eastAsia="仿宋" w:hAnsi="仿宋" w:cs="仿宋" w:hint="eastAsia"/>
            <w:lang w:eastAsia="zh-CN"/>
          </w:rPr>
          <w:t>序言</w:t>
        </w:r>
        <w:r>
          <w:tab/>
        </w:r>
        <w:r>
          <w:fldChar w:fldCharType="begin"/>
        </w:r>
        <w:r>
          <w:instrText xml:space="preserve"> PAGEREF _Toc19955 \h </w:instrText>
        </w:r>
        <w:r>
          <w:fldChar w:fldCharType="separate"/>
        </w:r>
        <w:r>
          <w:t>3</w:t>
        </w:r>
        <w:r>
          <w:fldChar w:fldCharType="end"/>
        </w:r>
      </w:hyperlink>
    </w:p>
    <w:p>
      <w:pPr>
        <w:pStyle w:val="TOC1"/>
        <w:tabs>
          <w:tab w:val="right" w:leader="dot" w:pos="8306"/>
        </w:tabs>
      </w:pPr>
      <w:hyperlink w:anchor="_Toc14205" w:history="1">
        <w:r>
          <w:rPr>
            <w:rFonts w:ascii="仿宋" w:eastAsia="仿宋" w:hAnsi="仿宋" w:cs="仿宋" w:hint="eastAsia"/>
            <w:lang w:eastAsia="zh-CN"/>
          </w:rPr>
          <w:t>一、涂料增稠剂项目文档管理</w:t>
        </w:r>
        <w:r>
          <w:tab/>
        </w:r>
        <w:r>
          <w:fldChar w:fldCharType="begin"/>
        </w:r>
        <w:r>
          <w:instrText xml:space="preserve"> PAGEREF _Toc14205 \h </w:instrText>
        </w:r>
        <w:r>
          <w:fldChar w:fldCharType="separate"/>
        </w:r>
        <w:r>
          <w:t>3</w:t>
        </w:r>
        <w:r>
          <w:fldChar w:fldCharType="end"/>
        </w:r>
      </w:hyperlink>
    </w:p>
    <w:p>
      <w:pPr>
        <w:pStyle w:val="TOC2"/>
        <w:tabs>
          <w:tab w:val="right" w:leader="dot" w:pos="8306"/>
        </w:tabs>
      </w:pPr>
      <w:hyperlink w:anchor="_Toc32353" w:history="1">
        <w:r>
          <w:rPr>
            <w:rFonts w:ascii="仿宋" w:eastAsia="仿宋" w:hAnsi="仿宋" w:cs="仿宋" w:hint="eastAsia"/>
            <w:lang w:eastAsia="zh-CN"/>
          </w:rPr>
          <w:t>(一)、文档编制与审查</w:t>
        </w:r>
        <w:r>
          <w:tab/>
        </w:r>
        <w:r>
          <w:fldChar w:fldCharType="begin"/>
        </w:r>
        <w:r>
          <w:instrText xml:space="preserve"> PAGEREF _Toc32353 \h </w:instrText>
        </w:r>
        <w:r>
          <w:fldChar w:fldCharType="separate"/>
        </w:r>
        <w:r>
          <w:t>3</w:t>
        </w:r>
        <w:r>
          <w:fldChar w:fldCharType="end"/>
        </w:r>
      </w:hyperlink>
    </w:p>
    <w:p>
      <w:pPr>
        <w:pStyle w:val="TOC2"/>
        <w:tabs>
          <w:tab w:val="right" w:leader="dot" w:pos="8306"/>
        </w:tabs>
      </w:pPr>
      <w:hyperlink w:anchor="_Toc8730" w:history="1">
        <w:r>
          <w:rPr>
            <w:rFonts w:ascii="仿宋" w:eastAsia="仿宋" w:hAnsi="仿宋" w:cs="仿宋" w:hint="eastAsia"/>
            <w:lang w:eastAsia="zh-CN"/>
          </w:rPr>
          <w:t>(二)、文档发布与分发</w:t>
        </w:r>
        <w:r>
          <w:tab/>
        </w:r>
        <w:r>
          <w:fldChar w:fldCharType="begin"/>
        </w:r>
        <w:r>
          <w:instrText xml:space="preserve"> PAGEREF _Toc8730 \h </w:instrText>
        </w:r>
        <w:r>
          <w:fldChar w:fldCharType="separate"/>
        </w:r>
        <w:r>
          <w:t>4</w:t>
        </w:r>
        <w:r>
          <w:fldChar w:fldCharType="end"/>
        </w:r>
      </w:hyperlink>
    </w:p>
    <w:p>
      <w:pPr>
        <w:pStyle w:val="TOC2"/>
        <w:tabs>
          <w:tab w:val="right" w:leader="dot" w:pos="8306"/>
        </w:tabs>
      </w:pPr>
      <w:hyperlink w:anchor="_Toc1268" w:history="1">
        <w:r>
          <w:rPr>
            <w:rFonts w:ascii="仿宋" w:eastAsia="仿宋" w:hAnsi="仿宋" w:cs="仿宋" w:hint="eastAsia"/>
            <w:lang w:eastAsia="zh-CN"/>
          </w:rPr>
          <w:t>(三)、文档存档与归档</w:t>
        </w:r>
        <w:r>
          <w:tab/>
        </w:r>
        <w:r>
          <w:fldChar w:fldCharType="begin"/>
        </w:r>
        <w:r>
          <w:instrText xml:space="preserve"> PAGEREF _Toc1268 \h </w:instrText>
        </w:r>
        <w:r>
          <w:fldChar w:fldCharType="separate"/>
        </w:r>
        <w:r>
          <w:t>5</w:t>
        </w:r>
        <w:r>
          <w:fldChar w:fldCharType="end"/>
        </w:r>
      </w:hyperlink>
    </w:p>
    <w:p>
      <w:pPr>
        <w:pStyle w:val="TOC1"/>
        <w:tabs>
          <w:tab w:val="right" w:leader="dot" w:pos="8306"/>
        </w:tabs>
      </w:pPr>
      <w:hyperlink w:anchor="_Toc3274" w:history="1">
        <w:r>
          <w:rPr>
            <w:rFonts w:ascii="仿宋" w:eastAsia="仿宋" w:hAnsi="仿宋" w:cs="仿宋" w:hint="eastAsia"/>
            <w:lang w:eastAsia="zh-CN"/>
          </w:rPr>
          <w:t>二、涂料增稠剂项目可持续发展</w:t>
        </w:r>
        <w:r>
          <w:tab/>
        </w:r>
        <w:r>
          <w:fldChar w:fldCharType="begin"/>
        </w:r>
        <w:r>
          <w:instrText xml:space="preserve"> PAGEREF _Toc3274 \h </w:instrText>
        </w:r>
        <w:r>
          <w:fldChar w:fldCharType="separate"/>
        </w:r>
        <w:r>
          <w:t>6</w:t>
        </w:r>
        <w:r>
          <w:fldChar w:fldCharType="end"/>
        </w:r>
      </w:hyperlink>
    </w:p>
    <w:p>
      <w:pPr>
        <w:pStyle w:val="TOC2"/>
        <w:tabs>
          <w:tab w:val="right" w:leader="dot" w:pos="8306"/>
        </w:tabs>
      </w:pPr>
      <w:hyperlink w:anchor="_Toc21706" w:history="1">
        <w:r>
          <w:rPr>
            <w:rFonts w:ascii="仿宋" w:eastAsia="仿宋" w:hAnsi="仿宋" w:cs="仿宋" w:hint="eastAsia"/>
            <w:lang w:eastAsia="zh-CN"/>
          </w:rPr>
          <w:t>(一)、可持续战略与实践</w:t>
        </w:r>
        <w:r>
          <w:tab/>
        </w:r>
        <w:r>
          <w:fldChar w:fldCharType="begin"/>
        </w:r>
        <w:r>
          <w:instrText xml:space="preserve"> PAGEREF _Toc21706 \h </w:instrText>
        </w:r>
        <w:r>
          <w:fldChar w:fldCharType="separate"/>
        </w:r>
        <w:r>
          <w:t>6</w:t>
        </w:r>
        <w:r>
          <w:fldChar w:fldCharType="end"/>
        </w:r>
      </w:hyperlink>
    </w:p>
    <w:p>
      <w:pPr>
        <w:pStyle w:val="TOC2"/>
        <w:tabs>
          <w:tab w:val="right" w:leader="dot" w:pos="8306"/>
        </w:tabs>
      </w:pPr>
      <w:hyperlink w:anchor="_Toc19505" w:history="1">
        <w:r>
          <w:rPr>
            <w:rFonts w:ascii="仿宋" w:eastAsia="仿宋" w:hAnsi="仿宋" w:cs="仿宋" w:hint="eastAsia"/>
            <w:lang w:eastAsia="zh-CN"/>
          </w:rPr>
          <w:t>(二)、环保与社会责任</w:t>
        </w:r>
        <w:r>
          <w:tab/>
        </w:r>
        <w:r>
          <w:fldChar w:fldCharType="begin"/>
        </w:r>
        <w:r>
          <w:instrText xml:space="preserve"> PAGEREF _Toc19505 \h </w:instrText>
        </w:r>
        <w:r>
          <w:fldChar w:fldCharType="separate"/>
        </w:r>
        <w:r>
          <w:t>7</w:t>
        </w:r>
        <w:r>
          <w:fldChar w:fldCharType="end"/>
        </w:r>
      </w:hyperlink>
    </w:p>
    <w:p>
      <w:pPr>
        <w:pStyle w:val="TOC1"/>
        <w:tabs>
          <w:tab w:val="right" w:leader="dot" w:pos="8306"/>
        </w:tabs>
      </w:pPr>
      <w:hyperlink w:anchor="_Toc28149" w:history="1">
        <w:r>
          <w:rPr>
            <w:rFonts w:ascii="仿宋" w:eastAsia="仿宋" w:hAnsi="仿宋" w:cs="仿宋" w:hint="eastAsia"/>
            <w:lang w:eastAsia="zh-CN"/>
          </w:rPr>
          <w:t>三、涂料增稠剂项目选址可行性分析</w:t>
        </w:r>
        <w:r>
          <w:tab/>
        </w:r>
        <w:r>
          <w:fldChar w:fldCharType="begin"/>
        </w:r>
        <w:r>
          <w:instrText xml:space="preserve"> PAGEREF _Toc28149 \h </w:instrText>
        </w:r>
        <w:r>
          <w:fldChar w:fldCharType="separate"/>
        </w:r>
        <w:r>
          <w:t>8</w:t>
        </w:r>
        <w:r>
          <w:fldChar w:fldCharType="end"/>
        </w:r>
      </w:hyperlink>
    </w:p>
    <w:p>
      <w:pPr>
        <w:pStyle w:val="TOC2"/>
        <w:tabs>
          <w:tab w:val="right" w:leader="dot" w:pos="8306"/>
        </w:tabs>
      </w:pPr>
      <w:hyperlink w:anchor="_Toc20016" w:history="1">
        <w:r>
          <w:rPr>
            <w:rFonts w:ascii="仿宋" w:eastAsia="仿宋" w:hAnsi="仿宋" w:cs="仿宋" w:hint="eastAsia"/>
            <w:lang w:eastAsia="zh-CN"/>
          </w:rPr>
          <w:t>(一)、涂料增稠剂项目选址</w:t>
        </w:r>
        <w:r>
          <w:tab/>
        </w:r>
        <w:r>
          <w:fldChar w:fldCharType="begin"/>
        </w:r>
        <w:r>
          <w:instrText xml:space="preserve"> PAGEREF _Toc20016 \h </w:instrText>
        </w:r>
        <w:r>
          <w:fldChar w:fldCharType="separate"/>
        </w:r>
        <w:r>
          <w:t>8</w:t>
        </w:r>
        <w:r>
          <w:fldChar w:fldCharType="end"/>
        </w:r>
      </w:hyperlink>
    </w:p>
    <w:p>
      <w:pPr>
        <w:pStyle w:val="TOC2"/>
        <w:tabs>
          <w:tab w:val="right" w:leader="dot" w:pos="8306"/>
        </w:tabs>
      </w:pPr>
      <w:hyperlink w:anchor="_Toc1179" w:history="1">
        <w:r>
          <w:rPr>
            <w:rFonts w:ascii="仿宋" w:eastAsia="仿宋" w:hAnsi="仿宋" w:cs="仿宋" w:hint="eastAsia"/>
            <w:lang w:eastAsia="zh-CN"/>
          </w:rPr>
          <w:t>(二)、用地控制指标</w:t>
        </w:r>
        <w:r>
          <w:tab/>
        </w:r>
        <w:r>
          <w:fldChar w:fldCharType="begin"/>
        </w:r>
        <w:r>
          <w:instrText xml:space="preserve"> PAGEREF _Toc1179 \h </w:instrText>
        </w:r>
        <w:r>
          <w:fldChar w:fldCharType="separate"/>
        </w:r>
        <w:r>
          <w:t>8</w:t>
        </w:r>
        <w:r>
          <w:fldChar w:fldCharType="end"/>
        </w:r>
      </w:hyperlink>
    </w:p>
    <w:p>
      <w:pPr>
        <w:pStyle w:val="TOC2"/>
        <w:tabs>
          <w:tab w:val="right" w:leader="dot" w:pos="8306"/>
        </w:tabs>
      </w:pPr>
      <w:hyperlink w:anchor="_Toc9460" w:history="1">
        <w:r>
          <w:rPr>
            <w:rFonts w:ascii="仿宋" w:eastAsia="仿宋" w:hAnsi="仿宋" w:cs="仿宋" w:hint="eastAsia"/>
            <w:lang w:eastAsia="zh-CN"/>
          </w:rPr>
          <w:t>(三)、节约用地措施</w:t>
        </w:r>
        <w:r>
          <w:tab/>
        </w:r>
        <w:r>
          <w:fldChar w:fldCharType="begin"/>
        </w:r>
        <w:r>
          <w:instrText xml:space="preserve"> PAGEREF _Toc9460 \h </w:instrText>
        </w:r>
        <w:r>
          <w:fldChar w:fldCharType="separate"/>
        </w:r>
        <w:r>
          <w:t>10</w:t>
        </w:r>
        <w:r>
          <w:fldChar w:fldCharType="end"/>
        </w:r>
      </w:hyperlink>
    </w:p>
    <w:p>
      <w:pPr>
        <w:pStyle w:val="TOC2"/>
        <w:tabs>
          <w:tab w:val="right" w:leader="dot" w:pos="8306"/>
        </w:tabs>
      </w:pPr>
      <w:hyperlink w:anchor="_Toc24145" w:history="1">
        <w:r>
          <w:rPr>
            <w:rFonts w:ascii="仿宋" w:eastAsia="仿宋" w:hAnsi="仿宋" w:cs="仿宋" w:hint="eastAsia"/>
            <w:lang w:eastAsia="zh-CN"/>
          </w:rPr>
          <w:t>(四)、总图布置方案</w:t>
        </w:r>
        <w:r>
          <w:tab/>
        </w:r>
        <w:r>
          <w:fldChar w:fldCharType="begin"/>
        </w:r>
        <w:r>
          <w:instrText xml:space="preserve"> PAGEREF _Toc24145 \h </w:instrText>
        </w:r>
        <w:r>
          <w:fldChar w:fldCharType="separate"/>
        </w:r>
        <w:r>
          <w:t>11</w:t>
        </w:r>
        <w:r>
          <w:fldChar w:fldCharType="end"/>
        </w:r>
      </w:hyperlink>
    </w:p>
    <w:p>
      <w:pPr>
        <w:pStyle w:val="TOC2"/>
        <w:tabs>
          <w:tab w:val="right" w:leader="dot" w:pos="8306"/>
        </w:tabs>
      </w:pPr>
      <w:hyperlink w:anchor="_Toc29550" w:history="1">
        <w:r>
          <w:rPr>
            <w:rFonts w:ascii="仿宋" w:eastAsia="仿宋" w:hAnsi="仿宋" w:cs="仿宋" w:hint="eastAsia"/>
            <w:lang w:eastAsia="zh-CN"/>
          </w:rPr>
          <w:t>(五)、选址综合评价</w:t>
        </w:r>
        <w:r>
          <w:tab/>
        </w:r>
        <w:r>
          <w:fldChar w:fldCharType="begin"/>
        </w:r>
        <w:r>
          <w:instrText xml:space="preserve"> PAGEREF _Toc29550 \h </w:instrText>
        </w:r>
        <w:r>
          <w:fldChar w:fldCharType="separate"/>
        </w:r>
        <w:r>
          <w:t>12</w:t>
        </w:r>
        <w:r>
          <w:fldChar w:fldCharType="end"/>
        </w:r>
      </w:hyperlink>
    </w:p>
    <w:p>
      <w:pPr>
        <w:pStyle w:val="TOC1"/>
        <w:tabs>
          <w:tab w:val="right" w:leader="dot" w:pos="8306"/>
        </w:tabs>
      </w:pPr>
      <w:hyperlink w:anchor="_Toc32555" w:history="1">
        <w:r>
          <w:rPr>
            <w:rFonts w:ascii="仿宋" w:eastAsia="仿宋" w:hAnsi="仿宋" w:cs="仿宋" w:hint="eastAsia"/>
            <w:lang w:eastAsia="zh-CN"/>
          </w:rPr>
          <w:t>四、涂料增稠剂项目建设背景及必要性分析</w:t>
        </w:r>
        <w:r>
          <w:tab/>
        </w:r>
        <w:r>
          <w:fldChar w:fldCharType="begin"/>
        </w:r>
        <w:r>
          <w:instrText xml:space="preserve"> PAGEREF _Toc32555 \h </w:instrText>
        </w:r>
        <w:r>
          <w:fldChar w:fldCharType="separate"/>
        </w:r>
        <w:r>
          <w:t>13</w:t>
        </w:r>
        <w:r>
          <w:fldChar w:fldCharType="end"/>
        </w:r>
      </w:hyperlink>
    </w:p>
    <w:p>
      <w:pPr>
        <w:pStyle w:val="TOC2"/>
        <w:tabs>
          <w:tab w:val="right" w:leader="dot" w:pos="8306"/>
        </w:tabs>
      </w:pPr>
      <w:hyperlink w:anchor="_Toc3750" w:history="1">
        <w:r>
          <w:rPr>
            <w:rFonts w:ascii="仿宋" w:eastAsia="仿宋" w:hAnsi="仿宋" w:cs="仿宋" w:hint="eastAsia"/>
            <w:lang w:eastAsia="zh-CN"/>
          </w:rPr>
          <w:t>(一)、涂料增稠剂项目背景分析</w:t>
        </w:r>
        <w:r>
          <w:tab/>
        </w:r>
        <w:r>
          <w:fldChar w:fldCharType="begin"/>
        </w:r>
        <w:r>
          <w:instrText xml:space="preserve"> PAGEREF _Toc3750 \h </w:instrText>
        </w:r>
        <w:r>
          <w:fldChar w:fldCharType="separate"/>
        </w:r>
        <w:r>
          <w:t>13</w:t>
        </w:r>
        <w:r>
          <w:fldChar w:fldCharType="end"/>
        </w:r>
      </w:hyperlink>
    </w:p>
    <w:p>
      <w:pPr>
        <w:pStyle w:val="TOC2"/>
        <w:tabs>
          <w:tab w:val="right" w:leader="dot" w:pos="8306"/>
        </w:tabs>
      </w:pPr>
      <w:hyperlink w:anchor="_Toc19533" w:history="1">
        <w:r>
          <w:rPr>
            <w:rFonts w:ascii="仿宋" w:eastAsia="仿宋" w:hAnsi="仿宋" w:cs="仿宋" w:hint="eastAsia"/>
            <w:lang w:eastAsia="zh-CN"/>
          </w:rPr>
          <w:t>(二)、涂料增稠剂项目建设必要性分析</w:t>
        </w:r>
        <w:r>
          <w:tab/>
        </w:r>
        <w:r>
          <w:fldChar w:fldCharType="begin"/>
        </w:r>
        <w:r>
          <w:instrText xml:space="preserve"> PAGEREF _Toc19533 \h </w:instrText>
        </w:r>
        <w:r>
          <w:fldChar w:fldCharType="separate"/>
        </w:r>
        <w:r>
          <w:t>15</w:t>
        </w:r>
        <w:r>
          <w:fldChar w:fldCharType="end"/>
        </w:r>
      </w:hyperlink>
    </w:p>
    <w:p>
      <w:pPr>
        <w:pStyle w:val="TOC1"/>
        <w:tabs>
          <w:tab w:val="right" w:leader="dot" w:pos="8306"/>
        </w:tabs>
      </w:pPr>
      <w:hyperlink w:anchor="_Toc646" w:history="1">
        <w:r>
          <w:rPr>
            <w:rFonts w:ascii="仿宋" w:eastAsia="仿宋" w:hAnsi="仿宋" w:cs="仿宋" w:hint="eastAsia"/>
            <w:lang w:eastAsia="zh-CN"/>
          </w:rPr>
          <w:t>五、市场分析、调研</w:t>
        </w:r>
        <w:r>
          <w:tab/>
        </w:r>
        <w:r>
          <w:fldChar w:fldCharType="begin"/>
        </w:r>
        <w:r>
          <w:instrText xml:space="preserve"> PAGEREF _Toc646 \h </w:instrText>
        </w:r>
        <w:r>
          <w:fldChar w:fldCharType="separate"/>
        </w:r>
        <w:r>
          <w:t>16</w:t>
        </w:r>
        <w:r>
          <w:fldChar w:fldCharType="end"/>
        </w:r>
      </w:hyperlink>
    </w:p>
    <w:p>
      <w:pPr>
        <w:pStyle w:val="TOC2"/>
        <w:tabs>
          <w:tab w:val="right" w:leader="dot" w:pos="8306"/>
        </w:tabs>
      </w:pPr>
      <w:hyperlink w:anchor="_Toc14337" w:history="1">
        <w:r>
          <w:rPr>
            <w:rFonts w:ascii="仿宋" w:eastAsia="仿宋" w:hAnsi="仿宋" w:cs="仿宋" w:hint="eastAsia"/>
            <w:lang w:eastAsia="zh-CN"/>
          </w:rPr>
          <w:t>(一)、涂料增稠剂行业分析</w:t>
        </w:r>
        <w:r>
          <w:tab/>
        </w:r>
        <w:r>
          <w:fldChar w:fldCharType="begin"/>
        </w:r>
        <w:r>
          <w:instrText xml:space="preserve"> PAGEREF _Toc14337 \h </w:instrText>
        </w:r>
        <w:r>
          <w:fldChar w:fldCharType="separate"/>
        </w:r>
        <w:r>
          <w:t>16</w:t>
        </w:r>
        <w:r>
          <w:fldChar w:fldCharType="end"/>
        </w:r>
      </w:hyperlink>
    </w:p>
    <w:p>
      <w:pPr>
        <w:pStyle w:val="TOC2"/>
        <w:tabs>
          <w:tab w:val="right" w:leader="dot" w:pos="8306"/>
        </w:tabs>
      </w:pPr>
      <w:hyperlink w:anchor="_Toc24076" w:history="1">
        <w:r>
          <w:rPr>
            <w:rFonts w:ascii="仿宋" w:eastAsia="仿宋" w:hAnsi="仿宋" w:cs="仿宋" w:hint="eastAsia"/>
            <w:lang w:eastAsia="zh-CN"/>
          </w:rPr>
          <w:t>(二)、涂料增稠剂市场分析预测</w:t>
        </w:r>
        <w:r>
          <w:tab/>
        </w:r>
        <w:r>
          <w:fldChar w:fldCharType="begin"/>
        </w:r>
        <w:r>
          <w:instrText xml:space="preserve"> PAGEREF _Toc24076 \h </w:instrText>
        </w:r>
        <w:r>
          <w:fldChar w:fldCharType="separate"/>
        </w:r>
        <w:r>
          <w:t>17</w:t>
        </w:r>
        <w:r>
          <w:fldChar w:fldCharType="end"/>
        </w:r>
      </w:hyperlink>
    </w:p>
    <w:p>
      <w:pPr>
        <w:pStyle w:val="TOC1"/>
        <w:tabs>
          <w:tab w:val="right" w:leader="dot" w:pos="8306"/>
        </w:tabs>
      </w:pPr>
      <w:hyperlink w:anchor="_Toc27560" w:history="1">
        <w:r>
          <w:rPr>
            <w:rFonts w:ascii="仿宋" w:eastAsia="仿宋" w:hAnsi="仿宋" w:cs="仿宋" w:hint="eastAsia"/>
            <w:lang w:eastAsia="zh-CN"/>
          </w:rPr>
          <w:t>六、涂料增稠剂项目危机管理</w:t>
        </w:r>
        <w:r>
          <w:tab/>
        </w:r>
        <w:r>
          <w:fldChar w:fldCharType="begin"/>
        </w:r>
        <w:r>
          <w:instrText xml:space="preserve"> PAGEREF _Toc27560 \h </w:instrText>
        </w:r>
        <w:r>
          <w:fldChar w:fldCharType="separate"/>
        </w:r>
        <w:r>
          <w:t>18</w:t>
        </w:r>
        <w:r>
          <w:fldChar w:fldCharType="end"/>
        </w:r>
      </w:hyperlink>
    </w:p>
    <w:p>
      <w:pPr>
        <w:pStyle w:val="TOC2"/>
        <w:tabs>
          <w:tab w:val="right" w:leader="dot" w:pos="8306"/>
        </w:tabs>
      </w:pPr>
      <w:hyperlink w:anchor="_Toc2569" w:history="1">
        <w:r>
          <w:rPr>
            <w:rFonts w:ascii="仿宋" w:eastAsia="仿宋" w:hAnsi="仿宋" w:cs="仿宋" w:hint="eastAsia"/>
            <w:lang w:eastAsia="zh-CN"/>
          </w:rPr>
          <w:t>(一)、危机预警与识别</w:t>
        </w:r>
        <w:r>
          <w:tab/>
        </w:r>
        <w:r>
          <w:fldChar w:fldCharType="begin"/>
        </w:r>
        <w:r>
          <w:instrText xml:space="preserve"> PAGEREF _Toc2569 \h </w:instrText>
        </w:r>
        <w:r>
          <w:fldChar w:fldCharType="separate"/>
        </w:r>
        <w:r>
          <w:t>18</w:t>
        </w:r>
        <w:r>
          <w:fldChar w:fldCharType="end"/>
        </w:r>
      </w:hyperlink>
    </w:p>
    <w:p>
      <w:pPr>
        <w:pStyle w:val="TOC2"/>
        <w:tabs>
          <w:tab w:val="right" w:leader="dot" w:pos="8306"/>
        </w:tabs>
      </w:pPr>
      <w:hyperlink w:anchor="_Toc17916" w:history="1">
        <w:r>
          <w:rPr>
            <w:rFonts w:ascii="仿宋" w:eastAsia="仿宋" w:hAnsi="仿宋" w:cs="仿宋" w:hint="eastAsia"/>
            <w:lang w:eastAsia="zh-CN"/>
          </w:rPr>
          <w:t>(二)、危机应对与恢复</w:t>
        </w:r>
        <w:r>
          <w:tab/>
        </w:r>
        <w:r>
          <w:fldChar w:fldCharType="begin"/>
        </w:r>
        <w:r>
          <w:instrText xml:space="preserve"> PAGEREF _Toc17916 \h </w:instrText>
        </w:r>
        <w:r>
          <w:fldChar w:fldCharType="separate"/>
        </w:r>
        <w:r>
          <w:t>19</w:t>
        </w:r>
        <w:r>
          <w:fldChar w:fldCharType="end"/>
        </w:r>
      </w:hyperlink>
    </w:p>
    <w:p>
      <w:pPr>
        <w:pStyle w:val="TOC1"/>
        <w:tabs>
          <w:tab w:val="right" w:leader="dot" w:pos="8306"/>
        </w:tabs>
      </w:pPr>
      <w:hyperlink w:anchor="_Toc18130" w:history="1">
        <w:r>
          <w:rPr>
            <w:rFonts w:ascii="仿宋" w:eastAsia="仿宋" w:hAnsi="仿宋" w:cs="仿宋" w:hint="eastAsia"/>
            <w:lang w:eastAsia="zh-CN"/>
          </w:rPr>
          <w:t>七、涂料增稠剂项目人力资源管理</w:t>
        </w:r>
        <w:r>
          <w:tab/>
        </w:r>
        <w:r>
          <w:fldChar w:fldCharType="begin"/>
        </w:r>
        <w:r>
          <w:instrText xml:space="preserve"> PAGEREF _Toc18130 \h </w:instrText>
        </w:r>
        <w:r>
          <w:fldChar w:fldCharType="separate"/>
        </w:r>
        <w:r>
          <w:t>20</w:t>
        </w:r>
        <w:r>
          <w:fldChar w:fldCharType="end"/>
        </w:r>
      </w:hyperlink>
    </w:p>
    <w:p>
      <w:pPr>
        <w:pStyle w:val="TOC2"/>
        <w:tabs>
          <w:tab w:val="right" w:leader="dot" w:pos="8306"/>
        </w:tabs>
      </w:pPr>
      <w:hyperlink w:anchor="_Toc30835" w:history="1">
        <w:r>
          <w:rPr>
            <w:rFonts w:ascii="仿宋" w:eastAsia="仿宋" w:hAnsi="仿宋" w:cs="仿宋" w:hint="eastAsia"/>
            <w:lang w:eastAsia="zh-CN"/>
          </w:rPr>
          <w:t>(一)、建立健全的预算管理制度</w:t>
        </w:r>
        <w:r>
          <w:tab/>
        </w:r>
        <w:r>
          <w:fldChar w:fldCharType="begin"/>
        </w:r>
        <w:r>
          <w:instrText xml:space="preserve"> PAGEREF _Toc30835 \h </w:instrText>
        </w:r>
        <w:r>
          <w:fldChar w:fldCharType="separate"/>
        </w:r>
        <w:r>
          <w:t>20</w:t>
        </w:r>
        <w:r>
          <w:fldChar w:fldCharType="end"/>
        </w:r>
      </w:hyperlink>
    </w:p>
    <w:p>
      <w:pPr>
        <w:pStyle w:val="TOC2"/>
        <w:tabs>
          <w:tab w:val="right" w:leader="dot" w:pos="8306"/>
        </w:tabs>
      </w:pPr>
      <w:hyperlink w:anchor="_Toc4244" w:history="1">
        <w:r>
          <w:rPr>
            <w:rFonts w:ascii="仿宋" w:eastAsia="仿宋" w:hAnsi="仿宋" w:cs="仿宋" w:hint="eastAsia"/>
            <w:lang w:eastAsia="zh-CN"/>
          </w:rPr>
          <w:t>(二)、加强资金流动监控</w:t>
        </w:r>
        <w:r>
          <w:tab/>
        </w:r>
        <w:r>
          <w:fldChar w:fldCharType="begin"/>
        </w:r>
        <w:r>
          <w:instrText xml:space="preserve"> PAGEREF _Toc4244 \h </w:instrText>
        </w:r>
        <w:r>
          <w:fldChar w:fldCharType="separate"/>
        </w:r>
        <w:r>
          <w:t>22</w:t>
        </w:r>
        <w:r>
          <w:fldChar w:fldCharType="end"/>
        </w:r>
      </w:hyperlink>
    </w:p>
    <w:p>
      <w:pPr>
        <w:pStyle w:val="TOC2"/>
        <w:tabs>
          <w:tab w:val="right" w:leader="dot" w:pos="8306"/>
        </w:tabs>
      </w:pPr>
      <w:hyperlink w:anchor="_Toc9425" w:history="1">
        <w:r>
          <w:rPr>
            <w:rFonts w:ascii="仿宋" w:eastAsia="仿宋" w:hAnsi="仿宋" w:cs="仿宋" w:hint="eastAsia"/>
            <w:lang w:eastAsia="zh-CN"/>
          </w:rPr>
          <w:t>(三)、制定完善的风险控制机制</w:t>
        </w:r>
        <w:r>
          <w:tab/>
        </w:r>
        <w:r>
          <w:fldChar w:fldCharType="begin"/>
        </w:r>
        <w:r>
          <w:instrText xml:space="preserve"> PAGEREF _Toc9425 \h </w:instrText>
        </w:r>
        <w:r>
          <w:fldChar w:fldCharType="separate"/>
        </w:r>
        <w:r>
          <w:t>23</w:t>
        </w:r>
        <w:r>
          <w:fldChar w:fldCharType="end"/>
        </w:r>
      </w:hyperlink>
    </w:p>
    <w:p>
      <w:pPr>
        <w:pStyle w:val="TOC2"/>
        <w:tabs>
          <w:tab w:val="right" w:leader="dot" w:pos="8306"/>
        </w:tabs>
      </w:pPr>
      <w:hyperlink w:anchor="_Toc26410" w:history="1">
        <w:r>
          <w:rPr>
            <w:rFonts w:ascii="仿宋" w:eastAsia="仿宋" w:hAnsi="仿宋" w:cs="仿宋" w:hint="eastAsia"/>
            <w:lang w:eastAsia="zh-CN"/>
          </w:rPr>
          <w:t>(四)、优化成本管理</w:t>
        </w:r>
        <w:r>
          <w:tab/>
        </w:r>
        <w:r>
          <w:fldChar w:fldCharType="begin"/>
        </w:r>
        <w:r>
          <w:instrText xml:space="preserve"> PAGEREF _Toc26410 \h </w:instrText>
        </w:r>
        <w:r>
          <w:fldChar w:fldCharType="separate"/>
        </w:r>
        <w:r>
          <w:t>24</w:t>
        </w:r>
        <w:r>
          <w:fldChar w:fldCharType="end"/>
        </w:r>
      </w:hyperlink>
    </w:p>
    <w:p>
      <w:pPr>
        <w:pStyle w:val="TOC1"/>
        <w:tabs>
          <w:tab w:val="right" w:leader="dot" w:pos="8306"/>
        </w:tabs>
      </w:pPr>
      <w:hyperlink w:anchor="_Toc9251" w:history="1">
        <w:r>
          <w:rPr>
            <w:rFonts w:ascii="仿宋" w:eastAsia="仿宋" w:hAnsi="仿宋" w:cs="仿宋" w:hint="eastAsia"/>
            <w:lang w:eastAsia="zh-CN"/>
          </w:rPr>
          <w:t>八、涂料增稠剂项目人力资源培养与发展</w:t>
        </w:r>
        <w:r>
          <w:tab/>
        </w:r>
        <w:r>
          <w:fldChar w:fldCharType="begin"/>
        </w:r>
        <w:r>
          <w:instrText xml:space="preserve"> PAGEREF _Toc9251 \h </w:instrText>
        </w:r>
        <w:r>
          <w:fldChar w:fldCharType="separate"/>
        </w:r>
        <w:r>
          <w:t>26</w:t>
        </w:r>
        <w:r>
          <w:fldChar w:fldCharType="end"/>
        </w:r>
      </w:hyperlink>
    </w:p>
    <w:p>
      <w:pPr>
        <w:pStyle w:val="TOC2"/>
        <w:tabs>
          <w:tab w:val="right" w:leader="dot" w:pos="8306"/>
        </w:tabs>
      </w:pPr>
      <w:hyperlink w:anchor="_Toc7579" w:history="1">
        <w:r>
          <w:rPr>
            <w:rFonts w:ascii="仿宋" w:eastAsia="仿宋" w:hAnsi="仿宋" w:cs="仿宋" w:hint="eastAsia"/>
            <w:lang w:eastAsia="zh-CN"/>
          </w:rPr>
          <w:t>(一)、人才需求与规划</w:t>
        </w:r>
        <w:r>
          <w:tab/>
        </w:r>
        <w:r>
          <w:fldChar w:fldCharType="begin"/>
        </w:r>
        <w:r>
          <w:instrText xml:space="preserve"> PAGEREF _Toc7579 \h </w:instrText>
        </w:r>
        <w:r>
          <w:fldChar w:fldCharType="separate"/>
        </w:r>
        <w:r>
          <w:t>26</w:t>
        </w:r>
        <w:r>
          <w:fldChar w:fldCharType="end"/>
        </w:r>
      </w:hyperlink>
    </w:p>
    <w:p>
      <w:pPr>
        <w:pStyle w:val="TOC2"/>
        <w:tabs>
          <w:tab w:val="right" w:leader="dot" w:pos="8306"/>
        </w:tabs>
      </w:pPr>
      <w:hyperlink w:anchor="_Toc10939" w:history="1">
        <w:r>
          <w:rPr>
            <w:rFonts w:ascii="仿宋" w:eastAsia="仿宋" w:hAnsi="仿宋" w:cs="仿宋" w:hint="eastAsia"/>
            <w:lang w:eastAsia="zh-CN"/>
          </w:rPr>
          <w:t>(二)、培训与发展计划</w:t>
        </w:r>
        <w:r>
          <w:tab/>
        </w:r>
        <w:r>
          <w:fldChar w:fldCharType="begin"/>
        </w:r>
        <w:r>
          <w:instrText xml:space="preserve"> PAGEREF _Toc10939 \h </w:instrText>
        </w:r>
        <w:r>
          <w:fldChar w:fldCharType="separate"/>
        </w:r>
        <w:r>
          <w:t>26</w:t>
        </w:r>
        <w:r>
          <w:fldChar w:fldCharType="end"/>
        </w:r>
      </w:hyperlink>
    </w:p>
    <w:p>
      <w:pPr>
        <w:pStyle w:val="TOC1"/>
        <w:tabs>
          <w:tab w:val="right" w:leader="dot" w:pos="8306"/>
        </w:tabs>
      </w:pPr>
      <w:hyperlink w:anchor="_Toc14006" w:history="1">
        <w:r>
          <w:rPr>
            <w:rFonts w:ascii="仿宋" w:eastAsia="仿宋" w:hAnsi="仿宋" w:cs="仿宋" w:hint="eastAsia"/>
            <w:lang w:eastAsia="zh-CN"/>
          </w:rPr>
          <w:t>九、涂料增稠剂项目技术管理</w:t>
        </w:r>
        <w:r>
          <w:tab/>
        </w:r>
        <w:r>
          <w:fldChar w:fldCharType="begin"/>
        </w:r>
        <w:r>
          <w:instrText xml:space="preserve"> PAGEREF _Toc14006 \h </w:instrText>
        </w:r>
        <w:r>
          <w:fldChar w:fldCharType="separate"/>
        </w:r>
        <w:r>
          <w:t>27</w:t>
        </w:r>
        <w:r>
          <w:fldChar w:fldCharType="end"/>
        </w:r>
      </w:hyperlink>
    </w:p>
    <w:p>
      <w:pPr>
        <w:pStyle w:val="TOC2"/>
        <w:tabs>
          <w:tab w:val="right" w:leader="dot" w:pos="8306"/>
        </w:tabs>
      </w:pPr>
      <w:hyperlink w:anchor="_Toc22757" w:history="1">
        <w:r>
          <w:rPr>
            <w:rFonts w:ascii="仿宋" w:eastAsia="仿宋" w:hAnsi="仿宋" w:cs="仿宋" w:hint="eastAsia"/>
            <w:lang w:eastAsia="zh-CN"/>
          </w:rPr>
          <w:t>(一)、技术方案选用方向</w:t>
        </w:r>
        <w:r>
          <w:tab/>
        </w:r>
        <w:r>
          <w:fldChar w:fldCharType="begin"/>
        </w:r>
        <w:r>
          <w:instrText xml:space="preserve"> PAGEREF _Toc22757 \h </w:instrText>
        </w:r>
        <w:r>
          <w:fldChar w:fldCharType="separate"/>
        </w:r>
        <w:r>
          <w:t>27</w:t>
        </w:r>
        <w:r>
          <w:fldChar w:fldCharType="end"/>
        </w:r>
      </w:hyperlink>
    </w:p>
    <w:p>
      <w:pPr>
        <w:pStyle w:val="TOC2"/>
        <w:tabs>
          <w:tab w:val="right" w:leader="dot" w:pos="8306"/>
        </w:tabs>
      </w:pPr>
      <w:hyperlink w:anchor="_Toc16229" w:history="1">
        <w:r>
          <w:rPr>
            <w:rFonts w:ascii="仿宋" w:eastAsia="仿宋" w:hAnsi="仿宋" w:cs="仿宋" w:hint="eastAsia"/>
            <w:lang w:eastAsia="zh-CN"/>
          </w:rPr>
          <w:t>(二)、工艺技术方案选用原则</w:t>
        </w:r>
        <w:r>
          <w:tab/>
        </w:r>
        <w:r>
          <w:fldChar w:fldCharType="begin"/>
        </w:r>
        <w:r>
          <w:instrText xml:space="preserve"> PAGEREF _Toc16229 \h </w:instrText>
        </w:r>
        <w:r>
          <w:fldChar w:fldCharType="separate"/>
        </w:r>
        <w:r>
          <w:t>29</w:t>
        </w:r>
        <w:r>
          <w:fldChar w:fldCharType="end"/>
        </w:r>
      </w:hyperlink>
    </w:p>
    <w:p>
      <w:pPr>
        <w:pStyle w:val="TOC2"/>
        <w:tabs>
          <w:tab w:val="right" w:leader="dot" w:pos="8306"/>
        </w:tabs>
      </w:pPr>
      <w:hyperlink w:anchor="_Toc1645" w:history="1">
        <w:r>
          <w:rPr>
            <w:rFonts w:ascii="仿宋" w:eastAsia="仿宋" w:hAnsi="仿宋" w:cs="仿宋" w:hint="eastAsia"/>
            <w:lang w:eastAsia="zh-CN"/>
          </w:rPr>
          <w:t>(三)、工艺技术方案要求</w:t>
        </w:r>
        <w:r>
          <w:tab/>
        </w:r>
        <w:r>
          <w:fldChar w:fldCharType="begin"/>
        </w:r>
        <w:r>
          <w:instrText xml:space="preserve"> PAGEREF _Toc1645 \h </w:instrText>
        </w:r>
        <w:r>
          <w:fldChar w:fldCharType="separate"/>
        </w:r>
        <w:r>
          <w:t>31</w:t>
        </w:r>
        <w:r>
          <w:fldChar w:fldCharType="end"/>
        </w:r>
      </w:hyperlink>
    </w:p>
    <w:p>
      <w:pPr>
        <w:pStyle w:val="TOC1"/>
        <w:tabs>
          <w:tab w:val="right" w:leader="dot" w:pos="8306"/>
        </w:tabs>
      </w:pPr>
      <w:hyperlink w:anchor="_Toc23720" w:history="1">
        <w:r>
          <w:rPr>
            <w:rFonts w:ascii="仿宋" w:eastAsia="仿宋" w:hAnsi="仿宋" w:cs="仿宋" w:hint="eastAsia"/>
            <w:lang w:eastAsia="zh-CN"/>
          </w:rPr>
          <w:t>十、涂料增稠剂项目投资规划</w:t>
        </w:r>
        <w:r>
          <w:tab/>
        </w:r>
        <w:r>
          <w:fldChar w:fldCharType="begin"/>
        </w:r>
        <w:r>
          <w:instrText xml:space="preserve"> PAGEREF _Toc23720 \h </w:instrText>
        </w:r>
        <w:r>
          <w:fldChar w:fldCharType="separate"/>
        </w:r>
        <w:r>
          <w:t>33</w:t>
        </w:r>
        <w:r>
          <w:fldChar w:fldCharType="end"/>
        </w:r>
      </w:hyperlink>
    </w:p>
    <w:p>
      <w:pPr>
        <w:pStyle w:val="TOC2"/>
        <w:tabs>
          <w:tab w:val="right" w:leader="dot" w:pos="8306"/>
        </w:tabs>
      </w:pPr>
      <w:hyperlink w:anchor="_Toc18225" w:history="1">
        <w:r>
          <w:rPr>
            <w:rFonts w:ascii="仿宋" w:eastAsia="仿宋" w:hAnsi="仿宋" w:cs="仿宋" w:hint="eastAsia"/>
            <w:lang w:eastAsia="zh-CN"/>
          </w:rPr>
          <w:t>(一)、涂料增稠剂项目总投资估算</w:t>
        </w:r>
        <w:r>
          <w:tab/>
        </w:r>
        <w:r>
          <w:fldChar w:fldCharType="begin"/>
        </w:r>
        <w:r>
          <w:instrText xml:space="preserve"> PAGEREF _Toc18225 \h </w:instrText>
        </w:r>
        <w:r>
          <w:fldChar w:fldCharType="separate"/>
        </w:r>
        <w:r>
          <w:t>33</w:t>
        </w:r>
        <w:r>
          <w:fldChar w:fldCharType="end"/>
        </w:r>
      </w:hyperlink>
    </w:p>
    <w:p>
      <w:pPr>
        <w:pStyle w:val="TOC2"/>
        <w:tabs>
          <w:tab w:val="right" w:leader="dot" w:pos="8306"/>
        </w:tabs>
      </w:pPr>
      <w:hyperlink w:anchor="_Toc12888" w:history="1">
        <w:r>
          <w:rPr>
            <w:rFonts w:ascii="仿宋" w:eastAsia="仿宋" w:hAnsi="仿宋" w:cs="仿宋" w:hint="eastAsia"/>
            <w:lang w:eastAsia="zh-CN"/>
          </w:rPr>
          <w:t>(二)、资金筹措</w:t>
        </w:r>
        <w:r>
          <w:tab/>
        </w:r>
        <w:r>
          <w:fldChar w:fldCharType="begin"/>
        </w:r>
        <w:r>
          <w:instrText xml:space="preserve"> PAGEREF _Toc12888 \h </w:instrText>
        </w:r>
        <w:r>
          <w:fldChar w:fldCharType="separate"/>
        </w:r>
        <w:r>
          <w:t>34</w:t>
        </w:r>
        <w:r>
          <w:fldChar w:fldCharType="end"/>
        </w:r>
      </w:hyperlink>
    </w:p>
    <w:p>
      <w:pPr>
        <w:pStyle w:val="TOC1"/>
        <w:tabs>
          <w:tab w:val="right" w:leader="dot" w:pos="8306"/>
        </w:tabs>
      </w:pPr>
      <w:hyperlink w:anchor="_Toc22860" w:history="1">
        <w:r>
          <w:rPr>
            <w:rFonts w:ascii="仿宋" w:eastAsia="仿宋" w:hAnsi="仿宋" w:cs="仿宋" w:hint="eastAsia"/>
            <w:lang w:eastAsia="zh-CN"/>
          </w:rPr>
          <w:t>十一、涂料增稠剂项目社会影响</w:t>
        </w:r>
        <w:r>
          <w:tab/>
        </w:r>
        <w:r>
          <w:fldChar w:fldCharType="begin"/>
        </w:r>
        <w:r>
          <w:instrText xml:space="preserve"> PAGEREF _Toc22860 \h </w:instrText>
        </w:r>
        <w:r>
          <w:fldChar w:fldCharType="separate"/>
        </w:r>
        <w:r>
          <w:t>35</w:t>
        </w:r>
        <w:r>
          <w:fldChar w:fldCharType="end"/>
        </w:r>
      </w:hyperlink>
    </w:p>
    <w:p>
      <w:pPr>
        <w:pStyle w:val="TOC2"/>
        <w:tabs>
          <w:tab w:val="right" w:leader="dot" w:pos="8306"/>
        </w:tabs>
      </w:pPr>
      <w:hyperlink w:anchor="_Toc12584" w:history="1">
        <w:r>
          <w:rPr>
            <w:rFonts w:ascii="仿宋" w:eastAsia="仿宋" w:hAnsi="仿宋" w:cs="仿宋" w:hint="eastAsia"/>
            <w:lang w:eastAsia="zh-CN"/>
          </w:rPr>
          <w:t>(一)、社会责任与义务</w:t>
        </w:r>
        <w:r>
          <w:tab/>
        </w:r>
        <w:r>
          <w:fldChar w:fldCharType="begin"/>
        </w:r>
        <w:r>
          <w:instrText xml:space="preserve"> PAGEREF _Toc12584 \h </w:instrText>
        </w:r>
        <w:r>
          <w:fldChar w:fldCharType="separate"/>
        </w:r>
        <w:r>
          <w:t>35</w:t>
        </w:r>
        <w:r>
          <w:fldChar w:fldCharType="end"/>
        </w:r>
      </w:hyperlink>
    </w:p>
    <w:p>
      <w:pPr>
        <w:pStyle w:val="TOC2"/>
        <w:tabs>
          <w:tab w:val="right" w:leader="dot" w:pos="8306"/>
        </w:tabs>
      </w:pPr>
      <w:hyperlink w:anchor="_Toc29090" w:history="1">
        <w:r>
          <w:rPr>
            <w:rFonts w:ascii="仿宋" w:eastAsia="仿宋" w:hAnsi="仿宋" w:cs="仿宋" w:hint="eastAsia"/>
            <w:lang w:eastAsia="zh-CN"/>
          </w:rPr>
          <w:t>(二)、社会参与与沟通</w:t>
        </w:r>
        <w:r>
          <w:tab/>
        </w:r>
        <w:r>
          <w:fldChar w:fldCharType="begin"/>
        </w:r>
        <w:r>
          <w:instrText xml:space="preserve"> PAGEREF _Toc29090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47" w:history="1">
        <w:r>
          <w:rPr>
            <w:rFonts w:ascii="仿宋" w:eastAsia="仿宋" w:hAnsi="仿宋" w:cs="仿宋" w:hint="eastAsia"/>
            <w:lang w:eastAsia="zh-CN"/>
          </w:rPr>
          <w:t>十二、涂料增稠剂项目风险管理</w:t>
        </w:r>
        <w:r>
          <w:tab/>
        </w:r>
        <w:r>
          <w:fldChar w:fldCharType="begin"/>
        </w:r>
        <w:r>
          <w:instrText xml:space="preserve"> PAGEREF _Toc3447 \h </w:instrText>
        </w:r>
        <w:r>
          <w:fldChar w:fldCharType="separate"/>
        </w:r>
        <w:r>
          <w:t>37</w:t>
        </w:r>
        <w:r>
          <w:fldChar w:fldCharType="end"/>
        </w:r>
      </w:hyperlink>
    </w:p>
    <w:p>
      <w:pPr>
        <w:pStyle w:val="TOC2"/>
        <w:tabs>
          <w:tab w:val="right" w:leader="dot" w:pos="8306"/>
        </w:tabs>
      </w:pPr>
      <w:hyperlink w:anchor="_Toc16859" w:history="1">
        <w:r>
          <w:rPr>
            <w:rFonts w:ascii="仿宋" w:eastAsia="仿宋" w:hAnsi="仿宋" w:cs="仿宋" w:hint="eastAsia"/>
            <w:lang w:eastAsia="zh-CN"/>
          </w:rPr>
          <w:t>(一)、风险识别与评估</w:t>
        </w:r>
        <w:r>
          <w:tab/>
        </w:r>
        <w:r>
          <w:fldChar w:fldCharType="begin"/>
        </w:r>
        <w:r>
          <w:instrText xml:space="preserve"> PAGEREF _Toc16859 \h </w:instrText>
        </w:r>
        <w:r>
          <w:fldChar w:fldCharType="separate"/>
        </w:r>
        <w:r>
          <w:t>37</w:t>
        </w:r>
        <w:r>
          <w:fldChar w:fldCharType="end"/>
        </w:r>
      </w:hyperlink>
    </w:p>
    <w:p>
      <w:pPr>
        <w:pStyle w:val="TOC2"/>
        <w:tabs>
          <w:tab w:val="right" w:leader="dot" w:pos="8306"/>
        </w:tabs>
      </w:pPr>
      <w:hyperlink w:anchor="_Toc28150" w:history="1">
        <w:r>
          <w:rPr>
            <w:rFonts w:ascii="仿宋" w:eastAsia="仿宋" w:hAnsi="仿宋" w:cs="仿宋" w:hint="eastAsia"/>
            <w:lang w:eastAsia="zh-CN"/>
          </w:rPr>
          <w:t>(二)、风险应对策略</w:t>
        </w:r>
        <w:r>
          <w:tab/>
        </w:r>
        <w:r>
          <w:fldChar w:fldCharType="begin"/>
        </w:r>
        <w:r>
          <w:instrText xml:space="preserve"> PAGEREF _Toc28150 \h </w:instrText>
        </w:r>
        <w:r>
          <w:fldChar w:fldCharType="separate"/>
        </w:r>
        <w:r>
          <w:t>38</w:t>
        </w:r>
        <w:r>
          <w:fldChar w:fldCharType="end"/>
        </w:r>
      </w:hyperlink>
    </w:p>
    <w:p>
      <w:pPr>
        <w:pStyle w:val="TOC2"/>
        <w:tabs>
          <w:tab w:val="right" w:leader="dot" w:pos="8306"/>
        </w:tabs>
      </w:pPr>
      <w:hyperlink w:anchor="_Toc11013" w:history="1">
        <w:r>
          <w:rPr>
            <w:rFonts w:ascii="仿宋" w:eastAsia="仿宋" w:hAnsi="仿宋" w:cs="仿宋" w:hint="eastAsia"/>
            <w:lang w:eastAsia="zh-CN"/>
          </w:rPr>
          <w:t>(三)、风险监控与控制</w:t>
        </w:r>
        <w:r>
          <w:tab/>
        </w:r>
        <w:r>
          <w:fldChar w:fldCharType="begin"/>
        </w:r>
        <w:r>
          <w:instrText xml:space="preserve"> PAGEREF _Toc11013 \h </w:instrText>
        </w:r>
        <w:r>
          <w:fldChar w:fldCharType="separate"/>
        </w:r>
        <w:r>
          <w:t>40</w:t>
        </w:r>
        <w:r>
          <w:fldChar w:fldCharType="end"/>
        </w:r>
      </w:hyperlink>
    </w:p>
    <w:p>
      <w:pPr>
        <w:pStyle w:val="TOC1"/>
        <w:tabs>
          <w:tab w:val="right" w:leader="dot" w:pos="8306"/>
        </w:tabs>
      </w:pPr>
      <w:hyperlink w:anchor="_Toc6185" w:history="1">
        <w:r>
          <w:rPr>
            <w:rFonts w:ascii="仿宋" w:eastAsia="仿宋" w:hAnsi="仿宋" w:cs="仿宋" w:hint="eastAsia"/>
            <w:lang w:eastAsia="zh-CN"/>
          </w:rPr>
          <w:t>十三、质量管理体系</w:t>
        </w:r>
        <w:r>
          <w:tab/>
        </w:r>
        <w:r>
          <w:fldChar w:fldCharType="begin"/>
        </w:r>
        <w:r>
          <w:instrText xml:space="preserve"> PAGEREF _Toc6185 \h </w:instrText>
        </w:r>
        <w:r>
          <w:fldChar w:fldCharType="separate"/>
        </w:r>
        <w:r>
          <w:t>41</w:t>
        </w:r>
        <w:r>
          <w:fldChar w:fldCharType="end"/>
        </w:r>
      </w:hyperlink>
    </w:p>
    <w:p>
      <w:pPr>
        <w:pStyle w:val="TOC2"/>
        <w:tabs>
          <w:tab w:val="right" w:leader="dot" w:pos="8306"/>
        </w:tabs>
      </w:pPr>
      <w:hyperlink w:anchor="_Toc27254" w:history="1">
        <w:r>
          <w:rPr>
            <w:rFonts w:ascii="仿宋" w:eastAsia="仿宋" w:hAnsi="仿宋" w:cs="仿宋" w:hint="eastAsia"/>
            <w:lang w:eastAsia="zh-CN"/>
          </w:rPr>
          <w:t>(一)、质量目标与方针</w:t>
        </w:r>
        <w:r>
          <w:tab/>
        </w:r>
        <w:r>
          <w:fldChar w:fldCharType="begin"/>
        </w:r>
        <w:r>
          <w:instrText xml:space="preserve"> PAGEREF _Toc27254 \h </w:instrText>
        </w:r>
        <w:r>
          <w:fldChar w:fldCharType="separate"/>
        </w:r>
        <w:r>
          <w:t>41</w:t>
        </w:r>
        <w:r>
          <w:fldChar w:fldCharType="end"/>
        </w:r>
      </w:hyperlink>
    </w:p>
    <w:p>
      <w:pPr>
        <w:pStyle w:val="TOC2"/>
        <w:tabs>
          <w:tab w:val="right" w:leader="dot" w:pos="8306"/>
        </w:tabs>
      </w:pPr>
      <w:hyperlink w:anchor="_Toc21072" w:history="1">
        <w:r>
          <w:rPr>
            <w:rFonts w:ascii="仿宋" w:eastAsia="仿宋" w:hAnsi="仿宋" w:cs="仿宋" w:hint="eastAsia"/>
            <w:lang w:eastAsia="zh-CN"/>
          </w:rPr>
          <w:t>(二)、质量管理责任</w:t>
        </w:r>
        <w:r>
          <w:tab/>
        </w:r>
        <w:r>
          <w:fldChar w:fldCharType="begin"/>
        </w:r>
        <w:r>
          <w:instrText xml:space="preserve"> PAGEREF _Toc21072 \h </w:instrText>
        </w:r>
        <w:r>
          <w:fldChar w:fldCharType="separate"/>
        </w:r>
        <w:r>
          <w:t>42</w:t>
        </w:r>
        <w:r>
          <w:fldChar w:fldCharType="end"/>
        </w:r>
      </w:hyperlink>
    </w:p>
    <w:p>
      <w:pPr>
        <w:pStyle w:val="TOC2"/>
        <w:tabs>
          <w:tab w:val="right" w:leader="dot" w:pos="8306"/>
        </w:tabs>
      </w:pPr>
      <w:hyperlink w:anchor="_Toc15024" w:history="1">
        <w:r>
          <w:rPr>
            <w:rFonts w:ascii="仿宋" w:eastAsia="仿宋" w:hAnsi="仿宋" w:cs="仿宋" w:hint="eastAsia"/>
            <w:lang w:eastAsia="zh-CN"/>
          </w:rPr>
          <w:t>(三)、质量管理体系文件</w:t>
        </w:r>
        <w:r>
          <w:tab/>
        </w:r>
        <w:r>
          <w:fldChar w:fldCharType="begin"/>
        </w:r>
        <w:r>
          <w:instrText xml:space="preserve"> PAGEREF _Toc15024 \h </w:instrText>
        </w:r>
        <w:r>
          <w:fldChar w:fldCharType="separate"/>
        </w:r>
        <w:r>
          <w:t>43</w:t>
        </w:r>
        <w:r>
          <w:fldChar w:fldCharType="end"/>
        </w:r>
      </w:hyperlink>
    </w:p>
    <w:p>
      <w:pPr>
        <w:pStyle w:val="TOC2"/>
        <w:tabs>
          <w:tab w:val="right" w:leader="dot" w:pos="8306"/>
        </w:tabs>
      </w:pPr>
      <w:hyperlink w:anchor="_Toc11580" w:history="1">
        <w:r>
          <w:rPr>
            <w:rFonts w:ascii="仿宋" w:eastAsia="仿宋" w:hAnsi="仿宋" w:cs="仿宋" w:hint="eastAsia"/>
            <w:lang w:eastAsia="zh-CN"/>
          </w:rPr>
          <w:t>(四)、质量培训与教育</w:t>
        </w:r>
        <w:r>
          <w:tab/>
        </w:r>
        <w:r>
          <w:fldChar w:fldCharType="begin"/>
        </w:r>
        <w:r>
          <w:instrText xml:space="preserve"> PAGEREF _Toc11580 \h </w:instrText>
        </w:r>
        <w:r>
          <w:fldChar w:fldCharType="separate"/>
        </w:r>
        <w:r>
          <w:t>45</w:t>
        </w:r>
        <w:r>
          <w:fldChar w:fldCharType="end"/>
        </w:r>
      </w:hyperlink>
    </w:p>
    <w:p>
      <w:pPr>
        <w:pStyle w:val="TOC2"/>
        <w:tabs>
          <w:tab w:val="right" w:leader="dot" w:pos="8306"/>
        </w:tabs>
      </w:pPr>
      <w:hyperlink w:anchor="_Toc28740" w:history="1">
        <w:r>
          <w:rPr>
            <w:rFonts w:ascii="仿宋" w:eastAsia="仿宋" w:hAnsi="仿宋" w:cs="仿宋" w:hint="eastAsia"/>
            <w:lang w:eastAsia="zh-CN"/>
          </w:rPr>
          <w:t>(五)、质量审核与评价</w:t>
        </w:r>
        <w:r>
          <w:tab/>
        </w:r>
        <w:r>
          <w:fldChar w:fldCharType="begin"/>
        </w:r>
        <w:r>
          <w:instrText xml:space="preserve"> PAGEREF _Toc28740 \h </w:instrText>
        </w:r>
        <w:r>
          <w:fldChar w:fldCharType="separate"/>
        </w:r>
        <w:r>
          <w:t>46</w:t>
        </w:r>
        <w:r>
          <w:fldChar w:fldCharType="end"/>
        </w:r>
      </w:hyperlink>
    </w:p>
    <w:p>
      <w:pPr>
        <w:pStyle w:val="TOC2"/>
        <w:tabs>
          <w:tab w:val="right" w:leader="dot" w:pos="8306"/>
        </w:tabs>
      </w:pPr>
      <w:hyperlink w:anchor="_Toc15894" w:history="1">
        <w:r>
          <w:rPr>
            <w:rFonts w:ascii="仿宋" w:eastAsia="仿宋" w:hAnsi="仿宋" w:cs="仿宋" w:hint="eastAsia"/>
            <w:lang w:eastAsia="zh-CN"/>
          </w:rPr>
          <w:t>(六)、不符合与纠正措施</w:t>
        </w:r>
        <w:r>
          <w:tab/>
        </w:r>
        <w:r>
          <w:fldChar w:fldCharType="begin"/>
        </w:r>
        <w:r>
          <w:instrText xml:space="preserve"> PAGEREF _Toc15894 \h </w:instrText>
        </w:r>
        <w:r>
          <w:fldChar w:fldCharType="separate"/>
        </w:r>
        <w:r>
          <w:t>47</w:t>
        </w:r>
        <w:r>
          <w:fldChar w:fldCharType="end"/>
        </w:r>
      </w:hyperlink>
    </w:p>
    <w:p>
      <w:pPr>
        <w:pStyle w:val="TOC1"/>
        <w:tabs>
          <w:tab w:val="right" w:leader="dot" w:pos="8306"/>
        </w:tabs>
      </w:pPr>
      <w:hyperlink w:anchor="_Toc6933" w:history="1">
        <w:r>
          <w:rPr>
            <w:rFonts w:ascii="仿宋" w:eastAsia="仿宋" w:hAnsi="仿宋" w:cs="仿宋" w:hint="eastAsia"/>
            <w:lang w:eastAsia="zh-CN"/>
          </w:rPr>
          <w:t>十四、营销与推广策略</w:t>
        </w:r>
        <w:r>
          <w:tab/>
        </w:r>
        <w:r>
          <w:fldChar w:fldCharType="begin"/>
        </w:r>
        <w:r>
          <w:instrText xml:space="preserve"> PAGEREF _Toc6933 \h </w:instrText>
        </w:r>
        <w:r>
          <w:fldChar w:fldCharType="separate"/>
        </w:r>
        <w:r>
          <w:t>49</w:t>
        </w:r>
        <w:r>
          <w:fldChar w:fldCharType="end"/>
        </w:r>
      </w:hyperlink>
    </w:p>
    <w:p>
      <w:pPr>
        <w:pStyle w:val="TOC2"/>
        <w:tabs>
          <w:tab w:val="right" w:leader="dot" w:pos="8306"/>
        </w:tabs>
      </w:pPr>
      <w:hyperlink w:anchor="_Toc20265" w:history="1">
        <w:r>
          <w:rPr>
            <w:rFonts w:ascii="仿宋" w:eastAsia="仿宋" w:hAnsi="仿宋" w:cs="仿宋" w:hint="eastAsia"/>
            <w:lang w:eastAsia="zh-CN"/>
          </w:rPr>
          <w:t>(一)、产品/服务定位与特点</w:t>
        </w:r>
        <w:r>
          <w:tab/>
        </w:r>
        <w:r>
          <w:fldChar w:fldCharType="begin"/>
        </w:r>
        <w:r>
          <w:instrText xml:space="preserve"> PAGEREF _Toc20265 \h </w:instrText>
        </w:r>
        <w:r>
          <w:fldChar w:fldCharType="separate"/>
        </w:r>
        <w:r>
          <w:t>49</w:t>
        </w:r>
        <w:r>
          <w:fldChar w:fldCharType="end"/>
        </w:r>
      </w:hyperlink>
    </w:p>
    <w:p>
      <w:pPr>
        <w:pStyle w:val="TOC2"/>
        <w:tabs>
          <w:tab w:val="right" w:leader="dot" w:pos="8306"/>
        </w:tabs>
      </w:pPr>
      <w:hyperlink w:anchor="_Toc13927" w:history="1">
        <w:r>
          <w:rPr>
            <w:rFonts w:ascii="仿宋" w:eastAsia="仿宋" w:hAnsi="仿宋" w:cs="仿宋" w:hint="eastAsia"/>
            <w:lang w:eastAsia="zh-CN"/>
          </w:rPr>
          <w:t>(二)、市场定位与竞争分析</w:t>
        </w:r>
        <w:r>
          <w:tab/>
        </w:r>
        <w:r>
          <w:fldChar w:fldCharType="begin"/>
        </w:r>
        <w:r>
          <w:instrText xml:space="preserve"> PAGEREF _Toc13927 \h </w:instrText>
        </w:r>
        <w:r>
          <w:fldChar w:fldCharType="separate"/>
        </w:r>
        <w:r>
          <w:t>50</w:t>
        </w:r>
        <w:r>
          <w:fldChar w:fldCharType="end"/>
        </w:r>
      </w:hyperlink>
    </w:p>
    <w:p>
      <w:pPr>
        <w:pStyle w:val="TOC2"/>
        <w:tabs>
          <w:tab w:val="right" w:leader="dot" w:pos="8306"/>
        </w:tabs>
      </w:pPr>
      <w:hyperlink w:anchor="_Toc2092" w:history="1">
        <w:r>
          <w:rPr>
            <w:rFonts w:ascii="仿宋" w:eastAsia="仿宋" w:hAnsi="仿宋" w:cs="仿宋" w:hint="eastAsia"/>
            <w:lang w:eastAsia="zh-CN"/>
          </w:rPr>
          <w:t>(三)、营销渠道与策略</w:t>
        </w:r>
        <w:r>
          <w:tab/>
        </w:r>
        <w:r>
          <w:fldChar w:fldCharType="begin"/>
        </w:r>
        <w:r>
          <w:instrText xml:space="preserve"> PAGEREF _Toc2092 \h </w:instrText>
        </w:r>
        <w:r>
          <w:fldChar w:fldCharType="separate"/>
        </w:r>
        <w:r>
          <w:t>51</w:t>
        </w:r>
        <w:r>
          <w:fldChar w:fldCharType="end"/>
        </w:r>
      </w:hyperlink>
    </w:p>
    <w:p>
      <w:pPr>
        <w:pStyle w:val="TOC2"/>
        <w:tabs>
          <w:tab w:val="right" w:leader="dot" w:pos="8306"/>
        </w:tabs>
      </w:pPr>
      <w:hyperlink w:anchor="_Toc1686" w:history="1">
        <w:r>
          <w:rPr>
            <w:rFonts w:ascii="仿宋" w:eastAsia="仿宋" w:hAnsi="仿宋" w:cs="仿宋" w:hint="eastAsia"/>
            <w:lang w:eastAsia="zh-CN"/>
          </w:rPr>
          <w:t>(四)、推广与宣传活动</w:t>
        </w:r>
        <w:r>
          <w:tab/>
        </w:r>
        <w:r>
          <w:fldChar w:fldCharType="begin"/>
        </w:r>
        <w:r>
          <w:instrText xml:space="preserve"> PAGEREF _Toc1686 \h </w:instrText>
        </w:r>
        <w:r>
          <w:fldChar w:fldCharType="separate"/>
        </w:r>
        <w:r>
          <w:t>52</w:t>
        </w:r>
        <w:r>
          <w:fldChar w:fldCharType="end"/>
        </w:r>
      </w:hyperlink>
    </w:p>
    <w:p>
      <w:pPr>
        <w:pStyle w:val="TOC1"/>
        <w:tabs>
          <w:tab w:val="right" w:leader="dot" w:pos="8306"/>
        </w:tabs>
      </w:pPr>
      <w:hyperlink w:anchor="_Toc20890" w:history="1">
        <w:r>
          <w:rPr>
            <w:rFonts w:ascii="仿宋" w:eastAsia="仿宋" w:hAnsi="仿宋" w:cs="仿宋" w:hint="eastAsia"/>
            <w:lang w:eastAsia="zh-CN"/>
          </w:rPr>
          <w:t>十五、风险识别与分类</w:t>
        </w:r>
        <w:r>
          <w:tab/>
        </w:r>
        <w:r>
          <w:fldChar w:fldCharType="begin"/>
        </w:r>
        <w:r>
          <w:instrText xml:space="preserve"> PAGEREF _Toc20890 \h </w:instrText>
        </w:r>
        <w:r>
          <w:fldChar w:fldCharType="separate"/>
        </w:r>
        <w:r>
          <w:t>58</w:t>
        </w:r>
        <w:r>
          <w:fldChar w:fldCharType="end"/>
        </w:r>
      </w:hyperlink>
    </w:p>
    <w:p>
      <w:pPr>
        <w:pStyle w:val="TOC2"/>
        <w:tabs>
          <w:tab w:val="right" w:leader="dot" w:pos="8306"/>
        </w:tabs>
      </w:pPr>
      <w:hyperlink w:anchor="_Toc31093" w:history="1">
        <w:r>
          <w:rPr>
            <w:rFonts w:ascii="仿宋" w:eastAsia="仿宋" w:hAnsi="仿宋" w:cs="仿宋" w:hint="eastAsia"/>
            <w:lang w:eastAsia="zh-CN"/>
          </w:rPr>
          <w:t>(一)、风险识别</w:t>
        </w:r>
        <w:r>
          <w:tab/>
        </w:r>
        <w:r>
          <w:fldChar w:fldCharType="begin"/>
        </w:r>
        <w:r>
          <w:instrText xml:space="preserve"> PAGEREF _Toc31093 \h </w:instrText>
        </w:r>
        <w:r>
          <w:fldChar w:fldCharType="separate"/>
        </w:r>
        <w:r>
          <w:t>58</w:t>
        </w:r>
        <w:r>
          <w:fldChar w:fldCharType="end"/>
        </w:r>
      </w:hyperlink>
    </w:p>
    <w:p>
      <w:pPr>
        <w:pStyle w:val="TOC2"/>
        <w:tabs>
          <w:tab w:val="right" w:leader="dot" w:pos="8306"/>
        </w:tabs>
      </w:pPr>
      <w:hyperlink w:anchor="_Toc5152" w:history="1">
        <w:r>
          <w:rPr>
            <w:rFonts w:ascii="仿宋" w:eastAsia="仿宋" w:hAnsi="仿宋" w:cs="仿宋" w:hint="eastAsia"/>
            <w:lang w:eastAsia="zh-CN"/>
          </w:rPr>
          <w:t>(二)、风险分类</w:t>
        </w:r>
        <w:r>
          <w:tab/>
        </w:r>
        <w:r>
          <w:fldChar w:fldCharType="begin"/>
        </w:r>
        <w:r>
          <w:instrText xml:space="preserve"> PAGEREF _Toc5152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05"/>
      <w:r>
        <w:rPr>
          <w:rFonts w:ascii="仿宋" w:eastAsia="仿宋" w:hAnsi="仿宋" w:cs="仿宋" w:hint="eastAsia"/>
          <w:sz w:val="28"/>
          <w:lang w:eastAsia="zh-CN"/>
        </w:rPr>
        <w:t>一、涂料增稠剂项目文档管理</w:t>
      </w:r>
      <w:bookmarkEnd w:id="2"/>
    </w:p>
    <w:p>
      <w:pPr>
        <w:pStyle w:val="Heading2"/>
        <w:rPr>
          <w:rFonts w:ascii="仿宋" w:eastAsia="仿宋" w:hAnsi="仿宋" w:cs="仿宋" w:hint="eastAsia"/>
          <w:lang w:eastAsia="zh-CN"/>
        </w:rPr>
      </w:pPr>
      <w:bookmarkStart w:id="3" w:name="_Toc323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涂料增稠剂项目高度重视文档的质量和准确性，以支持涂料增稠剂项目的各项活动和决策。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文档的编制始于涂料增稠剂项目计划的初期，我们制定了详细的文档编制计划，明确了每个文档的内容、格式和编写责任人。在涂料增稠剂项目启动阶段，我们首先编制了涂料增稠剂项目章程，明确定义了涂料增稠剂项目的目标、范围、风险等关键要素。随后，涂料增稠剂项目团队根据计划陆续编制了需求文档、设计文档、测试文档等各类文档，确保涂料增稠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料增稠剂项目管理中的重要环节，旨在确保涂料增稠剂项目文档符合质量标准和涂料增稠剂项目需求。在涂料增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料增稠剂项目相关利益方和专业领域的专家对文档进行独立审查。这有助于获取更全面、客观的反馈，确保涂料增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涂料增稠剂项目在文档编制与审查方面建立了严格的管理机制，通过规范的流程和多维度的审查，确保涂料增稠剂项目文档的质量、准确性和可靠性，为涂料增稠剂项目的顺利推进提供了有力支持。</w:t>
      </w:r>
    </w:p>
    <w:p>
      <w:pPr>
        <w:pStyle w:val="Heading2"/>
        <w:ind w:firstLine="560" w:firstLineChars="200"/>
        <w:rPr>
          <w:rFonts w:ascii="仿宋" w:eastAsia="仿宋" w:hAnsi="仿宋" w:cs="仿宋" w:hint="eastAsia"/>
          <w:sz w:val="28"/>
          <w:lang w:eastAsia="zh-CN"/>
        </w:rPr>
      </w:pPr>
      <w:bookmarkStart w:id="4" w:name="_Toc87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我们通过多渠道发布文档，包括电子邮件、涂料增稠剂项目管理平台、内部网站等，以满足不同团队成员的偏好和需求。多渠道发布确保了信息的全面覆盖。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我们采用了精细的权限控制，确保只有授权人员可以访问敏感信息。这种安全措施保护了涂料增稠剂项目文档的机密性，防止了未经授权的信息泄露。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文档存档与归档是涂料增稠剂项目生命周期中一个至关重要的环节，直接关系到涂料增稠剂项目信息的长期保存和历史记录的完整性。在涂料增稠剂项目中，我们实施了一系列有效的文档存档与归档管理策略：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74"/>
      <w:r>
        <w:rPr>
          <w:rFonts w:ascii="仿宋" w:eastAsia="仿宋" w:hAnsi="仿宋" w:cs="仿宋" w:hint="eastAsia"/>
          <w:sz w:val="28"/>
          <w:lang w:eastAsia="zh-CN"/>
        </w:rPr>
        <w:t>二、涂料增稠剂项目可持续发展</w:t>
      </w:r>
      <w:bookmarkEnd w:id="6"/>
    </w:p>
    <w:p>
      <w:pPr>
        <w:pStyle w:val="Heading2"/>
        <w:rPr>
          <w:rFonts w:ascii="仿宋" w:eastAsia="仿宋" w:hAnsi="仿宋" w:cs="仿宋" w:hint="eastAsia"/>
          <w:lang w:eastAsia="zh-CN"/>
        </w:rPr>
      </w:pPr>
      <w:bookmarkStart w:id="7" w:name="_Toc2170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中，涂料增稠剂项目团队着眼于未来，明确了可持续发展的战略方向。制定的具体可持续发展目标包括降低资源使用、采用环保技术、最大化社会效益等。这一步骤不仅有助于涂料增稠剂项目在环保和社会责任方面达到最高标准，也为未来提供了明确的指引，确保涂料增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可持续实践的融入涂料增稠剂项目管理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料增稠剂项目管理周期。从涂料增稠剂项目规划开始，涂料增稠剂项目团队就考虑了环境和社会的因素。在执行阶段，涂料增稠剂项目团队积极推动绿色技术的应用，优化资源利用。此外，关注员工的社会责任，通过培训和沟通活动提高员工对可持续发展的认知，使他们能够在日常工作中践行可持续实践。这些举措不仅为涂料增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50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扎根于涂料增稠剂项目的可持续发展理念，我们深信环保与社会责任是涂料增稠剂项目成功的关键支柱。在涂料增稠剂项目的每一步，我们都致力于通过创新和实践，履行对环境和社会的坚定责任。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团队通过引入先进的环保技术、建立高效的废物处理系统以及推动能源节约措施，积极履行环保责任。定期的环保监测和评估确保涂料增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不仅致力于自身可持续发展，还注重对社会的回馈。通过支持社区涂料增稠剂项目、参与慈善事业、提供培训机会等方式，涂料增稠剂项目积极履行社会责任。与当地社区建立积极互动，关注员工的工作与生活平衡，以及员工的身心健康，是涂料增稠剂项目在社会责任层面的关键举措。这样的实践不仅增强了涂料增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149"/>
      <w:r>
        <w:rPr>
          <w:rFonts w:ascii="仿宋" w:eastAsia="仿宋" w:hAnsi="仿宋" w:cs="仿宋" w:hint="eastAsia"/>
          <w:sz w:val="28"/>
          <w:lang w:eastAsia="zh-CN"/>
        </w:rPr>
        <w:t>三、涂料增稠剂项目选址可行性分析</w:t>
      </w:r>
      <w:bookmarkEnd w:id="9"/>
    </w:p>
    <w:p>
      <w:pPr>
        <w:pStyle w:val="Heading2"/>
        <w:rPr>
          <w:rFonts w:ascii="仿宋" w:eastAsia="仿宋" w:hAnsi="仿宋" w:cs="仿宋" w:hint="eastAsia"/>
          <w:lang w:eastAsia="zh-CN"/>
        </w:rPr>
      </w:pPr>
      <w:bookmarkStart w:id="10" w:name="_Toc20016"/>
      <w:r>
        <w:rPr>
          <w:rFonts w:ascii="仿宋" w:eastAsia="仿宋" w:hAnsi="仿宋" w:cs="仿宋" w:hint="eastAsia"/>
          <w:lang w:eastAsia="zh-CN"/>
        </w:rPr>
        <w:t>(一)、涂料增稠剂项目选址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该涂料增稠剂项目选址位于XX省XX市XX区XXX街道</w:t>
      </w:r>
    </w:p>
    <w:p>
      <w:pPr>
        <w:pStyle w:val="Heading2"/>
        <w:ind w:firstLine="560" w:firstLineChars="200"/>
        <w:rPr>
          <w:rFonts w:ascii="仿宋" w:eastAsia="仿宋" w:hAnsi="仿宋" w:cs="仿宋" w:hint="eastAsia"/>
          <w:sz w:val="28"/>
          <w:lang w:eastAsia="zh-CN"/>
        </w:rPr>
      </w:pPr>
      <w:bookmarkStart w:id="11" w:name="_Toc117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涂料增稠剂项目的征地面积将根据涂料增稠剂项目的实际规模和需求进行精确规划。具体面积XXX平方米，旨在确保涂料增稠剂项目不仅能够满足当前的发展需求，还能够预留空间以适应未来的扩展。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净用地面积是在征地面积基础上去除不可利用面积后的实际可开发用地。具体面积XXX平方米，考虑到环保、交通、安全等多方面因素，以确保涂料增稠剂项目在整体利用效率上达到最优。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涂料增稠剂项目计划建设的建筑总规模具体面积XXX平方米。这一规模的确定综合考虑了涂料增稠剂项目的性质、规模，以及城市规划的相关要求，确保建筑布局与周边环境协调一致。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绿地率是涂料增稠剂项目用地中被规划为绿地的比例。具体面积XXX平方米，旨在通过合理规划绿地，改善涂料增稠剂项目周边环境，提升居民生活质量，并符合城市整体绿化规划。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容积率是用地上可以建设的建筑总体积与用地面积之比。具体面积XXX，通过合理的容积率规划，确保涂料增稠剂项目建筑规模与周边环境和谐共生。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增稠剂项目选址与当地城市规划相一致，具体面积XXX平方米。通过与城市规划部门深入沟通，确保涂料增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增稠剂项目选址符合当地产业政策，具体面积XXX平方米。这包括涂料增稠剂项目对当地经济的促进作用，以及对相关产业的带动效应，确保涂料增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用地总体要求必须符合环保和可持续发展的原则，具体面积XXX平方米。通过采用绿色建筑设计、节能减排等措施，确保涂料增稠剂项目在建设和运营过程中对环境的影响最小化，达到可持续发展的要求。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确保涂料增稠剂项目选址具备必要的公共设施配套，具体面积XXX平方米。这包括交通便利性、教育、医疗等基础设施，以提高居民生活品质，使得涂料增稠剂项目选址更具吸引力。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考虑用地总体要求对当地社会稳定性的影响，具体面积XXX平方米。通过深入了解当地社区反馈，确保涂料增稠剂项目的选址和建设过程对当地社会和谐稳定产生积极作用。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增稠剂项目选址不仅符合法规和规划，还在实际操作中具有可行性。这一全面规划将为涂料增稠剂项目的成功实施提供坚实的基础，确保涂料增稠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4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增稠剂项目的设备规划和空间设计中，我们将采取灵活设备布局的措施。设备布局将根据实际需求进行灵活设计，避免不必要的浪费。通过合理规划设备摆放位置，我们将提高设备的利用率，减少设备间距，以确保涂料增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增稠剂项目内部引入共享设施的概念，例如共享会议室、办公区等。通过这种方式，我们可以减少对资源的重复建设，提高资源共享效率，从而减小涂料增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1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增稠剂项目的总图布置中，我们将不同功能区域进行明确的规划，以最大程度满足涂料增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55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增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涂料增稠剂项目对环境的影响是综合评价的重要因素之一。我们将详细考虑选址周边的自然环境、生态保护区、水源地等情况，确保涂料增稠剂项目的建设和运营对环境影响最小化，并符合当地的环保法规标准。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对选址的评价还需充分考虑当地政府的产业政策和法规。我们将详细了解涂料增稠剂项目所在地的相关政策，确保涂料增稠剂项目的规划和运营与当地法规相符，降低不必要的法律风险。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考虑到社会稳定性对企业运营的重要性，我们将评估选址地区的社会安全情况、劳工关系、社区反馈等方面，以确保涂料增稠剂项目的建设和运营不会受到社会稳定性的负面影响。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最后，我们将综合考虑用地成本，包括土地购置费用、土地开发成本等。通过对用地成本的详细评估，我们能够做出更为精确的经济效益分析，为涂料增稠剂项目的投资决策提供有力支持。</w:t>
      </w:r>
    </w:p>
    <w:p>
      <w:pPr>
        <w:pStyle w:val="Heading1"/>
        <w:ind w:firstLine="560" w:firstLineChars="200"/>
        <w:rPr>
          <w:rFonts w:ascii="仿宋" w:eastAsia="仿宋" w:hAnsi="仿宋" w:cs="仿宋" w:hint="eastAsia"/>
          <w:sz w:val="28"/>
          <w:lang w:eastAsia="zh-CN"/>
        </w:rPr>
      </w:pPr>
      <w:bookmarkStart w:id="15" w:name="_Toc32555"/>
      <w:r>
        <w:rPr>
          <w:rFonts w:ascii="仿宋" w:eastAsia="仿宋" w:hAnsi="仿宋" w:cs="仿宋" w:hint="eastAsia"/>
          <w:sz w:val="28"/>
          <w:lang w:eastAsia="zh-CN"/>
        </w:rPr>
        <w:t>四、涂料增稠剂项目建设背景及必要性分析</w:t>
      </w:r>
      <w:bookmarkEnd w:id="15"/>
    </w:p>
    <w:p>
      <w:pPr>
        <w:pStyle w:val="Heading2"/>
        <w:rPr>
          <w:rFonts w:ascii="仿宋" w:eastAsia="仿宋" w:hAnsi="仿宋" w:cs="仿宋" w:hint="eastAsia"/>
          <w:lang w:eastAsia="zh-CN"/>
        </w:rPr>
      </w:pPr>
      <w:bookmarkStart w:id="16" w:name="_Toc3750"/>
      <w:r>
        <w:rPr>
          <w:rFonts w:ascii="仿宋" w:eastAsia="仿宋" w:hAnsi="仿宋" w:cs="仿宋" w:hint="eastAsia"/>
          <w:lang w:eastAsia="zh-CN"/>
        </w:rPr>
        <w:t>(一)、涂料增稠剂项目背景分析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增稠剂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增稠剂项目在这个潮流中的定位。同时，我们将关注行业内涌现的新兴机遇，以便涂料增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增稠剂项目提供了强大的发展动力。我们将聚焦于行业内最新的技术发展趋势，包括但不限于人工智能、大数据分析、物联网等领域。通过深度的技术研究，我们将确保涂料增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增稠剂项目发展的源泉。我们将投入更多的精力对市场需求进行深入剖析，超越表面的需求，深入挖掘潜在的市场痛点和机遇。通过对市场需求的细致了解，涂料增稠剂项目将更有针对性地设计解决方案，满足市场的多样化需求，从而更好地促进涂料增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增稠剂项目战略至关重要。我们将对竞争态势进行更为深入的分析，包括但不限于市场份额、产品特点、客户满意度等多个维度。通过深度的竞争分析，涂料增稠剂项目将能够更准确地把握市场脉搏，制定具有竞争力的涂料增稠剂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增稠剂项目的发展具有直接的影响。我们将进行更为全面的法规和政策分析，了解行业发展中的潜在法律风险和合规挑战。通过充分了解和遵守相关法规，涂料增稠剂项目将确保在法律框架内合法合规运营，为涂料增稠剂项目的稳健发展提供有力支持。</w:t>
      </w:r>
    </w:p>
    <w:p>
      <w:pPr>
        <w:pStyle w:val="Heading2"/>
        <w:ind w:firstLine="560" w:firstLineChars="200"/>
        <w:rPr>
          <w:rFonts w:ascii="仿宋" w:eastAsia="仿宋" w:hAnsi="仿宋" w:cs="仿宋" w:hint="eastAsia"/>
          <w:sz w:val="28"/>
          <w:lang w:eastAsia="zh-CN"/>
        </w:rPr>
      </w:pPr>
      <w:bookmarkStart w:id="17" w:name="_Toc19533"/>
      <w:r>
        <w:rPr>
          <w:rFonts w:ascii="仿宋" w:eastAsia="仿宋" w:hAnsi="仿宋" w:cs="仿宋" w:hint="eastAsia"/>
          <w:sz w:val="28"/>
          <w:lang w:eastAsia="zh-CN"/>
        </w:rPr>
        <w:t>(二)、涂料增稠剂项目建设必要性分析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建设的迫切性源于对行业发展趋势的深刻洞察。我们正处于一个行业变革的时代，科技创新、数字化转型成为企业发展的关键动力。涂料增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建设不仅仅是为了跟上潮流，更是为了通过技术创新推动企业的持续发展。通过引入先进的技术和解决方案，涂料增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增稠剂项目的建设成为必然选择，通过提高产品质量、拓展服务领域，从而在竞争中获得更多的机会。涂料增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增稠剂项目建设的必要性体现在对客户需求更精准的满足。通过涂料增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建设的背后是对企业持续创新的追求。只有通过不断创新，企业才能在竞争中立于不败之地。涂料增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4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337"/>
      <w:r>
        <w:rPr>
          <w:rFonts w:ascii="仿宋" w:eastAsia="仿宋" w:hAnsi="仿宋" w:cs="仿宋" w:hint="eastAsia"/>
          <w:lang w:eastAsia="zh-CN"/>
        </w:rPr>
        <w:t>(一)、涂料增稠剂行业分析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行业一直以来都是市场的关注焦点。行业内的发展趋势、竞争态势以及潜在机会都对涂料增稠剂项目的推进产生深远的影响。通过深入研究行业的整体概貌，我们将更好地理解行业的核心特征，为涂料增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https://d.book118.com/946241102214010050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F0ACA"/>
    <w:rsid w:val="5D8F0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41102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2024-02-10T05:33:00Z</dcterms:created>
  <dcterms:modified xsi:type="dcterms:W3CDTF">2024-02-10T05:34:06Z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93A0BF94339D489FBC2E555A9F1E6503_11</vt:lpwstr>
  </property>
  <property fmtid="{D5CDD505-2E9C-101B-9397-08002B2CF9AE}" pid="3" name="KSOProductBuildVer">
    <vt:lpwstr>2052-12.1.0.16250</vt:lpwstr>
  </property>
</Properties>
</file>