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t>房地产估价技术报告</w:t>
      </w:r>
    </w:p>
    <w:p>
      <w:pPr>
        <w:pStyle w:val="BodyText"/>
        <w:rPr>
          <w:b/>
          <w:sz w:val="20"/>
        </w:rPr>
      </w:pPr>
    </w:p>
    <w:p>
      <w:pPr>
        <w:pStyle w:val="Heading2"/>
        <w:spacing w:before="218"/>
        <w:ind w:left="2067"/>
      </w:pPr>
      <w:r>
        <w:t>一、估价程序</w:t>
      </w:r>
    </w:p>
    <w:p>
      <w:pPr>
        <w:pStyle w:val="BodyText"/>
        <w:spacing w:before="339"/>
        <w:ind w:left="2070"/>
      </w:pPr>
      <w:r>
        <w:t>（一）选定专业人员组成评估小组；</w:t>
      </w:r>
    </w:p>
    <w:p>
      <w:pPr>
        <w:pStyle w:val="BodyText"/>
        <w:spacing w:before="339"/>
        <w:ind w:left="2067"/>
      </w:pPr>
      <w:r>
        <w:t>（二）现场勘察，收集相关市场资料；</w:t>
      </w:r>
    </w:p>
    <w:p>
      <w:pPr>
        <w:pStyle w:val="BodyText"/>
        <w:spacing w:before="9"/>
        <w:rPr>
          <w:sz w:val="26"/>
        </w:rPr>
      </w:pPr>
    </w:p>
    <w:p>
      <w:pPr>
        <w:pStyle w:val="BodyText"/>
        <w:ind w:left="2067"/>
      </w:pPr>
      <w:r>
        <w:t>（三）调查核实有关法律文件，制定评估工作计划；</w:t>
      </w:r>
    </w:p>
    <w:p>
      <w:pPr>
        <w:spacing w:before="340" w:line="403" w:lineRule="auto"/>
        <w:ind w:left="1872" w:right="7800" w:firstLine="195"/>
        <w:jc w:val="left"/>
        <w:rPr>
          <w:b/>
          <w:sz w:val="39"/>
        </w:rPr>
      </w:pPr>
      <w:r>
        <w:rPr>
          <w:w w:val="95"/>
          <w:sz w:val="39"/>
        </w:rPr>
        <w:t>（四）</w:t>
      </w:r>
      <w:r>
        <w:rPr>
          <w:spacing w:val="-2"/>
          <w:w w:val="95"/>
          <w:sz w:val="39"/>
        </w:rPr>
        <w:t>进行评定估算，完成评估报告。</w:t>
      </w:r>
      <w:r>
        <w:rPr>
          <w:b/>
          <w:sz w:val="39"/>
        </w:rPr>
        <w:t>二、个别因素分析</w:t>
      </w:r>
    </w:p>
    <w:p>
      <w:pPr>
        <w:pStyle w:val="BodyText"/>
        <w:spacing w:before="3" w:line="403" w:lineRule="auto"/>
        <w:ind w:left="2654" w:right="11106" w:hanging="782"/>
      </w:pPr>
      <w:r>
        <w:t>（一）</w:t>
      </w:r>
      <w:r>
        <w:rPr>
          <w:spacing w:val="-4"/>
        </w:rPr>
        <w:t>个别因素分析</w:t>
      </w:r>
      <w:r>
        <w:t>1、估价对象</w:t>
      </w:r>
    </w:p>
    <w:p>
      <w:pPr>
        <w:pStyle w:val="BodyText"/>
        <w:spacing w:line="452" w:lineRule="exact"/>
        <w:ind w:left="2628"/>
      </w:pPr>
      <w:r>
        <w:drawing>
          <wp:anchor distT="0" distB="0" distL="0" distR="0" simplePos="0" relativeHeight="251658240" behindDoc="1" locked="0" layoutInCell="1" allowOverlap="1">
            <wp:simplePos x="0" y="0"/>
            <wp:positionH relativeFrom="page">
              <wp:posOffset>4381500</wp:posOffset>
            </wp:positionH>
            <wp:positionV relativeFrom="paragraph">
              <wp:posOffset>329088</wp:posOffset>
            </wp:positionV>
            <wp:extent cx="3683000" cy="5080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3683000" cy="508000"/>
                    </a:xfrm>
                    <a:prstGeom prst="rect">
                      <a:avLst/>
                    </a:prstGeom>
                  </pic:spPr>
                </pic:pic>
              </a:graphicData>
            </a:graphic>
          </wp:anchor>
        </w:drawing>
      </w:r>
      <w:r>
        <w:t>估价对象是位于贵阳市野鸭乡上寨村的11228.7</w:t>
      </w:r>
      <w:r>
        <w:rPr>
          <w:spacing w:val="-52"/>
        </w:rPr>
        <w:t xml:space="preserve"> 平方米房屋</w:t>
      </w:r>
      <w:r>
        <w:t>（</w:t>
      </w:r>
      <w:r>
        <w:rPr>
          <w:spacing w:val="-29"/>
        </w:rPr>
        <w:t xml:space="preserve">其中的 </w:t>
      </w:r>
      <w:r>
        <w:t>5,296.25</w:t>
      </w:r>
    </w:p>
    <w:p>
      <w:pPr>
        <w:pStyle w:val="BodyText"/>
        <w:spacing w:before="281" w:line="374" w:lineRule="auto"/>
        <w:ind w:left="1872" w:right="830"/>
        <w:jc w:val="both"/>
      </w:pPr>
      <w:r>
        <w:t>平方米办理了房屋所有权证，5500.00</w:t>
      </w:r>
      <w:r>
        <w:rPr>
          <w:spacing w:val="-12"/>
        </w:rPr>
        <w:t xml:space="preserve"> 平方米办理了规划许可证</w:t>
      </w:r>
      <w:r>
        <w:rPr>
          <w:spacing w:val="-3"/>
        </w:rPr>
        <w:t>），13,060.00</w:t>
      </w:r>
      <w:r>
        <w:rPr>
          <w:spacing w:val="-67"/>
        </w:rPr>
        <w:t xml:space="preserve"> 平</w:t>
      </w:r>
      <w:r>
        <w:rPr>
          <w:spacing w:val="-4"/>
        </w:rPr>
        <w:t xml:space="preserve">方米工业用地土地使用，挡土墙等 </w:t>
      </w:r>
      <w:r>
        <w:t>14</w:t>
      </w:r>
      <w:r>
        <w:rPr>
          <w:spacing w:val="-13"/>
        </w:rPr>
        <w:t xml:space="preserve"> 项构筑物，</w:t>
      </w:r>
      <w:r>
        <w:t>2</w:t>
      </w:r>
      <w:r>
        <w:rPr>
          <w:spacing w:val="-15"/>
        </w:rPr>
        <w:t xml:space="preserve"> 项管道，</w:t>
      </w:r>
      <w:r>
        <w:t>49</w:t>
      </w:r>
      <w:r>
        <w:rPr>
          <w:spacing w:val="-12"/>
        </w:rPr>
        <w:t xml:space="preserve"> 项机器设备，</w:t>
      </w:r>
      <w:r>
        <w:rPr>
          <w:spacing w:val="-4"/>
        </w:rPr>
        <w:t xml:space="preserve">237 </w:t>
      </w:r>
      <w:r>
        <w:t>项存货（详见评估明细表）。</w:t>
      </w:r>
    </w:p>
    <w:p>
      <w:pPr>
        <w:pStyle w:val="BodyText"/>
        <w:spacing w:before="2"/>
        <w:ind w:left="2654"/>
      </w:pPr>
      <w:r>
        <w:t>2、产权状况</w:t>
      </w:r>
    </w:p>
    <w:p>
      <w:pPr>
        <w:pStyle w:val="BodyText"/>
        <w:spacing w:before="278"/>
        <w:ind w:left="2650"/>
      </w:pPr>
      <w:r>
        <w:t>委估厂房办理了筑房权证高新字第 0145 号《房屋所有权证》，黔筑高新国用</w:t>
      </w:r>
    </w:p>
    <w:p>
      <w:pPr>
        <w:pStyle w:val="BodyText"/>
        <w:spacing w:before="282" w:line="374" w:lineRule="auto"/>
        <w:ind w:left="1872" w:right="809"/>
      </w:pPr>
      <w:r>
        <w:t>（2004）</w:t>
      </w:r>
      <w:r>
        <w:rPr>
          <w:spacing w:val="-62"/>
        </w:rPr>
        <w:t xml:space="preserve">第 </w:t>
      </w:r>
      <w:r>
        <w:t>27</w:t>
      </w:r>
      <w:r>
        <w:rPr>
          <w:spacing w:val="-13"/>
        </w:rPr>
        <w:t xml:space="preserve"> 号《国有土地使用证》，地类用途为工业，使用权类型为出让，终</w:t>
      </w:r>
      <w:r>
        <w:t>止日期：2047</w:t>
      </w:r>
      <w:r>
        <w:rPr>
          <w:spacing w:val="-65"/>
        </w:rPr>
        <w:t xml:space="preserve"> 年 </w:t>
      </w:r>
      <w:r>
        <w:t>4</w:t>
      </w:r>
      <w:r>
        <w:rPr>
          <w:spacing w:val="-33"/>
        </w:rPr>
        <w:t xml:space="preserve"> 月。</w:t>
      </w:r>
    </w:p>
    <w:p>
      <w:pPr>
        <w:pStyle w:val="BodyText"/>
        <w:spacing w:line="499" w:lineRule="exact"/>
        <w:ind w:left="2654"/>
      </w:pPr>
      <w:r>
        <w:t>3、估价对象个别特征</w:t>
      </w:r>
    </w:p>
    <w:p>
      <w:pPr>
        <w:pStyle w:val="ListParagraph"/>
        <w:numPr>
          <w:ilvl w:val="0"/>
          <w:numId w:val="12"/>
        </w:numPr>
        <w:tabs>
          <w:tab w:val="left" w:pos="3627"/>
        </w:tabs>
        <w:spacing w:before="281" w:after="0" w:line="240" w:lineRule="auto"/>
        <w:ind w:left="3626" w:right="0" w:hanging="973"/>
        <w:jc w:val="left"/>
        <w:rPr>
          <w:sz w:val="39"/>
        </w:rPr>
      </w:pPr>
      <w:r>
        <w:rPr>
          <w:sz w:val="39"/>
        </w:rPr>
        <w:t>、厂房</w:t>
      </w:r>
    </w:p>
    <w:p>
      <w:pPr>
        <w:pStyle w:val="BodyText"/>
        <w:spacing w:before="282"/>
        <w:ind w:left="2654"/>
      </w:pPr>
      <w:r>
        <w:t>委估房产建成于 2004 年，钢架结构一层，层高约 10 米，建筑面积 9213.29</w:t>
      </w:r>
    </w:p>
    <w:p>
      <w:pPr>
        <w:pStyle w:val="BodyText"/>
        <w:spacing w:before="278" w:line="374" w:lineRule="auto"/>
        <w:ind w:left="1872" w:right="855"/>
      </w:pPr>
      <w:r>
        <w:t>平方米（</w:t>
      </w:r>
      <w:r>
        <w:rPr>
          <w:spacing w:val="-13"/>
        </w:rPr>
        <w:t xml:space="preserve">其中的 </w:t>
      </w:r>
      <w:r>
        <w:t>5296.25</w:t>
      </w:r>
      <w:r>
        <w:rPr>
          <w:spacing w:val="-7"/>
        </w:rPr>
        <w:t xml:space="preserve"> 平方米，办理了房屋所有权证</w:t>
      </w:r>
      <w:r>
        <w:t>），</w:t>
      </w:r>
      <w:r>
        <w:rPr>
          <w:spacing w:val="-2"/>
        </w:rPr>
        <w:t>瓷砖外墙，金钢砂地</w:t>
      </w:r>
      <w:r>
        <w:t>面，水电齐全。</w:t>
      </w:r>
    </w:p>
    <w:p>
      <w:pPr>
        <w:pStyle w:val="ListParagraph"/>
        <w:numPr>
          <w:ilvl w:val="0"/>
          <w:numId w:val="12"/>
        </w:numPr>
        <w:tabs>
          <w:tab w:val="left" w:pos="3627"/>
        </w:tabs>
        <w:spacing w:before="4" w:after="0" w:line="240" w:lineRule="auto"/>
        <w:ind w:left="3626" w:right="0" w:hanging="973"/>
        <w:jc w:val="left"/>
        <w:rPr>
          <w:sz w:val="39"/>
        </w:rPr>
      </w:pPr>
      <w:r>
        <w:rPr>
          <w:sz w:val="39"/>
        </w:rPr>
        <w:t>、办公及其他用房</w:t>
      </w:r>
    </w:p>
    <w:p>
      <w:pPr>
        <w:pStyle w:val="BodyText"/>
        <w:spacing w:before="278" w:line="374" w:lineRule="auto"/>
        <w:ind w:left="1872" w:right="830" w:firstLine="782"/>
      </w:pPr>
      <w:r>
        <w:rPr>
          <w:spacing w:val="9"/>
        </w:rPr>
        <w:t>委估房产建成于</w:t>
      </w:r>
      <w:r>
        <w:t>2004</w:t>
      </w:r>
      <w:r>
        <w:rPr>
          <w:spacing w:val="-42"/>
        </w:rPr>
        <w:t xml:space="preserve"> 年，混合结构一层或二层，层高约 </w:t>
      </w:r>
      <w:r>
        <w:t>3</w:t>
      </w:r>
      <w:r>
        <w:rPr>
          <w:spacing w:val="-39"/>
        </w:rPr>
        <w:t xml:space="preserve"> 米，建筑面积</w:t>
      </w:r>
      <w:r>
        <w:rPr>
          <w:spacing w:val="-3"/>
        </w:rPr>
        <w:t xml:space="preserve">1153.22 </w:t>
      </w:r>
      <w:r>
        <w:t>平方米（未办理房屋所有权证，办公用房办理了建设工程规划许可证），瓷砖外墙，地面为水泥清光（部分为瓷砖），内墙及顶刮瓷粉，水电齐全。</w:t>
      </w:r>
    </w:p>
    <w:p>
      <w:pPr>
        <w:spacing w:after="0" w:line="374" w:lineRule="auto"/>
        <w:sectPr>
          <w:type w:val="continuous"/>
          <w:pgSz w:w="17860" w:h="25260"/>
          <w:pgMar w:top="1220" w:right="1380" w:bottom="280" w:left="0" w:header="708" w:footer="708"/>
          <w:cols w:space="708"/>
        </w:sectPr>
      </w:pPr>
    </w:p>
    <w:p>
      <w:pPr>
        <w:pStyle w:val="Heading2"/>
        <w:spacing w:before="23"/>
        <w:ind w:left="1872"/>
      </w:pPr>
      <w:r>
        <w:t>三、区域因素分析</w:t>
      </w:r>
    </w:p>
    <w:p>
      <w:pPr>
        <w:pStyle w:val="BodyText"/>
        <w:spacing w:before="279" w:line="448" w:lineRule="auto"/>
        <w:ind w:left="1872" w:right="608" w:firstLine="782"/>
      </w:pPr>
      <w:r>
        <w:t>委估资产所在的区域为观山湖区野鸭乡上寨村，处于观山湖区的开发区域。</w:t>
      </w:r>
      <w:r>
        <w:rPr>
          <w:spacing w:val="-5"/>
        </w:rPr>
        <w:t xml:space="preserve">观山湖区位于贵阳市西北部，经国务院批准， </w:t>
      </w:r>
      <w:r>
        <w:t>2012</w:t>
      </w:r>
      <w:r>
        <w:rPr>
          <w:spacing w:val="3"/>
        </w:rPr>
        <w:t>年12月21</w:t>
      </w:r>
      <w:r>
        <w:t>日正式挂牌成立，总</w:t>
      </w:r>
      <w:r>
        <w:rPr>
          <w:spacing w:val="4"/>
        </w:rPr>
        <w:t>面积</w:t>
      </w:r>
      <w:r>
        <w:rPr>
          <w:spacing w:val="2"/>
        </w:rPr>
        <w:t>307</w:t>
      </w:r>
      <w:r>
        <w:rPr>
          <w:spacing w:val="4"/>
        </w:rPr>
        <w:t>平方公里，下辖</w:t>
      </w:r>
      <w:r>
        <w:rPr>
          <w:spacing w:val="3"/>
        </w:rPr>
        <w:t>3</w:t>
      </w:r>
      <w:r>
        <w:rPr>
          <w:spacing w:val="5"/>
        </w:rPr>
        <w:t>个乡镇、</w:t>
      </w:r>
      <w:r>
        <w:t>10</w:t>
      </w:r>
      <w:r>
        <w:rPr>
          <w:spacing w:val="2"/>
        </w:rPr>
        <w:t>个新型社区，</w:t>
      </w:r>
      <w:r>
        <w:rPr>
          <w:spacing w:val="12"/>
        </w:rPr>
        <w:t>49</w:t>
      </w:r>
      <w:r>
        <w:rPr>
          <w:spacing w:val="4"/>
        </w:rPr>
        <w:t>个行政村、65</w:t>
      </w:r>
      <w:r>
        <w:t>个居委会，区</w:t>
      </w:r>
      <w:r>
        <w:rPr>
          <w:spacing w:val="4"/>
        </w:rPr>
        <w:t>域总人口超过</w:t>
      </w:r>
      <w:r>
        <w:t>45</w:t>
      </w:r>
      <w:r>
        <w:rPr>
          <w:spacing w:val="5"/>
        </w:rPr>
        <w:t>万。区内有占地</w:t>
      </w:r>
      <w:r>
        <w:t>5500余亩的观山湖生态湿地城市公园、具有贵州</w:t>
      </w:r>
      <w:r>
        <w:rPr>
          <w:spacing w:val="1"/>
        </w:rPr>
        <w:t>典型地质特征的贵阳喀斯特公园以及湖水面积达</w:t>
      </w:r>
      <w:r>
        <w:t>14.78</w:t>
      </w:r>
      <w:r>
        <w:rPr>
          <w:spacing w:val="-7"/>
        </w:rPr>
        <w:t>平方公里的百花湖。贵阳轻轨从这里始发，贵广、沪昆、成贵、渝黔等高速铁路在这里汇集，快捷、高效的现代交通网络体系逐渐形成。城市建设始终遵循生态文明理念，已建成市级行政中心、贵阳奥体中心、贵阳国际会展中心、贵阳火车北站、贵州金融城、西南国</w:t>
      </w:r>
      <w:r>
        <w:rPr>
          <w:spacing w:val="-8"/>
          <w:w w:val="95"/>
        </w:rPr>
        <w:t xml:space="preserve">际商贸城、贵阳城乡规划馆、贵州博物馆等一批省、市区重大项目。一座生态型、  </w:t>
      </w:r>
      <w:r>
        <w:t>园林式、数字化的现代都市新城日臻形成，正逐步成为贵阳市新的政治、经济、文化中心，城市建设突飞猛进，城市面貌有了很大变化。</w:t>
      </w:r>
    </w:p>
    <w:p>
      <w:pPr>
        <w:pStyle w:val="BodyText"/>
        <w:spacing w:before="19" w:line="448" w:lineRule="auto"/>
        <w:ind w:left="1872" w:right="805" w:firstLine="782"/>
      </w:pPr>
      <w:r>
        <w:t>随着开发建设的逐步完成，该区域将成为商业及物流的理想区域。资产所在</w:t>
      </w:r>
      <w:r>
        <w:rPr>
          <w:w w:val="95"/>
        </w:rPr>
        <w:t>区域紧临白云大道（210国道），</w:t>
      </w:r>
      <w:r>
        <w:rPr>
          <w:spacing w:val="-1"/>
          <w:w w:val="95"/>
        </w:rPr>
        <w:t>附近有东林寺路、金朱东路、以及贵遵高速路混  合型主干道通过，距观山湖区中天会展城、贵州金融城商住综合区约</w:t>
      </w:r>
      <w:r>
        <w:rPr>
          <w:w w:val="95"/>
        </w:rPr>
        <w:t>500</w:t>
      </w:r>
      <w:r>
        <w:rPr>
          <w:spacing w:val="-4"/>
          <w:w w:val="95"/>
        </w:rPr>
        <w:t xml:space="preserve">米，半公  </w:t>
      </w:r>
      <w:r>
        <w:t>里内有市内多路公交车通过（站台：沙坡、金朱东路口、金朱大道），城市基础设施配套齐全，对外交通及公共交通条件较好。</w:t>
      </w:r>
    </w:p>
    <w:p>
      <w:pPr>
        <w:pStyle w:val="Heading2"/>
        <w:spacing w:before="69"/>
        <w:ind w:left="1872"/>
      </w:pPr>
      <w:r>
        <w:t>四、市场背景分析</w:t>
      </w:r>
    </w:p>
    <w:p>
      <w:pPr>
        <w:pStyle w:val="BodyText"/>
        <w:spacing w:before="315" w:line="388" w:lineRule="auto"/>
        <w:ind w:left="1872" w:right="777" w:firstLine="900"/>
      </w:pPr>
      <w:r>
        <w:t>2014</w:t>
      </w:r>
      <w:r>
        <w:rPr>
          <w:spacing w:val="-13"/>
        </w:rPr>
        <w:t xml:space="preserve"> 年，贵阳市延续贵阳市委七届十一次全会推出的关于建设“大贵阳”的</w:t>
      </w:r>
      <w:r>
        <w:t>战略决策，两城区改造继续深入，同时还启动了机场的扩建工程；观山湖区京东集团的入驻和客运西站的建设为区域物流发展和贵阳市立体交通的规划奠定了基础；白云区则继续保持高昂的“北拓”气势，引入多家实力企业共同发展沙文高新区，而综保区的建设又为区域发展提供有力保障；而众多房企的入驻，让花溪</w:t>
      </w:r>
    </w:p>
    <w:p>
      <w:pPr>
        <w:spacing w:after="0" w:line="388" w:lineRule="auto"/>
        <w:sectPr>
          <w:pgSz w:w="17860" w:h="25260"/>
          <w:pgMar w:top="1780" w:right="1380" w:bottom="280" w:left="0" w:header="708" w:footer="708"/>
          <w:pgNumType w:start="2"/>
          <w:cols w:space="708"/>
        </w:sectPr>
      </w:pPr>
    </w:p>
    <w:p>
      <w:pPr>
        <w:pStyle w:val="BodyText"/>
        <w:spacing w:before="18"/>
        <w:ind w:left="1872"/>
      </w:pPr>
      <w:r>
        <w:t>区在“南延”的道路上更进一步。</w:t>
      </w:r>
    </w:p>
    <w:p>
      <w:pPr>
        <w:pStyle w:val="BodyText"/>
        <w:spacing w:before="311" w:line="388" w:lineRule="auto"/>
        <w:ind w:left="1872" w:right="608" w:firstLine="900"/>
      </w:pPr>
      <w:r>
        <w:t>观山湖区位于贵阳市西北部，东靠黔灵山脉，南临三桥马王庙，西接百花山脉，北与白云区相接。境内路网架构合理，贵阳地铁从金阳始发，贵广、沪昆、成贵、长昆、渝黔等高速铁路在观山湖汇集，快捷、高效的现代交通网络体系逐</w:t>
      </w:r>
      <w:r>
        <w:rPr>
          <w:spacing w:val="-16"/>
        </w:rPr>
        <w:t>渐形成。在发展方面，观山湖区重点打造“十大商圈”、“二圈二带”，形成“十大产业集群”，辐射“三大网络”。以会展服务、金融信息、现代物流、商贸饮食、房地产、社区服务、总部经济、体育文化、旅游服务、医疗服务十大产业为重点，大力发展观山湖区的现代服务业商圈。以诚信路商业(步行)带、轻轨(</w:t>
      </w:r>
      <w:r>
        <w:t>1</w:t>
      </w:r>
      <w:r>
        <w:rPr>
          <w:spacing w:val="-18"/>
        </w:rPr>
        <w:t>、</w:t>
      </w:r>
      <w:r>
        <w:t xml:space="preserve">2 </w:t>
      </w:r>
      <w:r>
        <w:rPr>
          <w:spacing w:val="-17"/>
          <w:w w:val="95"/>
        </w:rPr>
        <w:t xml:space="preserve">号线)商业带，贵阳客站商圈、贵广铁路站商圈为基础，积极建设大型商贸商圈带。  </w:t>
      </w:r>
      <w:r>
        <w:rPr>
          <w:spacing w:val="-17"/>
        </w:rPr>
        <w:t>全力引进大型企业集团，促进上述十大产业的集群式发展。推进产业集群，加强</w:t>
      </w:r>
      <w:r>
        <w:rPr>
          <w:spacing w:val="-18"/>
          <w:w w:val="95"/>
        </w:rPr>
        <w:t xml:space="preserve">观山湖区与贵阳市、观山湖区与黔中经济区、观山湖区与西南地区的合作和交流。  </w:t>
      </w:r>
      <w:r>
        <w:rPr>
          <w:spacing w:val="-1"/>
          <w:w w:val="95"/>
        </w:rPr>
        <w:t xml:space="preserve">区内建设始终遵循生态文明理念高标准规划、高质量建设，已建成市级行政中心、  </w:t>
      </w:r>
      <w:r>
        <w:rPr>
          <w:spacing w:val="2"/>
        </w:rPr>
        <w:t>西南地区规模最大的奥体中心、贵阳国际会展中心等，成功引进</w:t>
      </w:r>
      <w:r>
        <w:t>30</w:t>
      </w:r>
      <w:r>
        <w:rPr>
          <w:spacing w:val="-18"/>
        </w:rPr>
        <w:t xml:space="preserve"> 多家企业总部入驻，已接近完工建设贵阳西南国际商贸城、国际金融中心、贵阳市火车站功能</w:t>
      </w:r>
      <w:r>
        <w:rPr>
          <w:spacing w:val="-18"/>
          <w:w w:val="95"/>
        </w:rPr>
        <w:t xml:space="preserve">区，以及即将开工建设百花生态新城、金华采空区生态体育公园等一批重大项目。  </w:t>
      </w:r>
      <w:r>
        <w:t>一座生态型、园林式的现代化新城日臻形成，正逐步成为贵阳市政治、经济、文化中心。</w:t>
      </w:r>
    </w:p>
    <w:p>
      <w:pPr>
        <w:pStyle w:val="Heading2"/>
        <w:spacing w:line="484" w:lineRule="exact"/>
        <w:ind w:left="1872"/>
      </w:pPr>
      <w:r>
        <w:t>五、最高和最佳使用分析</w:t>
      </w:r>
    </w:p>
    <w:p>
      <w:pPr>
        <w:pStyle w:val="BodyText"/>
        <w:spacing w:before="282" w:line="374" w:lineRule="auto"/>
        <w:ind w:left="1872" w:right="993" w:firstLine="782"/>
        <w:jc w:val="both"/>
      </w:pPr>
      <w:r>
        <w:rPr>
          <w:spacing w:val="-1"/>
          <w:w w:val="95"/>
        </w:rPr>
        <w:t xml:space="preserve">最高最佳使用，是估价对象的一种最可能的使用，这种最可能的使用是法律  上允许、技术上可能、财务上可行，经过充分合理的论证并能给估价对象带来最  </w:t>
      </w:r>
      <w:r>
        <w:t>高价值的使用。</w:t>
      </w:r>
    </w:p>
    <w:p>
      <w:pPr>
        <w:pStyle w:val="BodyText"/>
        <w:spacing w:before="2" w:line="374" w:lineRule="auto"/>
        <w:ind w:left="1872" w:right="798" w:firstLine="782"/>
      </w:pPr>
      <w:r>
        <w:rPr>
          <w:w w:val="95"/>
        </w:rPr>
        <w:t>1、法律上允许（规划及相关政策法规许可），</w:t>
      </w:r>
      <w:r>
        <w:rPr>
          <w:spacing w:val="-2"/>
          <w:w w:val="95"/>
        </w:rPr>
        <w:t xml:space="preserve">即不受现时使用状况的限制，  </w:t>
      </w:r>
      <w:r>
        <w:t>而依照法律规章、规划发展的方向，按照其可能的最优用途估价。</w:t>
      </w:r>
    </w:p>
    <w:p>
      <w:pPr>
        <w:pStyle w:val="BodyText"/>
        <w:spacing w:line="374" w:lineRule="auto"/>
        <w:ind w:left="1872" w:right="798" w:firstLine="782"/>
      </w:pPr>
      <w:r>
        <w:rPr>
          <w:w w:val="95"/>
        </w:rPr>
        <w:t>2</w:t>
      </w:r>
      <w:r>
        <w:rPr>
          <w:spacing w:val="-1"/>
          <w:w w:val="95"/>
        </w:rPr>
        <w:t xml:space="preserve">、技术上可能，即不能把技术上无法做到的使用当作最高最佳使用要按照房  </w:t>
      </w:r>
      <w:r>
        <w:t>屋建筑工程方面的技术要求进行估价。</w:t>
      </w:r>
    </w:p>
    <w:p>
      <w:pPr>
        <w:pStyle w:val="BodyText"/>
        <w:spacing w:before="3"/>
        <w:ind w:left="2654"/>
      </w:pPr>
      <w:r>
        <w:t>3、经济上可行，即估价价格应是各种可能的使用方式中，以经济上有限的投</w:t>
      </w:r>
    </w:p>
    <w:p>
      <w:pPr>
        <w:spacing w:after="0"/>
        <w:sectPr>
          <w:pgSz w:w="17860" w:h="25260"/>
          <w:pgMar w:top="1760" w:right="1380" w:bottom="280" w:left="0" w:header="708" w:footer="708"/>
          <w:pgNumType w:start="3"/>
          <w:cols w:space="708"/>
        </w:sectPr>
      </w:pPr>
    </w:p>
    <w:p>
      <w:pPr>
        <w:pStyle w:val="BodyText"/>
        <w:spacing w:before="33"/>
        <w:ind w:left="1872"/>
      </w:pPr>
      <w:r>
        <w:t>入而能获得最大收益的使用方式的估价结果。</w:t>
      </w:r>
    </w:p>
    <w:p>
      <w:pPr>
        <w:pStyle w:val="BodyText"/>
        <w:spacing w:before="282" w:line="374" w:lineRule="auto"/>
        <w:ind w:left="1872" w:right="993" w:firstLine="782"/>
      </w:pPr>
      <w:r>
        <w:rPr>
          <w:spacing w:val="-1"/>
          <w:w w:val="95"/>
        </w:rPr>
        <w:t xml:space="preserve">经过综合分析比较，结合本次估价目的为核实房地产价值着参考，因此以保  </w:t>
      </w:r>
      <w:r>
        <w:t>持现状为本次估价的最高最佳使用。</w:t>
      </w:r>
    </w:p>
    <w:p>
      <w:pPr>
        <w:pStyle w:val="Heading2"/>
        <w:spacing w:line="499" w:lineRule="exact"/>
        <w:ind w:left="1872"/>
      </w:pPr>
      <w:r>
        <w:t>六、估价方法的选用</w:t>
      </w:r>
    </w:p>
    <w:p>
      <w:pPr>
        <w:pStyle w:val="BodyText"/>
        <w:spacing w:before="282" w:line="374" w:lineRule="auto"/>
        <w:ind w:left="1872" w:right="568" w:firstLine="782"/>
      </w:pPr>
      <w:r>
        <w:t>根据“中华人民共和国国家标准GB/T50291—1999《房地产估价规范》，中华人民共和国住房和城乡建设部（建房〔2011〕77 号）《国有土地上房屋征收评估办法》”，中华人民共和国国务院令第590 号《国有土地上房屋征收与补偿条例》的有关规定，结合本次评估目的及委估对象的特点，对委估资产中的收益性房产采用收益法进行评估（估价对象所在区域内无类似交易案例，不宜采用市场法； 估价对象为有收益的房地产，宜采用收益法确定估价对象的市场价值）。对其他资产采用成本法进行评估。</w:t>
      </w:r>
    </w:p>
    <w:p>
      <w:pPr>
        <w:pStyle w:val="BodyText"/>
        <w:spacing w:before="52" w:line="403" w:lineRule="auto"/>
        <w:ind w:left="1872" w:right="798" w:firstLine="782"/>
      </w:pPr>
      <w:r>
        <w:rPr>
          <w:w w:val="95"/>
        </w:rPr>
        <w:t>1</w:t>
      </w:r>
      <w:r>
        <w:rPr>
          <w:spacing w:val="-1"/>
          <w:w w:val="95"/>
        </w:rPr>
        <w:t xml:space="preserve">、收益法，是预计评估对象未来正常净收益，选用适当的资本化率将其折现  </w:t>
      </w:r>
      <w:r>
        <w:t>到估价时点后累加，以此估算估价对象的客观合理价格或价值的方法，其基本计</w:t>
      </w:r>
    </w:p>
    <w:p>
      <w:pPr>
        <w:spacing w:after="0" w:line="403" w:lineRule="auto"/>
        <w:sectPr>
          <w:pgSz w:w="17860" w:h="25260"/>
          <w:pgMar w:top="1720" w:right="1380" w:bottom="280" w:left="0" w:header="708" w:footer="708"/>
          <w:pgNumType w:start="4"/>
          <w:cols w:space="708"/>
        </w:sectPr>
      </w:pPr>
    </w:p>
    <w:p>
      <w:pPr>
        <w:pStyle w:val="BodyText"/>
        <w:spacing w:before="2"/>
        <w:ind w:left="1872"/>
      </w:pPr>
      <w:r>
        <w:rPr>
          <w:spacing w:val="-4"/>
        </w:rPr>
        <w:t>算公式为：</w:t>
      </w:r>
    </w:p>
    <w:p>
      <w:pPr>
        <w:pStyle w:val="BodyText"/>
        <w:spacing w:before="4"/>
        <w:rPr>
          <w:sz w:val="53"/>
        </w:rPr>
      </w:pPr>
      <w:r>
        <w:br w:type="column"/>
      </w:r>
    </w:p>
    <w:p>
      <w:pPr>
        <w:tabs>
          <w:tab w:val="left" w:pos="2133"/>
          <w:tab w:val="left" w:pos="2918"/>
          <w:tab w:val="left" w:pos="3829"/>
        </w:tabs>
        <w:spacing w:before="0" w:line="457" w:lineRule="exact"/>
        <w:ind w:left="1610" w:right="0" w:firstLine="0"/>
        <w:jc w:val="left"/>
        <w:rPr>
          <w:rFonts w:ascii="Symbol" w:hAnsi="Symbol"/>
          <w:sz w:val="37"/>
        </w:rPr>
      </w:pPr>
      <w:r>
        <w:pict>
          <v:shapetype id="_x0000_t202" coordsize="21600,21600" o:spt="202" path="m,l,21600r21600,l21600,xe">
            <v:stroke joinstyle="miter"/>
            <v:path gradientshapeok="t" o:connecttype="rect"/>
          </v:shapetype>
          <v:shape id="_x0000_s1025" type="#_x0000_t202" style="width:151.7pt;height:29.75pt;margin-top:5.3pt;margin-left:231.14pt;mso-position-horizontal-relative:page;position:absolute;z-index:-251655168" filled="f" stroked="f">
            <v:textbox inset="0,0,0,0">
              <w:txbxContent>
                <w:p>
                  <w:pPr>
                    <w:tabs>
                      <w:tab w:val="left" w:pos="1972"/>
                      <w:tab w:val="left" w:pos="2890"/>
                    </w:tabs>
                    <w:spacing w:before="40" w:line="182" w:lineRule="auto"/>
                    <w:ind w:left="0" w:right="0" w:firstLine="0"/>
                    <w:jc w:val="left"/>
                    <w:rPr>
                      <w:rFonts w:ascii="Symbol" w:hAnsi="Symbol"/>
                      <w:sz w:val="37"/>
                    </w:rPr>
                  </w:pPr>
                  <w:r>
                    <w:rPr>
                      <w:rFonts w:ascii="Times New Roman" w:hAnsi="Times New Roman"/>
                      <w:i/>
                      <w:position w:val="-20"/>
                      <w:sz w:val="37"/>
                    </w:rPr>
                    <w:t>v</w:t>
                    <w:tab/>
                  </w:r>
                  <w:r>
                    <w:rPr>
                      <w:rFonts w:ascii="Symbol" w:hAnsi="Symbol"/>
                      <w:sz w:val="37"/>
                    </w:rPr>
                    <w:sym w:font="Symbol" w:char="F0E6"/>
                  </w:r>
                  <w:r>
                    <w:rPr>
                      <w:rFonts w:ascii="Times New Roman" w:hAnsi="Times New Roman"/>
                      <w:sz w:val="37"/>
                    </w:rPr>
                    <w:tab/>
                  </w:r>
                  <w:r>
                    <w:rPr>
                      <w:rFonts w:ascii="Symbol" w:hAnsi="Symbol"/>
                      <w:spacing w:val="-19"/>
                      <w:sz w:val="37"/>
                    </w:rPr>
                    <w:sym w:font="Symbol" w:char="F0F6"/>
                  </w:r>
                </w:p>
              </w:txbxContent>
            </v:textbox>
          </v:shape>
        </w:pict>
      </w:r>
      <w:r>
        <w:rPr>
          <w:rFonts w:ascii="Times New Roman" w:hAnsi="Times New Roman"/>
          <w:i/>
          <w:sz w:val="37"/>
        </w:rPr>
        <w:t>a</w:t>
        <w:tab/>
      </w:r>
      <w:r>
        <w:rPr>
          <w:rFonts w:ascii="Symbol" w:hAnsi="Symbol"/>
          <w:position w:val="8"/>
          <w:sz w:val="37"/>
        </w:rPr>
        <w:sym w:font="Symbol" w:char="F0E9"/>
      </w:r>
      <w:r>
        <w:rPr>
          <w:rFonts w:ascii="Times New Roman" w:hAnsi="Times New Roman"/>
          <w:position w:val="8"/>
          <w:sz w:val="37"/>
        </w:rPr>
        <w:tab/>
      </w:r>
      <w:r>
        <w:rPr>
          <w:rFonts w:ascii="MingLiU-ExtB" w:hAnsi="MingLiU-ExtB"/>
          <w:sz w:val="37"/>
        </w:rPr>
        <w:t>1</w:t>
      </w:r>
      <w:r>
        <w:rPr>
          <w:rFonts w:ascii="MingLiU-ExtB" w:hAnsi="MingLiU-ExtB"/>
          <w:spacing w:val="-144"/>
          <w:sz w:val="37"/>
        </w:rPr>
        <w:t xml:space="preserve"> </w:t>
      </w:r>
      <w:r>
        <w:rPr>
          <w:rFonts w:ascii="Symbol" w:hAnsi="Symbol"/>
          <w:sz w:val="37"/>
        </w:rPr>
        <w:sym w:font="Symbol" w:char="F02B"/>
      </w:r>
      <w:r>
        <w:rPr>
          <w:rFonts w:ascii="Times New Roman" w:hAnsi="Times New Roman"/>
          <w:spacing w:val="-6"/>
          <w:sz w:val="37"/>
        </w:rPr>
        <w:t xml:space="preserve"> </w:t>
      </w:r>
      <w:r>
        <w:rPr>
          <w:rFonts w:ascii="Times New Roman" w:hAnsi="Times New Roman"/>
          <w:i/>
          <w:sz w:val="37"/>
        </w:rPr>
        <w:t>s</w:t>
        <w:tab/>
      </w:r>
      <w:r>
        <w:rPr>
          <w:rFonts w:ascii="Times New Roman" w:hAnsi="Times New Roman"/>
          <w:i/>
          <w:position w:val="9"/>
          <w:sz w:val="29"/>
        </w:rPr>
        <w:t>n</w:t>
      </w:r>
      <w:r>
        <w:rPr>
          <w:rFonts w:ascii="Times New Roman" w:hAnsi="Times New Roman"/>
          <w:i/>
          <w:spacing w:val="-45"/>
          <w:position w:val="9"/>
          <w:sz w:val="29"/>
        </w:rPr>
        <w:t xml:space="preserve"> </w:t>
      </w:r>
      <w:r>
        <w:rPr>
          <w:rFonts w:ascii="Symbol" w:hAnsi="Symbol"/>
          <w:position w:val="8"/>
          <w:sz w:val="37"/>
        </w:rPr>
        <w:sym w:font="Symbol" w:char="F0F9"/>
      </w:r>
    </w:p>
    <w:p>
      <w:pPr>
        <w:tabs>
          <w:tab w:val="left" w:pos="4001"/>
        </w:tabs>
        <w:spacing w:before="0" w:line="191" w:lineRule="exact"/>
        <w:ind w:left="1034" w:right="0" w:firstLine="0"/>
        <w:jc w:val="left"/>
        <w:rPr>
          <w:rFonts w:ascii="Symbol" w:hAnsi="Symbol"/>
          <w:sz w:val="37"/>
        </w:rPr>
      </w:pPr>
      <w:r>
        <w:drawing>
          <wp:anchor distT="0" distB="0" distL="0" distR="0" simplePos="0" relativeHeight="251659264" behindDoc="1" locked="0" layoutInCell="1" allowOverlap="1">
            <wp:simplePos x="0" y="0"/>
            <wp:positionH relativeFrom="page">
              <wp:posOffset>3289300</wp:posOffset>
            </wp:positionH>
            <wp:positionV relativeFrom="paragraph">
              <wp:posOffset>86222</wp:posOffset>
            </wp:positionV>
            <wp:extent cx="482600" cy="1524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482600" cy="152400"/>
                    </a:xfrm>
                    <a:prstGeom prst="rect">
                      <a:avLst/>
                    </a:prstGeom>
                  </pic:spPr>
                </pic:pic>
              </a:graphicData>
            </a:graphic>
          </wp:anchor>
        </w:drawing>
      </w:r>
      <w:r>
        <w:drawing>
          <wp:anchor distT="0" distB="0" distL="0" distR="0" simplePos="0" relativeHeight="251660288" behindDoc="1" locked="0" layoutInCell="1" allowOverlap="1">
            <wp:simplePos x="0" y="0"/>
            <wp:positionH relativeFrom="page">
              <wp:posOffset>4305300</wp:posOffset>
            </wp:positionH>
            <wp:positionV relativeFrom="paragraph">
              <wp:posOffset>86222</wp:posOffset>
            </wp:positionV>
            <wp:extent cx="457200" cy="1524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457200" cy="152400"/>
                    </a:xfrm>
                    <a:prstGeom prst="rect">
                      <a:avLst/>
                    </a:prstGeom>
                  </pic:spPr>
                </pic:pic>
              </a:graphicData>
            </a:graphic>
          </wp:anchor>
        </w:drawing>
      </w:r>
      <w:r>
        <w:rPr>
          <w:rFonts w:ascii="Symbol" w:hAnsi="Symbol"/>
          <w:position w:val="29"/>
          <w:sz w:val="37"/>
        </w:rPr>
        <w:sym w:font="Symbol" w:char="F03D"/>
      </w:r>
      <w:r>
        <w:rPr>
          <w:rFonts w:ascii="Times New Roman" w:hAnsi="Times New Roman"/>
          <w:spacing w:val="37"/>
          <w:position w:val="29"/>
          <w:sz w:val="37"/>
        </w:rPr>
        <w:t xml:space="preserve"> </w:t>
      </w:r>
      <w:r>
        <w:rPr>
          <w:rFonts w:ascii="Times New Roman" w:hAnsi="Times New Roman"/>
          <w:i/>
          <w:sz w:val="37"/>
        </w:rPr>
        <w:t>r</w:t>
      </w:r>
      <w:r>
        <w:rPr>
          <w:rFonts w:ascii="Times New Roman" w:hAnsi="Times New Roman"/>
          <w:i/>
          <w:spacing w:val="2"/>
          <w:sz w:val="37"/>
        </w:rPr>
        <w:t xml:space="preserve"> </w:t>
      </w:r>
      <w:r>
        <w:rPr>
          <w:rFonts w:ascii="Symbol" w:hAnsi="Symbol"/>
          <w:sz w:val="37"/>
        </w:rPr>
        <w:sym w:font="Symbol" w:char="F02D"/>
      </w:r>
      <w:r>
        <w:rPr>
          <w:rFonts w:ascii="Times New Roman" w:hAnsi="Times New Roman"/>
          <w:spacing w:val="-10"/>
          <w:sz w:val="37"/>
        </w:rPr>
        <w:t xml:space="preserve"> </w:t>
      </w:r>
      <w:r>
        <w:rPr>
          <w:rFonts w:ascii="Times New Roman" w:hAnsi="Times New Roman"/>
          <w:i/>
          <w:sz w:val="37"/>
        </w:rPr>
        <w:t>s</w:t>
      </w:r>
      <w:r>
        <w:rPr>
          <w:rFonts w:ascii="Times New Roman" w:hAnsi="Times New Roman"/>
          <w:i/>
          <w:spacing w:val="3"/>
          <w:sz w:val="37"/>
        </w:rPr>
        <w:t xml:space="preserve"> </w:t>
      </w:r>
      <w:r>
        <w:rPr>
          <w:rFonts w:ascii="Symbol" w:hAnsi="Symbol"/>
          <w:spacing w:val="-16"/>
          <w:position w:val="25"/>
          <w:sz w:val="37"/>
        </w:rPr>
        <w:sym w:font="Symbol" w:char="F0EA"/>
      </w:r>
      <w:r>
        <w:rPr>
          <w:rFonts w:ascii="MingLiU-ExtB" w:hAnsi="MingLiU-ExtB"/>
          <w:spacing w:val="-16"/>
          <w:position w:val="29"/>
          <w:sz w:val="37"/>
        </w:rPr>
        <w:t>1</w:t>
      </w:r>
      <w:r>
        <w:rPr>
          <w:rFonts w:ascii="MingLiU-ExtB" w:hAnsi="MingLiU-ExtB"/>
          <w:spacing w:val="-144"/>
          <w:position w:val="29"/>
          <w:sz w:val="37"/>
        </w:rPr>
        <w:t xml:space="preserve"> </w:t>
      </w:r>
      <w:r>
        <w:rPr>
          <w:rFonts w:ascii="Symbol" w:hAnsi="Symbol"/>
          <w:position w:val="29"/>
          <w:sz w:val="37"/>
        </w:rPr>
        <w:sym w:font="Symbol" w:char="F02D"/>
      </w:r>
      <w:r>
        <w:rPr>
          <w:rFonts w:ascii="Times New Roman" w:hAnsi="Times New Roman"/>
          <w:spacing w:val="-28"/>
          <w:position w:val="29"/>
          <w:sz w:val="37"/>
        </w:rPr>
        <w:t xml:space="preserve"> </w:t>
      </w:r>
      <w:r>
        <w:rPr>
          <w:rFonts w:ascii="Symbol" w:hAnsi="Symbol"/>
          <w:position w:val="26"/>
          <w:sz w:val="37"/>
        </w:rPr>
        <w:sym w:font="Symbol" w:char="F0E7"/>
      </w:r>
      <w:r>
        <w:rPr>
          <w:rFonts w:ascii="Times New Roman" w:hAnsi="Times New Roman"/>
          <w:spacing w:val="-59"/>
          <w:position w:val="26"/>
          <w:sz w:val="37"/>
        </w:rPr>
        <w:t xml:space="preserve"> </w:t>
      </w:r>
      <w:r>
        <w:rPr>
          <w:rFonts w:ascii="MingLiU-ExtB" w:hAnsi="MingLiU-ExtB"/>
          <w:sz w:val="37"/>
        </w:rPr>
        <w:t>1</w:t>
      </w:r>
      <w:r>
        <w:rPr>
          <w:rFonts w:ascii="MingLiU-ExtB" w:hAnsi="MingLiU-ExtB"/>
          <w:spacing w:val="-144"/>
          <w:sz w:val="37"/>
        </w:rPr>
        <w:t xml:space="preserve"> </w:t>
      </w:r>
      <w:r>
        <w:rPr>
          <w:rFonts w:ascii="Symbol" w:hAnsi="Symbol"/>
          <w:sz w:val="37"/>
        </w:rPr>
        <w:sym w:font="Symbol" w:char="F02B"/>
      </w:r>
      <w:r>
        <w:rPr>
          <w:rFonts w:ascii="Times New Roman" w:hAnsi="Times New Roman"/>
          <w:spacing w:val="-10"/>
          <w:sz w:val="37"/>
        </w:rPr>
        <w:t xml:space="preserve"> </w:t>
      </w:r>
      <w:r>
        <w:rPr>
          <w:rFonts w:ascii="Times New Roman" w:hAnsi="Times New Roman"/>
          <w:i/>
          <w:sz w:val="37"/>
        </w:rPr>
        <w:t>r</w:t>
      </w:r>
      <w:r>
        <w:rPr>
          <w:rFonts w:ascii="Times New Roman" w:hAnsi="Times New Roman"/>
          <w:i/>
          <w:spacing w:val="-7"/>
          <w:sz w:val="37"/>
        </w:rPr>
        <w:t xml:space="preserve"> </w:t>
      </w:r>
      <w:r>
        <w:rPr>
          <w:rFonts w:ascii="Symbol" w:hAnsi="Symbol"/>
          <w:position w:val="26"/>
          <w:sz w:val="37"/>
        </w:rPr>
        <w:sym w:font="Symbol" w:char="F0F7"/>
      </w:r>
      <w:r>
        <w:rPr>
          <w:rFonts w:ascii="Times New Roman" w:hAnsi="Times New Roman"/>
          <w:position w:val="26"/>
          <w:sz w:val="37"/>
        </w:rPr>
        <w:tab/>
      </w:r>
      <w:r>
        <w:rPr>
          <w:rFonts w:ascii="Symbol" w:hAnsi="Symbol"/>
          <w:position w:val="25"/>
          <w:sz w:val="37"/>
        </w:rPr>
        <w:sym w:font="Symbol" w:char="F0FA"/>
      </w:r>
    </w:p>
    <w:p>
      <w:pPr>
        <w:spacing w:after="0" w:line="191" w:lineRule="exact"/>
        <w:jc w:val="left"/>
        <w:rPr>
          <w:rFonts w:ascii="Symbol" w:hAnsi="Symbol"/>
          <w:sz w:val="37"/>
        </w:rPr>
        <w:sectPr>
          <w:type w:val="continuous"/>
          <w:pgSz w:w="17860" w:h="25260"/>
          <w:pgMar w:top="1220" w:right="1380" w:bottom="280" w:left="0" w:header="708" w:footer="708"/>
          <w:pgNumType w:start="5"/>
          <w:cols w:num="2" w:space="708" w:equalWidth="0">
            <w:col w:w="3817" w:space="40"/>
            <w:col w:w="12623" w:space="0"/>
          </w:cols>
        </w:sectPr>
      </w:pPr>
    </w:p>
    <w:p>
      <w:pPr>
        <w:tabs>
          <w:tab w:val="left" w:pos="605"/>
          <w:tab w:val="left" w:pos="1524"/>
          <w:tab w:val="left" w:pos="1867"/>
        </w:tabs>
        <w:spacing w:before="1"/>
        <w:ind w:left="0" w:right="2487" w:firstLine="0"/>
        <w:jc w:val="center"/>
        <w:rPr>
          <w:rFonts w:ascii="Symbol" w:hAnsi="Symbol"/>
          <w:sz w:val="37"/>
        </w:rPr>
      </w:pPr>
      <w:r>
        <w:rPr>
          <w:rFonts w:ascii="Symbol" w:hAnsi="Symbol"/>
          <w:spacing w:val="-72"/>
          <w:position w:val="-3"/>
          <w:sz w:val="37"/>
        </w:rPr>
        <w:sym w:font="Symbol" w:char="F0EA"/>
      </w:r>
      <w:r>
        <w:rPr>
          <w:rFonts w:ascii="Symbol" w:hAnsi="Symbol"/>
          <w:spacing w:val="-72"/>
          <w:position w:val="-10"/>
          <w:sz w:val="37"/>
        </w:rPr>
        <w:sym w:font="Symbol" w:char="F0EB"/>
      </w:r>
      <w:r>
        <w:rPr>
          <w:rFonts w:ascii="Times New Roman" w:hAnsi="Times New Roman"/>
          <w:spacing w:val="-72"/>
          <w:position w:val="-10"/>
          <w:sz w:val="37"/>
        </w:rPr>
        <w:tab/>
      </w:r>
      <w:r>
        <w:rPr>
          <w:rFonts w:ascii="Symbol" w:hAnsi="Symbol"/>
          <w:sz w:val="37"/>
        </w:rPr>
        <w:sym w:font="Symbol" w:char="F0E8"/>
      </w:r>
      <w:r>
        <w:rPr>
          <w:rFonts w:ascii="Times New Roman" w:hAnsi="Times New Roman"/>
          <w:sz w:val="37"/>
        </w:rPr>
        <w:tab/>
      </w:r>
      <w:r>
        <w:rPr>
          <w:rFonts w:ascii="Symbol" w:hAnsi="Symbol"/>
          <w:sz w:val="37"/>
        </w:rPr>
        <w:sym w:font="Symbol" w:char="F0F8"/>
      </w:r>
      <w:r>
        <w:rPr>
          <w:rFonts w:ascii="Times New Roman" w:hAnsi="Times New Roman"/>
          <w:sz w:val="37"/>
        </w:rPr>
        <w:tab/>
      </w:r>
      <w:r>
        <w:rPr>
          <w:rFonts w:ascii="Symbol" w:hAnsi="Symbol"/>
          <w:spacing w:val="-72"/>
          <w:position w:val="-3"/>
          <w:sz w:val="37"/>
        </w:rPr>
        <w:sym w:font="Symbol" w:char="F0FA"/>
      </w:r>
      <w:r>
        <w:rPr>
          <w:rFonts w:ascii="Symbol" w:hAnsi="Symbol"/>
          <w:spacing w:val="-72"/>
          <w:position w:val="-10"/>
          <w:sz w:val="37"/>
        </w:rPr>
        <w:sym w:font="Symbol" w:char="F0FB"/>
      </w:r>
    </w:p>
    <w:p>
      <w:pPr>
        <w:pStyle w:val="BodyText"/>
        <w:spacing w:before="9"/>
        <w:rPr>
          <w:rFonts w:ascii="Symbol" w:hAnsi="Symbol"/>
          <w:sz w:val="24"/>
        </w:rPr>
      </w:pPr>
    </w:p>
    <w:p>
      <w:pPr>
        <w:pStyle w:val="BodyText"/>
        <w:spacing w:before="44" w:line="405" w:lineRule="auto"/>
        <w:ind w:left="3820" w:right="8182" w:hanging="1167"/>
      </w:pPr>
      <w:r>
        <w:t>式中：V——房地产收益价格a——房地产年纯收益r—— 资 本 化 率 n</w:t>
      </w:r>
      <w:r>
        <w:rPr>
          <w:spacing w:val="-2"/>
        </w:rPr>
        <w:t>——未来可获收益的年限</w:t>
      </w:r>
      <w:r>
        <w:t>s——年收益递增比率</w:t>
      </w:r>
    </w:p>
    <w:p>
      <w:pPr>
        <w:pStyle w:val="BodyText"/>
        <w:spacing w:line="490" w:lineRule="exact"/>
        <w:ind w:left="2654"/>
      </w:pPr>
      <w:r>
        <w:t>此公式的假设前提为：</w:t>
      </w:r>
    </w:p>
    <w:p>
      <w:pPr>
        <w:pStyle w:val="BodyText"/>
        <w:spacing w:before="340"/>
        <w:ind w:left="2654"/>
      </w:pPr>
      <w:r>
        <w:rPr>
          <w:w w:val="95"/>
        </w:rPr>
        <w:t>①收益按等比级数递增；</w:t>
      </w:r>
    </w:p>
    <w:p>
      <w:pPr>
        <w:pStyle w:val="BodyText"/>
        <w:spacing w:before="9"/>
        <w:rPr>
          <w:sz w:val="26"/>
        </w:rPr>
      </w:pPr>
    </w:p>
    <w:p>
      <w:pPr>
        <w:pStyle w:val="BodyText"/>
        <w:ind w:left="2654"/>
      </w:pPr>
      <w:r>
        <w:t>②r</w:t>
      </w:r>
      <w:r>
        <w:rPr>
          <w:spacing w:val="-27"/>
        </w:rPr>
        <w:t xml:space="preserve"> 每年不变，且 </w:t>
      </w:r>
      <w:r>
        <w:t>r≠s；</w:t>
      </w:r>
    </w:p>
    <w:p>
      <w:pPr>
        <w:pStyle w:val="BodyText"/>
        <w:spacing w:before="339" w:line="403" w:lineRule="auto"/>
        <w:ind w:left="2772" w:right="10684"/>
      </w:pPr>
      <w:r>
        <w:rPr>
          <w:spacing w:val="-15"/>
        </w:rPr>
        <w:t xml:space="preserve">③年期有限为 </w:t>
      </w:r>
      <w:r>
        <w:rPr>
          <w:spacing w:val="3"/>
        </w:rPr>
        <w:t>n</w:t>
      </w:r>
      <w:r>
        <w:rPr>
          <w:spacing w:val="-16"/>
        </w:rPr>
        <w:t>。</w:t>
      </w:r>
      <w:r>
        <w:t>2、成本法</w:t>
      </w:r>
    </w:p>
    <w:p>
      <w:pPr>
        <w:spacing w:after="0" w:line="403" w:lineRule="auto"/>
        <w:sectPr>
          <w:type w:val="continuous"/>
          <w:pgSz w:w="17860" w:h="25260"/>
          <w:pgMar w:top="1220" w:right="1380" w:bottom="280" w:left="0" w:header="708" w:footer="708"/>
          <w:pgNumType w:start="6"/>
          <w:cols w:space="708"/>
        </w:sectPr>
      </w:pPr>
    </w:p>
    <w:p>
      <w:pPr>
        <w:pStyle w:val="BodyText"/>
        <w:spacing w:before="33" w:line="374" w:lineRule="auto"/>
        <w:ind w:left="1872" w:right="608" w:firstLine="782"/>
      </w:pPr>
      <w:r>
        <w:t>成本法，是首先估算在现时条件下重新购置或建造一个全新状态的委估资产</w:t>
      </w:r>
      <w:r>
        <w:rPr>
          <w:spacing w:val="-1"/>
          <w:w w:val="95"/>
        </w:rPr>
        <w:t xml:space="preserve">所需的全部成本，再确定被评估资产与其全新状态相比有几成新，即求出成新率，  </w:t>
      </w:r>
      <w:r>
        <w:t>然后用全部成本与成新率相乘，得到的乘积作为评估值。</w:t>
      </w:r>
    </w:p>
    <w:p>
      <w:pPr>
        <w:pStyle w:val="BodyText"/>
        <w:spacing w:before="2"/>
        <w:ind w:left="2654"/>
      </w:pPr>
      <w:r>
        <w:t>其公式为：</w:t>
      </w:r>
    </w:p>
    <w:p>
      <w:pPr>
        <w:spacing w:before="281" w:line="398" w:lineRule="auto"/>
        <w:ind w:left="1872" w:right="9039" w:firstLine="900"/>
        <w:jc w:val="left"/>
        <w:rPr>
          <w:b/>
          <w:sz w:val="39"/>
        </w:rPr>
      </w:pPr>
      <w:r>
        <w:rPr>
          <w:w w:val="95"/>
          <w:sz w:val="39"/>
        </w:rPr>
        <w:t>评估值＝重置全价×成新率</w:t>
      </w:r>
      <w:r>
        <w:rPr>
          <w:b/>
          <w:sz w:val="39"/>
        </w:rPr>
        <w:t>七、估价测算过程</w:t>
      </w:r>
    </w:p>
    <w:p>
      <w:pPr>
        <w:spacing w:before="8" w:line="405" w:lineRule="auto"/>
        <w:ind w:left="2654" w:right="6003" w:firstLine="3"/>
        <w:jc w:val="left"/>
        <w:rPr>
          <w:sz w:val="39"/>
        </w:rPr>
      </w:pPr>
      <w:r>
        <w:rPr>
          <w:b/>
          <w:sz w:val="39"/>
        </w:rPr>
        <w:t>（一）收益法（</w:t>
      </w:r>
      <w:r>
        <w:rPr>
          <w:b/>
          <w:spacing w:val="-51"/>
          <w:sz w:val="39"/>
        </w:rPr>
        <w:t xml:space="preserve">以 </w:t>
      </w:r>
      <w:r>
        <w:rPr>
          <w:b/>
          <w:sz w:val="39"/>
        </w:rPr>
        <w:t>5296.25</w:t>
      </w:r>
      <w:r>
        <w:rPr>
          <w:b/>
          <w:spacing w:val="-16"/>
          <w:sz w:val="39"/>
        </w:rPr>
        <w:t xml:space="preserve"> 平方米厂房为例</w:t>
      </w:r>
      <w:r>
        <w:rPr>
          <w:b/>
          <w:spacing w:val="-17"/>
          <w:sz w:val="39"/>
        </w:rPr>
        <w:t xml:space="preserve">） </w:t>
      </w:r>
      <w:r>
        <w:rPr>
          <w:sz w:val="39"/>
        </w:rPr>
        <w:t>1</w:t>
      </w:r>
      <w:r>
        <w:rPr>
          <w:spacing w:val="-16"/>
          <w:sz w:val="39"/>
        </w:rPr>
        <w:t xml:space="preserve">、资本利率 </w:t>
      </w:r>
      <w:r>
        <w:rPr>
          <w:sz w:val="39"/>
        </w:rPr>
        <w:t>r</w:t>
      </w:r>
      <w:r>
        <w:rPr>
          <w:spacing w:val="-24"/>
          <w:sz w:val="39"/>
        </w:rPr>
        <w:t xml:space="preserve"> 的确定</w:t>
      </w:r>
    </w:p>
    <w:p>
      <w:pPr>
        <w:pStyle w:val="BodyText"/>
        <w:spacing w:line="403" w:lineRule="auto"/>
        <w:ind w:left="1872" w:right="993" w:firstLine="782"/>
      </w:pPr>
      <w:r>
        <w:rPr>
          <w:spacing w:val="-1"/>
          <w:w w:val="95"/>
        </w:rPr>
        <w:t xml:space="preserve">本次采用复合投资收益率法确定资本化率，即将购买房地产的抵押贷款收益  </w:t>
      </w:r>
      <w:r>
        <w:t>率与自有资金收益率的加权平均数作为资本化率，按下式计算：</w:t>
      </w:r>
    </w:p>
    <w:p>
      <w:pPr>
        <w:pStyle w:val="BodyText"/>
        <w:spacing w:line="419" w:lineRule="exact"/>
        <w:ind w:left="2654"/>
      </w:pPr>
      <w:r>
        <w:t>r= M×r +（1－M）</w:t>
      </w:r>
      <w:r>
        <w:rPr>
          <w:spacing w:val="-96"/>
        </w:rPr>
        <w:t xml:space="preserve"> </w:t>
      </w:r>
      <w:r>
        <w:t>×r</w:t>
      </w:r>
    </w:p>
    <w:p>
      <w:pPr>
        <w:tabs>
          <w:tab w:val="left" w:pos="6650"/>
        </w:tabs>
        <w:spacing w:before="0" w:line="217" w:lineRule="exact"/>
        <w:ind w:left="4014" w:right="0" w:firstLine="0"/>
        <w:jc w:val="left"/>
        <w:rPr>
          <w:sz w:val="19"/>
        </w:rPr>
      </w:pPr>
      <w:r>
        <w:rPr>
          <w:sz w:val="19"/>
        </w:rPr>
        <w:t>m</w:t>
        <w:tab/>
        <w:t>E</w:t>
      </w:r>
    </w:p>
    <w:p>
      <w:pPr>
        <w:pStyle w:val="BodyText"/>
        <w:spacing w:before="1"/>
        <w:rPr>
          <w:sz w:val="12"/>
        </w:rPr>
      </w:pPr>
    </w:p>
    <w:p>
      <w:pPr>
        <w:pStyle w:val="BodyText"/>
        <w:spacing w:before="45" w:line="403" w:lineRule="auto"/>
        <w:ind w:left="3431" w:right="2925" w:hanging="778"/>
      </w:pPr>
      <w:r>
        <w:rPr>
          <w:spacing w:val="48"/>
        </w:rPr>
        <w:t>式中</w:t>
      </w:r>
      <w:r>
        <w:t>r—资本化率</w:t>
      </w:r>
      <w:r>
        <w:rPr>
          <w:spacing w:val="2"/>
        </w:rPr>
        <w:t xml:space="preserve">（%）；                             </w:t>
      </w:r>
      <w:r>
        <w:rPr>
          <w:spacing w:val="199"/>
        </w:rPr>
        <w:t xml:space="preserve"> </w:t>
      </w:r>
      <w:r>
        <w:rPr>
          <w:w w:val="95"/>
        </w:rPr>
        <w:t>M—贷款价值比率</w:t>
      </w:r>
      <w:r>
        <w:rPr>
          <w:spacing w:val="2"/>
          <w:w w:val="95"/>
        </w:rPr>
        <w:t>（%），</w:t>
      </w:r>
      <w:r>
        <w:rPr>
          <w:spacing w:val="-2"/>
          <w:w w:val="95"/>
        </w:rPr>
        <w:t>即抵押贷款占房地产价值的比率；</w:t>
      </w:r>
    </w:p>
    <w:p>
      <w:pPr>
        <w:pStyle w:val="BodyText"/>
        <w:spacing w:before="2" w:line="448" w:lineRule="exact"/>
        <w:ind w:left="3431"/>
      </w:pPr>
      <w:r>
        <w:t>r —抵押贷款收益率，即抵押贷款利率；</w:t>
      </w:r>
    </w:p>
    <w:p>
      <w:pPr>
        <w:spacing w:before="0" w:line="191" w:lineRule="exact"/>
        <w:ind w:left="3625" w:right="0" w:firstLine="0"/>
        <w:jc w:val="left"/>
        <w:rPr>
          <w:sz w:val="19"/>
        </w:rPr>
      </w:pPr>
      <w:r>
        <w:rPr>
          <w:w w:val="102"/>
          <w:sz w:val="19"/>
        </w:rPr>
        <w:t>m</w:t>
      </w:r>
    </w:p>
    <w:p>
      <w:pPr>
        <w:pStyle w:val="BodyText"/>
        <w:spacing w:before="8"/>
        <w:rPr>
          <w:sz w:val="15"/>
        </w:rPr>
      </w:pPr>
    </w:p>
    <w:p>
      <w:pPr>
        <w:pStyle w:val="BodyText"/>
        <w:spacing w:line="448" w:lineRule="exact"/>
        <w:ind w:left="3431"/>
      </w:pPr>
      <w:r>
        <w:t>r —自有资金所要求的收益率。</w:t>
      </w:r>
    </w:p>
    <w:p>
      <w:pPr>
        <w:spacing w:before="0" w:line="191" w:lineRule="exact"/>
        <w:ind w:left="3625" w:right="0" w:firstLine="0"/>
        <w:jc w:val="left"/>
        <w:rPr>
          <w:sz w:val="19"/>
        </w:rPr>
      </w:pPr>
      <w:r>
        <w:rPr>
          <w:w w:val="102"/>
          <w:sz w:val="19"/>
        </w:rPr>
        <w:t>E</w:t>
      </w:r>
    </w:p>
    <w:p>
      <w:pPr>
        <w:pStyle w:val="BodyText"/>
        <w:spacing w:before="7"/>
        <w:rPr>
          <w:sz w:val="15"/>
        </w:rPr>
      </w:pPr>
    </w:p>
    <w:p>
      <w:pPr>
        <w:pStyle w:val="BodyText"/>
        <w:ind w:left="2654"/>
      </w:pPr>
      <w:r>
        <w:t>根据贵阳市房地产抵押贷款的一般情况，房地产贷款额度通常为 70%，参照中</w:t>
      </w:r>
    </w:p>
    <w:p>
      <w:pPr>
        <w:pStyle w:val="BodyText"/>
        <w:spacing w:before="10"/>
        <w:rPr>
          <w:sz w:val="26"/>
        </w:rPr>
      </w:pPr>
    </w:p>
    <w:p>
      <w:pPr>
        <w:pStyle w:val="BodyText"/>
        <w:spacing w:line="448" w:lineRule="exact"/>
        <w:ind w:left="1872"/>
      </w:pPr>
      <w:r>
        <w:rPr>
          <w:spacing w:val="-2"/>
        </w:rPr>
        <w:t>国人民银行公布的一至五年的中长期贷款利率</w:t>
      </w:r>
      <w:r>
        <w:rPr>
          <w:spacing w:val="2"/>
        </w:rPr>
        <w:t>（r</w:t>
      </w:r>
      <w:r>
        <w:rPr>
          <w:spacing w:val="-104"/>
        </w:rPr>
        <w:t xml:space="preserve"> </w:t>
      </w:r>
      <w:r>
        <w:rPr>
          <w:spacing w:val="-15"/>
        </w:rPr>
        <w:t>）5.15</w:t>
      </w:r>
      <w:r>
        <w:rPr>
          <w:spacing w:val="-6"/>
        </w:rPr>
        <w:t>%，根据估价对象的用途、</w:t>
      </w:r>
    </w:p>
    <w:p>
      <w:pPr>
        <w:spacing w:before="0" w:line="191" w:lineRule="exact"/>
        <w:ind w:left="4019" w:right="0" w:firstLine="0"/>
        <w:jc w:val="center"/>
        <w:rPr>
          <w:sz w:val="19"/>
        </w:rPr>
      </w:pPr>
      <w:r>
        <w:rPr>
          <w:w w:val="102"/>
          <w:sz w:val="19"/>
        </w:rPr>
        <w:t>m</w:t>
      </w:r>
    </w:p>
    <w:p>
      <w:pPr>
        <w:pStyle w:val="BodyText"/>
        <w:spacing w:before="7"/>
        <w:rPr>
          <w:sz w:val="15"/>
        </w:rPr>
      </w:pPr>
    </w:p>
    <w:p>
      <w:pPr>
        <w:pStyle w:val="BodyText"/>
        <w:spacing w:line="403" w:lineRule="auto"/>
        <w:ind w:left="1872" w:right="843"/>
      </w:pPr>
      <w:r>
        <w:t>区位条件及所处区域房地产市场状况，正常状况下工业用房置业投资的自有资金</w:t>
      </w:r>
      <w:r>
        <w:rPr>
          <w:spacing w:val="-16"/>
        </w:rPr>
        <w:t xml:space="preserve">的正常收益率在 </w:t>
      </w:r>
      <w:r>
        <w:rPr>
          <w:spacing w:val="-12"/>
        </w:rPr>
        <w:t>5%～10</w:t>
      </w:r>
      <w:r>
        <w:rPr>
          <w:spacing w:val="-10"/>
        </w:rPr>
        <w:t>%，根据估价对象的区位条件和用途，估价对象的自有资金</w:t>
      </w:r>
    </w:p>
    <w:p>
      <w:pPr>
        <w:pStyle w:val="BodyText"/>
        <w:spacing w:before="2" w:line="448" w:lineRule="exact"/>
        <w:ind w:left="1872"/>
      </w:pPr>
      <w:r>
        <w:t>的正常收益率</w:t>
      </w:r>
      <w:r>
        <w:rPr>
          <w:spacing w:val="3"/>
        </w:rPr>
        <w:t>（r</w:t>
      </w:r>
      <w:r>
        <w:rPr>
          <w:spacing w:val="-99"/>
        </w:rPr>
        <w:t xml:space="preserve"> </w:t>
      </w:r>
      <w:r>
        <w:t>）</w:t>
      </w:r>
      <w:r>
        <w:rPr>
          <w:spacing w:val="-47"/>
        </w:rPr>
        <w:t xml:space="preserve">为 </w:t>
      </w:r>
      <w:r>
        <w:t>8%。则：</w:t>
      </w:r>
    </w:p>
    <w:p>
      <w:pPr>
        <w:spacing w:before="0" w:line="191" w:lineRule="exact"/>
        <w:ind w:left="4795" w:right="0" w:firstLine="0"/>
        <w:jc w:val="left"/>
        <w:rPr>
          <w:sz w:val="19"/>
        </w:rPr>
      </w:pPr>
      <w:r>
        <w:rPr>
          <w:w w:val="102"/>
          <w:sz w:val="19"/>
        </w:rPr>
        <w:t>E</w:t>
      </w:r>
    </w:p>
    <w:p>
      <w:pPr>
        <w:pStyle w:val="BodyText"/>
        <w:spacing w:before="8"/>
        <w:rPr>
          <w:sz w:val="15"/>
        </w:rPr>
      </w:pPr>
    </w:p>
    <w:p>
      <w:pPr>
        <w:pStyle w:val="BodyText"/>
        <w:spacing w:before="1" w:line="419" w:lineRule="exact"/>
        <w:ind w:left="3431"/>
      </w:pPr>
      <w:r>
        <w:t>r= M×r +（1－M）</w:t>
      </w:r>
      <w:r>
        <w:rPr>
          <w:spacing w:val="-97"/>
        </w:rPr>
        <w:t xml:space="preserve"> </w:t>
      </w:r>
      <w:r>
        <w:t>×r</w:t>
      </w:r>
    </w:p>
    <w:p>
      <w:pPr>
        <w:tabs>
          <w:tab w:val="left" w:pos="7428"/>
        </w:tabs>
        <w:spacing w:before="0" w:line="220" w:lineRule="exact"/>
        <w:ind w:left="4792" w:right="0" w:firstLine="0"/>
        <w:jc w:val="left"/>
        <w:rPr>
          <w:sz w:val="19"/>
        </w:rPr>
      </w:pPr>
      <w:r>
        <w:rPr>
          <w:sz w:val="19"/>
        </w:rPr>
        <w:t>m</w:t>
        <w:tab/>
        <w:t>E</w:t>
      </w:r>
    </w:p>
    <w:p>
      <w:pPr>
        <w:pStyle w:val="BodyText"/>
        <w:spacing w:before="1"/>
        <w:rPr>
          <w:sz w:val="12"/>
        </w:rPr>
      </w:pPr>
    </w:p>
    <w:p>
      <w:pPr>
        <w:pStyle w:val="BodyText"/>
        <w:spacing w:before="45" w:line="405" w:lineRule="auto"/>
        <w:ind w:left="2772" w:right="6573" w:firstLine="856"/>
      </w:pPr>
      <w:r>
        <w:t xml:space="preserve">=70%×5.15%+(1－70%) ×8%=6.005% </w:t>
      </w:r>
      <w:r>
        <w:rPr>
          <w:spacing w:val="97"/>
        </w:rPr>
        <w:t>则</w:t>
      </w:r>
      <w:r>
        <w:t>r=6.00%</w:t>
      </w:r>
    </w:p>
    <w:p>
      <w:pPr>
        <w:pStyle w:val="BodyText"/>
        <w:spacing w:line="492" w:lineRule="exact"/>
        <w:ind w:left="2654"/>
      </w:pPr>
      <w:r>
        <w:t>2、收益年限 n 的确定</w:t>
      </w:r>
    </w:p>
    <w:p>
      <w:pPr>
        <w:pStyle w:val="BodyText"/>
        <w:spacing w:before="339"/>
        <w:ind w:left="2654"/>
      </w:pPr>
      <w:r>
        <w:t>根据委托方提供的《国有土地使用证》，根据本次评估目的，其收益年限根</w:t>
      </w:r>
    </w:p>
    <w:p>
      <w:pPr>
        <w:spacing w:after="0"/>
        <w:sectPr>
          <w:pgSz w:w="17860" w:h="25260"/>
          <w:pgMar w:top="1720" w:right="1380" w:bottom="280" w:left="0" w:header="708" w:footer="708"/>
          <w:pgNumType w:start="7"/>
          <w:cols w:space="708"/>
        </w:sectPr>
      </w:pPr>
    </w:p>
    <w:p>
      <w:pPr>
        <w:pStyle w:val="BodyText"/>
        <w:spacing w:before="23"/>
        <w:ind w:left="1872"/>
      </w:pPr>
      <w:r>
        <w:t>据评估基准日 2015 年 9 月 15 日与终止日期 2047 年 4 月比较，剩余使用年限为</w:t>
      </w:r>
    </w:p>
    <w:p>
      <w:pPr>
        <w:pStyle w:val="BodyText"/>
        <w:spacing w:before="340"/>
        <w:ind w:left="1872"/>
      </w:pPr>
      <w:r>
        <w:t>31.62 年；</w:t>
      </w:r>
    </w:p>
    <w:p>
      <w:pPr>
        <w:pStyle w:val="BodyText"/>
        <w:spacing w:before="339"/>
        <w:ind w:left="2654"/>
      </w:pPr>
      <w:r>
        <w:t>3、收益递增比率 s 确定</w:t>
      </w:r>
    </w:p>
    <w:p>
      <w:pPr>
        <w:pStyle w:val="BodyText"/>
        <w:spacing w:before="10"/>
        <w:rPr>
          <w:sz w:val="26"/>
        </w:rPr>
      </w:pPr>
    </w:p>
    <w:p>
      <w:pPr>
        <w:pStyle w:val="BodyText"/>
        <w:spacing w:line="403" w:lineRule="auto"/>
        <w:ind w:left="1872" w:right="857" w:firstLine="782"/>
      </w:pPr>
      <w:r>
        <w:t xml:space="preserve">估价对象地理位置环境较好，所处区域升值潜力较好，根据委托方所提供的待估对象近几年的租赁合同。经估价人员对该区域同类物业租赁情况综合分析， </w:t>
      </w:r>
      <w:r>
        <w:rPr>
          <w:spacing w:val="-58"/>
        </w:rPr>
        <w:t xml:space="preserve">以 </w:t>
      </w:r>
      <w:r>
        <w:t>2015</w:t>
      </w:r>
      <w:r>
        <w:rPr>
          <w:spacing w:val="-15"/>
        </w:rPr>
        <w:t xml:space="preserve"> 年的租金为基础，估价对象在其未来收益年限内每年获得总收益的递增比</w:t>
      </w:r>
      <w:r>
        <w:rPr>
          <w:spacing w:val="-25"/>
        </w:rPr>
        <w:t xml:space="preserve">率约为 </w:t>
      </w:r>
      <w:r>
        <w:t>5.0%。</w:t>
      </w:r>
    </w:p>
    <w:p>
      <w:pPr>
        <w:pStyle w:val="BodyText"/>
        <w:spacing w:before="2"/>
        <w:ind w:left="2654"/>
      </w:pPr>
      <w:r>
        <w:t>4、年纯收益 a 的求取</w:t>
      </w:r>
    </w:p>
    <w:p>
      <w:pPr>
        <w:pStyle w:val="BodyText"/>
        <w:spacing w:before="339"/>
        <w:ind w:left="2654"/>
      </w:pPr>
      <w:r>
        <w:t>年纯收益＝年总收入－年总支出</w:t>
      </w:r>
    </w:p>
    <w:p>
      <w:pPr>
        <w:pStyle w:val="BodyText"/>
        <w:spacing w:before="9"/>
        <w:rPr>
          <w:sz w:val="26"/>
        </w:rPr>
      </w:pPr>
    </w:p>
    <w:p>
      <w:pPr>
        <w:pStyle w:val="ListParagraph"/>
        <w:numPr>
          <w:ilvl w:val="0"/>
          <w:numId w:val="11"/>
        </w:numPr>
        <w:tabs>
          <w:tab w:val="left" w:pos="3627"/>
        </w:tabs>
        <w:spacing w:before="0" w:after="0" w:line="403" w:lineRule="auto"/>
        <w:ind w:left="2654" w:right="11296" w:firstLine="0"/>
        <w:jc w:val="left"/>
        <w:rPr>
          <w:sz w:val="39"/>
        </w:rPr>
      </w:pPr>
      <w:r>
        <w:rPr>
          <w:spacing w:val="-5"/>
          <w:sz w:val="39"/>
        </w:rPr>
        <w:t>年总收入</w:t>
      </w:r>
      <w:r>
        <w:rPr>
          <w:sz w:val="39"/>
        </w:rPr>
        <w:t>A.租金确定</w:t>
      </w:r>
    </w:p>
    <w:p>
      <w:pPr>
        <w:pStyle w:val="BodyText"/>
        <w:spacing w:line="403" w:lineRule="auto"/>
        <w:ind w:left="1872" w:right="801" w:firstLine="782"/>
      </w:pPr>
      <w:r>
        <w:t>估价人员通过对委估房地产附近区域内与委估房地产类似房屋租金的调查及</w:t>
      </w:r>
      <w:r>
        <w:rPr>
          <w:spacing w:val="-6"/>
        </w:rPr>
        <w:t xml:space="preserve">估价对象近年来的实际租金的分析，租金每月约在 </w:t>
      </w:r>
      <w:r>
        <w:t>25-28</w:t>
      </w:r>
      <w:r>
        <w:rPr>
          <w:spacing w:val="-58"/>
        </w:rPr>
        <w:t xml:space="preserve"> 元</w:t>
      </w:r>
      <w:r>
        <w:rPr>
          <w:spacing w:val="3"/>
        </w:rPr>
        <w:t>/</w:t>
      </w:r>
      <w:r>
        <w:rPr>
          <w:spacing w:val="-2"/>
        </w:rPr>
        <w:t>平方米左右。结合委</w:t>
      </w:r>
      <w:r>
        <w:rPr>
          <w:spacing w:val="-3"/>
        </w:rPr>
        <w:t xml:space="preserve">估房地产的具体情况，确定委估房地产目前的客观租金收益为 </w:t>
      </w:r>
      <w:r>
        <w:t>26</w:t>
      </w:r>
      <w:r>
        <w:rPr>
          <w:spacing w:val="-52"/>
        </w:rPr>
        <w:t xml:space="preserve"> 元</w:t>
      </w:r>
      <w:r>
        <w:t>/平方米。</w:t>
      </w:r>
    </w:p>
    <w:p>
      <w:pPr>
        <w:pStyle w:val="BodyText"/>
        <w:spacing w:before="1"/>
        <w:ind w:left="2654"/>
      </w:pPr>
      <w:r>
        <w:t>B．空置率</w:t>
      </w:r>
    </w:p>
    <w:p>
      <w:pPr>
        <w:pStyle w:val="BodyText"/>
        <w:spacing w:before="10"/>
        <w:rPr>
          <w:sz w:val="26"/>
        </w:rPr>
      </w:pPr>
    </w:p>
    <w:p>
      <w:pPr>
        <w:pStyle w:val="BodyText"/>
        <w:spacing w:line="403" w:lineRule="auto"/>
        <w:ind w:left="1872" w:right="993" w:firstLine="782"/>
      </w:pPr>
      <w:r>
        <w:rPr>
          <w:spacing w:val="-1"/>
          <w:w w:val="95"/>
        </w:rPr>
        <w:t xml:space="preserve">根据评估人员待估房地产所在区域的类似房屋的实际租赁情况的调查分析，  </w:t>
      </w:r>
      <w:r>
        <w:t>该区域房屋出租空置率平均水平为每年半个月。</w:t>
      </w:r>
    </w:p>
    <w:p>
      <w:pPr>
        <w:pStyle w:val="ListParagraph"/>
        <w:numPr>
          <w:ilvl w:val="0"/>
          <w:numId w:val="11"/>
        </w:numPr>
        <w:tabs>
          <w:tab w:val="left" w:pos="3627"/>
        </w:tabs>
        <w:spacing w:before="0" w:after="0" w:line="405" w:lineRule="auto"/>
        <w:ind w:left="2654" w:right="9352" w:firstLine="0"/>
        <w:jc w:val="left"/>
        <w:rPr>
          <w:sz w:val="39"/>
        </w:rPr>
      </w:pPr>
      <w:r>
        <w:rPr>
          <w:spacing w:val="-2"/>
          <w:sz w:val="39"/>
        </w:rPr>
        <w:t>年总支出及年纯收益</w:t>
      </w:r>
      <w:r>
        <w:rPr>
          <w:sz w:val="39"/>
        </w:rPr>
        <w:t>A．营业税、房产税</w:t>
      </w:r>
    </w:p>
    <w:p>
      <w:pPr>
        <w:pStyle w:val="BodyText"/>
        <w:spacing w:line="403" w:lineRule="auto"/>
        <w:ind w:left="1872" w:right="632" w:firstLine="782"/>
      </w:pPr>
      <w:r>
        <w:rPr>
          <w:w w:val="99"/>
        </w:rPr>
        <w:t>营业税综合税率为</w:t>
      </w:r>
      <w:r>
        <w:rPr>
          <w:spacing w:val="-90"/>
        </w:rPr>
        <w:t xml:space="preserve"> </w:t>
      </w:r>
      <w:r>
        <w:rPr>
          <w:w w:val="99"/>
        </w:rPr>
        <w:t>5.50</w:t>
      </w:r>
      <w:r>
        <w:rPr>
          <w:spacing w:val="-159"/>
          <w:w w:val="99"/>
        </w:rPr>
        <w:t>%</w:t>
      </w:r>
      <w:r>
        <w:rPr>
          <w:w w:val="99"/>
        </w:rPr>
        <w:t>（含城建税</w:t>
      </w:r>
      <w:r>
        <w:rPr>
          <w:spacing w:val="-95"/>
        </w:rPr>
        <w:t xml:space="preserve"> </w:t>
      </w:r>
      <w:r>
        <w:rPr>
          <w:w w:val="99"/>
        </w:rPr>
        <w:t>7%</w:t>
      </w:r>
      <w:r>
        <w:rPr>
          <w:spacing w:val="-28"/>
          <w:w w:val="99"/>
        </w:rPr>
        <w:t>、教育费附加</w:t>
      </w:r>
      <w:r>
        <w:rPr>
          <w:spacing w:val="-91"/>
        </w:rPr>
        <w:t xml:space="preserve"> </w:t>
      </w:r>
      <w:r>
        <w:rPr>
          <w:w w:val="99"/>
        </w:rPr>
        <w:t>3%</w:t>
      </w:r>
      <w:r>
        <w:rPr>
          <w:spacing w:val="-21"/>
          <w:w w:val="99"/>
        </w:rPr>
        <w:t>、地方教育费附加</w:t>
      </w:r>
      <w:r>
        <w:rPr>
          <w:spacing w:val="-86"/>
        </w:rPr>
        <w:t xml:space="preserve"> </w:t>
      </w:r>
      <w:r>
        <w:rPr>
          <w:spacing w:val="-4"/>
          <w:w w:val="99"/>
        </w:rPr>
        <w:t>2%</w:t>
      </w:r>
      <w:r>
        <w:rPr>
          <w:spacing w:val="-166"/>
          <w:w w:val="99"/>
        </w:rPr>
        <w:t>）</w:t>
      </w:r>
      <w:r>
        <w:rPr>
          <w:spacing w:val="-4"/>
          <w:w w:val="99"/>
        </w:rPr>
        <w:t>，</w:t>
      </w:r>
      <w:r>
        <w:rPr>
          <w:spacing w:val="-19"/>
        </w:rPr>
        <w:t xml:space="preserve">附调基金 </w:t>
      </w:r>
      <w:r>
        <w:t>1‰，</w:t>
      </w:r>
      <w:r>
        <w:rPr>
          <w:spacing w:val="-16"/>
        </w:rPr>
        <w:t xml:space="preserve">房产税率为 </w:t>
      </w:r>
      <w:r>
        <w:t>12</w:t>
      </w:r>
      <w:r>
        <w:rPr>
          <w:spacing w:val="-8"/>
        </w:rPr>
        <w:t xml:space="preserve">%，则税费占年总收入 </w:t>
      </w:r>
      <w:r>
        <w:t>17.70%。</w:t>
      </w:r>
    </w:p>
    <w:p>
      <w:pPr>
        <w:pStyle w:val="BodyText"/>
        <w:ind w:left="2654"/>
      </w:pPr>
      <w:r>
        <w:rPr>
          <w:w w:val="95"/>
        </w:rPr>
        <w:t>B．管理费</w:t>
      </w:r>
    </w:p>
    <w:p>
      <w:pPr>
        <w:pStyle w:val="BodyText"/>
        <w:spacing w:before="333" w:line="403" w:lineRule="auto"/>
        <w:ind w:left="2654" w:right="9049"/>
      </w:pPr>
      <w:r>
        <w:rPr>
          <w:spacing w:val="-12"/>
        </w:rPr>
        <w:t xml:space="preserve">按房地产年收入的 </w:t>
      </w:r>
      <w:r>
        <w:t>1</w:t>
      </w:r>
      <w:r>
        <w:rPr>
          <w:spacing w:val="-5"/>
        </w:rPr>
        <w:t>%计算。</w:t>
      </w:r>
      <w:r>
        <w:t>C．维修费</w:t>
      </w:r>
    </w:p>
    <w:p>
      <w:pPr>
        <w:pStyle w:val="BodyText"/>
        <w:spacing w:before="2"/>
        <w:ind w:left="2654"/>
      </w:pPr>
      <w:r>
        <w:t>按重置价值的 1%计算。</w:t>
      </w:r>
    </w:p>
    <w:p>
      <w:pPr>
        <w:spacing w:after="0"/>
        <w:sectPr>
          <w:pgSz w:w="17860" w:h="25260"/>
          <w:pgMar w:top="1780" w:right="1380" w:bottom="280" w:left="0" w:header="708" w:footer="708"/>
          <w:pgNumType w:start="8"/>
          <w:cols w:space="708"/>
        </w:sectPr>
      </w:pPr>
    </w:p>
    <w:p>
      <w:pPr>
        <w:pStyle w:val="BodyText"/>
        <w:spacing w:before="23" w:line="403" w:lineRule="auto"/>
        <w:ind w:left="1872" w:right="825" w:firstLine="782"/>
      </w:pPr>
      <w:r>
        <w:t>经估价人员在当地市场进行的调查，并结合委估房产的实际情况确定其重置</w:t>
      </w:r>
      <w:r>
        <w:rPr>
          <w:spacing w:val="-10"/>
        </w:rPr>
        <w:t xml:space="preserve">价值为：主厂房 </w:t>
      </w:r>
      <w:r>
        <w:t>1200</w:t>
      </w:r>
      <w:r>
        <w:rPr>
          <w:spacing w:val="-40"/>
        </w:rPr>
        <w:t xml:space="preserve"> 元</w:t>
      </w:r>
      <w:r>
        <w:t>/</w:t>
      </w:r>
      <w:r>
        <w:rPr>
          <w:spacing w:val="-9"/>
        </w:rPr>
        <w:t xml:space="preserve">平方米，办公用房 </w:t>
      </w:r>
      <w:r>
        <w:t>1200</w:t>
      </w:r>
      <w:r>
        <w:rPr>
          <w:spacing w:val="-40"/>
        </w:rPr>
        <w:t xml:space="preserve"> 元</w:t>
      </w:r>
      <w:r>
        <w:t>/</w:t>
      </w:r>
      <w:r>
        <w:rPr>
          <w:spacing w:val="-8"/>
        </w:rPr>
        <w:t xml:space="preserve">平方米，其他厂房 </w:t>
      </w:r>
      <w:r>
        <w:t>1100</w:t>
      </w:r>
      <w:r>
        <w:rPr>
          <w:spacing w:val="-40"/>
        </w:rPr>
        <w:t xml:space="preserve"> 元</w:t>
      </w:r>
      <w:r>
        <w:rPr>
          <w:spacing w:val="-13"/>
        </w:rPr>
        <w:t xml:space="preserve">/ </w:t>
      </w:r>
      <w:r>
        <w:t>平方米。</w:t>
      </w:r>
    </w:p>
    <w:p>
      <w:pPr>
        <w:pStyle w:val="BodyText"/>
        <w:spacing w:before="2"/>
        <w:ind w:left="2654"/>
      </w:pPr>
      <w:r>
        <w:t>D．城镇土地使用税</w:t>
      </w:r>
    </w:p>
    <w:p>
      <w:pPr>
        <w:pStyle w:val="BodyText"/>
        <w:spacing w:before="340"/>
        <w:ind w:left="2654"/>
      </w:pPr>
      <w:r>
        <w:t>按贵阳市相关规定，税率为 8 元、平方米.年，土地面积按房屋一层占地面积</w:t>
      </w:r>
    </w:p>
    <w:p>
      <w:pPr>
        <w:pStyle w:val="BodyText"/>
        <w:spacing w:before="339"/>
        <w:ind w:left="1872"/>
      </w:pPr>
      <w:r>
        <w:t>计。</w:t>
      </w:r>
    </w:p>
    <w:p>
      <w:pPr>
        <w:pStyle w:val="BodyText"/>
        <w:spacing w:before="9"/>
        <w:rPr>
          <w:sz w:val="26"/>
        </w:rPr>
      </w:pPr>
    </w:p>
    <w:p>
      <w:pPr>
        <w:pStyle w:val="BodyText"/>
        <w:ind w:left="2654"/>
      </w:pPr>
      <w:r>
        <w:t>E．保险费：</w:t>
      </w:r>
    </w:p>
    <w:p>
      <w:pPr>
        <w:pStyle w:val="BodyText"/>
        <w:spacing w:before="268" w:line="360" w:lineRule="auto"/>
        <w:ind w:left="2654" w:right="7688"/>
      </w:pPr>
      <w:r>
        <w:pict>
          <v:group id="_x0000_s1026" style="width:693.75pt;height:500.85pt;margin-top:116.17pt;margin-left:91.25pt;mso-position-horizontal-relative:page;position:absolute;z-index:-251654144" coordorigin="1825,2323" coordsize="13875,100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3875;height:10017;left:1825;position:absolute;top:2323" stroked="f">
              <v:imagedata r:id="rId7" o:title=""/>
            </v:shape>
            <v:shape id="_x0000_s1028" type="#_x0000_t202" style="width:618;height:299;left:1977;position:absolute;top:2505" filled="f" stroked="f">
              <v:textbox inset="0,0,0,0">
                <w:txbxContent>
                  <w:p>
                    <w:pPr>
                      <w:spacing w:before="0" w:line="299" w:lineRule="exact"/>
                      <w:ind w:left="0" w:right="0" w:firstLine="0"/>
                      <w:jc w:val="left"/>
                      <w:rPr>
                        <w:sz w:val="30"/>
                      </w:rPr>
                    </w:pPr>
                    <w:r>
                      <w:rPr>
                        <w:sz w:val="30"/>
                      </w:rPr>
                      <w:t>序号</w:t>
                    </w:r>
                  </w:p>
                </w:txbxContent>
              </v:textbox>
            </v:shape>
            <v:shape id="_x0000_s1029" type="#_x0000_t202" style="width:1813;height:299;left:3456;position:absolute;top:2505" filled="f" stroked="f">
              <v:textbox inset="0,0,0,0">
                <w:txbxContent>
                  <w:p>
                    <w:pPr>
                      <w:spacing w:before="0" w:line="299" w:lineRule="exact"/>
                      <w:ind w:left="0" w:right="0" w:firstLine="0"/>
                      <w:jc w:val="left"/>
                      <w:rPr>
                        <w:sz w:val="30"/>
                      </w:rPr>
                    </w:pPr>
                    <w:r>
                      <w:rPr>
                        <w:sz w:val="30"/>
                      </w:rPr>
                      <w:t>价值计算内容</w:t>
                    </w:r>
                  </w:p>
                </w:txbxContent>
              </v:textbox>
            </v:shape>
            <v:shape id="_x0000_s1030" type="#_x0000_t202" style="width:1216;height:299;left:8648;position:absolute;top:2505" filled="f" stroked="f">
              <v:textbox inset="0,0,0,0">
                <w:txbxContent>
                  <w:p>
                    <w:pPr>
                      <w:spacing w:before="0" w:line="299" w:lineRule="exact"/>
                      <w:ind w:left="0" w:right="0" w:firstLine="0"/>
                      <w:jc w:val="left"/>
                      <w:rPr>
                        <w:sz w:val="30"/>
                      </w:rPr>
                    </w:pPr>
                    <w:r>
                      <w:rPr>
                        <w:sz w:val="30"/>
                      </w:rPr>
                      <w:t>有关说明</w:t>
                    </w:r>
                  </w:p>
                </w:txbxContent>
              </v:textbox>
            </v:shape>
            <v:shape id="_x0000_s1031" type="#_x0000_t202" style="width:1100;height:270;left:13535;position:absolute;top:2543" filled="f" stroked="f">
              <v:textbox inset="0,0,0,0">
                <w:txbxContent>
                  <w:p>
                    <w:pPr>
                      <w:spacing w:before="0" w:line="270" w:lineRule="exact"/>
                      <w:ind w:left="0" w:right="0" w:firstLine="0"/>
                      <w:jc w:val="left"/>
                      <w:rPr>
                        <w:sz w:val="27"/>
                      </w:rPr>
                    </w:pPr>
                    <w:r>
                      <w:rPr>
                        <w:sz w:val="27"/>
                      </w:rPr>
                      <w:t>估价对象</w:t>
                    </w:r>
                  </w:p>
                </w:txbxContent>
              </v:textbox>
            </v:shape>
          </v:group>
        </w:pict>
      </w:r>
      <w:r>
        <w:rPr>
          <w:spacing w:val="9"/>
        </w:rPr>
        <w:t xml:space="preserve">按房屋重置价值的  </w:t>
      </w:r>
      <w:r>
        <w:t>0.3%计算。F．房地产年总费用</w:t>
      </w:r>
      <w:r>
        <w:rPr>
          <w:spacing w:val="2"/>
        </w:rPr>
        <w:t>（A–D</w:t>
      </w:r>
      <w:r>
        <w:rPr>
          <w:spacing w:val="-29"/>
        </w:rPr>
        <w:t xml:space="preserve"> 项之和</w:t>
      </w:r>
      <w:r>
        <w:rPr>
          <w:spacing w:val="-17"/>
        </w:rPr>
        <w:t xml:space="preserve">） </w:t>
      </w:r>
      <w:r>
        <w:t>计算过程如下：（以主厂房为例）</w:t>
      </w:r>
    </w:p>
    <w:p>
      <w:pPr>
        <w:pStyle w:val="BodyText"/>
        <w:rPr>
          <w:sz w:val="20"/>
        </w:rPr>
      </w:pPr>
    </w:p>
    <w:p>
      <w:pPr>
        <w:pStyle w:val="BodyText"/>
        <w:spacing w:before="6"/>
        <w:rPr>
          <w:sz w:val="20"/>
        </w:rPr>
      </w:pPr>
    </w:p>
    <w:tbl>
      <w:tblPr>
        <w:tblStyle w:val="TableNormal0"/>
        <w:tblW w:w="0" w:type="auto"/>
        <w:jc w:val="left"/>
        <w:tblInd w:w="2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96"/>
        <w:gridCol w:w="6844"/>
        <w:gridCol w:w="2972"/>
      </w:tblGrid>
      <w:tr>
        <w:tblPrEx>
          <w:tblW w:w="0" w:type="auto"/>
          <w:jc w:val="left"/>
          <w:tblInd w:w="2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4"/>
          <w:jc w:val="left"/>
        </w:trPr>
        <w:tc>
          <w:tcPr>
            <w:tcW w:w="3796" w:type="dxa"/>
          </w:tcPr>
          <w:p>
            <w:pPr>
              <w:pStyle w:val="TableParagraph"/>
              <w:tabs>
                <w:tab w:val="left" w:pos="647"/>
              </w:tabs>
              <w:spacing w:line="341" w:lineRule="exact"/>
              <w:ind w:left="121"/>
              <w:rPr>
                <w:sz w:val="30"/>
              </w:rPr>
            </w:pPr>
            <w:r>
              <w:rPr>
                <w:sz w:val="30"/>
              </w:rPr>
              <w:t>1</w:t>
              <w:tab/>
              <w:t>建筑面积</w:t>
            </w:r>
          </w:p>
        </w:tc>
        <w:tc>
          <w:tcPr>
            <w:tcW w:w="6844" w:type="dxa"/>
          </w:tcPr>
          <w:p>
            <w:pPr>
              <w:pStyle w:val="TableParagraph"/>
              <w:spacing w:line="341" w:lineRule="exact"/>
              <w:ind w:left="160"/>
              <w:rPr>
                <w:sz w:val="30"/>
              </w:rPr>
            </w:pPr>
            <w:r>
              <w:rPr>
                <w:sz w:val="30"/>
              </w:rPr>
              <w:t>单位平方米</w:t>
            </w:r>
          </w:p>
        </w:tc>
        <w:tc>
          <w:tcPr>
            <w:tcW w:w="2972" w:type="dxa"/>
          </w:tcPr>
          <w:p>
            <w:pPr>
              <w:pStyle w:val="TableParagraph"/>
              <w:spacing w:line="341" w:lineRule="exact"/>
              <w:ind w:right="52"/>
              <w:jc w:val="right"/>
              <w:rPr>
                <w:sz w:val="30"/>
              </w:rPr>
            </w:pPr>
            <w:r>
              <w:rPr>
                <w:w w:val="95"/>
                <w:sz w:val="30"/>
              </w:rPr>
              <w:t>5296.25</w:t>
            </w:r>
          </w:p>
        </w:tc>
      </w:tr>
      <w:tr>
        <w:tblPrEx>
          <w:tblW w:w="0" w:type="auto"/>
          <w:jc w:val="left"/>
          <w:tblInd w:w="2085" w:type="dxa"/>
          <w:tblLayout w:type="fixed"/>
          <w:tblCellMar>
            <w:top w:w="0" w:type="dxa"/>
            <w:left w:w="0" w:type="dxa"/>
            <w:bottom w:w="0" w:type="dxa"/>
            <w:right w:w="0" w:type="dxa"/>
          </w:tblCellMar>
          <w:tblLook w:val="01E0"/>
        </w:tblPrEx>
        <w:trPr>
          <w:trHeight w:val="527"/>
          <w:jc w:val="left"/>
        </w:trPr>
        <w:tc>
          <w:tcPr>
            <w:tcW w:w="3796" w:type="dxa"/>
          </w:tcPr>
          <w:p>
            <w:pPr>
              <w:pStyle w:val="TableParagraph"/>
              <w:tabs>
                <w:tab w:val="left" w:pos="647"/>
              </w:tabs>
              <w:spacing w:before="72"/>
              <w:ind w:left="121"/>
              <w:rPr>
                <w:sz w:val="30"/>
              </w:rPr>
            </w:pPr>
            <w:r>
              <w:rPr>
                <w:sz w:val="30"/>
              </w:rPr>
              <w:t>2</w:t>
              <w:tab/>
              <w:t>分摊后土地使用权面积</w:t>
            </w:r>
          </w:p>
        </w:tc>
        <w:tc>
          <w:tcPr>
            <w:tcW w:w="6844" w:type="dxa"/>
          </w:tcPr>
          <w:p>
            <w:pPr>
              <w:pStyle w:val="TableParagraph"/>
              <w:spacing w:before="72"/>
              <w:ind w:left="160"/>
              <w:rPr>
                <w:sz w:val="30"/>
              </w:rPr>
            </w:pPr>
            <w:r>
              <w:rPr>
                <w:sz w:val="30"/>
              </w:rPr>
              <w:t>单位平方米</w:t>
            </w:r>
          </w:p>
        </w:tc>
        <w:tc>
          <w:tcPr>
            <w:tcW w:w="2972" w:type="dxa"/>
          </w:tcPr>
          <w:p>
            <w:pPr>
              <w:pStyle w:val="TableParagraph"/>
              <w:spacing w:before="72"/>
              <w:ind w:right="52"/>
              <w:jc w:val="right"/>
              <w:rPr>
                <w:sz w:val="30"/>
              </w:rPr>
            </w:pPr>
            <w:r>
              <w:rPr>
                <w:w w:val="95"/>
                <w:sz w:val="30"/>
              </w:rPr>
              <w:t>5296.25</w:t>
            </w:r>
          </w:p>
        </w:tc>
      </w:tr>
      <w:tr>
        <w:tblPrEx>
          <w:tblW w:w="0" w:type="auto"/>
          <w:jc w:val="left"/>
          <w:tblInd w:w="2085" w:type="dxa"/>
          <w:tblLayout w:type="fixed"/>
          <w:tblCellMar>
            <w:top w:w="0" w:type="dxa"/>
            <w:left w:w="0" w:type="dxa"/>
            <w:bottom w:w="0" w:type="dxa"/>
            <w:right w:w="0" w:type="dxa"/>
          </w:tblCellMar>
          <w:tblLook w:val="01E0"/>
        </w:tblPrEx>
        <w:trPr>
          <w:trHeight w:val="527"/>
          <w:jc w:val="left"/>
        </w:trPr>
        <w:tc>
          <w:tcPr>
            <w:tcW w:w="3796" w:type="dxa"/>
          </w:tcPr>
          <w:p>
            <w:pPr>
              <w:pStyle w:val="TableParagraph"/>
              <w:tabs>
                <w:tab w:val="left" w:pos="647"/>
              </w:tabs>
              <w:spacing w:before="70"/>
              <w:ind w:left="121"/>
              <w:rPr>
                <w:sz w:val="30"/>
              </w:rPr>
            </w:pPr>
            <w:r>
              <w:rPr>
                <w:sz w:val="30"/>
              </w:rPr>
              <w:t>3</w:t>
              <w:tab/>
              <w:t>月租金</w:t>
            </w:r>
          </w:p>
        </w:tc>
        <w:tc>
          <w:tcPr>
            <w:tcW w:w="6844" w:type="dxa"/>
          </w:tcPr>
          <w:p>
            <w:pPr>
              <w:pStyle w:val="TableParagraph"/>
              <w:spacing w:before="70"/>
              <w:ind w:left="160"/>
              <w:rPr>
                <w:sz w:val="30"/>
              </w:rPr>
            </w:pPr>
            <w:r>
              <w:rPr>
                <w:sz w:val="30"/>
              </w:rPr>
              <w:t>按元/平方米建筑面积·月计</w:t>
            </w:r>
          </w:p>
        </w:tc>
        <w:tc>
          <w:tcPr>
            <w:tcW w:w="2972" w:type="dxa"/>
          </w:tcPr>
          <w:p>
            <w:pPr>
              <w:pStyle w:val="TableParagraph"/>
              <w:spacing w:before="70"/>
              <w:ind w:right="48"/>
              <w:jc w:val="right"/>
              <w:rPr>
                <w:sz w:val="30"/>
              </w:rPr>
            </w:pPr>
            <w:r>
              <w:rPr>
                <w:w w:val="95"/>
                <w:sz w:val="30"/>
              </w:rPr>
              <w:t>26</w:t>
            </w:r>
          </w:p>
        </w:tc>
      </w:tr>
      <w:tr>
        <w:tblPrEx>
          <w:tblW w:w="0" w:type="auto"/>
          <w:jc w:val="left"/>
          <w:tblInd w:w="2085" w:type="dxa"/>
          <w:tblLayout w:type="fixed"/>
          <w:tblCellMar>
            <w:top w:w="0" w:type="dxa"/>
            <w:left w:w="0" w:type="dxa"/>
            <w:bottom w:w="0" w:type="dxa"/>
            <w:right w:w="0" w:type="dxa"/>
          </w:tblCellMar>
          <w:tblLook w:val="01E0"/>
        </w:tblPrEx>
        <w:trPr>
          <w:trHeight w:val="529"/>
          <w:jc w:val="left"/>
        </w:trPr>
        <w:tc>
          <w:tcPr>
            <w:tcW w:w="3796" w:type="dxa"/>
          </w:tcPr>
          <w:p>
            <w:pPr>
              <w:pStyle w:val="TableParagraph"/>
              <w:tabs>
                <w:tab w:val="left" w:pos="647"/>
              </w:tabs>
              <w:spacing w:before="72"/>
              <w:ind w:left="121"/>
              <w:rPr>
                <w:sz w:val="30"/>
              </w:rPr>
            </w:pPr>
            <w:r>
              <w:rPr>
                <w:sz w:val="30"/>
              </w:rPr>
              <w:t>4</w:t>
              <w:tab/>
              <w:t>空置率</w:t>
            </w:r>
          </w:p>
        </w:tc>
        <w:tc>
          <w:tcPr>
            <w:tcW w:w="6844" w:type="dxa"/>
          </w:tcPr>
          <w:p>
            <w:pPr>
              <w:pStyle w:val="TableParagraph"/>
              <w:spacing w:before="72"/>
              <w:ind w:left="160"/>
              <w:rPr>
                <w:sz w:val="30"/>
              </w:rPr>
            </w:pPr>
            <w:r>
              <w:rPr>
                <w:sz w:val="30"/>
              </w:rPr>
              <w:t>每年按半个月计</w:t>
            </w:r>
          </w:p>
        </w:tc>
        <w:tc>
          <w:tcPr>
            <w:tcW w:w="2972" w:type="dxa"/>
          </w:tcPr>
          <w:p>
            <w:pPr>
              <w:pStyle w:val="TableParagraph"/>
              <w:spacing w:before="72"/>
              <w:ind w:right="50"/>
              <w:jc w:val="right"/>
              <w:rPr>
                <w:sz w:val="30"/>
              </w:rPr>
            </w:pPr>
            <w:r>
              <w:rPr>
                <w:w w:val="95"/>
                <w:sz w:val="30"/>
              </w:rPr>
              <w:t>0.50</w:t>
            </w:r>
          </w:p>
        </w:tc>
      </w:tr>
      <w:tr>
        <w:tblPrEx>
          <w:tblW w:w="0" w:type="auto"/>
          <w:jc w:val="left"/>
          <w:tblInd w:w="2085" w:type="dxa"/>
          <w:tblLayout w:type="fixed"/>
          <w:tblCellMar>
            <w:top w:w="0" w:type="dxa"/>
            <w:left w:w="0" w:type="dxa"/>
            <w:bottom w:w="0" w:type="dxa"/>
            <w:right w:w="0" w:type="dxa"/>
          </w:tblCellMar>
          <w:tblLook w:val="01E0"/>
        </w:tblPrEx>
        <w:trPr>
          <w:trHeight w:val="527"/>
          <w:jc w:val="left"/>
        </w:trPr>
        <w:tc>
          <w:tcPr>
            <w:tcW w:w="3796" w:type="dxa"/>
          </w:tcPr>
          <w:p>
            <w:pPr>
              <w:pStyle w:val="TableParagraph"/>
              <w:tabs>
                <w:tab w:val="left" w:pos="647"/>
              </w:tabs>
              <w:spacing w:before="72"/>
              <w:ind w:left="121"/>
              <w:rPr>
                <w:b/>
                <w:sz w:val="30"/>
              </w:rPr>
            </w:pPr>
            <w:r>
              <w:rPr>
                <w:sz w:val="30"/>
              </w:rPr>
              <w:t>5</w:t>
              <w:tab/>
            </w:r>
            <w:r>
              <w:rPr>
                <w:b/>
                <w:sz w:val="30"/>
              </w:rPr>
              <w:t>年有效毛收入(元)</w:t>
            </w:r>
          </w:p>
        </w:tc>
        <w:tc>
          <w:tcPr>
            <w:tcW w:w="6844" w:type="dxa"/>
          </w:tcPr>
          <w:p>
            <w:pPr>
              <w:pStyle w:val="TableParagraph"/>
              <w:spacing w:before="72"/>
              <w:ind w:left="160"/>
              <w:rPr>
                <w:sz w:val="30"/>
              </w:rPr>
            </w:pPr>
            <w:r>
              <w:rPr>
                <w:sz w:val="30"/>
              </w:rPr>
              <w:t>(1)×(3)×12×（1-年空置率）</w:t>
            </w:r>
          </w:p>
        </w:tc>
        <w:tc>
          <w:tcPr>
            <w:tcW w:w="2972" w:type="dxa"/>
          </w:tcPr>
          <w:p>
            <w:pPr>
              <w:pStyle w:val="TableParagraph"/>
              <w:spacing w:before="72"/>
              <w:ind w:right="54"/>
              <w:jc w:val="right"/>
              <w:rPr>
                <w:sz w:val="30"/>
              </w:rPr>
            </w:pPr>
            <w:r>
              <w:rPr>
                <w:w w:val="95"/>
                <w:sz w:val="30"/>
              </w:rPr>
              <w:t>1,583,578.75</w:t>
            </w:r>
          </w:p>
        </w:tc>
      </w:tr>
      <w:tr>
        <w:tblPrEx>
          <w:tblW w:w="0" w:type="auto"/>
          <w:jc w:val="left"/>
          <w:tblInd w:w="2085" w:type="dxa"/>
          <w:tblLayout w:type="fixed"/>
          <w:tblCellMar>
            <w:top w:w="0" w:type="dxa"/>
            <w:left w:w="0" w:type="dxa"/>
            <w:bottom w:w="0" w:type="dxa"/>
            <w:right w:w="0" w:type="dxa"/>
          </w:tblCellMar>
          <w:tblLook w:val="01E0"/>
        </w:tblPrEx>
        <w:trPr>
          <w:trHeight w:val="527"/>
          <w:jc w:val="left"/>
        </w:trPr>
        <w:tc>
          <w:tcPr>
            <w:tcW w:w="3796" w:type="dxa"/>
          </w:tcPr>
          <w:p>
            <w:pPr>
              <w:pStyle w:val="TableParagraph"/>
              <w:tabs>
                <w:tab w:val="left" w:pos="647"/>
              </w:tabs>
              <w:spacing w:before="70"/>
              <w:ind w:left="121"/>
              <w:rPr>
                <w:sz w:val="30"/>
              </w:rPr>
            </w:pPr>
            <w:r>
              <w:rPr>
                <w:sz w:val="30"/>
              </w:rPr>
              <w:t>6</w:t>
              <w:tab/>
              <w:t>管理费</w:t>
            </w:r>
          </w:p>
        </w:tc>
        <w:tc>
          <w:tcPr>
            <w:tcW w:w="6844" w:type="dxa"/>
          </w:tcPr>
          <w:p>
            <w:pPr>
              <w:pStyle w:val="TableParagraph"/>
              <w:spacing w:before="70"/>
              <w:ind w:left="160"/>
              <w:rPr>
                <w:sz w:val="30"/>
              </w:rPr>
            </w:pPr>
            <w:r>
              <w:rPr>
                <w:sz w:val="30"/>
              </w:rPr>
              <w:t>(5)×1%</w:t>
            </w:r>
          </w:p>
        </w:tc>
        <w:tc>
          <w:tcPr>
            <w:tcW w:w="2972" w:type="dxa"/>
          </w:tcPr>
          <w:p>
            <w:pPr>
              <w:pStyle w:val="TableParagraph"/>
              <w:spacing w:before="70"/>
              <w:ind w:right="52"/>
              <w:jc w:val="right"/>
              <w:rPr>
                <w:sz w:val="30"/>
              </w:rPr>
            </w:pPr>
            <w:r>
              <w:rPr>
                <w:w w:val="95"/>
                <w:sz w:val="30"/>
              </w:rPr>
              <w:t>15,835.79</w:t>
            </w:r>
          </w:p>
        </w:tc>
      </w:tr>
      <w:tr>
        <w:tblPrEx>
          <w:tblW w:w="0" w:type="auto"/>
          <w:jc w:val="left"/>
          <w:tblInd w:w="2085" w:type="dxa"/>
          <w:tblLayout w:type="fixed"/>
          <w:tblCellMar>
            <w:top w:w="0" w:type="dxa"/>
            <w:left w:w="0" w:type="dxa"/>
            <w:bottom w:w="0" w:type="dxa"/>
            <w:right w:w="0" w:type="dxa"/>
          </w:tblCellMar>
          <w:tblLook w:val="01E0"/>
        </w:tblPrEx>
        <w:trPr>
          <w:trHeight w:val="537"/>
          <w:jc w:val="left"/>
        </w:trPr>
        <w:tc>
          <w:tcPr>
            <w:tcW w:w="3796" w:type="dxa"/>
          </w:tcPr>
          <w:p>
            <w:pPr>
              <w:pStyle w:val="TableParagraph"/>
              <w:tabs>
                <w:tab w:val="left" w:pos="647"/>
              </w:tabs>
              <w:spacing w:before="72"/>
              <w:ind w:left="121"/>
              <w:rPr>
                <w:sz w:val="30"/>
              </w:rPr>
            </w:pPr>
            <w:r>
              <w:rPr>
                <w:sz w:val="30"/>
              </w:rPr>
              <w:t>7</w:t>
              <w:tab/>
              <w:t>维修费</w:t>
            </w:r>
          </w:p>
        </w:tc>
        <w:tc>
          <w:tcPr>
            <w:tcW w:w="6844" w:type="dxa"/>
          </w:tcPr>
          <w:p>
            <w:pPr>
              <w:pStyle w:val="TableParagraph"/>
              <w:spacing w:before="72"/>
              <w:ind w:left="160"/>
              <w:rPr>
                <w:rFonts w:ascii="Times New Roman" w:eastAsia="Times New Roman" w:hAnsi="Times New Roman"/>
                <w:sz w:val="30"/>
              </w:rPr>
            </w:pPr>
            <w:r>
              <w:rPr>
                <w:sz w:val="30"/>
              </w:rPr>
              <w:t xml:space="preserve">按房屋重置均价 </w:t>
            </w:r>
            <w:r>
              <w:rPr>
                <w:rFonts w:ascii="Times New Roman" w:eastAsia="Times New Roman" w:hAnsi="Times New Roman"/>
                <w:sz w:val="30"/>
              </w:rPr>
              <w:t xml:space="preserve">1200 </w:t>
            </w:r>
            <w:r>
              <w:rPr>
                <w:sz w:val="30"/>
              </w:rPr>
              <w:t>元</w:t>
            </w:r>
            <w:r>
              <w:rPr>
                <w:rFonts w:ascii="Times New Roman" w:eastAsia="Times New Roman" w:hAnsi="Times New Roman"/>
                <w:sz w:val="30"/>
              </w:rPr>
              <w:t>/</w:t>
            </w:r>
            <w:r>
              <w:rPr>
                <w:sz w:val="30"/>
              </w:rPr>
              <w:t>平方米×</w:t>
            </w:r>
            <w:r>
              <w:rPr>
                <w:rFonts w:ascii="Times New Roman" w:eastAsia="Times New Roman" w:hAnsi="Times New Roman"/>
                <w:sz w:val="30"/>
              </w:rPr>
              <w:t>(1)×1%</w:t>
            </w:r>
          </w:p>
        </w:tc>
        <w:tc>
          <w:tcPr>
            <w:tcW w:w="2972" w:type="dxa"/>
          </w:tcPr>
          <w:p>
            <w:pPr>
              <w:pStyle w:val="TableParagraph"/>
              <w:spacing w:before="72"/>
              <w:ind w:right="52"/>
              <w:jc w:val="right"/>
              <w:rPr>
                <w:sz w:val="30"/>
              </w:rPr>
            </w:pPr>
            <w:r>
              <w:rPr>
                <w:w w:val="95"/>
                <w:sz w:val="30"/>
              </w:rPr>
              <w:t>63,555.00</w:t>
            </w:r>
          </w:p>
        </w:tc>
      </w:tr>
      <w:tr>
        <w:tblPrEx>
          <w:tblW w:w="0" w:type="auto"/>
          <w:jc w:val="left"/>
          <w:tblInd w:w="2085" w:type="dxa"/>
          <w:tblLayout w:type="fixed"/>
          <w:tblCellMar>
            <w:top w:w="0" w:type="dxa"/>
            <w:left w:w="0" w:type="dxa"/>
            <w:bottom w:w="0" w:type="dxa"/>
            <w:right w:w="0" w:type="dxa"/>
          </w:tblCellMar>
          <w:tblLook w:val="01E0"/>
        </w:tblPrEx>
        <w:trPr>
          <w:trHeight w:val="519"/>
          <w:jc w:val="left"/>
        </w:trPr>
        <w:tc>
          <w:tcPr>
            <w:tcW w:w="3796" w:type="dxa"/>
          </w:tcPr>
          <w:p>
            <w:pPr>
              <w:pStyle w:val="TableParagraph"/>
              <w:tabs>
                <w:tab w:val="left" w:pos="647"/>
              </w:tabs>
              <w:spacing w:before="63"/>
              <w:ind w:left="121"/>
              <w:rPr>
                <w:sz w:val="30"/>
              </w:rPr>
            </w:pPr>
            <w:r>
              <w:rPr>
                <w:sz w:val="30"/>
              </w:rPr>
              <w:t>8</w:t>
              <w:tab/>
              <w:t>税金</w:t>
            </w:r>
          </w:p>
        </w:tc>
        <w:tc>
          <w:tcPr>
            <w:tcW w:w="6844" w:type="dxa"/>
          </w:tcPr>
          <w:p>
            <w:pPr>
              <w:pStyle w:val="TableParagraph"/>
              <w:spacing w:before="63"/>
              <w:ind w:left="160"/>
              <w:rPr>
                <w:sz w:val="30"/>
              </w:rPr>
            </w:pPr>
            <w:r>
              <w:rPr>
                <w:sz w:val="30"/>
              </w:rPr>
              <w:t>(5)×17.70%</w:t>
            </w:r>
          </w:p>
        </w:tc>
        <w:tc>
          <w:tcPr>
            <w:tcW w:w="2972" w:type="dxa"/>
          </w:tcPr>
          <w:p>
            <w:pPr>
              <w:pStyle w:val="TableParagraph"/>
              <w:spacing w:before="63"/>
              <w:ind w:right="54"/>
              <w:jc w:val="right"/>
              <w:rPr>
                <w:sz w:val="30"/>
              </w:rPr>
            </w:pPr>
            <w:r>
              <w:rPr>
                <w:w w:val="95"/>
                <w:sz w:val="30"/>
              </w:rPr>
              <w:t>280,293.44</w:t>
            </w:r>
          </w:p>
        </w:tc>
      </w:tr>
      <w:tr>
        <w:tblPrEx>
          <w:tblW w:w="0" w:type="auto"/>
          <w:jc w:val="left"/>
          <w:tblInd w:w="2085" w:type="dxa"/>
          <w:tblLayout w:type="fixed"/>
          <w:tblCellMar>
            <w:top w:w="0" w:type="dxa"/>
            <w:left w:w="0" w:type="dxa"/>
            <w:bottom w:w="0" w:type="dxa"/>
            <w:right w:w="0" w:type="dxa"/>
          </w:tblCellMar>
          <w:tblLook w:val="01E0"/>
        </w:tblPrEx>
        <w:trPr>
          <w:trHeight w:val="527"/>
          <w:jc w:val="left"/>
        </w:trPr>
        <w:tc>
          <w:tcPr>
            <w:tcW w:w="3796" w:type="dxa"/>
          </w:tcPr>
          <w:p>
            <w:pPr>
              <w:pStyle w:val="TableParagraph"/>
              <w:tabs>
                <w:tab w:val="left" w:pos="647"/>
              </w:tabs>
              <w:spacing w:before="70"/>
              <w:ind w:left="121"/>
              <w:rPr>
                <w:sz w:val="30"/>
              </w:rPr>
            </w:pPr>
            <w:r>
              <w:rPr>
                <w:sz w:val="30"/>
              </w:rPr>
              <w:t>9</w:t>
              <w:tab/>
              <w:t>城镇土地使用税</w:t>
            </w:r>
          </w:p>
        </w:tc>
        <w:tc>
          <w:tcPr>
            <w:tcW w:w="6844" w:type="dxa"/>
          </w:tcPr>
          <w:p>
            <w:pPr>
              <w:pStyle w:val="TableParagraph"/>
              <w:spacing w:before="70"/>
              <w:ind w:left="160"/>
              <w:rPr>
                <w:sz w:val="30"/>
              </w:rPr>
            </w:pPr>
            <w:r>
              <w:rPr>
                <w:sz w:val="30"/>
              </w:rPr>
              <w:t>土地分摊面积×土地使用税(8 元/平方米)</w:t>
            </w:r>
          </w:p>
        </w:tc>
        <w:tc>
          <w:tcPr>
            <w:tcW w:w="2972" w:type="dxa"/>
          </w:tcPr>
          <w:p>
            <w:pPr>
              <w:pStyle w:val="TableParagraph"/>
              <w:spacing w:before="70"/>
              <w:ind w:right="52"/>
              <w:jc w:val="right"/>
              <w:rPr>
                <w:sz w:val="30"/>
              </w:rPr>
            </w:pPr>
            <w:r>
              <w:rPr>
                <w:w w:val="95"/>
                <w:sz w:val="30"/>
              </w:rPr>
              <w:t>42,370.00</w:t>
            </w:r>
          </w:p>
        </w:tc>
      </w:tr>
      <w:tr>
        <w:tblPrEx>
          <w:tblW w:w="0" w:type="auto"/>
          <w:jc w:val="left"/>
          <w:tblInd w:w="2085" w:type="dxa"/>
          <w:tblLayout w:type="fixed"/>
          <w:tblCellMar>
            <w:top w:w="0" w:type="dxa"/>
            <w:left w:w="0" w:type="dxa"/>
            <w:bottom w:w="0" w:type="dxa"/>
            <w:right w:w="0" w:type="dxa"/>
          </w:tblCellMar>
          <w:tblLook w:val="01E0"/>
        </w:tblPrEx>
        <w:trPr>
          <w:trHeight w:val="537"/>
          <w:jc w:val="left"/>
        </w:trPr>
        <w:tc>
          <w:tcPr>
            <w:tcW w:w="3796" w:type="dxa"/>
          </w:tcPr>
          <w:p>
            <w:pPr>
              <w:pStyle w:val="TableParagraph"/>
              <w:tabs>
                <w:tab w:val="left" w:pos="647"/>
              </w:tabs>
              <w:spacing w:before="72"/>
              <w:ind w:left="50"/>
              <w:rPr>
                <w:sz w:val="30"/>
              </w:rPr>
            </w:pPr>
            <w:r>
              <w:rPr>
                <w:sz w:val="30"/>
              </w:rPr>
              <w:t>10</w:t>
              <w:tab/>
              <w:t>保险费</w:t>
            </w:r>
          </w:p>
        </w:tc>
        <w:tc>
          <w:tcPr>
            <w:tcW w:w="6844" w:type="dxa"/>
          </w:tcPr>
          <w:p>
            <w:pPr>
              <w:pStyle w:val="TableParagraph"/>
              <w:spacing w:before="72"/>
              <w:ind w:left="160"/>
              <w:rPr>
                <w:rFonts w:ascii="Times New Roman" w:eastAsia="Times New Roman" w:hAnsi="Times New Roman"/>
                <w:sz w:val="30"/>
              </w:rPr>
            </w:pPr>
            <w:r>
              <w:rPr>
                <w:sz w:val="30"/>
              </w:rPr>
              <w:t xml:space="preserve">按房屋重置均价 </w:t>
            </w:r>
            <w:r>
              <w:rPr>
                <w:rFonts w:ascii="Times New Roman" w:eastAsia="Times New Roman" w:hAnsi="Times New Roman"/>
                <w:sz w:val="30"/>
              </w:rPr>
              <w:t xml:space="preserve">1200 </w:t>
            </w:r>
            <w:r>
              <w:rPr>
                <w:sz w:val="30"/>
              </w:rPr>
              <w:t>元</w:t>
            </w:r>
            <w:r>
              <w:rPr>
                <w:rFonts w:ascii="Times New Roman" w:eastAsia="Times New Roman" w:hAnsi="Times New Roman"/>
                <w:sz w:val="30"/>
              </w:rPr>
              <w:t>/</w:t>
            </w:r>
            <w:r>
              <w:rPr>
                <w:sz w:val="30"/>
              </w:rPr>
              <w:t>平方米×</w:t>
            </w:r>
            <w:r>
              <w:rPr>
                <w:rFonts w:ascii="Times New Roman" w:eastAsia="Times New Roman" w:hAnsi="Times New Roman"/>
                <w:sz w:val="30"/>
              </w:rPr>
              <w:t>(1)×0.3%</w:t>
            </w:r>
          </w:p>
        </w:tc>
        <w:tc>
          <w:tcPr>
            <w:tcW w:w="2972" w:type="dxa"/>
          </w:tcPr>
          <w:p>
            <w:pPr>
              <w:pStyle w:val="TableParagraph"/>
              <w:spacing w:before="72"/>
              <w:ind w:right="52"/>
              <w:jc w:val="right"/>
              <w:rPr>
                <w:sz w:val="30"/>
              </w:rPr>
            </w:pPr>
            <w:r>
              <w:rPr>
                <w:w w:val="95"/>
                <w:sz w:val="30"/>
              </w:rPr>
              <w:t>19066.5</w:t>
            </w:r>
          </w:p>
        </w:tc>
      </w:tr>
      <w:tr>
        <w:tblPrEx>
          <w:tblW w:w="0" w:type="auto"/>
          <w:jc w:val="left"/>
          <w:tblInd w:w="2085" w:type="dxa"/>
          <w:tblLayout w:type="fixed"/>
          <w:tblCellMar>
            <w:top w:w="0" w:type="dxa"/>
            <w:left w:w="0" w:type="dxa"/>
            <w:bottom w:w="0" w:type="dxa"/>
            <w:right w:w="0" w:type="dxa"/>
          </w:tblCellMar>
          <w:tblLook w:val="01E0"/>
        </w:tblPrEx>
        <w:trPr>
          <w:trHeight w:val="519"/>
          <w:jc w:val="left"/>
        </w:trPr>
        <w:tc>
          <w:tcPr>
            <w:tcW w:w="3796" w:type="dxa"/>
          </w:tcPr>
          <w:p>
            <w:pPr>
              <w:pStyle w:val="TableParagraph"/>
              <w:tabs>
                <w:tab w:val="left" w:pos="647"/>
              </w:tabs>
              <w:spacing w:before="63"/>
              <w:ind w:left="50"/>
              <w:rPr>
                <w:b/>
                <w:sz w:val="30"/>
              </w:rPr>
            </w:pPr>
            <w:r>
              <w:rPr>
                <w:sz w:val="30"/>
              </w:rPr>
              <w:t>11</w:t>
              <w:tab/>
            </w:r>
            <w:r>
              <w:rPr>
                <w:b/>
                <w:sz w:val="30"/>
              </w:rPr>
              <w:t>年运营费用</w:t>
            </w:r>
          </w:p>
        </w:tc>
        <w:tc>
          <w:tcPr>
            <w:tcW w:w="6844" w:type="dxa"/>
          </w:tcPr>
          <w:p>
            <w:pPr>
              <w:pStyle w:val="TableParagraph"/>
              <w:spacing w:before="63"/>
              <w:ind w:left="160"/>
              <w:rPr>
                <w:sz w:val="30"/>
              </w:rPr>
            </w:pPr>
            <w:r>
              <w:rPr>
                <w:sz w:val="30"/>
              </w:rPr>
              <w:t>(6)+(7)+(8)+(9)+(10)</w:t>
            </w:r>
          </w:p>
        </w:tc>
        <w:tc>
          <w:tcPr>
            <w:tcW w:w="2972" w:type="dxa"/>
          </w:tcPr>
          <w:p>
            <w:pPr>
              <w:pStyle w:val="TableParagraph"/>
              <w:spacing w:before="63"/>
              <w:ind w:right="54"/>
              <w:jc w:val="right"/>
              <w:rPr>
                <w:sz w:val="30"/>
              </w:rPr>
            </w:pPr>
            <w:r>
              <w:rPr>
                <w:w w:val="95"/>
                <w:sz w:val="30"/>
              </w:rPr>
              <w:t>421,120.73</w:t>
            </w:r>
          </w:p>
        </w:tc>
      </w:tr>
      <w:tr>
        <w:tblPrEx>
          <w:tblW w:w="0" w:type="auto"/>
          <w:jc w:val="left"/>
          <w:tblInd w:w="2085" w:type="dxa"/>
          <w:tblLayout w:type="fixed"/>
          <w:tblCellMar>
            <w:top w:w="0" w:type="dxa"/>
            <w:left w:w="0" w:type="dxa"/>
            <w:bottom w:w="0" w:type="dxa"/>
            <w:right w:w="0" w:type="dxa"/>
          </w:tblCellMar>
          <w:tblLook w:val="01E0"/>
        </w:tblPrEx>
        <w:trPr>
          <w:trHeight w:val="527"/>
          <w:jc w:val="left"/>
        </w:trPr>
        <w:tc>
          <w:tcPr>
            <w:tcW w:w="3796" w:type="dxa"/>
          </w:tcPr>
          <w:p>
            <w:pPr>
              <w:pStyle w:val="TableParagraph"/>
              <w:tabs>
                <w:tab w:val="left" w:pos="647"/>
              </w:tabs>
              <w:spacing w:before="70"/>
              <w:ind w:left="50"/>
              <w:rPr>
                <w:b/>
                <w:sz w:val="30"/>
              </w:rPr>
            </w:pPr>
            <w:r>
              <w:rPr>
                <w:sz w:val="30"/>
              </w:rPr>
              <w:t>12</w:t>
              <w:tab/>
            </w:r>
            <w:r>
              <w:rPr>
                <w:b/>
                <w:spacing w:val="-14"/>
                <w:sz w:val="30"/>
              </w:rPr>
              <w:t xml:space="preserve">年净收益 </w:t>
            </w:r>
            <w:r>
              <w:rPr>
                <w:b/>
                <w:sz w:val="30"/>
              </w:rPr>
              <w:t>a</w:t>
            </w:r>
          </w:p>
        </w:tc>
        <w:tc>
          <w:tcPr>
            <w:tcW w:w="6844" w:type="dxa"/>
          </w:tcPr>
          <w:p>
            <w:pPr>
              <w:pStyle w:val="TableParagraph"/>
              <w:spacing w:before="70"/>
              <w:ind w:left="160"/>
              <w:rPr>
                <w:sz w:val="30"/>
              </w:rPr>
            </w:pPr>
            <w:r>
              <w:rPr>
                <w:sz w:val="30"/>
              </w:rPr>
              <w:t>(5)－(11)</w:t>
            </w:r>
          </w:p>
        </w:tc>
        <w:tc>
          <w:tcPr>
            <w:tcW w:w="2972" w:type="dxa"/>
          </w:tcPr>
          <w:p>
            <w:pPr>
              <w:pStyle w:val="TableParagraph"/>
              <w:spacing w:before="70"/>
              <w:ind w:right="68"/>
              <w:jc w:val="right"/>
              <w:rPr>
                <w:b/>
                <w:sz w:val="30"/>
              </w:rPr>
            </w:pPr>
            <w:r>
              <w:rPr>
                <w:b/>
                <w:w w:val="95"/>
                <w:sz w:val="30"/>
              </w:rPr>
              <w:t>1,162,458.02</w:t>
            </w:r>
          </w:p>
        </w:tc>
      </w:tr>
      <w:tr>
        <w:tblPrEx>
          <w:tblW w:w="0" w:type="auto"/>
          <w:jc w:val="left"/>
          <w:tblInd w:w="2085" w:type="dxa"/>
          <w:tblLayout w:type="fixed"/>
          <w:tblCellMar>
            <w:top w:w="0" w:type="dxa"/>
            <w:left w:w="0" w:type="dxa"/>
            <w:bottom w:w="0" w:type="dxa"/>
            <w:right w:w="0" w:type="dxa"/>
          </w:tblCellMar>
          <w:tblLook w:val="01E0"/>
        </w:tblPrEx>
        <w:trPr>
          <w:trHeight w:val="529"/>
          <w:jc w:val="left"/>
        </w:trPr>
        <w:tc>
          <w:tcPr>
            <w:tcW w:w="3796" w:type="dxa"/>
          </w:tcPr>
          <w:p>
            <w:pPr>
              <w:pStyle w:val="TableParagraph"/>
              <w:tabs>
                <w:tab w:val="left" w:pos="647"/>
              </w:tabs>
              <w:spacing w:before="72"/>
              <w:ind w:left="50"/>
              <w:rPr>
                <w:b/>
                <w:sz w:val="30"/>
              </w:rPr>
            </w:pPr>
            <w:r>
              <w:rPr>
                <w:sz w:val="30"/>
              </w:rPr>
              <w:t>13</w:t>
              <w:tab/>
            </w:r>
            <w:r>
              <w:rPr>
                <w:b/>
                <w:spacing w:val="-14"/>
                <w:sz w:val="30"/>
              </w:rPr>
              <w:t xml:space="preserve">资本利率 </w:t>
            </w:r>
            <w:r>
              <w:rPr>
                <w:b/>
                <w:sz w:val="30"/>
              </w:rPr>
              <w:t>r</w:t>
            </w:r>
          </w:p>
        </w:tc>
        <w:tc>
          <w:tcPr>
            <w:tcW w:w="6844" w:type="dxa"/>
          </w:tcPr>
          <w:p>
            <w:pPr>
              <w:pStyle w:val="TableParagraph"/>
              <w:spacing w:before="72"/>
              <w:ind w:left="160"/>
              <w:rPr>
                <w:sz w:val="30"/>
              </w:rPr>
            </w:pPr>
            <w:r>
              <w:rPr>
                <w:sz w:val="30"/>
              </w:rPr>
              <w:t>采用安全利率加风险调整值法</w:t>
            </w:r>
          </w:p>
        </w:tc>
        <w:tc>
          <w:tcPr>
            <w:tcW w:w="2972" w:type="dxa"/>
          </w:tcPr>
          <w:p>
            <w:pPr>
              <w:pStyle w:val="TableParagraph"/>
              <w:spacing w:before="72"/>
              <w:ind w:right="48"/>
              <w:jc w:val="right"/>
              <w:rPr>
                <w:sz w:val="30"/>
              </w:rPr>
            </w:pPr>
            <w:r>
              <w:rPr>
                <w:w w:val="95"/>
                <w:sz w:val="30"/>
              </w:rPr>
              <w:t>6.00%</w:t>
            </w:r>
          </w:p>
        </w:tc>
      </w:tr>
      <w:tr>
        <w:tblPrEx>
          <w:tblW w:w="0" w:type="auto"/>
          <w:jc w:val="left"/>
          <w:tblInd w:w="2085" w:type="dxa"/>
          <w:tblLayout w:type="fixed"/>
          <w:tblCellMar>
            <w:top w:w="0" w:type="dxa"/>
            <w:left w:w="0" w:type="dxa"/>
            <w:bottom w:w="0" w:type="dxa"/>
            <w:right w:w="0" w:type="dxa"/>
          </w:tblCellMar>
          <w:tblLook w:val="01E0"/>
        </w:tblPrEx>
        <w:trPr>
          <w:trHeight w:val="527"/>
          <w:jc w:val="left"/>
        </w:trPr>
        <w:tc>
          <w:tcPr>
            <w:tcW w:w="3796" w:type="dxa"/>
          </w:tcPr>
          <w:p>
            <w:pPr>
              <w:pStyle w:val="TableParagraph"/>
              <w:tabs>
                <w:tab w:val="left" w:pos="647"/>
              </w:tabs>
              <w:spacing w:before="72"/>
              <w:ind w:left="50"/>
              <w:rPr>
                <w:b/>
                <w:sz w:val="30"/>
              </w:rPr>
            </w:pPr>
            <w:r>
              <w:rPr>
                <w:sz w:val="30"/>
              </w:rPr>
              <w:t>14</w:t>
              <w:tab/>
            </w:r>
            <w:r>
              <w:rPr>
                <w:b/>
                <w:spacing w:val="-14"/>
                <w:sz w:val="30"/>
              </w:rPr>
              <w:t xml:space="preserve">收益年限 </w:t>
            </w:r>
            <w:r>
              <w:rPr>
                <w:b/>
                <w:sz w:val="30"/>
              </w:rPr>
              <w:t>n</w:t>
            </w:r>
          </w:p>
        </w:tc>
        <w:tc>
          <w:tcPr>
            <w:tcW w:w="6844" w:type="dxa"/>
          </w:tcPr>
          <w:p>
            <w:pPr>
              <w:pStyle w:val="TableParagraph"/>
              <w:spacing w:before="72"/>
              <w:ind w:left="160"/>
              <w:rPr>
                <w:sz w:val="30"/>
              </w:rPr>
            </w:pPr>
            <w:r>
              <w:rPr>
                <w:sz w:val="30"/>
              </w:rPr>
              <w:t>按土地使用证载年限确定</w:t>
            </w:r>
          </w:p>
        </w:tc>
        <w:tc>
          <w:tcPr>
            <w:tcW w:w="2972" w:type="dxa"/>
          </w:tcPr>
          <w:p>
            <w:pPr>
              <w:pStyle w:val="TableParagraph"/>
              <w:spacing w:before="72"/>
              <w:ind w:right="50"/>
              <w:jc w:val="right"/>
              <w:rPr>
                <w:sz w:val="30"/>
              </w:rPr>
            </w:pPr>
            <w:r>
              <w:rPr>
                <w:w w:val="95"/>
                <w:sz w:val="30"/>
              </w:rPr>
              <w:t>31.625</w:t>
            </w:r>
          </w:p>
        </w:tc>
      </w:tr>
      <w:tr>
        <w:tblPrEx>
          <w:tblW w:w="0" w:type="auto"/>
          <w:jc w:val="left"/>
          <w:tblInd w:w="2085" w:type="dxa"/>
          <w:tblLayout w:type="fixed"/>
          <w:tblCellMar>
            <w:top w:w="0" w:type="dxa"/>
            <w:left w:w="0" w:type="dxa"/>
            <w:bottom w:w="0" w:type="dxa"/>
            <w:right w:w="0" w:type="dxa"/>
          </w:tblCellMar>
          <w:tblLook w:val="01E0"/>
        </w:tblPrEx>
        <w:trPr>
          <w:trHeight w:val="761"/>
          <w:jc w:val="left"/>
        </w:trPr>
        <w:tc>
          <w:tcPr>
            <w:tcW w:w="3796" w:type="dxa"/>
          </w:tcPr>
          <w:p>
            <w:pPr>
              <w:pStyle w:val="TableParagraph"/>
              <w:tabs>
                <w:tab w:val="left" w:pos="647"/>
              </w:tabs>
              <w:spacing w:before="70"/>
              <w:ind w:left="50"/>
              <w:rPr>
                <w:b/>
                <w:sz w:val="30"/>
              </w:rPr>
            </w:pPr>
            <w:r>
              <w:rPr>
                <w:sz w:val="30"/>
              </w:rPr>
              <w:t>15</w:t>
              <w:tab/>
            </w:r>
            <w:r>
              <w:rPr>
                <w:b/>
                <w:spacing w:val="-8"/>
                <w:sz w:val="30"/>
              </w:rPr>
              <w:t xml:space="preserve">年收益递增比例 </w:t>
            </w:r>
            <w:r>
              <w:rPr>
                <w:b/>
                <w:sz w:val="30"/>
              </w:rPr>
              <w:t>s</w:t>
            </w:r>
          </w:p>
        </w:tc>
        <w:tc>
          <w:tcPr>
            <w:tcW w:w="6844" w:type="dxa"/>
          </w:tcPr>
          <w:p>
            <w:pPr>
              <w:pStyle w:val="TableParagraph"/>
              <w:spacing w:before="70"/>
              <w:ind w:left="160"/>
              <w:rPr>
                <w:sz w:val="30"/>
              </w:rPr>
            </w:pPr>
            <w:r>
              <w:rPr>
                <w:sz w:val="30"/>
              </w:rPr>
              <w:t>根据市场行情确定</w:t>
            </w:r>
          </w:p>
        </w:tc>
        <w:tc>
          <w:tcPr>
            <w:tcW w:w="2972" w:type="dxa"/>
          </w:tcPr>
          <w:p>
            <w:pPr>
              <w:pStyle w:val="TableParagraph"/>
              <w:spacing w:before="70"/>
              <w:ind w:right="48"/>
              <w:jc w:val="right"/>
              <w:rPr>
                <w:sz w:val="30"/>
              </w:rPr>
            </w:pPr>
            <w:r>
              <w:rPr>
                <w:w w:val="95"/>
                <w:sz w:val="30"/>
              </w:rPr>
              <w:t>5%</w:t>
            </w:r>
          </w:p>
        </w:tc>
      </w:tr>
      <w:tr>
        <w:tblPrEx>
          <w:tblW w:w="0" w:type="auto"/>
          <w:jc w:val="left"/>
          <w:tblInd w:w="2085" w:type="dxa"/>
          <w:tblLayout w:type="fixed"/>
          <w:tblCellMar>
            <w:top w:w="0" w:type="dxa"/>
            <w:left w:w="0" w:type="dxa"/>
            <w:bottom w:w="0" w:type="dxa"/>
            <w:right w:w="0" w:type="dxa"/>
          </w:tblCellMar>
          <w:tblLook w:val="01E0"/>
        </w:tblPrEx>
        <w:trPr>
          <w:trHeight w:val="763"/>
          <w:jc w:val="left"/>
        </w:trPr>
        <w:tc>
          <w:tcPr>
            <w:tcW w:w="3796" w:type="dxa"/>
          </w:tcPr>
          <w:p>
            <w:pPr>
              <w:pStyle w:val="TableParagraph"/>
              <w:spacing w:before="11"/>
              <w:rPr>
                <w:sz w:val="23"/>
              </w:rPr>
            </w:pPr>
          </w:p>
          <w:p>
            <w:pPr>
              <w:pStyle w:val="TableParagraph"/>
              <w:tabs>
                <w:tab w:val="left" w:pos="647"/>
              </w:tabs>
              <w:ind w:left="50"/>
              <w:rPr>
                <w:b/>
                <w:sz w:val="30"/>
              </w:rPr>
            </w:pPr>
            <w:r>
              <w:rPr>
                <w:sz w:val="30"/>
              </w:rPr>
              <w:t>16</w:t>
              <w:tab/>
            </w:r>
            <w:r>
              <w:rPr>
                <w:b/>
                <w:spacing w:val="-14"/>
                <w:sz w:val="30"/>
              </w:rPr>
              <w:t xml:space="preserve">收益价值 </w:t>
            </w:r>
            <w:r>
              <w:rPr>
                <w:b/>
                <w:sz w:val="30"/>
              </w:rPr>
              <w:t>v</w:t>
            </w:r>
          </w:p>
        </w:tc>
        <w:tc>
          <w:tcPr>
            <w:tcW w:w="6844" w:type="dxa"/>
          </w:tcPr>
          <w:p>
            <w:pPr>
              <w:pStyle w:val="TableParagraph"/>
              <w:spacing w:before="11"/>
              <w:rPr>
                <w:sz w:val="23"/>
              </w:rPr>
            </w:pPr>
          </w:p>
          <w:p>
            <w:pPr>
              <w:pStyle w:val="TableParagraph"/>
              <w:ind w:left="160"/>
              <w:rPr>
                <w:sz w:val="30"/>
              </w:rPr>
            </w:pPr>
            <w:r>
              <w:rPr>
                <w:sz w:val="30"/>
              </w:rPr>
              <w:t>a/(r-s)×[1-(1+s)</w:t>
            </w:r>
            <w:r>
              <w:rPr>
                <w:position w:val="2"/>
                <w:sz w:val="15"/>
              </w:rPr>
              <w:t>n</w:t>
            </w:r>
            <w:r>
              <w:rPr>
                <w:sz w:val="30"/>
              </w:rPr>
              <w:t>/(1＋r)</w:t>
            </w:r>
            <w:r>
              <w:rPr>
                <w:position w:val="2"/>
                <w:sz w:val="15"/>
              </w:rPr>
              <w:t>n</w:t>
            </w:r>
            <w:r>
              <w:rPr>
                <w:sz w:val="30"/>
              </w:rPr>
              <w:t>]</w:t>
            </w:r>
          </w:p>
        </w:tc>
        <w:tc>
          <w:tcPr>
            <w:tcW w:w="2972" w:type="dxa"/>
          </w:tcPr>
          <w:p>
            <w:pPr>
              <w:pStyle w:val="TableParagraph"/>
              <w:rPr>
                <w:rFonts w:ascii="Times New Roman"/>
                <w:sz w:val="32"/>
              </w:rPr>
            </w:pPr>
          </w:p>
        </w:tc>
      </w:tr>
      <w:tr>
        <w:tblPrEx>
          <w:tblW w:w="0" w:type="auto"/>
          <w:jc w:val="left"/>
          <w:tblInd w:w="2085" w:type="dxa"/>
          <w:tblLayout w:type="fixed"/>
          <w:tblCellMar>
            <w:top w:w="0" w:type="dxa"/>
            <w:left w:w="0" w:type="dxa"/>
            <w:bottom w:w="0" w:type="dxa"/>
            <w:right w:w="0" w:type="dxa"/>
          </w:tblCellMar>
          <w:tblLook w:val="01E0"/>
        </w:tblPrEx>
        <w:trPr>
          <w:trHeight w:val="413"/>
          <w:jc w:val="left"/>
        </w:trPr>
        <w:tc>
          <w:tcPr>
            <w:tcW w:w="3796" w:type="dxa"/>
          </w:tcPr>
          <w:p>
            <w:pPr>
              <w:pStyle w:val="TableParagraph"/>
              <w:tabs>
                <w:tab w:val="left" w:pos="647"/>
              </w:tabs>
              <w:spacing w:before="72" w:line="322" w:lineRule="exact"/>
              <w:ind w:left="50"/>
              <w:rPr>
                <w:b/>
                <w:sz w:val="30"/>
              </w:rPr>
            </w:pPr>
            <w:r>
              <w:rPr>
                <w:sz w:val="30"/>
              </w:rPr>
              <w:t>17</w:t>
              <w:tab/>
            </w:r>
            <w:r>
              <w:rPr>
                <w:b/>
                <w:sz w:val="30"/>
              </w:rPr>
              <w:t>单方价值</w:t>
            </w:r>
          </w:p>
        </w:tc>
        <w:tc>
          <w:tcPr>
            <w:tcW w:w="6844" w:type="dxa"/>
          </w:tcPr>
          <w:p>
            <w:pPr>
              <w:pStyle w:val="TableParagraph"/>
              <w:spacing w:before="72" w:line="322" w:lineRule="exact"/>
              <w:ind w:left="160"/>
              <w:rPr>
                <w:sz w:val="30"/>
              </w:rPr>
            </w:pPr>
            <w:r>
              <w:rPr>
                <w:sz w:val="30"/>
              </w:rPr>
              <w:t>(16)/(1)</w:t>
            </w:r>
          </w:p>
        </w:tc>
        <w:tc>
          <w:tcPr>
            <w:tcW w:w="2972" w:type="dxa"/>
          </w:tcPr>
          <w:p>
            <w:pPr>
              <w:pStyle w:val="TableParagraph"/>
              <w:spacing w:before="72" w:line="322" w:lineRule="exact"/>
              <w:ind w:right="52"/>
              <w:jc w:val="right"/>
              <w:rPr>
                <w:sz w:val="30"/>
              </w:rPr>
            </w:pPr>
            <w:r>
              <w:rPr>
                <w:w w:val="95"/>
                <w:sz w:val="30"/>
              </w:rPr>
              <w:t>5684.89</w:t>
            </w:r>
          </w:p>
        </w:tc>
      </w:tr>
    </w:tbl>
    <w:p>
      <w:pPr>
        <w:pStyle w:val="BodyText"/>
        <w:spacing w:before="12"/>
        <w:rPr>
          <w:sz w:val="21"/>
        </w:rPr>
      </w:pPr>
    </w:p>
    <w:p>
      <w:pPr>
        <w:pStyle w:val="BodyText"/>
        <w:spacing w:before="44"/>
        <w:ind w:left="2459"/>
      </w:pPr>
      <w:r>
        <w:t>5、估价对象最终评估价值</w:t>
      </w:r>
    </w:p>
    <w:p>
      <w:pPr>
        <w:pStyle w:val="BodyText"/>
        <w:tabs>
          <w:tab w:val="left" w:pos="9282"/>
        </w:tabs>
        <w:spacing w:before="340" w:line="405" w:lineRule="auto"/>
        <w:ind w:left="2654" w:right="5251"/>
      </w:pPr>
      <w:r>
        <w:t>通过以上评估，其评估结果为：元</w:t>
        <w:tab/>
        <w:t>取整为元</w:t>
      </w:r>
      <w:r>
        <w:rPr>
          <w:spacing w:val="-18"/>
        </w:rPr>
        <w:t>。</w:t>
      </w:r>
      <w:r>
        <w:t>评估单价：5,684.89</w:t>
      </w:r>
      <w:r>
        <w:rPr>
          <w:spacing w:val="-91"/>
        </w:rPr>
        <w:t xml:space="preserve"> </w:t>
      </w:r>
      <w:r>
        <w:t>元/平方米。</w:t>
      </w:r>
    </w:p>
    <w:p>
      <w:pPr>
        <w:spacing w:after="0" w:line="405" w:lineRule="auto"/>
        <w:sectPr>
          <w:pgSz w:w="17860" w:h="25260"/>
          <w:pgMar w:top="1780" w:right="1380" w:bottom="280" w:left="0" w:header="708" w:footer="708"/>
          <w:pgNumType w:start="9"/>
          <w:cols w:space="708"/>
        </w:sectPr>
      </w:pPr>
    </w:p>
    <w:p>
      <w:pPr>
        <w:pStyle w:val="BodyText"/>
        <w:spacing w:before="23" w:line="403" w:lineRule="auto"/>
        <w:ind w:left="2654" w:right="5271"/>
      </w:pPr>
      <w:r>
        <w:rPr>
          <w:spacing w:val="-1"/>
          <w:w w:val="95"/>
        </w:rPr>
        <w:t xml:space="preserve">同理，可评估得出其他厂房和办公用房的评估值。 </w:t>
      </w:r>
      <w:r>
        <w:t>评估详细结果见评估明细表。</w:t>
      </w:r>
    </w:p>
    <w:p>
      <w:pPr>
        <w:pStyle w:val="Heading2"/>
        <w:spacing w:line="405" w:lineRule="auto"/>
        <w:ind w:right="11487"/>
      </w:pPr>
      <w:r>
        <w:rPr>
          <w:w w:val="95"/>
        </w:rPr>
        <w:t>（二）成本法</w:t>
      </w:r>
      <w:r>
        <w:t>一）存货</w:t>
      </w:r>
    </w:p>
    <w:p>
      <w:pPr>
        <w:pStyle w:val="BodyText"/>
        <w:spacing w:line="427" w:lineRule="exact"/>
        <w:ind w:left="2654"/>
      </w:pPr>
      <w:r>
        <w:t>委估存货为原材料，在用低值易耗品，产成品；其中原材料 118 项，在用周</w:t>
      </w:r>
    </w:p>
    <w:p>
      <w:pPr>
        <w:pStyle w:val="BodyText"/>
        <w:rPr>
          <w:sz w:val="34"/>
        </w:rPr>
      </w:pPr>
    </w:p>
    <w:p>
      <w:pPr>
        <w:pStyle w:val="BodyText"/>
        <w:spacing w:line="448" w:lineRule="auto"/>
        <w:ind w:left="1872" w:right="855"/>
      </w:pPr>
      <w:r>
        <w:rPr>
          <w:spacing w:val="-19"/>
        </w:rPr>
        <w:t xml:space="preserve">转材料 </w:t>
      </w:r>
      <w:r>
        <w:t>27</w:t>
      </w:r>
      <w:r>
        <w:rPr>
          <w:spacing w:val="-21"/>
        </w:rPr>
        <w:t xml:space="preserve"> 项，产成品 </w:t>
      </w:r>
      <w:r>
        <w:t>95</w:t>
      </w:r>
      <w:r>
        <w:rPr>
          <w:spacing w:val="-10"/>
        </w:rPr>
        <w:t xml:space="preserve"> 项。评估人员在被评估单位相关人员的配合下，对列报</w:t>
      </w:r>
      <w:r>
        <w:t>评估的原材料和在产品存货进行了逐项盘点。对原材料采用市场法进行评估，以近期相同或类似材料采购价与市场价格作为评估单价，从而得出委估原材料的评估价值。</w:t>
      </w:r>
    </w:p>
    <w:p>
      <w:pPr>
        <w:pStyle w:val="BodyText"/>
        <w:spacing w:before="8" w:line="448" w:lineRule="auto"/>
        <w:ind w:left="2654" w:right="4665"/>
      </w:pPr>
      <w:r>
        <w:rPr>
          <w:spacing w:val="-6"/>
        </w:rPr>
        <w:t xml:space="preserve">经上述评估计算出原材料评估值为 </w:t>
      </w:r>
      <w:r>
        <w:t>1,362,906.00</w:t>
      </w:r>
      <w:r>
        <w:rPr>
          <w:spacing w:val="-41"/>
        </w:rPr>
        <w:t xml:space="preserve"> 元。</w:t>
      </w:r>
      <w:r>
        <w:t>评估详细情况见评估明细 。</w:t>
      </w:r>
    </w:p>
    <w:p>
      <w:pPr>
        <w:pStyle w:val="ListParagraph"/>
        <w:numPr>
          <w:ilvl w:val="0"/>
          <w:numId w:val="10"/>
        </w:numPr>
        <w:tabs>
          <w:tab w:val="left" w:pos="3627"/>
        </w:tabs>
        <w:spacing w:before="3" w:after="0" w:line="240" w:lineRule="auto"/>
        <w:ind w:left="3626" w:right="0" w:hanging="973"/>
        <w:jc w:val="left"/>
        <w:rPr>
          <w:sz w:val="39"/>
        </w:rPr>
      </w:pPr>
      <w:r>
        <w:rPr>
          <w:sz w:val="39"/>
        </w:rPr>
        <w:t>产成品评估</w:t>
      </w:r>
    </w:p>
    <w:p>
      <w:pPr>
        <w:pStyle w:val="BodyText"/>
        <w:rPr>
          <w:sz w:val="34"/>
        </w:rPr>
      </w:pPr>
    </w:p>
    <w:p>
      <w:pPr>
        <w:pStyle w:val="BodyText"/>
        <w:spacing w:line="448" w:lineRule="auto"/>
        <w:ind w:left="1872" w:right="993" w:firstLine="782"/>
      </w:pPr>
      <w:r>
        <w:rPr>
          <w:spacing w:val="-1"/>
          <w:w w:val="95"/>
        </w:rPr>
        <w:t xml:space="preserve">公司产成品，目前市场均有类似产品销售，以同类产品市场销售价格作为评  </w:t>
      </w:r>
      <w:r>
        <w:t>估值。</w:t>
      </w:r>
    </w:p>
    <w:p>
      <w:pPr>
        <w:pStyle w:val="BodyText"/>
        <w:spacing w:before="4" w:line="448" w:lineRule="auto"/>
        <w:ind w:left="2654" w:right="5052"/>
      </w:pPr>
      <w:r>
        <w:rPr>
          <w:spacing w:val="-6"/>
        </w:rPr>
        <w:t xml:space="preserve">经上述评估计算出原材料评估值为 </w:t>
      </w:r>
      <w:r>
        <w:t>742,142.00</w:t>
      </w:r>
      <w:r>
        <w:rPr>
          <w:spacing w:val="-40"/>
        </w:rPr>
        <w:t xml:space="preserve"> 元。</w:t>
      </w:r>
      <w:r>
        <w:t>评估详细情况见评估明细 。</w:t>
      </w:r>
    </w:p>
    <w:p>
      <w:pPr>
        <w:pStyle w:val="ListParagraph"/>
        <w:numPr>
          <w:ilvl w:val="0"/>
          <w:numId w:val="10"/>
        </w:numPr>
        <w:tabs>
          <w:tab w:val="left" w:pos="3627"/>
        </w:tabs>
        <w:spacing w:before="3" w:after="0" w:line="240" w:lineRule="auto"/>
        <w:ind w:left="3626" w:right="0" w:hanging="973"/>
        <w:jc w:val="left"/>
        <w:rPr>
          <w:sz w:val="39"/>
        </w:rPr>
      </w:pPr>
      <w:r>
        <w:rPr>
          <w:sz w:val="39"/>
        </w:rPr>
        <w:t>在用周转材料</w:t>
      </w:r>
    </w:p>
    <w:p>
      <w:pPr>
        <w:pStyle w:val="BodyText"/>
        <w:spacing w:before="1"/>
        <w:rPr>
          <w:sz w:val="34"/>
        </w:rPr>
      </w:pPr>
    </w:p>
    <w:p>
      <w:pPr>
        <w:pStyle w:val="BodyText"/>
        <w:spacing w:line="448" w:lineRule="auto"/>
        <w:ind w:left="1872" w:right="993" w:firstLine="782"/>
      </w:pPr>
      <w:r>
        <w:rPr>
          <w:spacing w:val="-1"/>
          <w:w w:val="95"/>
        </w:rPr>
        <w:t xml:space="preserve">该公司申报评估的在用周转材料为写字台、会议桌、凳子、椅子、电脑桌等  </w:t>
      </w:r>
      <w:r>
        <w:rPr>
          <w:spacing w:val="-49"/>
        </w:rPr>
        <w:t xml:space="preserve">共 </w:t>
      </w:r>
      <w:r>
        <w:t>27</w:t>
      </w:r>
      <w:r>
        <w:rPr>
          <w:spacing w:val="-10"/>
        </w:rPr>
        <w:t xml:space="preserve"> 项，本次按成本法进行评估，评估值=重置全价×成新率</w:t>
      </w:r>
    </w:p>
    <w:p>
      <w:pPr>
        <w:pStyle w:val="BodyText"/>
        <w:spacing w:before="4"/>
        <w:ind w:left="2654"/>
      </w:pPr>
      <w:r>
        <w:t>A、重置全价的确定</w:t>
      </w:r>
    </w:p>
    <w:p>
      <w:pPr>
        <w:pStyle w:val="BodyText"/>
        <w:spacing w:before="1"/>
        <w:rPr>
          <w:sz w:val="34"/>
        </w:rPr>
      </w:pPr>
    </w:p>
    <w:p>
      <w:pPr>
        <w:pStyle w:val="BodyText"/>
        <w:spacing w:line="448" w:lineRule="auto"/>
        <w:ind w:left="1872" w:right="993" w:firstLine="782"/>
      </w:pPr>
      <w:r>
        <w:rPr>
          <w:spacing w:val="-1"/>
          <w:w w:val="95"/>
        </w:rPr>
        <w:t xml:space="preserve">该些办公用家俱市场上均有销售，可从市场询到其全新购买价，并以此作为  </w:t>
      </w:r>
      <w:r>
        <w:t>重置全价；</w:t>
      </w:r>
    </w:p>
    <w:p>
      <w:pPr>
        <w:pStyle w:val="BodyText"/>
        <w:spacing w:before="3"/>
        <w:ind w:left="2654"/>
      </w:pPr>
      <w:r>
        <w:t>B、成新率的确定</w:t>
      </w:r>
    </w:p>
    <w:p>
      <w:pPr>
        <w:spacing w:after="0"/>
        <w:sectPr>
          <w:pgSz w:w="17860" w:h="25260"/>
          <w:pgMar w:top="1780" w:right="1380" w:bottom="280" w:left="0" w:header="708" w:footer="708"/>
          <w:pgNumType w:start="10"/>
          <w:cols w:space="708"/>
        </w:sectPr>
      </w:pPr>
    </w:p>
    <w:p>
      <w:pPr>
        <w:pStyle w:val="BodyText"/>
        <w:spacing w:before="18" w:line="448" w:lineRule="auto"/>
        <w:ind w:left="2654" w:right="8380"/>
      </w:pPr>
      <w:r>
        <w:rPr>
          <w:w w:val="95"/>
        </w:rPr>
        <w:t>成新率根据现场观察直接确定。</w:t>
      </w:r>
      <w:r>
        <w:t>例：序 1 号——老板办公桌</w:t>
      </w:r>
    </w:p>
    <w:p>
      <w:pPr>
        <w:pStyle w:val="BodyText"/>
        <w:tabs>
          <w:tab w:val="left" w:pos="9570"/>
        </w:tabs>
        <w:spacing w:before="4" w:line="448" w:lineRule="auto"/>
        <w:ind w:left="1872" w:right="836" w:firstLine="782"/>
      </w:pPr>
      <w:r>
        <w:t>该资产的市场售价约为</w:t>
      </w:r>
      <w:r>
        <w:rPr>
          <w:spacing w:val="-64"/>
        </w:rPr>
        <w:t xml:space="preserve"> </w:t>
      </w:r>
      <w:r>
        <w:t>46000</w:t>
      </w:r>
      <w:r>
        <w:rPr>
          <w:spacing w:val="-75"/>
        </w:rPr>
        <w:t xml:space="preserve"> </w:t>
      </w:r>
      <w:r>
        <w:rPr>
          <w:spacing w:val="3"/>
        </w:rPr>
        <w:t>元</w:t>
      </w:r>
      <w:r>
        <w:t>/套，为</w:t>
      </w:r>
      <w:r>
        <w:rPr>
          <w:spacing w:val="-68"/>
        </w:rPr>
        <w:t xml:space="preserve"> </w:t>
      </w:r>
      <w:r>
        <w:t>2005</w:t>
      </w:r>
      <w:r>
        <w:rPr>
          <w:spacing w:val="-74"/>
        </w:rPr>
        <w:t xml:space="preserve"> </w:t>
      </w:r>
      <w:r>
        <w:t>年购进，经现场观察，该产</w:t>
      </w:r>
      <w:r>
        <w:rPr>
          <w:spacing w:val="-11"/>
        </w:rPr>
        <w:t>品</w:t>
      </w:r>
      <w:r>
        <w:t>油漆、桌面较新，成新较好，取其成新率为</w:t>
        <w:tab/>
      </w:r>
      <w:r>
        <w:rPr>
          <w:w w:val="95"/>
        </w:rPr>
        <w:t>65%，评估</w:t>
      </w:r>
      <w:r>
        <w:rPr>
          <w:spacing w:val="25"/>
          <w:w w:val="95"/>
        </w:rPr>
        <w:t>值</w:t>
      </w:r>
      <w:r>
        <w:rPr>
          <w:w w:val="95"/>
        </w:rPr>
        <w:t>=46000×65%=29900.00</w:t>
      </w:r>
    </w:p>
    <w:p>
      <w:pPr>
        <w:pStyle w:val="BodyText"/>
        <w:spacing w:before="3"/>
        <w:ind w:left="1872"/>
      </w:pPr>
      <w:r>
        <w:t>（元/套）</w:t>
      </w:r>
    </w:p>
    <w:p>
      <w:pPr>
        <w:pStyle w:val="BodyText"/>
        <w:spacing w:before="1"/>
        <w:rPr>
          <w:sz w:val="34"/>
        </w:rPr>
      </w:pPr>
    </w:p>
    <w:p>
      <w:pPr>
        <w:pStyle w:val="BodyText"/>
        <w:spacing w:line="451" w:lineRule="auto"/>
        <w:ind w:left="2654" w:right="3882"/>
      </w:pPr>
      <w:r>
        <w:rPr>
          <w:spacing w:val="-5"/>
        </w:rPr>
        <w:t xml:space="preserve">经上述评估计算出在用周转材料评估值为 </w:t>
      </w:r>
      <w:r>
        <w:t>138,536.00</w:t>
      </w:r>
      <w:r>
        <w:rPr>
          <w:spacing w:val="-42"/>
        </w:rPr>
        <w:t xml:space="preserve"> 元。</w:t>
      </w:r>
      <w:r>
        <w:t>评估详细结果见评估明细表。</w:t>
      </w:r>
    </w:p>
    <w:p>
      <w:pPr>
        <w:spacing w:before="239" w:line="403" w:lineRule="auto"/>
        <w:ind w:left="2654" w:right="11102" w:firstLine="0"/>
        <w:jc w:val="left"/>
        <w:rPr>
          <w:sz w:val="39"/>
        </w:rPr>
      </w:pPr>
      <w:r>
        <w:rPr>
          <w:w w:val="95"/>
          <w:sz w:val="39"/>
        </w:rPr>
        <w:t>二）</w:t>
      </w:r>
      <w:r>
        <w:rPr>
          <w:b/>
          <w:w w:val="95"/>
          <w:sz w:val="39"/>
        </w:rPr>
        <w:t>房屋建筑物</w:t>
      </w:r>
      <w:r>
        <w:rPr>
          <w:sz w:val="39"/>
        </w:rPr>
        <w:t>1、房屋</w:t>
      </w:r>
    </w:p>
    <w:p>
      <w:pPr>
        <w:pStyle w:val="ListParagraph"/>
        <w:numPr>
          <w:ilvl w:val="0"/>
          <w:numId w:val="9"/>
        </w:numPr>
        <w:tabs>
          <w:tab w:val="left" w:pos="3627"/>
        </w:tabs>
        <w:spacing w:before="0" w:after="0" w:line="498" w:lineRule="exact"/>
        <w:ind w:left="3626" w:right="0" w:hanging="973"/>
        <w:jc w:val="left"/>
        <w:rPr>
          <w:sz w:val="39"/>
        </w:rPr>
      </w:pPr>
      <w:r>
        <w:rPr>
          <w:sz w:val="39"/>
        </w:rPr>
        <w:t>建构筑物重置价</w:t>
      </w:r>
    </w:p>
    <w:p>
      <w:pPr>
        <w:pStyle w:val="BodyText"/>
        <w:spacing w:before="9"/>
        <w:rPr>
          <w:sz w:val="26"/>
        </w:rPr>
      </w:pPr>
    </w:p>
    <w:p>
      <w:pPr>
        <w:pStyle w:val="BodyText"/>
        <w:spacing w:before="1"/>
        <w:ind w:left="2654"/>
      </w:pPr>
      <w:r>
        <w:t>①建安工程造价</w:t>
      </w:r>
    </w:p>
    <w:p>
      <w:pPr>
        <w:pStyle w:val="BodyText"/>
        <w:spacing w:before="339" w:line="403" w:lineRule="auto"/>
        <w:ind w:left="1872" w:right="756" w:firstLine="782"/>
      </w:pPr>
      <w:r>
        <w:t>根据委估建构筑物的建筑结构及建筑施工情况，结合《贵州省2004 建筑工程预算定额》、《2004 安装定额》和当地建筑工程造价行情确定。</w:t>
      </w:r>
    </w:p>
    <w:p>
      <w:pPr>
        <w:pStyle w:val="BodyText"/>
        <w:spacing w:before="3"/>
        <w:ind w:left="2654"/>
      </w:pPr>
      <w:r>
        <w:t>②前期工程费</w:t>
      </w:r>
    </w:p>
    <w:p>
      <w:pPr>
        <w:pStyle w:val="BodyText"/>
        <w:spacing w:before="339"/>
        <w:ind w:left="2654"/>
      </w:pPr>
      <w:r>
        <w:t>包括前期规划、勘察设计等发生的费用，按建安工程费的 5.84%计。</w:t>
      </w:r>
    </w:p>
    <w:p>
      <w:pPr>
        <w:pStyle w:val="BodyText"/>
        <w:spacing w:before="339"/>
        <w:ind w:left="2654"/>
      </w:pPr>
      <w:r>
        <w:t>③配套费</w:t>
      </w:r>
    </w:p>
    <w:p>
      <w:pPr>
        <w:pStyle w:val="BodyText"/>
        <w:spacing w:before="9"/>
        <w:rPr>
          <w:sz w:val="26"/>
        </w:rPr>
      </w:pPr>
    </w:p>
    <w:p>
      <w:pPr>
        <w:pStyle w:val="BodyText"/>
        <w:ind w:left="2654"/>
      </w:pPr>
      <w:r>
        <w:t>根据贵州省城市基础设施配套费征收使用管理办法（贵州省人民政府令第 91</w:t>
      </w:r>
    </w:p>
    <w:p>
      <w:pPr>
        <w:pStyle w:val="BodyText"/>
        <w:spacing w:before="340"/>
        <w:ind w:left="1872"/>
      </w:pPr>
      <w:r>
        <w:t>号），配套费每平方米建筑面积 70 元。</w:t>
      </w:r>
    </w:p>
    <w:p>
      <w:pPr>
        <w:pStyle w:val="BodyText"/>
        <w:spacing w:before="339"/>
        <w:ind w:left="2654"/>
      </w:pPr>
      <w:r>
        <w:t>④管理费</w:t>
      </w:r>
    </w:p>
    <w:p>
      <w:pPr>
        <w:pStyle w:val="BodyText"/>
        <w:spacing w:before="10"/>
        <w:rPr>
          <w:sz w:val="26"/>
        </w:rPr>
      </w:pPr>
    </w:p>
    <w:p>
      <w:pPr>
        <w:pStyle w:val="BodyText"/>
        <w:ind w:left="2654"/>
      </w:pPr>
      <w:r>
        <w:t>取建安费的 2%。</w:t>
      </w:r>
    </w:p>
    <w:p>
      <w:pPr>
        <w:pStyle w:val="BodyText"/>
        <w:spacing w:before="339"/>
        <w:ind w:left="2654"/>
      </w:pPr>
      <w:r>
        <w:t>⑤利息</w:t>
      </w:r>
    </w:p>
    <w:p>
      <w:pPr>
        <w:pStyle w:val="BodyText"/>
        <w:spacing w:before="339" w:line="403" w:lineRule="auto"/>
        <w:ind w:left="1872" w:right="863" w:firstLine="782"/>
      </w:pPr>
      <w:r>
        <w:t>类似于估价对象的建筑工程正常建设期为半年，利率按银行公布的一至半年</w:t>
      </w:r>
      <w:r>
        <w:rPr>
          <w:spacing w:val="-17"/>
        </w:rPr>
        <w:t xml:space="preserve">期贷款利率 </w:t>
      </w:r>
      <w:r>
        <w:t>4.6</w:t>
      </w:r>
      <w:r>
        <w:rPr>
          <w:spacing w:val="-1"/>
        </w:rPr>
        <w:t>%计算。前期工程费和城市配套费在建设初期投入，建安工程费和</w:t>
      </w:r>
      <w:r>
        <w:t>其它费用在建设期内按均匀投入考虑，投资利息按复利计。</w:t>
      </w:r>
    </w:p>
    <w:p>
      <w:pPr>
        <w:spacing w:after="0" w:line="403" w:lineRule="auto"/>
        <w:sectPr>
          <w:pgSz w:w="17860" w:h="25260"/>
          <w:pgMar w:top="1720" w:right="1380" w:bottom="280" w:left="0" w:header="708" w:footer="708"/>
          <w:pgNumType w:start="11"/>
          <w:cols w:space="708"/>
        </w:sectPr>
      </w:pPr>
    </w:p>
    <w:p>
      <w:pPr>
        <w:pStyle w:val="BodyText"/>
        <w:spacing w:before="23"/>
        <w:ind w:left="2654"/>
      </w:pPr>
      <w:r>
        <w:t>⑥利润</w:t>
      </w:r>
    </w:p>
    <w:p>
      <w:pPr>
        <w:pStyle w:val="BodyText"/>
        <w:spacing w:before="340" w:line="403" w:lineRule="auto"/>
        <w:ind w:left="2654" w:right="1833"/>
      </w:pPr>
      <w:r>
        <w:rPr>
          <w:spacing w:val="-4"/>
        </w:rPr>
        <w:t xml:space="preserve">考虑一定资金利润，利润率按贵阳市同类项目开发平均利润率 </w:t>
      </w:r>
      <w:r>
        <w:t>20%</w:t>
      </w:r>
      <w:r>
        <w:rPr>
          <w:spacing w:val="-9"/>
        </w:rPr>
        <w:t>计。</w:t>
      </w:r>
      <w:r>
        <w:t>利润＝建安费×20%</w:t>
      </w:r>
    </w:p>
    <w:p>
      <w:pPr>
        <w:pStyle w:val="BodyText"/>
        <w:spacing w:before="2"/>
        <w:ind w:left="2654"/>
      </w:pPr>
      <w:r>
        <w:t>⑦建构筑物重置单价</w:t>
      </w:r>
    </w:p>
    <w:p>
      <w:pPr>
        <w:pStyle w:val="BodyText"/>
        <w:spacing w:before="339"/>
        <w:ind w:left="2654"/>
      </w:pPr>
      <w:r>
        <w:t>综上所述，建筑物重置单价</w:t>
      </w:r>
    </w:p>
    <w:p>
      <w:pPr>
        <w:pStyle w:val="BodyText"/>
        <w:spacing w:before="339"/>
        <w:ind w:left="2654"/>
      </w:pPr>
      <w:r>
        <w:t>＝①～⑥项之和</w:t>
      </w:r>
    </w:p>
    <w:p>
      <w:pPr>
        <w:pStyle w:val="BodyText"/>
        <w:spacing w:before="10"/>
        <w:rPr>
          <w:sz w:val="26"/>
        </w:rPr>
      </w:pPr>
    </w:p>
    <w:p>
      <w:pPr>
        <w:pStyle w:val="ListParagraph"/>
        <w:numPr>
          <w:ilvl w:val="0"/>
          <w:numId w:val="9"/>
        </w:numPr>
        <w:tabs>
          <w:tab w:val="left" w:pos="3627"/>
        </w:tabs>
        <w:spacing w:before="0" w:after="0" w:line="240" w:lineRule="auto"/>
        <w:ind w:left="3626" w:right="0" w:hanging="973"/>
        <w:jc w:val="left"/>
        <w:rPr>
          <w:sz w:val="39"/>
        </w:rPr>
      </w:pPr>
      <w:r>
        <w:rPr>
          <w:sz w:val="39"/>
        </w:rPr>
        <w:t>成新率的确定</w:t>
      </w:r>
    </w:p>
    <w:p>
      <w:pPr>
        <w:pStyle w:val="BodyText"/>
        <w:spacing w:before="293" w:line="374" w:lineRule="auto"/>
        <w:ind w:left="1872" w:right="964" w:firstLine="810"/>
        <w:jc w:val="both"/>
      </w:pPr>
      <w:r>
        <w:rPr>
          <w:spacing w:val="-1"/>
          <w:w w:val="95"/>
        </w:rPr>
        <w:t xml:space="preserve">采用观察法结合使用年限，对房屋建构筑物按结构、装修、设备三个部分，  </w:t>
      </w:r>
      <w:r>
        <w:rPr>
          <w:w w:val="95"/>
        </w:rPr>
        <w:t xml:space="preserve">再区分不同的部分分别打分，然后估算房屋建构筑物的成新率。经评估人员现场  勘查，该房屋建构筑物基础无不均匀沉降，主要承重结构完好；门窗、墙地面维  </w:t>
      </w:r>
      <w:r>
        <w:t>护较好；设备部分状况较好 :</w:t>
      </w:r>
    </w:p>
    <w:p>
      <w:pPr>
        <w:pStyle w:val="BodyText"/>
        <w:spacing w:line="374" w:lineRule="auto"/>
        <w:ind w:left="2682" w:right="3069"/>
      </w:pPr>
      <w:r>
        <w:rPr>
          <w:w w:val="95"/>
        </w:rPr>
        <w:t>成新率＝结构部分得分×</w:t>
      </w:r>
      <w:r>
        <w:rPr>
          <w:spacing w:val="3"/>
          <w:w w:val="95"/>
        </w:rPr>
        <w:t>G+</w:t>
      </w:r>
      <w:r>
        <w:rPr>
          <w:w w:val="95"/>
        </w:rPr>
        <w:t>装修部分得分×</w:t>
      </w:r>
      <w:r>
        <w:rPr>
          <w:spacing w:val="3"/>
          <w:w w:val="95"/>
        </w:rPr>
        <w:t>S+</w:t>
      </w:r>
      <w:r>
        <w:rPr>
          <w:spacing w:val="-1"/>
          <w:w w:val="95"/>
        </w:rPr>
        <w:t>设备部分得分×</w:t>
      </w:r>
      <w:r>
        <w:rPr>
          <w:spacing w:val="-3"/>
          <w:w w:val="95"/>
        </w:rPr>
        <w:t xml:space="preserve">B </w:t>
      </w:r>
      <w:r>
        <w:t>其中：</w:t>
      </w:r>
    </w:p>
    <w:p>
      <w:pPr>
        <w:pStyle w:val="BodyText"/>
        <w:spacing w:before="3" w:line="374" w:lineRule="auto"/>
        <w:ind w:left="2682" w:right="6583"/>
        <w:jc w:val="both"/>
      </w:pPr>
      <w:r>
        <w:t>G</w:t>
      </w:r>
      <w:r>
        <w:rPr>
          <w:spacing w:val="-9"/>
        </w:rPr>
        <w:t xml:space="preserve"> -结构部分得分修正系数,按 </w:t>
      </w:r>
      <w:r>
        <w:t>0.80</w:t>
      </w:r>
      <w:r>
        <w:rPr>
          <w:spacing w:val="-29"/>
        </w:rPr>
        <w:t xml:space="preserve"> 取定； </w:t>
      </w:r>
      <w:r>
        <w:t>S</w:t>
      </w:r>
      <w:r>
        <w:rPr>
          <w:spacing w:val="-9"/>
        </w:rPr>
        <w:t xml:space="preserve"> -装修部分得分修正系数,按 </w:t>
      </w:r>
      <w:r>
        <w:t>0.10</w:t>
      </w:r>
      <w:r>
        <w:rPr>
          <w:spacing w:val="-29"/>
        </w:rPr>
        <w:t xml:space="preserve"> 取定； </w:t>
      </w:r>
      <w:r>
        <w:t>B</w:t>
      </w:r>
      <w:r>
        <w:rPr>
          <w:spacing w:val="-9"/>
        </w:rPr>
        <w:t xml:space="preserve"> -设备部分得分修正系数,按 </w:t>
      </w:r>
      <w:r>
        <w:t>0.10</w:t>
      </w:r>
      <w:r>
        <w:rPr>
          <w:spacing w:val="-29"/>
        </w:rPr>
        <w:t xml:space="preserve"> 取定。</w:t>
      </w:r>
    </w:p>
    <w:p>
      <w:pPr>
        <w:pStyle w:val="BodyText"/>
        <w:spacing w:before="49" w:line="403" w:lineRule="auto"/>
        <w:ind w:left="2657" w:right="993" w:hanging="4"/>
        <w:rPr>
          <w:b/>
        </w:rPr>
      </w:pPr>
      <w:r>
        <w:rPr>
          <w:spacing w:val="-1"/>
          <w:w w:val="95"/>
        </w:rPr>
        <w:t xml:space="preserve">相关参数参照《危房鉴定标准》和《房屋新旧程度鉴定的参考依据》取值。  </w:t>
      </w:r>
      <w:r>
        <w:rPr>
          <w:b/>
        </w:rPr>
        <w:t>评估对象举例</w:t>
      </w:r>
    </w:p>
    <w:p>
      <w:pPr>
        <w:pStyle w:val="Heading2"/>
        <w:spacing w:before="2"/>
        <w:ind w:left="2654"/>
      </w:pPr>
      <w:r>
        <w:rPr>
          <w:b w:val="0"/>
        </w:rPr>
        <w:t>【例】</w:t>
      </w:r>
      <w:r>
        <w:t>砖混结构房屋（建筑面积 55.58 平方米）</w:t>
      </w:r>
    </w:p>
    <w:p>
      <w:pPr>
        <w:pStyle w:val="BodyText"/>
        <w:spacing w:before="340"/>
        <w:ind w:left="2654"/>
      </w:pPr>
      <w:r>
        <w:t>委估房屋建于 2004 年,砖混结构，外墙贴墙砖，室内地面为瓷砖地面，内墙</w:t>
      </w:r>
    </w:p>
    <w:p>
      <w:pPr>
        <w:pStyle w:val="BodyText"/>
        <w:spacing w:before="339"/>
        <w:ind w:left="1872"/>
      </w:pPr>
      <w:r>
        <w:t>面贴墙砖，层高约 3 米。委估房产水、电均通。</w:t>
      </w:r>
    </w:p>
    <w:p>
      <w:pPr>
        <w:pStyle w:val="BodyText"/>
        <w:spacing w:before="10"/>
        <w:rPr>
          <w:sz w:val="26"/>
        </w:rPr>
      </w:pPr>
    </w:p>
    <w:p>
      <w:pPr>
        <w:pStyle w:val="ListParagraph"/>
        <w:numPr>
          <w:ilvl w:val="0"/>
          <w:numId w:val="8"/>
        </w:numPr>
        <w:tabs>
          <w:tab w:val="left" w:pos="3627"/>
        </w:tabs>
        <w:spacing w:before="0" w:after="0" w:line="240" w:lineRule="auto"/>
        <w:ind w:left="3626" w:right="0" w:hanging="973"/>
        <w:jc w:val="left"/>
        <w:rPr>
          <w:sz w:val="39"/>
        </w:rPr>
      </w:pPr>
      <w:r>
        <w:rPr>
          <w:sz w:val="39"/>
        </w:rPr>
        <w:t>建筑物重置价</w:t>
      </w:r>
    </w:p>
    <w:p>
      <w:pPr>
        <w:pStyle w:val="BodyText"/>
        <w:spacing w:before="339" w:line="403" w:lineRule="auto"/>
        <w:ind w:left="1872" w:right="808" w:firstLine="782"/>
      </w:pPr>
      <w:r>
        <w:t>①建安工程造价：根据委估建筑物的建筑结构及建筑施工情况，结合《贵州</w:t>
      </w:r>
      <w:r>
        <w:rPr>
          <w:spacing w:val="-55"/>
        </w:rPr>
        <w:t xml:space="preserve">省 </w:t>
      </w:r>
      <w:r>
        <w:t>2004</w:t>
      </w:r>
      <w:r>
        <w:rPr>
          <w:spacing w:val="-22"/>
        </w:rPr>
        <w:t xml:space="preserve"> 建筑工程预算定额》、《</w:t>
      </w:r>
      <w:r>
        <w:t>2004</w:t>
      </w:r>
      <w:r>
        <w:rPr>
          <w:spacing w:val="-12"/>
        </w:rPr>
        <w:t xml:space="preserve"> 安装定额》和当地建筑工程造价行情确定其</w:t>
      </w:r>
      <w:r>
        <w:rPr>
          <w:spacing w:val="-16"/>
        </w:rPr>
        <w:t xml:space="preserve">建安单价为 </w:t>
      </w:r>
      <w:r>
        <w:t>1000</w:t>
      </w:r>
      <w:r>
        <w:rPr>
          <w:spacing w:val="-48"/>
        </w:rPr>
        <w:t xml:space="preserve"> 元</w:t>
      </w:r>
      <w:r>
        <w:t>/m2。建安价=1000×55.58=55580.00</w:t>
      </w:r>
      <w:r>
        <w:rPr>
          <w:spacing w:val="-30"/>
        </w:rPr>
        <w:t xml:space="preserve"> 元。</w:t>
      </w:r>
    </w:p>
    <w:p>
      <w:pPr>
        <w:spacing w:after="0" w:line="403" w:lineRule="auto"/>
        <w:sectPr>
          <w:pgSz w:w="17860" w:h="25260"/>
          <w:pgMar w:top="1780" w:right="1380" w:bottom="280" w:left="0" w:header="708" w:footer="708"/>
          <w:pgNumType w:start="12"/>
          <w:cols w:space="708"/>
        </w:sectPr>
      </w:pPr>
    </w:p>
    <w:p>
      <w:pPr>
        <w:pStyle w:val="BodyText"/>
        <w:spacing w:before="3" w:line="372" w:lineRule="auto"/>
        <w:ind w:left="2654" w:right="9159"/>
        <w:rPr>
          <w:rFonts w:ascii="幼圆" w:eastAsia="幼圆" w:hAnsi="幼圆" w:hint="eastAsia"/>
        </w:rPr>
      </w:pPr>
      <w:r>
        <w:pict>
          <v:group id="_x0000_s1032" style="width:667pt;height:371pt;margin-top:76.09pt;margin-left:105pt;mso-position-horizontal-relative:page;position:absolute;z-index:-251653120" coordorigin="2100,1522" coordsize="13340,7420">
            <v:shape id="_x0000_s1033" type="#_x0000_t75" style="width:13340;height:7420;left:2100;position:absolute;top:1521" stroked="f">
              <v:imagedata r:id="rId8" o:title=""/>
            </v:shape>
            <v:shape id="_x0000_s1034" type="#_x0000_t202" style="width:618;height:299;left:2376;position:absolute;top:1820"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序号</w:t>
                    </w:r>
                  </w:p>
                </w:txbxContent>
              </v:textbox>
            </v:shape>
            <v:shape id="_x0000_s1035" type="#_x0000_t202" style="width:1216;height:299;left:4108;position:absolute;top:1820"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费用项目</w:t>
                    </w:r>
                  </w:p>
                </w:txbxContent>
              </v:textbox>
            </v:shape>
            <v:shape id="_x0000_s1036" type="#_x0000_t202" style="width:1216;height:299;left:6679;position:absolute;top:1820"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征收标准</w:t>
                    </w:r>
                  </w:p>
                </w:txbxContent>
              </v:textbox>
            </v:shape>
            <v:shape id="_x0000_s1037" type="#_x0000_t202" style="width:1216;height:299;left:8659;position:absolute;top:1820"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取费基数</w:t>
                    </w:r>
                  </w:p>
                </w:txbxContent>
              </v:textbox>
            </v:shape>
            <v:shape id="_x0000_s1038" type="#_x0000_t202" style="width:618;height:299;left:12472;position:absolute;top:1820"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依据</w:t>
                    </w:r>
                  </w:p>
                </w:txbxContent>
              </v:textbox>
            </v:shape>
            <v:shape id="_x0000_s1039" type="#_x0000_t202" style="width:170;height:299;left:2600;position:absolute;top:2522" filled="f" stroked="f">
              <v:textbox inset="0,0,0,0">
                <w:txbxContent>
                  <w:p>
                    <w:pPr>
                      <w:spacing w:before="0" w:line="299" w:lineRule="exact"/>
                      <w:ind w:left="0" w:right="0" w:firstLine="0"/>
                      <w:jc w:val="left"/>
                      <w:rPr>
                        <w:rFonts w:ascii="幼圆"/>
                        <w:sz w:val="30"/>
                      </w:rPr>
                    </w:pPr>
                    <w:r>
                      <w:rPr>
                        <w:rFonts w:ascii="幼圆"/>
                        <w:w w:val="99"/>
                        <w:sz w:val="30"/>
                      </w:rPr>
                      <w:t>1</w:t>
                    </w:r>
                  </w:p>
                </w:txbxContent>
              </v:textbox>
            </v:shape>
            <v:shape id="_x0000_s1040" type="#_x0000_t202" style="width:2112;height:299;left:3658;position:absolute;top:2522"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建设单位管理费</w:t>
                    </w:r>
                  </w:p>
                </w:txbxContent>
              </v:textbox>
            </v:shape>
            <v:shape id="_x0000_s1041" type="#_x0000_t202" style="width:618;height:299;left:6978;position:absolute;top:2522" filled="f" stroked="f">
              <v:textbox inset="0,0,0,0">
                <w:txbxContent>
                  <w:p>
                    <w:pPr>
                      <w:spacing w:before="0" w:line="299" w:lineRule="exact"/>
                      <w:ind w:left="0" w:right="0" w:firstLine="0"/>
                      <w:jc w:val="left"/>
                      <w:rPr>
                        <w:rFonts w:ascii="幼圆"/>
                        <w:sz w:val="30"/>
                      </w:rPr>
                    </w:pPr>
                    <w:r>
                      <w:rPr>
                        <w:rFonts w:ascii="幼圆"/>
                        <w:sz w:val="30"/>
                      </w:rPr>
                      <w:t>1.2%</w:t>
                    </w:r>
                  </w:p>
                </w:txbxContent>
              </v:textbox>
            </v:shape>
            <v:shape id="_x0000_s1042" type="#_x0000_t202" style="width:1216;height:299;left:8659;position:absolute;top:2522"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建安造价</w:t>
                    </w:r>
                  </w:p>
                </w:txbxContent>
              </v:textbox>
            </v:shape>
            <v:shape id="_x0000_s1043" type="#_x0000_t202" style="width:3920;height:299;left:10823;position:absolute;top:2522"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省财政厅黔价（1997）140 号</w:t>
                    </w:r>
                  </w:p>
                </w:txbxContent>
              </v:textbox>
            </v:shape>
            <v:shape id="_x0000_s1044" type="#_x0000_t202" style="width:170;height:299;left:2600;position:absolute;top:3354" filled="f" stroked="f">
              <v:textbox inset="0,0,0,0">
                <w:txbxContent>
                  <w:p>
                    <w:pPr>
                      <w:spacing w:before="0" w:line="299" w:lineRule="exact"/>
                      <w:ind w:left="0" w:right="0" w:firstLine="0"/>
                      <w:jc w:val="left"/>
                      <w:rPr>
                        <w:rFonts w:ascii="幼圆"/>
                        <w:sz w:val="30"/>
                      </w:rPr>
                    </w:pPr>
                    <w:r>
                      <w:rPr>
                        <w:rFonts w:ascii="幼圆"/>
                        <w:w w:val="99"/>
                        <w:sz w:val="30"/>
                      </w:rPr>
                      <w:t>2</w:t>
                    </w:r>
                  </w:p>
                </w:txbxContent>
              </v:textbox>
            </v:shape>
            <v:shape id="_x0000_s1045" type="#_x0000_t202" style="width:917;height:299;left:4259;position:absolute;top:3354"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勘察费</w:t>
                    </w:r>
                  </w:p>
                </w:txbxContent>
              </v:textbox>
            </v:shape>
            <v:shape id="_x0000_s1046" type="#_x0000_t202" style="width:1216;height:299;left:6679;position:absolute;top:3354" filled="f" stroked="f">
              <v:textbox inset="0,0,0,0">
                <w:txbxContent>
                  <w:p>
                    <w:pPr>
                      <w:spacing w:before="0" w:line="299" w:lineRule="exact"/>
                      <w:ind w:left="0" w:right="0" w:firstLine="0"/>
                      <w:jc w:val="left"/>
                      <w:rPr>
                        <w:rFonts w:ascii="幼圆"/>
                        <w:sz w:val="30"/>
                      </w:rPr>
                    </w:pPr>
                    <w:r>
                      <w:rPr>
                        <w:rFonts w:ascii="幼圆"/>
                        <w:sz w:val="30"/>
                      </w:rPr>
                      <w:t>1.0%*70%</w:t>
                    </w:r>
                  </w:p>
                </w:txbxContent>
              </v:textbox>
            </v:shape>
            <v:shape id="_x0000_s1047" type="#_x0000_t202" style="width:1216;height:299;left:8659;position:absolute;top:3354"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建安造价</w:t>
                    </w:r>
                  </w:p>
                </w:txbxContent>
              </v:textbox>
            </v:shape>
            <v:shape id="_x0000_s1048" type="#_x0000_t202" style="width:170;height:299;left:2600;position:absolute;top:4311" filled="f" stroked="f">
              <v:textbox inset="0,0,0,0">
                <w:txbxContent>
                  <w:p>
                    <w:pPr>
                      <w:spacing w:before="0" w:line="299" w:lineRule="exact"/>
                      <w:ind w:left="0" w:right="0" w:firstLine="0"/>
                      <w:jc w:val="left"/>
                      <w:rPr>
                        <w:rFonts w:ascii="幼圆"/>
                        <w:sz w:val="30"/>
                      </w:rPr>
                    </w:pPr>
                    <w:r>
                      <w:rPr>
                        <w:rFonts w:ascii="幼圆"/>
                        <w:w w:val="99"/>
                        <w:sz w:val="30"/>
                      </w:rPr>
                      <w:t>3</w:t>
                    </w:r>
                  </w:p>
                </w:txbxContent>
              </v:textbox>
            </v:shape>
            <v:shape id="_x0000_s1049" type="#_x0000_t202" style="width:917;height:299;left:4259;position:absolute;top:4311"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设计费</w:t>
                    </w:r>
                  </w:p>
                </w:txbxContent>
              </v:textbox>
            </v:shape>
            <v:shape id="_x0000_s1050" type="#_x0000_t202" style="width:1365;height:299;left:6604;position:absolute;top:4311" filled="f" stroked="f">
              <v:textbox inset="0,0,0,0">
                <w:txbxContent>
                  <w:p>
                    <w:pPr>
                      <w:spacing w:before="0" w:line="299" w:lineRule="exact"/>
                      <w:ind w:left="0" w:right="0" w:firstLine="0"/>
                      <w:jc w:val="left"/>
                      <w:rPr>
                        <w:rFonts w:ascii="幼圆"/>
                        <w:sz w:val="30"/>
                      </w:rPr>
                    </w:pPr>
                    <w:r>
                      <w:rPr>
                        <w:rFonts w:ascii="幼圆"/>
                        <w:sz w:val="30"/>
                      </w:rPr>
                      <w:t>3.35%*70%</w:t>
                    </w:r>
                  </w:p>
                </w:txbxContent>
              </v:textbox>
            </v:shape>
            <v:shape id="_x0000_s1051" type="#_x0000_t202" style="width:1216;height:299;left:8659;position:absolute;top:4311"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建安造价</w:t>
                    </w:r>
                  </w:p>
                </w:txbxContent>
              </v:textbox>
            </v:shape>
            <v:shape id="_x0000_s1052" type="#_x0000_t202" style="width:4917;height:1725;left:10323;position:absolute;top:3120" filled="f" stroked="f">
              <v:textbox inset="0,0,0,0">
                <w:txbxContent>
                  <w:p>
                    <w:pPr>
                      <w:spacing w:before="0" w:line="329" w:lineRule="exact"/>
                      <w:ind w:left="0" w:right="0" w:firstLine="0"/>
                      <w:jc w:val="left"/>
                      <w:rPr>
                        <w:rFonts w:ascii="幼圆" w:eastAsia="幼圆" w:hint="eastAsia"/>
                        <w:sz w:val="30"/>
                      </w:rPr>
                    </w:pPr>
                    <w:r>
                      <w:rPr>
                        <w:rFonts w:ascii="幼圆" w:eastAsia="幼圆" w:hint="eastAsia"/>
                        <w:sz w:val="30"/>
                      </w:rPr>
                      <w:t>计价格(2002)10</w:t>
                    </w:r>
                    <w:r>
                      <w:rPr>
                        <w:rFonts w:ascii="幼圆" w:eastAsia="幼圆" w:hint="eastAsia"/>
                        <w:spacing w:val="-10"/>
                        <w:sz w:val="30"/>
                      </w:rPr>
                      <w:t xml:space="preserve"> 号、筑财建</w:t>
                    </w:r>
                    <w:r>
                      <w:rPr>
                        <w:rFonts w:ascii="幼圆" w:eastAsia="幼圆" w:hint="eastAsia"/>
                        <w:sz w:val="30"/>
                      </w:rPr>
                      <w:t>[2003]90</w:t>
                    </w:r>
                  </w:p>
                  <w:p>
                    <w:pPr>
                      <w:spacing w:before="83"/>
                      <w:ind w:left="0" w:right="0" w:firstLine="0"/>
                      <w:jc w:val="left"/>
                      <w:rPr>
                        <w:rFonts w:ascii="幼圆" w:eastAsia="幼圆" w:hint="eastAsia"/>
                        <w:sz w:val="30"/>
                      </w:rPr>
                    </w:pPr>
                    <w:r>
                      <w:rPr>
                        <w:rFonts w:ascii="幼圆" w:eastAsia="幼圆" w:hint="eastAsia"/>
                        <w:w w:val="99"/>
                        <w:sz w:val="30"/>
                      </w:rPr>
                      <w:t>号</w:t>
                    </w:r>
                  </w:p>
                  <w:p>
                    <w:pPr>
                      <w:spacing w:before="20" w:line="470" w:lineRule="atLeast"/>
                      <w:ind w:left="0" w:right="18" w:firstLine="0"/>
                      <w:jc w:val="left"/>
                      <w:rPr>
                        <w:rFonts w:ascii="幼圆" w:eastAsia="幼圆" w:hint="eastAsia"/>
                        <w:sz w:val="30"/>
                      </w:rPr>
                    </w:pPr>
                    <w:r>
                      <w:rPr>
                        <w:rFonts w:ascii="幼圆" w:eastAsia="幼圆" w:hint="eastAsia"/>
                        <w:sz w:val="30"/>
                      </w:rPr>
                      <w:t>计价格(2002)10</w:t>
                    </w:r>
                    <w:r>
                      <w:rPr>
                        <w:rFonts w:ascii="幼圆" w:eastAsia="幼圆" w:hint="eastAsia"/>
                        <w:spacing w:val="-9"/>
                        <w:sz w:val="30"/>
                      </w:rPr>
                      <w:t xml:space="preserve"> 号、筑财建</w:t>
                    </w:r>
                    <w:r>
                      <w:rPr>
                        <w:rFonts w:ascii="幼圆" w:eastAsia="幼圆" w:hint="eastAsia"/>
                        <w:spacing w:val="-3"/>
                        <w:sz w:val="30"/>
                      </w:rPr>
                      <w:t xml:space="preserve">[2003]90 </w:t>
                    </w:r>
                    <w:r>
                      <w:rPr>
                        <w:rFonts w:ascii="幼圆" w:eastAsia="幼圆" w:hint="eastAsia"/>
                        <w:sz w:val="30"/>
                      </w:rPr>
                      <w:t>号</w:t>
                    </w:r>
                  </w:p>
                </w:txbxContent>
              </v:textbox>
            </v:shape>
            <v:shape id="_x0000_s1053" type="#_x0000_t202" style="width:170;height:299;left:2600;position:absolute;top:6681" filled="f" stroked="f">
              <v:textbox inset="0,0,0,0">
                <w:txbxContent>
                  <w:p>
                    <w:pPr>
                      <w:spacing w:before="0" w:line="299" w:lineRule="exact"/>
                      <w:ind w:left="0" w:right="0" w:firstLine="0"/>
                      <w:jc w:val="left"/>
                      <w:rPr>
                        <w:rFonts w:ascii="幼圆"/>
                        <w:sz w:val="30"/>
                      </w:rPr>
                    </w:pPr>
                    <w:r>
                      <w:rPr>
                        <w:rFonts w:ascii="幼圆"/>
                        <w:w w:val="99"/>
                        <w:sz w:val="30"/>
                      </w:rPr>
                      <w:t>6</w:t>
                    </w:r>
                  </w:p>
                </w:txbxContent>
              </v:textbox>
            </v:shape>
            <v:shape id="_x0000_s1054" type="#_x0000_t202" style="width:1514;height:299;left:3957;position:absolute;top:6681"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工程监理费</w:t>
                    </w:r>
                  </w:p>
                </w:txbxContent>
              </v:textbox>
            </v:shape>
            <v:shape id="_x0000_s1055" type="#_x0000_t202" style="width:1216;height:299;left:6679;position:absolute;top:6681" filled="f" stroked="f">
              <v:textbox inset="0,0,0,0">
                <w:txbxContent>
                  <w:p>
                    <w:pPr>
                      <w:spacing w:before="0" w:line="299" w:lineRule="exact"/>
                      <w:ind w:left="0" w:right="0" w:firstLine="0"/>
                      <w:jc w:val="left"/>
                      <w:rPr>
                        <w:rFonts w:ascii="幼圆"/>
                        <w:sz w:val="30"/>
                      </w:rPr>
                    </w:pPr>
                    <w:r>
                      <w:rPr>
                        <w:rFonts w:ascii="幼圆"/>
                        <w:sz w:val="30"/>
                      </w:rPr>
                      <w:t>1.4%*70%</w:t>
                    </w:r>
                  </w:p>
                </w:txbxContent>
              </v:textbox>
            </v:shape>
            <v:shape id="_x0000_s1056" type="#_x0000_t202" style="width:1216;height:299;left:8659;position:absolute;top:6681"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建安造价</w:t>
                    </w:r>
                  </w:p>
                </w:txbxContent>
              </v:textbox>
            </v:shape>
            <v:shape id="_x0000_s1057" type="#_x0000_t202" style="width:4878;height:767;left:10323;position:absolute;top:6447" filled="f" stroked="f">
              <v:textbox inset="0,0,0,0">
                <w:txbxContent>
                  <w:p>
                    <w:pPr>
                      <w:spacing w:before="0" w:line="329" w:lineRule="exact"/>
                      <w:ind w:left="0" w:right="0" w:firstLine="0"/>
                      <w:jc w:val="left"/>
                      <w:rPr>
                        <w:rFonts w:ascii="幼圆" w:eastAsia="幼圆" w:hint="eastAsia"/>
                        <w:sz w:val="30"/>
                      </w:rPr>
                    </w:pPr>
                    <w:r>
                      <w:rPr>
                        <w:rFonts w:ascii="幼圆" w:eastAsia="幼圆" w:hint="eastAsia"/>
                        <w:spacing w:val="-3"/>
                        <w:sz w:val="30"/>
                      </w:rPr>
                      <w:t xml:space="preserve">发改委建设部 </w:t>
                    </w:r>
                    <w:r>
                      <w:rPr>
                        <w:rFonts w:ascii="幼圆" w:eastAsia="幼圆" w:hint="eastAsia"/>
                        <w:sz w:val="30"/>
                      </w:rPr>
                      <w:t>(2007)670</w:t>
                    </w:r>
                    <w:r>
                      <w:rPr>
                        <w:rFonts w:ascii="幼圆" w:eastAsia="幼圆" w:hint="eastAsia"/>
                        <w:spacing w:val="-12"/>
                        <w:sz w:val="30"/>
                      </w:rPr>
                      <w:t xml:space="preserve"> 号, 筑财建</w:t>
                    </w:r>
                  </w:p>
                  <w:p>
                    <w:pPr>
                      <w:spacing w:before="83" w:line="354" w:lineRule="exact"/>
                      <w:ind w:left="0" w:right="0" w:firstLine="0"/>
                      <w:jc w:val="left"/>
                      <w:rPr>
                        <w:rFonts w:ascii="幼圆" w:eastAsia="幼圆" w:hint="eastAsia"/>
                        <w:sz w:val="30"/>
                      </w:rPr>
                    </w:pPr>
                    <w:r>
                      <w:rPr>
                        <w:rFonts w:ascii="幼圆" w:eastAsia="幼圆" w:hint="eastAsia"/>
                        <w:sz w:val="30"/>
                      </w:rPr>
                      <w:t>[2003]90 号</w:t>
                    </w:r>
                  </w:p>
                </w:txbxContent>
              </v:textbox>
            </v:shape>
            <v:shape id="_x0000_s1058" type="#_x0000_t202" style="width:170;height:299;left:2600;position:absolute;top:7509" filled="f" stroked="f">
              <v:textbox inset="0,0,0,0">
                <w:txbxContent>
                  <w:p>
                    <w:pPr>
                      <w:spacing w:before="0" w:line="299" w:lineRule="exact"/>
                      <w:ind w:left="0" w:right="0" w:firstLine="0"/>
                      <w:jc w:val="left"/>
                      <w:rPr>
                        <w:rFonts w:ascii="幼圆"/>
                        <w:sz w:val="30"/>
                      </w:rPr>
                    </w:pPr>
                    <w:r>
                      <w:rPr>
                        <w:rFonts w:ascii="幼圆"/>
                        <w:w w:val="99"/>
                        <w:sz w:val="30"/>
                      </w:rPr>
                      <w:t>7</w:t>
                    </w:r>
                  </w:p>
                </w:txbxContent>
              </v:textbox>
            </v:shape>
            <v:shape id="_x0000_s1059" type="#_x0000_t202" style="width:2112;height:299;left:3658;position:absolute;top:7509"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招标代理服务费</w:t>
                    </w:r>
                  </w:p>
                </w:txbxContent>
              </v:textbox>
            </v:shape>
            <v:shape id="_x0000_s1060" type="#_x0000_t202" style="width:767;height:299;left:6902;position:absolute;top:7509" filled="f" stroked="f">
              <v:textbox inset="0,0,0,0">
                <w:txbxContent>
                  <w:p>
                    <w:pPr>
                      <w:spacing w:before="0" w:line="299" w:lineRule="exact"/>
                      <w:ind w:left="0" w:right="0" w:firstLine="0"/>
                      <w:jc w:val="left"/>
                      <w:rPr>
                        <w:rFonts w:ascii="幼圆"/>
                        <w:sz w:val="30"/>
                      </w:rPr>
                    </w:pPr>
                    <w:r>
                      <w:rPr>
                        <w:rFonts w:ascii="幼圆"/>
                        <w:sz w:val="30"/>
                      </w:rPr>
                      <w:t>0.43%</w:t>
                    </w:r>
                  </w:p>
                </w:txbxContent>
              </v:textbox>
            </v:shape>
            <v:shape id="_x0000_s1061" type="#_x0000_t202" style="width:1216;height:299;left:8659;position:absolute;top:7509"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z w:val="30"/>
                      </w:rPr>
                      <w:t>建安造价</w:t>
                    </w:r>
                  </w:p>
                </w:txbxContent>
              </v:textbox>
            </v:shape>
            <v:shape id="_x0000_s1062" type="#_x0000_t202" style="width:4147;height:299;left:10712;position:absolute;top:7509"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spacing w:val="-2"/>
                        <w:sz w:val="30"/>
                      </w:rPr>
                      <w:t>国家计委 计价格</w:t>
                    </w:r>
                    <w:r>
                      <w:rPr>
                        <w:rFonts w:ascii="幼圆" w:eastAsia="幼圆" w:hint="eastAsia"/>
                        <w:sz w:val="30"/>
                      </w:rPr>
                      <w:t>[2002]1980</w:t>
                    </w:r>
                    <w:r>
                      <w:rPr>
                        <w:rFonts w:ascii="幼圆" w:eastAsia="幼圆" w:hint="eastAsia"/>
                        <w:spacing w:val="-34"/>
                        <w:sz w:val="30"/>
                      </w:rPr>
                      <w:t xml:space="preserve"> 号</w:t>
                    </w:r>
                  </w:p>
                </w:txbxContent>
              </v:textbox>
            </v:shape>
            <v:shape id="_x0000_s1063" type="#_x0000_t202" style="width:319;height:299;left:4108;position:absolute;top:8341"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w w:val="99"/>
                        <w:sz w:val="30"/>
                      </w:rPr>
                      <w:t>小</w:t>
                    </w:r>
                  </w:p>
                </w:txbxContent>
              </v:textbox>
            </v:shape>
            <v:shape id="_x0000_s1064" type="#_x0000_t202" style="width:319;height:299;left:5011;position:absolute;top:8341" filled="f" stroked="f">
              <v:textbox inset="0,0,0,0">
                <w:txbxContent>
                  <w:p>
                    <w:pPr>
                      <w:spacing w:before="0" w:line="299" w:lineRule="exact"/>
                      <w:ind w:left="0" w:right="0" w:firstLine="0"/>
                      <w:jc w:val="left"/>
                      <w:rPr>
                        <w:rFonts w:ascii="幼圆" w:eastAsia="幼圆" w:hint="eastAsia"/>
                        <w:sz w:val="30"/>
                      </w:rPr>
                    </w:pPr>
                    <w:r>
                      <w:rPr>
                        <w:rFonts w:ascii="幼圆" w:eastAsia="幼圆" w:hint="eastAsia"/>
                        <w:w w:val="99"/>
                        <w:sz w:val="30"/>
                      </w:rPr>
                      <w:t>计</w:t>
                    </w:r>
                  </w:p>
                </w:txbxContent>
              </v:textbox>
            </v:shape>
            <v:shape id="_x0000_s1065" type="#_x0000_t202" style="width:767;height:299;left:6902;position:absolute;top:8341" filled="f" stroked="f">
              <v:textbox inset="0,0,0,0">
                <w:txbxContent>
                  <w:p>
                    <w:pPr>
                      <w:spacing w:before="0" w:line="299" w:lineRule="exact"/>
                      <w:ind w:left="0" w:right="0" w:firstLine="0"/>
                      <w:jc w:val="left"/>
                      <w:rPr>
                        <w:rFonts w:ascii="幼圆"/>
                        <w:sz w:val="30"/>
                      </w:rPr>
                    </w:pPr>
                    <w:r>
                      <w:rPr>
                        <w:rFonts w:ascii="幼圆"/>
                        <w:sz w:val="30"/>
                      </w:rPr>
                      <w:t>5.84%</w:t>
                    </w:r>
                  </w:p>
                </w:txbxContent>
              </v:textbox>
            </v:shape>
          </v:group>
        </w:pict>
      </w:r>
      <w:r>
        <w:rPr>
          <w:rFonts w:ascii="幼圆" w:eastAsia="幼圆" w:hAnsi="幼圆" w:hint="eastAsia"/>
          <w:w w:val="95"/>
        </w:rPr>
        <w:t>②专业及前期工程费的确定</w:t>
      </w:r>
      <w:r>
        <w:rPr>
          <w:rFonts w:ascii="幼圆" w:eastAsia="幼圆" w:hAnsi="幼圆" w:hint="eastAsia"/>
        </w:rPr>
        <w:t>专业及前期费用如下表：</w:t>
      </w: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spacing w:before="4"/>
        <w:rPr>
          <w:rFonts w:ascii="幼圆"/>
          <w:sz w:val="20"/>
        </w:rPr>
      </w:pPr>
    </w:p>
    <w:tbl>
      <w:tblPr>
        <w:tblStyle w:val="TableNormal1"/>
        <w:tblW w:w="0" w:type="auto"/>
        <w:jc w:val="left"/>
        <w:tblInd w:w="2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03"/>
        <w:gridCol w:w="2824"/>
        <w:gridCol w:w="1978"/>
        <w:gridCol w:w="2185"/>
        <w:gridCol w:w="4435"/>
      </w:tblGrid>
      <w:tr>
        <w:tblPrEx>
          <w:tblW w:w="0" w:type="auto"/>
          <w:jc w:val="left"/>
          <w:tblInd w:w="2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2"/>
          <w:jc w:val="left"/>
        </w:trPr>
        <w:tc>
          <w:tcPr>
            <w:tcW w:w="803" w:type="dxa"/>
          </w:tcPr>
          <w:p>
            <w:pPr>
              <w:pStyle w:val="TableParagraph"/>
              <w:spacing w:line="329" w:lineRule="exact"/>
              <w:ind w:left="50"/>
              <w:rPr>
                <w:rFonts w:ascii="幼圆"/>
                <w:sz w:val="30"/>
              </w:rPr>
            </w:pPr>
            <w:r>
              <w:rPr>
                <w:rFonts w:ascii="幼圆"/>
                <w:w w:val="99"/>
                <w:sz w:val="30"/>
              </w:rPr>
              <w:t>4</w:t>
            </w:r>
          </w:p>
        </w:tc>
        <w:tc>
          <w:tcPr>
            <w:tcW w:w="2824" w:type="dxa"/>
          </w:tcPr>
          <w:p>
            <w:pPr>
              <w:pStyle w:val="TableParagraph"/>
              <w:spacing w:line="329" w:lineRule="exact"/>
              <w:ind w:left="603"/>
              <w:rPr>
                <w:rFonts w:ascii="幼圆" w:eastAsia="幼圆" w:hint="eastAsia"/>
                <w:sz w:val="30"/>
              </w:rPr>
            </w:pPr>
            <w:r>
              <w:rPr>
                <w:rFonts w:ascii="幼圆" w:eastAsia="幼圆" w:hint="eastAsia"/>
                <w:sz w:val="30"/>
              </w:rPr>
              <w:t>标底编制费</w:t>
            </w:r>
          </w:p>
        </w:tc>
        <w:tc>
          <w:tcPr>
            <w:tcW w:w="1978" w:type="dxa"/>
          </w:tcPr>
          <w:p>
            <w:pPr>
              <w:pStyle w:val="TableParagraph"/>
              <w:spacing w:line="329" w:lineRule="exact"/>
              <w:ind w:right="503"/>
              <w:jc w:val="right"/>
              <w:rPr>
                <w:rFonts w:ascii="幼圆"/>
                <w:sz w:val="30"/>
              </w:rPr>
            </w:pPr>
            <w:r>
              <w:rPr>
                <w:rFonts w:ascii="幼圆"/>
                <w:w w:val="95"/>
                <w:sz w:val="30"/>
              </w:rPr>
              <w:t>0.13%</w:t>
            </w:r>
          </w:p>
        </w:tc>
        <w:tc>
          <w:tcPr>
            <w:tcW w:w="2185" w:type="dxa"/>
          </w:tcPr>
          <w:p>
            <w:pPr>
              <w:pStyle w:val="TableParagraph"/>
              <w:spacing w:line="329" w:lineRule="exact"/>
              <w:ind w:left="482" w:right="463"/>
              <w:jc w:val="center"/>
              <w:rPr>
                <w:rFonts w:ascii="幼圆" w:eastAsia="幼圆" w:hint="eastAsia"/>
                <w:sz w:val="30"/>
              </w:rPr>
            </w:pPr>
            <w:r>
              <w:rPr>
                <w:rFonts w:ascii="幼圆" w:eastAsia="幼圆" w:hint="eastAsia"/>
                <w:sz w:val="30"/>
              </w:rPr>
              <w:t>建安造价</w:t>
            </w:r>
          </w:p>
        </w:tc>
        <w:tc>
          <w:tcPr>
            <w:tcW w:w="4435" w:type="dxa"/>
          </w:tcPr>
          <w:p>
            <w:pPr>
              <w:pStyle w:val="TableParagraph"/>
              <w:spacing w:line="329" w:lineRule="exact"/>
              <w:ind w:left="463" w:right="31"/>
              <w:jc w:val="center"/>
              <w:rPr>
                <w:rFonts w:ascii="幼圆" w:eastAsia="幼圆" w:hint="eastAsia"/>
                <w:sz w:val="30"/>
              </w:rPr>
            </w:pPr>
            <w:r>
              <w:rPr>
                <w:rFonts w:ascii="幼圆" w:eastAsia="幼圆" w:hint="eastAsia"/>
                <w:sz w:val="30"/>
              </w:rPr>
              <w:t>省财政厅黔价（1997）140 号</w:t>
            </w:r>
          </w:p>
        </w:tc>
      </w:tr>
      <w:tr>
        <w:tblPrEx>
          <w:tblW w:w="0" w:type="auto"/>
          <w:jc w:val="left"/>
          <w:tblInd w:w="2557" w:type="dxa"/>
          <w:tblLayout w:type="fixed"/>
          <w:tblCellMar>
            <w:top w:w="0" w:type="dxa"/>
            <w:left w:w="0" w:type="dxa"/>
            <w:bottom w:w="0" w:type="dxa"/>
            <w:right w:w="0" w:type="dxa"/>
          </w:tblCellMar>
          <w:tblLook w:val="01E0"/>
        </w:tblPrEx>
        <w:trPr>
          <w:trHeight w:val="502"/>
          <w:jc w:val="left"/>
        </w:trPr>
        <w:tc>
          <w:tcPr>
            <w:tcW w:w="803" w:type="dxa"/>
          </w:tcPr>
          <w:p>
            <w:pPr>
              <w:pStyle w:val="TableParagraph"/>
              <w:spacing w:before="149" w:line="334" w:lineRule="exact"/>
              <w:ind w:left="50"/>
              <w:rPr>
                <w:rFonts w:ascii="幼圆"/>
                <w:sz w:val="30"/>
              </w:rPr>
            </w:pPr>
            <w:r>
              <w:rPr>
                <w:rFonts w:ascii="幼圆"/>
                <w:w w:val="99"/>
                <w:sz w:val="30"/>
              </w:rPr>
              <w:t>5</w:t>
            </w:r>
          </w:p>
        </w:tc>
        <w:tc>
          <w:tcPr>
            <w:tcW w:w="2824" w:type="dxa"/>
          </w:tcPr>
          <w:p>
            <w:pPr>
              <w:pStyle w:val="TableParagraph"/>
              <w:spacing w:before="149" w:line="334" w:lineRule="exact"/>
              <w:ind w:left="603"/>
              <w:rPr>
                <w:rFonts w:ascii="幼圆" w:eastAsia="幼圆" w:hint="eastAsia"/>
                <w:sz w:val="30"/>
              </w:rPr>
            </w:pPr>
            <w:r>
              <w:rPr>
                <w:rFonts w:ascii="幼圆" w:eastAsia="幼圆" w:hint="eastAsia"/>
                <w:sz w:val="30"/>
              </w:rPr>
              <w:t>质量监督费</w:t>
            </w:r>
          </w:p>
        </w:tc>
        <w:tc>
          <w:tcPr>
            <w:tcW w:w="1978" w:type="dxa"/>
          </w:tcPr>
          <w:p>
            <w:pPr>
              <w:pStyle w:val="TableParagraph"/>
              <w:spacing w:before="149" w:line="334" w:lineRule="exact"/>
              <w:ind w:right="503"/>
              <w:jc w:val="right"/>
              <w:rPr>
                <w:rFonts w:ascii="幼圆"/>
                <w:sz w:val="30"/>
              </w:rPr>
            </w:pPr>
            <w:r>
              <w:rPr>
                <w:rFonts w:ascii="幼圆"/>
                <w:w w:val="95"/>
                <w:sz w:val="30"/>
              </w:rPr>
              <w:t>0.05%</w:t>
            </w:r>
          </w:p>
        </w:tc>
        <w:tc>
          <w:tcPr>
            <w:tcW w:w="2185" w:type="dxa"/>
          </w:tcPr>
          <w:p>
            <w:pPr>
              <w:pStyle w:val="TableParagraph"/>
              <w:spacing w:before="149" w:line="334" w:lineRule="exact"/>
              <w:ind w:left="482" w:right="463"/>
              <w:jc w:val="center"/>
              <w:rPr>
                <w:rFonts w:ascii="幼圆" w:eastAsia="幼圆" w:hint="eastAsia"/>
                <w:sz w:val="30"/>
              </w:rPr>
            </w:pPr>
            <w:r>
              <w:rPr>
                <w:rFonts w:ascii="幼圆" w:eastAsia="幼圆" w:hint="eastAsia"/>
                <w:sz w:val="30"/>
              </w:rPr>
              <w:t>建安造价</w:t>
            </w:r>
          </w:p>
        </w:tc>
        <w:tc>
          <w:tcPr>
            <w:tcW w:w="4435" w:type="dxa"/>
          </w:tcPr>
          <w:p>
            <w:pPr>
              <w:pStyle w:val="TableParagraph"/>
              <w:spacing w:before="149" w:line="334" w:lineRule="exact"/>
              <w:ind w:left="463" w:right="24"/>
              <w:jc w:val="center"/>
              <w:rPr>
                <w:rFonts w:ascii="幼圆" w:eastAsia="幼圆" w:hint="eastAsia"/>
                <w:sz w:val="30"/>
              </w:rPr>
            </w:pPr>
            <w:r>
              <w:rPr>
                <w:rFonts w:ascii="幼圆" w:eastAsia="幼圆" w:hint="eastAsia"/>
                <w:sz w:val="30"/>
              </w:rPr>
              <w:t>财政部价费（1993）149 号</w:t>
            </w:r>
          </w:p>
        </w:tc>
      </w:tr>
    </w:tbl>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spacing w:before="166"/>
        <w:ind w:left="2654"/>
        <w:rPr>
          <w:rFonts w:ascii="幼圆" w:eastAsia="幼圆" w:hint="eastAsia"/>
        </w:rPr>
      </w:pPr>
      <w:r>
        <w:rPr>
          <w:rFonts w:ascii="幼圆" w:eastAsia="幼圆" w:hint="eastAsia"/>
        </w:rPr>
        <w:t>按建安费用的 5.84%取，则</w:t>
      </w:r>
    </w:p>
    <w:p>
      <w:pPr>
        <w:pStyle w:val="BodyText"/>
        <w:spacing w:before="2"/>
        <w:rPr>
          <w:rFonts w:ascii="幼圆"/>
        </w:rPr>
      </w:pPr>
    </w:p>
    <w:p>
      <w:pPr>
        <w:pStyle w:val="BodyText"/>
        <w:ind w:left="2654"/>
        <w:rPr>
          <w:rFonts w:ascii="幼圆" w:eastAsia="幼圆" w:hAnsi="幼圆" w:hint="eastAsia"/>
        </w:rPr>
      </w:pPr>
      <w:r>
        <w:rPr>
          <w:rFonts w:ascii="幼圆" w:eastAsia="幼圆" w:hAnsi="幼圆" w:hint="eastAsia"/>
        </w:rPr>
        <w:t>＝55580×5.84%＝3,245.87 元/m2</w:t>
      </w:r>
    </w:p>
    <w:p>
      <w:pPr>
        <w:pStyle w:val="BodyText"/>
        <w:spacing w:before="340"/>
        <w:ind w:left="2654"/>
        <w:rPr>
          <w:rFonts w:ascii="幼圆" w:eastAsia="幼圆" w:hAnsi="幼圆" w:hint="eastAsia"/>
        </w:rPr>
      </w:pPr>
      <w:r>
        <w:rPr>
          <w:rFonts w:ascii="幼圆" w:eastAsia="幼圆" w:hAnsi="幼圆" w:hint="eastAsia"/>
        </w:rPr>
        <w:t>③配套费＝70 元/m2×55.58=3,890.60 元。</w:t>
      </w:r>
    </w:p>
    <w:p>
      <w:pPr>
        <w:pStyle w:val="BodyText"/>
        <w:spacing w:before="339"/>
        <w:ind w:left="2654"/>
        <w:rPr>
          <w:rFonts w:ascii="幼圆" w:eastAsia="幼圆" w:hAnsi="幼圆" w:hint="eastAsia"/>
        </w:rPr>
      </w:pPr>
      <w:r>
        <w:rPr>
          <w:rFonts w:ascii="幼圆" w:eastAsia="幼圆" w:hAnsi="幼圆" w:hint="eastAsia"/>
        </w:rPr>
        <w:t>④管理费用＝55580×2%＝1111.60 元/m2</w:t>
      </w:r>
    </w:p>
    <w:p>
      <w:pPr>
        <w:pStyle w:val="BodyText"/>
        <w:spacing w:before="6"/>
        <w:rPr>
          <w:rFonts w:ascii="幼圆"/>
          <w:sz w:val="24"/>
        </w:rPr>
      </w:pPr>
    </w:p>
    <w:p>
      <w:pPr>
        <w:spacing w:after="0"/>
        <w:rPr>
          <w:rFonts w:ascii="幼圆"/>
          <w:sz w:val="24"/>
        </w:rPr>
        <w:sectPr>
          <w:pgSz w:w="17860" w:h="25260"/>
          <w:pgMar w:top="1800" w:right="1380" w:bottom="280" w:left="0" w:header="708" w:footer="708"/>
          <w:pgNumType w:start="13"/>
          <w:cols w:space="708"/>
        </w:sectPr>
      </w:pPr>
    </w:p>
    <w:p>
      <w:pPr>
        <w:pStyle w:val="BodyText"/>
        <w:spacing w:before="29"/>
        <w:ind w:left="2654"/>
        <w:rPr>
          <w:rFonts w:ascii="幼圆" w:eastAsia="幼圆" w:hAnsi="幼圆" w:hint="eastAsia"/>
        </w:rPr>
      </w:pPr>
      <w:r>
        <w:rPr>
          <w:rFonts w:ascii="幼圆" w:eastAsia="幼圆" w:hAnsi="幼圆" w:hint="eastAsia"/>
          <w:spacing w:val="-34"/>
          <w:w w:val="99"/>
        </w:rPr>
        <w:t>⑤利息投资利息</w:t>
      </w:r>
      <w:r>
        <w:rPr>
          <w:rFonts w:ascii="幼圆" w:eastAsia="幼圆" w:hAnsi="幼圆" w:hint="eastAsia"/>
          <w:spacing w:val="-196"/>
          <w:w w:val="99"/>
        </w:rPr>
        <w:t>＝</w:t>
      </w:r>
      <w:r>
        <w:rPr>
          <w:rFonts w:ascii="幼圆" w:eastAsia="幼圆" w:hAnsi="幼圆" w:hint="eastAsia"/>
          <w:spacing w:val="-58"/>
          <w:w w:val="99"/>
        </w:rPr>
        <w:t>（</w:t>
      </w:r>
      <w:r>
        <w:rPr>
          <w:rFonts w:ascii="幼圆" w:eastAsia="幼圆" w:hAnsi="幼圆" w:hint="eastAsia"/>
          <w:spacing w:val="-1"/>
          <w:w w:val="99"/>
        </w:rPr>
        <w:t>3245.87+3890</w:t>
      </w:r>
      <w:r>
        <w:rPr>
          <w:rFonts w:ascii="幼圆" w:eastAsia="幼圆" w:hAnsi="幼圆" w:hint="eastAsia"/>
          <w:spacing w:val="-56"/>
          <w:w w:val="99"/>
        </w:rPr>
        <w:t>.</w:t>
      </w:r>
      <w:r>
        <w:rPr>
          <w:rFonts w:ascii="幼圆" w:eastAsia="幼圆" w:hAnsi="幼圆" w:hint="eastAsia"/>
          <w:spacing w:val="-336"/>
          <w:w w:val="99"/>
        </w:rPr>
        <w:t>）</w:t>
      </w:r>
      <w:r>
        <w:rPr>
          <w:rFonts w:ascii="幼圆" w:eastAsia="幼圆" w:hAnsi="幼圆" w:hint="eastAsia"/>
          <w:spacing w:val="-56"/>
          <w:w w:val="99"/>
        </w:rPr>
        <w:t>6</w:t>
      </w:r>
      <w:r>
        <w:rPr>
          <w:rFonts w:ascii="幼圆" w:eastAsia="幼圆" w:hAnsi="幼圆" w:hint="eastAsia"/>
          <w:spacing w:val="-336"/>
          <w:w w:val="99"/>
        </w:rPr>
        <w:t>×</w:t>
      </w:r>
      <w:r>
        <w:rPr>
          <w:rFonts w:ascii="幼圆" w:eastAsia="幼圆" w:hAnsi="幼圆" w:hint="eastAsia"/>
          <w:spacing w:val="-1"/>
          <w:w w:val="99"/>
        </w:rPr>
        <w:t>0</w:t>
      </w:r>
    </w:p>
    <w:p>
      <w:pPr>
        <w:pStyle w:val="BodyText"/>
        <w:spacing w:before="29"/>
        <w:ind w:left="71"/>
        <w:rPr>
          <w:rFonts w:ascii="幼圆" w:eastAsia="幼圆" w:hint="eastAsia"/>
        </w:rPr>
      </w:pPr>
      <w:r>
        <w:br w:type="column"/>
      </w:r>
      <w:r>
        <w:rPr>
          <w:rFonts w:ascii="幼圆" w:eastAsia="幼圆" w:hint="eastAsia"/>
          <w:w w:val="99"/>
        </w:rPr>
        <w:t>[(1+4.6</w:t>
      </w:r>
      <w:r>
        <w:rPr>
          <w:rFonts w:ascii="幼圆" w:eastAsia="幼圆" w:hint="eastAsia"/>
          <w:spacing w:val="-72"/>
          <w:w w:val="99"/>
        </w:rPr>
        <w:t>%</w:t>
      </w:r>
      <w:r>
        <w:rPr>
          <w:rFonts w:ascii="幼圆" w:eastAsia="幼圆" w:hint="eastAsia"/>
          <w:spacing w:val="-29"/>
          <w:w w:val="102"/>
          <w:position w:val="3"/>
          <w:sz w:val="19"/>
        </w:rPr>
        <w:t>1</w:t>
      </w:r>
      <w:r>
        <w:rPr>
          <w:rFonts w:ascii="幼圆" w:eastAsia="幼圆" w:hint="eastAsia"/>
          <w:spacing w:val="-386"/>
          <w:w w:val="99"/>
        </w:rPr>
        <w:t>－</w:t>
      </w:r>
      <w:r>
        <w:rPr>
          <w:rFonts w:ascii="幼圆" w:eastAsia="幼圆" w:hint="eastAsia"/>
          <w:w w:val="99"/>
        </w:rPr>
        <w:t>)</w:t>
      </w:r>
    </w:p>
    <w:p>
      <w:pPr>
        <w:pStyle w:val="BodyText"/>
        <w:spacing w:before="29"/>
        <w:ind w:left="93"/>
        <w:rPr>
          <w:rFonts w:ascii="幼圆" w:eastAsia="幼圆" w:hint="eastAsia"/>
        </w:rPr>
      </w:pPr>
      <w:r>
        <w:br w:type="column"/>
      </w:r>
      <w:r>
        <w:rPr>
          <w:rFonts w:ascii="幼圆" w:eastAsia="幼圆" w:hint="eastAsia"/>
          <w:w w:val="99"/>
        </w:rPr>
        <w:t>1</w:t>
      </w:r>
      <w:r>
        <w:rPr>
          <w:rFonts w:ascii="幼圆" w:eastAsia="幼圆" w:hint="eastAsia"/>
          <w:spacing w:val="-33"/>
          <w:w w:val="99"/>
        </w:rPr>
        <w:t>]</w:t>
      </w:r>
      <w:r>
        <w:rPr>
          <w:rFonts w:ascii="幼圆" w:eastAsia="幼圆" w:hint="eastAsia"/>
          <w:spacing w:val="-357"/>
          <w:w w:val="99"/>
        </w:rPr>
        <w:t>（</w:t>
      </w:r>
      <w:r>
        <w:rPr>
          <w:rFonts w:ascii="幼圆" w:eastAsia="幼圆" w:hint="eastAsia"/>
          <w:w w:val="99"/>
        </w:rPr>
        <w:t>+</w:t>
      </w:r>
    </w:p>
    <w:p>
      <w:pPr>
        <w:pStyle w:val="BodyText"/>
        <w:spacing w:before="29"/>
        <w:ind w:left="64"/>
        <w:rPr>
          <w:rFonts w:ascii="幼圆" w:eastAsia="幼圆" w:hAnsi="幼圆" w:hint="eastAsia"/>
          <w:sz w:val="19"/>
        </w:rPr>
      </w:pPr>
      <w:r>
        <w:br w:type="column"/>
      </w:r>
      <w:r>
        <w:rPr>
          <w:rFonts w:ascii="幼圆" w:eastAsia="幼圆" w:hAnsi="幼圆" w:hint="eastAsia"/>
          <w:w w:val="99"/>
        </w:rPr>
        <w:t>55580+1111.</w:t>
      </w:r>
      <w:r>
        <w:rPr>
          <w:rFonts w:ascii="幼圆" w:eastAsia="幼圆" w:hAnsi="幼圆" w:hint="eastAsia"/>
          <w:spacing w:val="-190"/>
          <w:w w:val="99"/>
        </w:rPr>
        <w:t>6</w:t>
      </w:r>
      <w:r>
        <w:rPr>
          <w:rFonts w:ascii="幼圆" w:eastAsia="幼圆" w:hAnsi="幼圆" w:hint="eastAsia"/>
          <w:spacing w:val="-199"/>
          <w:w w:val="99"/>
        </w:rPr>
        <w:t>）</w:t>
      </w:r>
      <w:r>
        <w:rPr>
          <w:rFonts w:ascii="幼圆" w:eastAsia="幼圆" w:hAnsi="幼圆" w:hint="eastAsia"/>
          <w:spacing w:val="-190"/>
          <w:w w:val="99"/>
        </w:rPr>
        <w:t>0</w:t>
      </w:r>
      <w:r>
        <w:rPr>
          <w:rFonts w:ascii="幼圆" w:eastAsia="幼圆" w:hAnsi="幼圆" w:hint="eastAsia"/>
          <w:spacing w:val="-29"/>
          <w:w w:val="99"/>
        </w:rPr>
        <w:t>×</w:t>
      </w:r>
      <w:r>
        <w:rPr>
          <w:rFonts w:ascii="幼圆" w:eastAsia="幼圆" w:hAnsi="幼圆" w:hint="eastAsia"/>
          <w:w w:val="99"/>
        </w:rPr>
        <w:t>[(1+4.6</w:t>
      </w:r>
      <w:r>
        <w:rPr>
          <w:rFonts w:ascii="幼圆" w:eastAsia="幼圆" w:hAnsi="幼圆" w:hint="eastAsia"/>
          <w:spacing w:val="-69"/>
          <w:w w:val="99"/>
        </w:rPr>
        <w:t>%</w:t>
      </w:r>
      <w:r>
        <w:rPr>
          <w:rFonts w:ascii="幼圆" w:eastAsia="幼圆" w:hAnsi="幼圆" w:hint="eastAsia"/>
          <w:spacing w:val="-29"/>
          <w:w w:val="102"/>
          <w:position w:val="3"/>
          <w:sz w:val="19"/>
        </w:rPr>
        <w:t>0</w:t>
      </w:r>
      <w:r>
        <w:rPr>
          <w:rFonts w:ascii="幼圆" w:eastAsia="幼圆" w:hAnsi="幼圆" w:hint="eastAsia"/>
          <w:spacing w:val="-98"/>
          <w:w w:val="102"/>
          <w:position w:val="3"/>
          <w:sz w:val="19"/>
        </w:rPr>
        <w:t>.</w:t>
      </w:r>
      <w:r>
        <w:rPr>
          <w:rFonts w:ascii="幼圆" w:eastAsia="幼圆" w:hAnsi="幼圆" w:hint="eastAsia"/>
          <w:spacing w:val="-130"/>
          <w:w w:val="99"/>
        </w:rPr>
        <w:t>)</w:t>
      </w:r>
      <w:r>
        <w:rPr>
          <w:rFonts w:ascii="幼圆" w:eastAsia="幼圆" w:hAnsi="幼圆" w:hint="eastAsia"/>
          <w:w w:val="102"/>
          <w:position w:val="3"/>
          <w:sz w:val="19"/>
        </w:rPr>
        <w:t>5</w:t>
      </w:r>
    </w:p>
    <w:p>
      <w:pPr>
        <w:spacing w:after="0"/>
        <w:rPr>
          <w:rFonts w:ascii="幼圆" w:eastAsia="幼圆" w:hAnsi="幼圆" w:hint="eastAsia"/>
          <w:sz w:val="19"/>
        </w:rPr>
        <w:sectPr>
          <w:type w:val="continuous"/>
          <w:pgSz w:w="17860" w:h="25260"/>
          <w:pgMar w:top="1220" w:right="1380" w:bottom="280" w:left="0" w:header="708" w:footer="708"/>
          <w:pgNumType w:start="14"/>
          <w:cols w:num="4" w:space="708" w:equalWidth="0">
            <w:col w:w="8588" w:space="40"/>
            <w:col w:w="1821" w:space="39"/>
            <w:col w:w="678" w:space="40"/>
            <w:col w:w="5274" w:space="0"/>
          </w:cols>
        </w:sectPr>
      </w:pPr>
    </w:p>
    <w:p>
      <w:pPr>
        <w:pStyle w:val="BodyText"/>
        <w:spacing w:before="2"/>
        <w:rPr>
          <w:rFonts w:ascii="幼圆"/>
          <w:sz w:val="24"/>
        </w:rPr>
      </w:pPr>
    </w:p>
    <w:p>
      <w:pPr>
        <w:pStyle w:val="BodyText"/>
        <w:spacing w:before="30"/>
        <w:ind w:left="1872"/>
        <w:rPr>
          <w:rFonts w:ascii="幼圆" w:eastAsia="幼圆" w:hint="eastAsia"/>
        </w:rPr>
      </w:pPr>
      <w:r>
        <w:rPr>
          <w:rFonts w:ascii="幼圆" w:eastAsia="幼圆" w:hint="eastAsia"/>
        </w:rPr>
        <w:t>－1]</w:t>
      </w:r>
    </w:p>
    <w:p>
      <w:pPr>
        <w:pStyle w:val="BodyText"/>
        <w:spacing w:before="2"/>
        <w:rPr>
          <w:rFonts w:ascii="幼圆"/>
          <w:sz w:val="24"/>
        </w:rPr>
      </w:pPr>
    </w:p>
    <w:p>
      <w:pPr>
        <w:pStyle w:val="BodyText"/>
        <w:spacing w:before="29"/>
        <w:ind w:left="3823"/>
        <w:rPr>
          <w:rFonts w:ascii="幼圆" w:eastAsia="幼圆" w:hint="eastAsia"/>
        </w:rPr>
      </w:pPr>
      <w:r>
        <w:rPr>
          <w:rFonts w:ascii="幼圆" w:eastAsia="幼圆" w:hint="eastAsia"/>
        </w:rPr>
        <w:t>＝1,592.25</w:t>
      </w:r>
      <w:r>
        <w:rPr>
          <w:rFonts w:ascii="幼圆" w:eastAsia="幼圆" w:hint="eastAsia"/>
          <w:spacing w:val="-48"/>
        </w:rPr>
        <w:t xml:space="preserve"> 元</w:t>
      </w:r>
      <w:r>
        <w:rPr>
          <w:rFonts w:ascii="幼圆" w:eastAsia="幼圆" w:hint="eastAsia"/>
          <w:spacing w:val="3"/>
        </w:rPr>
        <w:t>/</w:t>
      </w:r>
      <w:r>
        <w:rPr>
          <w:rFonts w:ascii="幼圆" w:eastAsia="幼圆" w:hint="eastAsia"/>
        </w:rPr>
        <w:t>平方米</w:t>
      </w:r>
    </w:p>
    <w:p>
      <w:pPr>
        <w:pStyle w:val="BodyText"/>
        <w:spacing w:before="10"/>
        <w:rPr>
          <w:rFonts w:ascii="幼圆"/>
          <w:sz w:val="26"/>
        </w:rPr>
      </w:pPr>
    </w:p>
    <w:p>
      <w:pPr>
        <w:pStyle w:val="BodyText"/>
        <w:ind w:left="2654"/>
        <w:rPr>
          <w:rFonts w:ascii="幼圆" w:eastAsia="幼圆" w:hAnsi="幼圆" w:hint="eastAsia"/>
        </w:rPr>
      </w:pPr>
      <w:r>
        <w:rPr>
          <w:rFonts w:ascii="幼圆" w:eastAsia="幼圆" w:hAnsi="幼圆" w:hint="eastAsia"/>
        </w:rPr>
        <w:t>⑥利润＝（55580+3245.87+3890.60）×20%＝12543.29 元/m2</w:t>
      </w:r>
    </w:p>
    <w:p>
      <w:pPr>
        <w:pStyle w:val="BodyText"/>
        <w:spacing w:before="339" w:line="403" w:lineRule="auto"/>
        <w:ind w:left="1872" w:firstLine="782"/>
        <w:rPr>
          <w:rFonts w:ascii="幼圆" w:eastAsia="幼圆" w:hAnsi="幼圆" w:hint="eastAsia"/>
        </w:rPr>
      </w:pPr>
      <w:r>
        <w:rPr>
          <w:rFonts w:ascii="幼圆" w:eastAsia="幼圆" w:hAnsi="幼圆" w:hint="eastAsia"/>
        </w:rPr>
        <w:t>⑦ 建 筑 物 重 置 全 价 ＝ 55580.00+3245.87+3890.6+1111.60+1,592.25+12543.29＝77,963.61</w:t>
      </w:r>
      <w:r>
        <w:rPr>
          <w:rFonts w:ascii="幼圆" w:eastAsia="幼圆" w:hAnsi="幼圆" w:hint="eastAsia"/>
          <w:spacing w:val="-49"/>
        </w:rPr>
        <w:t xml:space="preserve"> 元</w:t>
      </w:r>
      <w:r>
        <w:rPr>
          <w:rFonts w:ascii="幼圆" w:eastAsia="幼圆" w:hAnsi="幼圆" w:hint="eastAsia"/>
          <w:spacing w:val="-6"/>
        </w:rPr>
        <w:t>/m2</w:t>
      </w:r>
    </w:p>
    <w:p>
      <w:pPr>
        <w:pStyle w:val="BodyText"/>
        <w:spacing w:before="3" w:line="403" w:lineRule="auto"/>
        <w:ind w:left="1872" w:right="757" w:firstLine="782"/>
        <w:rPr>
          <w:rFonts w:ascii="幼圆" w:eastAsia="幼圆" w:hAnsi="幼圆" w:hint="eastAsia"/>
        </w:rPr>
      </w:pPr>
      <w:r>
        <w:rPr>
          <w:rFonts w:ascii="幼圆" w:eastAsia="幼圆" w:hAnsi="幼圆" w:hint="eastAsia"/>
        </w:rPr>
        <w:t>⑧重置市场价＝建筑物重置全价/（1-税费率）（税率为营业税 5%，城建税7%，教育费附加和地方教育费附加 3%、2,价调基金 0.1%，销售费用 1%，合计为</w:t>
      </w:r>
    </w:p>
    <w:p>
      <w:pPr>
        <w:pStyle w:val="BodyText"/>
        <w:spacing w:line="498" w:lineRule="exact"/>
        <w:ind w:left="1872"/>
        <w:rPr>
          <w:rFonts w:ascii="幼圆" w:eastAsia="幼圆" w:hint="eastAsia"/>
        </w:rPr>
      </w:pPr>
      <w:r>
        <w:rPr>
          <w:rFonts w:ascii="幼圆" w:eastAsia="幼圆" w:hint="eastAsia"/>
        </w:rPr>
        <w:t>6.7%，取为 6.7%）</w:t>
      </w:r>
    </w:p>
    <w:p>
      <w:pPr>
        <w:pStyle w:val="BodyText"/>
        <w:spacing w:before="9"/>
        <w:rPr>
          <w:rFonts w:ascii="幼圆"/>
          <w:sz w:val="26"/>
        </w:rPr>
      </w:pPr>
    </w:p>
    <w:p>
      <w:pPr>
        <w:pStyle w:val="BodyText"/>
        <w:ind w:left="2654"/>
        <w:rPr>
          <w:rFonts w:ascii="幼圆" w:eastAsia="幼圆" w:hint="eastAsia"/>
        </w:rPr>
      </w:pPr>
      <w:r>
        <w:rPr>
          <w:rFonts w:ascii="幼圆" w:eastAsia="幼圆" w:hint="eastAsia"/>
        </w:rPr>
        <w:t>＝77,963.61/（1-0.067）＝69374.67+12543.29＝81917.97（元）</w:t>
      </w:r>
    </w:p>
    <w:p>
      <w:pPr>
        <w:spacing w:after="0"/>
        <w:rPr>
          <w:rFonts w:ascii="幼圆" w:eastAsia="幼圆" w:hint="eastAsia"/>
        </w:rPr>
        <w:sectPr>
          <w:type w:val="continuous"/>
          <w:pgSz w:w="17860" w:h="25260"/>
          <w:pgMar w:top="1220" w:right="1380" w:bottom="280" w:left="0" w:header="708" w:footer="708"/>
          <w:pgNumType w:start="15"/>
          <w:cols w:space="708"/>
        </w:sectPr>
      </w:pPr>
    </w:p>
    <w:p>
      <w:pPr>
        <w:pStyle w:val="BodyText"/>
        <w:spacing w:before="23"/>
        <w:ind w:left="2654"/>
      </w:pPr>
      <w:r>
        <w:t>取整为 81900.00 元</w:t>
      </w:r>
    </w:p>
    <w:p>
      <w:pPr>
        <w:pStyle w:val="ListParagraph"/>
        <w:numPr>
          <w:ilvl w:val="0"/>
          <w:numId w:val="8"/>
        </w:numPr>
        <w:tabs>
          <w:tab w:val="left" w:pos="3627"/>
        </w:tabs>
        <w:spacing w:before="340" w:after="0" w:line="240" w:lineRule="auto"/>
        <w:ind w:left="3626" w:right="0" w:hanging="973"/>
        <w:jc w:val="left"/>
        <w:rPr>
          <w:sz w:val="39"/>
        </w:rPr>
      </w:pPr>
      <w:r>
        <w:rPr>
          <w:sz w:val="39"/>
        </w:rPr>
        <w:t>成新率的确定</w:t>
      </w:r>
    </w:p>
    <w:p>
      <w:pPr>
        <w:pStyle w:val="BodyText"/>
        <w:spacing w:before="292" w:line="374" w:lineRule="auto"/>
        <w:ind w:left="1872" w:right="964" w:firstLine="810"/>
        <w:jc w:val="both"/>
      </w:pPr>
      <w:r>
        <w:rPr>
          <w:spacing w:val="-1"/>
          <w:w w:val="95"/>
        </w:rPr>
        <w:t xml:space="preserve">成新率：采用观察法结合使用年限，对房屋建构筑物按结构、装修、设备三  </w:t>
      </w:r>
      <w:r>
        <w:rPr>
          <w:w w:val="95"/>
        </w:rPr>
        <w:t xml:space="preserve">个部分，再区分不同的部分分别打分，然后估算房屋建构筑物的成新率。经评估  人员现场勘查，该房屋建构筑物基础无不均匀沉降，主要承重结构完好；门窗、  </w:t>
      </w:r>
      <w:r>
        <w:t>外墙面维护较好 ；设备部分状况较好:</w:t>
      </w:r>
    </w:p>
    <w:p>
      <w:pPr>
        <w:pStyle w:val="BodyText"/>
        <w:spacing w:before="3" w:line="374" w:lineRule="auto"/>
        <w:ind w:left="2682" w:right="3069"/>
      </w:pPr>
      <w:r>
        <w:rPr>
          <w:w w:val="95"/>
        </w:rPr>
        <w:t>成新率＝结构部分得分×</w:t>
      </w:r>
      <w:r>
        <w:rPr>
          <w:spacing w:val="3"/>
          <w:w w:val="95"/>
        </w:rPr>
        <w:t>G+</w:t>
      </w:r>
      <w:r>
        <w:rPr>
          <w:w w:val="95"/>
        </w:rPr>
        <w:t>装修部分得分×</w:t>
      </w:r>
      <w:r>
        <w:rPr>
          <w:spacing w:val="3"/>
          <w:w w:val="95"/>
        </w:rPr>
        <w:t>S+</w:t>
      </w:r>
      <w:r>
        <w:rPr>
          <w:spacing w:val="-1"/>
          <w:w w:val="95"/>
        </w:rPr>
        <w:t>设备部分得分×</w:t>
      </w:r>
      <w:r>
        <w:rPr>
          <w:spacing w:val="-3"/>
          <w:w w:val="95"/>
        </w:rPr>
        <w:t xml:space="preserve">B </w:t>
      </w:r>
      <w:r>
        <w:t>其中：</w:t>
      </w:r>
    </w:p>
    <w:p>
      <w:pPr>
        <w:pStyle w:val="BodyText"/>
        <w:spacing w:before="1" w:after="58" w:line="374" w:lineRule="auto"/>
        <w:ind w:left="2682" w:right="6583"/>
        <w:jc w:val="both"/>
      </w:pPr>
      <w:r>
        <w:drawing>
          <wp:anchor distT="0" distB="0" distL="0" distR="0" simplePos="0" relativeHeight="251664384" behindDoc="1" locked="0" layoutInCell="1" allowOverlap="1">
            <wp:simplePos x="0" y="0"/>
            <wp:positionH relativeFrom="page">
              <wp:posOffset>1816100</wp:posOffset>
            </wp:positionH>
            <wp:positionV relativeFrom="paragraph">
              <wp:posOffset>1846199</wp:posOffset>
            </wp:positionV>
            <wp:extent cx="7499524" cy="2153602"/>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xmlns:r="http://schemas.openxmlformats.org/officeDocument/2006/relationships" r:embed="rId9" cstate="print"/>
                    <a:stretch>
                      <a:fillRect/>
                    </a:stretch>
                  </pic:blipFill>
                  <pic:spPr>
                    <a:xfrm>
                      <a:off x="0" y="0"/>
                      <a:ext cx="7499524" cy="2153602"/>
                    </a:xfrm>
                    <a:prstGeom prst="rect">
                      <a:avLst/>
                    </a:prstGeom>
                  </pic:spPr>
                </pic:pic>
              </a:graphicData>
            </a:graphic>
          </wp:anchor>
        </w:drawing>
      </w:r>
      <w:r>
        <w:t>G</w:t>
      </w:r>
      <w:r>
        <w:rPr>
          <w:spacing w:val="-9"/>
        </w:rPr>
        <w:t xml:space="preserve"> -结构部分得分修正系数,按 </w:t>
      </w:r>
      <w:r>
        <w:t>0.80</w:t>
      </w:r>
      <w:r>
        <w:rPr>
          <w:spacing w:val="-29"/>
        </w:rPr>
        <w:t xml:space="preserve"> 取定； </w:t>
      </w:r>
      <w:r>
        <w:t>S</w:t>
      </w:r>
      <w:r>
        <w:rPr>
          <w:spacing w:val="-9"/>
        </w:rPr>
        <w:t xml:space="preserve"> -装修部分得分修正系数,按 </w:t>
      </w:r>
      <w:r>
        <w:t>0.10</w:t>
      </w:r>
      <w:r>
        <w:rPr>
          <w:spacing w:val="-29"/>
        </w:rPr>
        <w:t xml:space="preserve"> 取定； </w:t>
      </w:r>
      <w:r>
        <w:t>B</w:t>
      </w:r>
      <w:r>
        <w:rPr>
          <w:spacing w:val="-9"/>
        </w:rPr>
        <w:t xml:space="preserve"> -设备部分得分修正系数,按 </w:t>
      </w:r>
      <w:r>
        <w:t>0.10</w:t>
      </w:r>
      <w:r>
        <w:rPr>
          <w:spacing w:val="-29"/>
        </w:rPr>
        <w:t xml:space="preserve"> 取定；</w:t>
      </w:r>
    </w:p>
    <w:tbl>
      <w:tblPr>
        <w:tblStyle w:val="TableNormal2"/>
        <w:tblW w:w="0" w:type="auto"/>
        <w:jc w:val="left"/>
        <w:tblInd w:w="2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40"/>
        <w:gridCol w:w="2186"/>
        <w:gridCol w:w="3009"/>
        <w:gridCol w:w="2163"/>
      </w:tblGrid>
      <w:tr>
        <w:tblPrEx>
          <w:tblW w:w="0" w:type="auto"/>
          <w:jc w:val="left"/>
          <w:tblInd w:w="2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45"/>
          <w:jc w:val="left"/>
        </w:trPr>
        <w:tc>
          <w:tcPr>
            <w:tcW w:w="3840" w:type="dxa"/>
          </w:tcPr>
          <w:p>
            <w:pPr>
              <w:pStyle w:val="TableParagraph"/>
              <w:spacing w:line="444" w:lineRule="exact"/>
              <w:ind w:left="30" w:right="455"/>
              <w:jc w:val="center"/>
              <w:rPr>
                <w:sz w:val="39"/>
              </w:rPr>
            </w:pPr>
            <w:r>
              <w:rPr>
                <w:sz w:val="39"/>
              </w:rPr>
              <w:t>成新率估算见下表:</w:t>
            </w:r>
          </w:p>
        </w:tc>
        <w:tc>
          <w:tcPr>
            <w:tcW w:w="7358" w:type="dxa"/>
            <w:gridSpan w:val="3"/>
          </w:tcPr>
          <w:p>
            <w:pPr>
              <w:pStyle w:val="TableParagraph"/>
              <w:rPr>
                <w:rFonts w:ascii="Times New Roman"/>
                <w:sz w:val="36"/>
              </w:rPr>
            </w:pPr>
          </w:p>
        </w:tc>
      </w:tr>
      <w:tr>
        <w:tblPrEx>
          <w:tblW w:w="0" w:type="auto"/>
          <w:jc w:val="left"/>
          <w:tblInd w:w="2640" w:type="dxa"/>
          <w:tblLayout w:type="fixed"/>
          <w:tblCellMar>
            <w:top w:w="0" w:type="dxa"/>
            <w:left w:w="0" w:type="dxa"/>
            <w:bottom w:w="0" w:type="dxa"/>
            <w:right w:w="0" w:type="dxa"/>
          </w:tblCellMar>
          <w:tblLook w:val="01E0"/>
        </w:tblPrEx>
        <w:trPr>
          <w:trHeight w:val="730"/>
          <w:jc w:val="left"/>
        </w:trPr>
        <w:tc>
          <w:tcPr>
            <w:tcW w:w="3840" w:type="dxa"/>
          </w:tcPr>
          <w:p>
            <w:pPr>
              <w:pStyle w:val="TableParagraph"/>
              <w:spacing w:before="219"/>
              <w:ind w:left="30" w:right="443"/>
              <w:jc w:val="center"/>
              <w:rPr>
                <w:sz w:val="27"/>
              </w:rPr>
            </w:pPr>
            <w:r>
              <w:rPr>
                <w:sz w:val="27"/>
              </w:rPr>
              <w:t>名 称</w:t>
            </w:r>
          </w:p>
        </w:tc>
        <w:tc>
          <w:tcPr>
            <w:tcW w:w="2186" w:type="dxa"/>
          </w:tcPr>
          <w:p>
            <w:pPr>
              <w:pStyle w:val="TableParagraph"/>
              <w:spacing w:before="219"/>
              <w:ind w:left="476"/>
              <w:rPr>
                <w:sz w:val="27"/>
              </w:rPr>
            </w:pPr>
            <w:r>
              <w:rPr>
                <w:sz w:val="27"/>
              </w:rPr>
              <w:t>分 值</w:t>
            </w:r>
          </w:p>
        </w:tc>
        <w:tc>
          <w:tcPr>
            <w:tcW w:w="3009" w:type="dxa"/>
          </w:tcPr>
          <w:p>
            <w:pPr>
              <w:pStyle w:val="TableParagraph"/>
              <w:spacing w:before="219"/>
              <w:ind w:left="1010" w:right="878"/>
              <w:jc w:val="center"/>
              <w:rPr>
                <w:sz w:val="27"/>
              </w:rPr>
            </w:pPr>
            <w:r>
              <w:rPr>
                <w:sz w:val="27"/>
              </w:rPr>
              <w:t>修正系数</w:t>
            </w:r>
          </w:p>
        </w:tc>
        <w:tc>
          <w:tcPr>
            <w:tcW w:w="2163" w:type="dxa"/>
          </w:tcPr>
          <w:p>
            <w:pPr>
              <w:pStyle w:val="TableParagraph"/>
              <w:spacing w:before="219"/>
              <w:ind w:left="875" w:right="33"/>
              <w:jc w:val="center"/>
              <w:rPr>
                <w:sz w:val="27"/>
              </w:rPr>
            </w:pPr>
            <w:r>
              <w:rPr>
                <w:sz w:val="27"/>
              </w:rPr>
              <w:t>成新率(%)</w:t>
            </w:r>
          </w:p>
        </w:tc>
      </w:tr>
      <w:tr>
        <w:tblPrEx>
          <w:tblW w:w="0" w:type="auto"/>
          <w:jc w:val="left"/>
          <w:tblInd w:w="2640" w:type="dxa"/>
          <w:tblLayout w:type="fixed"/>
          <w:tblCellMar>
            <w:top w:w="0" w:type="dxa"/>
            <w:left w:w="0" w:type="dxa"/>
            <w:bottom w:w="0" w:type="dxa"/>
            <w:right w:w="0" w:type="dxa"/>
          </w:tblCellMar>
          <w:tblLook w:val="01E0"/>
        </w:tblPrEx>
        <w:trPr>
          <w:trHeight w:val="675"/>
          <w:jc w:val="left"/>
        </w:trPr>
        <w:tc>
          <w:tcPr>
            <w:tcW w:w="3840" w:type="dxa"/>
          </w:tcPr>
          <w:p>
            <w:pPr>
              <w:pStyle w:val="TableParagraph"/>
              <w:spacing w:before="165"/>
              <w:ind w:left="30" w:right="443"/>
              <w:jc w:val="center"/>
              <w:rPr>
                <w:sz w:val="27"/>
              </w:rPr>
            </w:pPr>
            <w:r>
              <w:rPr>
                <w:sz w:val="27"/>
              </w:rPr>
              <w:t>结构部分</w:t>
            </w:r>
          </w:p>
        </w:tc>
        <w:tc>
          <w:tcPr>
            <w:tcW w:w="2186" w:type="dxa"/>
          </w:tcPr>
          <w:p>
            <w:pPr>
              <w:pStyle w:val="TableParagraph"/>
              <w:spacing w:before="165"/>
              <w:ind w:left="681"/>
              <w:rPr>
                <w:sz w:val="27"/>
              </w:rPr>
            </w:pPr>
            <w:r>
              <w:rPr>
                <w:sz w:val="27"/>
              </w:rPr>
              <w:t>85</w:t>
            </w:r>
          </w:p>
        </w:tc>
        <w:tc>
          <w:tcPr>
            <w:tcW w:w="3009" w:type="dxa"/>
          </w:tcPr>
          <w:p>
            <w:pPr>
              <w:pStyle w:val="TableParagraph"/>
              <w:spacing w:before="165"/>
              <w:ind w:left="1010" w:right="878"/>
              <w:jc w:val="center"/>
              <w:rPr>
                <w:sz w:val="27"/>
              </w:rPr>
            </w:pPr>
            <w:r>
              <w:rPr>
                <w:sz w:val="27"/>
              </w:rPr>
              <w:t>0.80</w:t>
            </w:r>
          </w:p>
        </w:tc>
        <w:tc>
          <w:tcPr>
            <w:tcW w:w="2163" w:type="dxa"/>
          </w:tcPr>
          <w:p>
            <w:pPr>
              <w:pStyle w:val="TableParagraph"/>
              <w:spacing w:before="165"/>
              <w:ind w:left="875" w:right="28"/>
              <w:jc w:val="center"/>
              <w:rPr>
                <w:sz w:val="27"/>
              </w:rPr>
            </w:pPr>
            <w:r>
              <w:rPr>
                <w:sz w:val="27"/>
              </w:rPr>
              <w:t>68</w:t>
            </w:r>
          </w:p>
        </w:tc>
      </w:tr>
      <w:tr>
        <w:tblPrEx>
          <w:tblW w:w="0" w:type="auto"/>
          <w:jc w:val="left"/>
          <w:tblInd w:w="2640" w:type="dxa"/>
          <w:tblLayout w:type="fixed"/>
          <w:tblCellMar>
            <w:top w:w="0" w:type="dxa"/>
            <w:left w:w="0" w:type="dxa"/>
            <w:bottom w:w="0" w:type="dxa"/>
            <w:right w:w="0" w:type="dxa"/>
          </w:tblCellMar>
          <w:tblLook w:val="01E0"/>
        </w:tblPrEx>
        <w:trPr>
          <w:trHeight w:val="675"/>
          <w:jc w:val="left"/>
        </w:trPr>
        <w:tc>
          <w:tcPr>
            <w:tcW w:w="3840" w:type="dxa"/>
          </w:tcPr>
          <w:p>
            <w:pPr>
              <w:pStyle w:val="TableParagraph"/>
              <w:spacing w:before="163"/>
              <w:ind w:left="30" w:right="443"/>
              <w:jc w:val="center"/>
              <w:rPr>
                <w:sz w:val="27"/>
              </w:rPr>
            </w:pPr>
            <w:r>
              <w:rPr>
                <w:sz w:val="27"/>
              </w:rPr>
              <w:t>装修部分</w:t>
            </w:r>
          </w:p>
        </w:tc>
        <w:tc>
          <w:tcPr>
            <w:tcW w:w="2186" w:type="dxa"/>
          </w:tcPr>
          <w:p>
            <w:pPr>
              <w:pStyle w:val="TableParagraph"/>
              <w:spacing w:before="163"/>
              <w:ind w:left="681"/>
              <w:rPr>
                <w:sz w:val="27"/>
              </w:rPr>
            </w:pPr>
            <w:r>
              <w:rPr>
                <w:sz w:val="27"/>
              </w:rPr>
              <w:t>85</w:t>
            </w:r>
          </w:p>
        </w:tc>
        <w:tc>
          <w:tcPr>
            <w:tcW w:w="3009" w:type="dxa"/>
          </w:tcPr>
          <w:p>
            <w:pPr>
              <w:pStyle w:val="TableParagraph"/>
              <w:spacing w:before="163"/>
              <w:ind w:left="1010" w:right="878"/>
              <w:jc w:val="center"/>
              <w:rPr>
                <w:sz w:val="27"/>
              </w:rPr>
            </w:pPr>
            <w:r>
              <w:rPr>
                <w:sz w:val="27"/>
              </w:rPr>
              <w:t>0.10</w:t>
            </w:r>
          </w:p>
        </w:tc>
        <w:tc>
          <w:tcPr>
            <w:tcW w:w="2163" w:type="dxa"/>
          </w:tcPr>
          <w:p>
            <w:pPr>
              <w:pStyle w:val="TableParagraph"/>
              <w:spacing w:before="163"/>
              <w:ind w:left="875" w:right="30"/>
              <w:jc w:val="center"/>
              <w:rPr>
                <w:sz w:val="27"/>
              </w:rPr>
            </w:pPr>
            <w:r>
              <w:rPr>
                <w:sz w:val="27"/>
              </w:rPr>
              <w:t>8.5</w:t>
            </w:r>
          </w:p>
        </w:tc>
      </w:tr>
      <w:tr>
        <w:tblPrEx>
          <w:tblW w:w="0" w:type="auto"/>
          <w:jc w:val="left"/>
          <w:tblInd w:w="2640" w:type="dxa"/>
          <w:tblLayout w:type="fixed"/>
          <w:tblCellMar>
            <w:top w:w="0" w:type="dxa"/>
            <w:left w:w="0" w:type="dxa"/>
            <w:bottom w:w="0" w:type="dxa"/>
            <w:right w:w="0" w:type="dxa"/>
          </w:tblCellMar>
          <w:tblLook w:val="01E0"/>
        </w:tblPrEx>
        <w:trPr>
          <w:trHeight w:val="675"/>
          <w:jc w:val="left"/>
        </w:trPr>
        <w:tc>
          <w:tcPr>
            <w:tcW w:w="3840" w:type="dxa"/>
          </w:tcPr>
          <w:p>
            <w:pPr>
              <w:pStyle w:val="TableParagraph"/>
              <w:spacing w:before="165"/>
              <w:ind w:left="30" w:right="443"/>
              <w:jc w:val="center"/>
              <w:rPr>
                <w:sz w:val="27"/>
              </w:rPr>
            </w:pPr>
            <w:r>
              <w:rPr>
                <w:sz w:val="27"/>
              </w:rPr>
              <w:t>设备部分</w:t>
            </w:r>
          </w:p>
        </w:tc>
        <w:tc>
          <w:tcPr>
            <w:tcW w:w="2186" w:type="dxa"/>
          </w:tcPr>
          <w:p>
            <w:pPr>
              <w:pStyle w:val="TableParagraph"/>
              <w:spacing w:before="165"/>
              <w:ind w:left="681"/>
              <w:rPr>
                <w:sz w:val="27"/>
              </w:rPr>
            </w:pPr>
            <w:r>
              <w:rPr>
                <w:sz w:val="27"/>
              </w:rPr>
              <w:t>85</w:t>
            </w:r>
          </w:p>
        </w:tc>
        <w:tc>
          <w:tcPr>
            <w:tcW w:w="3009" w:type="dxa"/>
          </w:tcPr>
          <w:p>
            <w:pPr>
              <w:pStyle w:val="TableParagraph"/>
              <w:spacing w:before="165"/>
              <w:ind w:left="1010" w:right="878"/>
              <w:jc w:val="center"/>
              <w:rPr>
                <w:sz w:val="27"/>
              </w:rPr>
            </w:pPr>
            <w:r>
              <w:rPr>
                <w:sz w:val="27"/>
              </w:rPr>
              <w:t>0.10</w:t>
            </w:r>
          </w:p>
        </w:tc>
        <w:tc>
          <w:tcPr>
            <w:tcW w:w="2163" w:type="dxa"/>
          </w:tcPr>
          <w:p>
            <w:pPr>
              <w:pStyle w:val="TableParagraph"/>
              <w:spacing w:before="165"/>
              <w:ind w:left="875" w:right="30"/>
              <w:jc w:val="center"/>
              <w:rPr>
                <w:sz w:val="27"/>
              </w:rPr>
            </w:pPr>
            <w:r>
              <w:rPr>
                <w:sz w:val="27"/>
              </w:rPr>
              <w:t>8.5</w:t>
            </w:r>
          </w:p>
        </w:tc>
      </w:tr>
      <w:tr>
        <w:tblPrEx>
          <w:tblW w:w="0" w:type="auto"/>
          <w:jc w:val="left"/>
          <w:tblInd w:w="2640" w:type="dxa"/>
          <w:tblLayout w:type="fixed"/>
          <w:tblCellMar>
            <w:top w:w="0" w:type="dxa"/>
            <w:left w:w="0" w:type="dxa"/>
            <w:bottom w:w="0" w:type="dxa"/>
            <w:right w:w="0" w:type="dxa"/>
          </w:tblCellMar>
          <w:tblLook w:val="01E0"/>
        </w:tblPrEx>
        <w:trPr>
          <w:trHeight w:val="471"/>
          <w:jc w:val="left"/>
        </w:trPr>
        <w:tc>
          <w:tcPr>
            <w:tcW w:w="3840" w:type="dxa"/>
          </w:tcPr>
          <w:p>
            <w:pPr>
              <w:pStyle w:val="TableParagraph"/>
              <w:spacing w:before="163" w:line="288" w:lineRule="exact"/>
              <w:ind w:left="30" w:right="443"/>
              <w:jc w:val="center"/>
              <w:rPr>
                <w:sz w:val="27"/>
              </w:rPr>
            </w:pPr>
            <w:r>
              <w:rPr>
                <w:sz w:val="27"/>
              </w:rPr>
              <w:t>合计</w:t>
            </w:r>
          </w:p>
        </w:tc>
        <w:tc>
          <w:tcPr>
            <w:tcW w:w="2186" w:type="dxa"/>
          </w:tcPr>
          <w:p>
            <w:pPr>
              <w:pStyle w:val="TableParagraph"/>
              <w:spacing w:before="163" w:line="288" w:lineRule="exact"/>
              <w:ind w:left="545"/>
              <w:rPr>
                <w:sz w:val="27"/>
              </w:rPr>
            </w:pPr>
            <w:r>
              <w:rPr>
                <w:sz w:val="27"/>
              </w:rPr>
              <w:t>——</w:t>
            </w:r>
          </w:p>
        </w:tc>
        <w:tc>
          <w:tcPr>
            <w:tcW w:w="3009" w:type="dxa"/>
          </w:tcPr>
          <w:p>
            <w:pPr>
              <w:pStyle w:val="TableParagraph"/>
              <w:spacing w:before="163" w:line="288" w:lineRule="exact"/>
              <w:ind w:left="1010" w:right="878"/>
              <w:jc w:val="center"/>
              <w:rPr>
                <w:sz w:val="27"/>
              </w:rPr>
            </w:pPr>
            <w:r>
              <w:rPr>
                <w:sz w:val="27"/>
              </w:rPr>
              <w:t>——</w:t>
            </w:r>
          </w:p>
        </w:tc>
        <w:tc>
          <w:tcPr>
            <w:tcW w:w="2163" w:type="dxa"/>
          </w:tcPr>
          <w:p>
            <w:pPr>
              <w:pStyle w:val="TableParagraph"/>
              <w:spacing w:before="163" w:line="288" w:lineRule="exact"/>
              <w:ind w:left="875" w:right="28"/>
              <w:jc w:val="center"/>
              <w:rPr>
                <w:sz w:val="27"/>
              </w:rPr>
            </w:pPr>
            <w:r>
              <w:rPr>
                <w:sz w:val="27"/>
              </w:rPr>
              <w:t>85</w:t>
            </w:r>
          </w:p>
        </w:tc>
      </w:tr>
    </w:tbl>
    <w:p>
      <w:pPr>
        <w:pStyle w:val="ListParagraph"/>
        <w:numPr>
          <w:ilvl w:val="0"/>
          <w:numId w:val="8"/>
        </w:numPr>
        <w:tabs>
          <w:tab w:val="left" w:pos="3627"/>
        </w:tabs>
        <w:spacing w:before="291" w:after="0" w:line="240" w:lineRule="auto"/>
        <w:ind w:left="3626" w:right="0" w:hanging="973"/>
        <w:jc w:val="left"/>
        <w:rPr>
          <w:sz w:val="39"/>
        </w:rPr>
      </w:pPr>
      <w:r>
        <w:rPr>
          <w:sz w:val="39"/>
        </w:rPr>
        <w:t>建构筑物价值测算</w:t>
      </w:r>
    </w:p>
    <w:p>
      <w:pPr>
        <w:pStyle w:val="BodyText"/>
        <w:spacing w:before="339"/>
        <w:ind w:left="2654"/>
      </w:pPr>
      <w:r>
        <w:t>评估价值＝重置全价×成新率</w:t>
      </w:r>
    </w:p>
    <w:p>
      <w:pPr>
        <w:pStyle w:val="BodyText"/>
        <w:spacing w:before="339"/>
        <w:ind w:left="4212"/>
      </w:pPr>
      <w:r>
        <w:t>＝81900.00×85%</w:t>
      </w:r>
    </w:p>
    <w:p>
      <w:pPr>
        <w:pStyle w:val="BodyText"/>
        <w:spacing w:before="9"/>
        <w:rPr>
          <w:sz w:val="26"/>
        </w:rPr>
      </w:pPr>
    </w:p>
    <w:p>
      <w:pPr>
        <w:pStyle w:val="BodyText"/>
        <w:spacing w:line="403" w:lineRule="auto"/>
        <w:ind w:left="2654" w:right="8952" w:firstLine="1558"/>
      </w:pPr>
      <w:r>
        <w:t xml:space="preserve">＝69615.00（元） </w:t>
      </w:r>
      <w:r>
        <w:rPr>
          <w:w w:val="95"/>
        </w:rPr>
        <w:t>评估单价＝69615.00÷55.58</w:t>
      </w:r>
    </w:p>
    <w:p>
      <w:pPr>
        <w:spacing w:before="0" w:line="405" w:lineRule="auto"/>
        <w:ind w:left="2657" w:right="8757" w:firstLine="1555"/>
        <w:jc w:val="left"/>
        <w:rPr>
          <w:b/>
          <w:sz w:val="39"/>
        </w:rPr>
      </w:pPr>
      <w:r>
        <w:rPr>
          <w:sz w:val="39"/>
        </w:rPr>
        <w:t xml:space="preserve">＝1252.52（元/㎡） </w:t>
      </w:r>
      <w:r>
        <w:rPr>
          <w:b/>
          <w:sz w:val="39"/>
        </w:rPr>
        <w:t>2、构筑物</w:t>
      </w:r>
    </w:p>
    <w:p>
      <w:pPr>
        <w:pStyle w:val="BodyText"/>
        <w:spacing w:line="492" w:lineRule="exact"/>
        <w:ind w:left="2654"/>
      </w:pPr>
      <w:r>
        <w:t>委估构筑物为挡土墙、围墙、水沟、厂房地面等 10 项。</w:t>
      </w:r>
    </w:p>
    <w:p>
      <w:pPr>
        <w:pStyle w:val="BodyText"/>
        <w:spacing w:before="274"/>
        <w:ind w:left="2654"/>
      </w:pPr>
      <w:r>
        <w:t>根据委估资产的特点并结合本次评估目的，采用重置成本法进行评估。</w:t>
      </w:r>
    </w:p>
    <w:p>
      <w:pPr>
        <w:spacing w:after="0"/>
        <w:sectPr>
          <w:pgSz w:w="17860" w:h="25260"/>
          <w:pgMar w:top="1780" w:right="1380" w:bottom="280" w:left="0" w:header="708" w:footer="708"/>
          <w:pgNumType w:start="16"/>
          <w:cols w:space="708"/>
        </w:sectPr>
      </w:pPr>
    </w:p>
    <w:p>
      <w:pPr>
        <w:pStyle w:val="BodyText"/>
        <w:spacing w:before="18" w:line="448" w:lineRule="auto"/>
        <w:ind w:left="1872" w:right="993" w:firstLine="782"/>
        <w:jc w:val="both"/>
      </w:pPr>
      <w:r>
        <w:rPr>
          <w:spacing w:val="-1"/>
          <w:w w:val="95"/>
        </w:rPr>
        <w:t xml:space="preserve">重置成本法是首先估算在现时条件下重新购置或建造一个全新状态的委估资  产所需的全部成本，再确定被评估资产与其全新状态相比有几成新，即求出成新  </w:t>
      </w:r>
      <w:r>
        <w:t>率，然后用全部成本与成新率相乘，得到的乘积作为评估值。</w:t>
      </w:r>
    </w:p>
    <w:p>
      <w:pPr>
        <w:pStyle w:val="BodyText"/>
        <w:spacing w:before="6" w:line="448" w:lineRule="auto"/>
        <w:ind w:left="1872" w:right="805" w:firstLine="782"/>
      </w:pPr>
      <w:r>
        <w:rPr>
          <w:spacing w:val="-11"/>
        </w:rPr>
        <w:t xml:space="preserve">构筑物造价根据“贵州省 </w:t>
      </w:r>
      <w:r>
        <w:t>2004</w:t>
      </w:r>
      <w:r>
        <w:rPr>
          <w:spacing w:val="-13"/>
        </w:rPr>
        <w:t xml:space="preserve"> 建筑工程计价定额”，并结合贵阳建材的价格</w:t>
      </w:r>
      <w:r>
        <w:t>水平确定，其他成本构成内容同建筑物评估中重置成本参数（不含配套费），成新率采用结合观察法确定。</w:t>
      </w:r>
    </w:p>
    <w:p>
      <w:pPr>
        <w:pStyle w:val="BodyText"/>
        <w:spacing w:before="6" w:line="448" w:lineRule="auto"/>
        <w:ind w:left="2654" w:right="753" w:firstLine="3"/>
      </w:pPr>
      <w:r>
        <w:rPr>
          <w:w w:val="95"/>
        </w:rPr>
        <w:t>【例】挡土墙（</w:t>
      </w:r>
      <w:r>
        <w:rPr>
          <w:spacing w:val="1"/>
          <w:w w:val="95"/>
        </w:rPr>
        <w:t>固定资产――构筑物及其他辅助设施清查评估明细表序号</w:t>
      </w:r>
      <w:r>
        <w:rPr>
          <w:spacing w:val="-9"/>
          <w:w w:val="95"/>
        </w:rPr>
        <w:t xml:space="preserve">4）   </w:t>
      </w:r>
      <w:r>
        <w:t>1、构筑物重置价值</w:t>
      </w:r>
    </w:p>
    <w:p>
      <w:pPr>
        <w:pStyle w:val="ListParagraph"/>
        <w:numPr>
          <w:ilvl w:val="0"/>
          <w:numId w:val="7"/>
        </w:numPr>
        <w:tabs>
          <w:tab w:val="left" w:pos="3627"/>
        </w:tabs>
        <w:spacing w:before="3" w:after="0" w:line="240" w:lineRule="auto"/>
        <w:ind w:left="3626" w:right="0" w:hanging="973"/>
        <w:jc w:val="left"/>
        <w:rPr>
          <w:sz w:val="39"/>
        </w:rPr>
      </w:pPr>
      <w:r>
        <w:rPr>
          <w:sz w:val="39"/>
        </w:rPr>
        <w:t>建安造价</w:t>
      </w:r>
    </w:p>
    <w:p>
      <w:pPr>
        <w:pStyle w:val="BodyText"/>
        <w:rPr>
          <w:sz w:val="34"/>
        </w:rPr>
      </w:pPr>
    </w:p>
    <w:p>
      <w:pPr>
        <w:pStyle w:val="BodyText"/>
        <w:spacing w:line="448" w:lineRule="auto"/>
        <w:ind w:left="1872" w:right="830" w:firstLine="782"/>
      </w:pPr>
      <w:r>
        <w:t>本次评估根据委托方提供的工程量，结合评估基准的建材价格，利用“贵州</w:t>
      </w:r>
      <w:r>
        <w:rPr>
          <w:w w:val="95"/>
        </w:rPr>
        <w:t>省2004</w:t>
      </w:r>
      <w:r>
        <w:rPr>
          <w:spacing w:val="-9"/>
          <w:w w:val="95"/>
        </w:rPr>
        <w:t>建筑工程计价定额”计算得出委估资产的建筑造价为：</w:t>
      </w:r>
      <w:r>
        <w:rPr>
          <w:spacing w:val="-5"/>
          <w:w w:val="95"/>
        </w:rPr>
        <w:t>1,525,747.50</w:t>
      </w:r>
      <w:r>
        <w:rPr>
          <w:spacing w:val="-87"/>
          <w:w w:val="95"/>
        </w:rPr>
        <w:t>元</w:t>
      </w:r>
      <w:r>
        <w:rPr>
          <w:w w:val="95"/>
        </w:rPr>
        <w:t>（</w:t>
      </w:r>
      <w:r>
        <w:rPr>
          <w:spacing w:val="-17"/>
          <w:w w:val="95"/>
        </w:rPr>
        <w:t xml:space="preserve">详  </w:t>
      </w:r>
      <w:r>
        <w:t>见计算清单）。</w:t>
      </w:r>
    </w:p>
    <w:p>
      <w:pPr>
        <w:pStyle w:val="ListParagraph"/>
        <w:numPr>
          <w:ilvl w:val="0"/>
          <w:numId w:val="7"/>
        </w:numPr>
        <w:tabs>
          <w:tab w:val="left" w:pos="3627"/>
        </w:tabs>
        <w:spacing w:before="6" w:after="0" w:line="240" w:lineRule="auto"/>
        <w:ind w:left="3626" w:right="0" w:hanging="973"/>
        <w:jc w:val="left"/>
        <w:rPr>
          <w:sz w:val="39"/>
        </w:rPr>
      </w:pPr>
      <w:r>
        <w:rPr>
          <w:sz w:val="39"/>
        </w:rPr>
        <w:t>管理费</w:t>
      </w:r>
    </w:p>
    <w:p>
      <w:pPr>
        <w:pStyle w:val="BodyText"/>
        <w:rPr>
          <w:sz w:val="34"/>
        </w:rPr>
      </w:pPr>
    </w:p>
    <w:p>
      <w:pPr>
        <w:pStyle w:val="BodyText"/>
        <w:spacing w:before="1" w:line="448" w:lineRule="auto"/>
        <w:ind w:left="1872" w:firstLine="782"/>
      </w:pPr>
      <w:r>
        <w:rPr>
          <w:w w:val="95"/>
        </w:rPr>
        <w:t xml:space="preserve">考虑开发建设单位在开发期间发生的必要管理费用，按建安造价的3%计，为： </w:t>
      </w:r>
      <w:r>
        <w:t>1,525,747.50×3%＝45772.43（元）</w:t>
      </w:r>
    </w:p>
    <w:p>
      <w:pPr>
        <w:pStyle w:val="ListParagraph"/>
        <w:numPr>
          <w:ilvl w:val="0"/>
          <w:numId w:val="7"/>
        </w:numPr>
        <w:tabs>
          <w:tab w:val="left" w:pos="3627"/>
        </w:tabs>
        <w:spacing w:before="3" w:after="0" w:line="240" w:lineRule="auto"/>
        <w:ind w:left="3626" w:right="0" w:hanging="973"/>
        <w:jc w:val="left"/>
        <w:rPr>
          <w:sz w:val="39"/>
        </w:rPr>
      </w:pPr>
      <w:r>
        <w:rPr>
          <w:sz w:val="39"/>
        </w:rPr>
        <w:t>利润</w:t>
      </w:r>
    </w:p>
    <w:p>
      <w:pPr>
        <w:pStyle w:val="BodyText"/>
        <w:rPr>
          <w:sz w:val="34"/>
        </w:rPr>
      </w:pPr>
    </w:p>
    <w:p>
      <w:pPr>
        <w:pStyle w:val="BodyText"/>
        <w:spacing w:line="448" w:lineRule="auto"/>
        <w:ind w:left="1872" w:right="796" w:firstLine="782"/>
      </w:pPr>
      <w:r>
        <w:rPr>
          <w:w w:val="95"/>
        </w:rPr>
        <w:t>考虑一定资金利润，利润率按贵阳市同类项目开发平均利润率20%计，利润</w:t>
      </w:r>
      <w:r>
        <w:rPr>
          <w:spacing w:val="-17"/>
          <w:w w:val="95"/>
        </w:rPr>
        <w:t xml:space="preserve">＝  </w:t>
      </w:r>
      <w:r>
        <w:t>建安造价×20%，为：1,525,747.50×20%＝305149.50（元）</w:t>
      </w:r>
    </w:p>
    <w:p>
      <w:pPr>
        <w:pStyle w:val="ListParagraph"/>
        <w:numPr>
          <w:ilvl w:val="0"/>
          <w:numId w:val="6"/>
        </w:numPr>
        <w:tabs>
          <w:tab w:val="left" w:pos="3685"/>
        </w:tabs>
        <w:spacing w:before="4" w:after="0" w:line="448" w:lineRule="auto"/>
        <w:ind w:left="1872" w:right="634" w:firstLine="839"/>
        <w:jc w:val="left"/>
        <w:rPr>
          <w:sz w:val="39"/>
        </w:rPr>
      </w:pPr>
      <w:r>
        <w:rPr>
          <w:w w:val="99"/>
          <w:sz w:val="39"/>
        </w:rPr>
        <w:t>含税建安造价＝</w:t>
      </w:r>
      <w:r>
        <w:rPr>
          <w:spacing w:val="3"/>
          <w:w w:val="99"/>
          <w:sz w:val="39"/>
        </w:rPr>
        <w:t>建安造价</w:t>
      </w:r>
      <w:r>
        <w:rPr>
          <w:spacing w:val="-173"/>
          <w:w w:val="99"/>
          <w:sz w:val="39"/>
        </w:rPr>
        <w:t>/</w:t>
      </w:r>
      <w:r>
        <w:rPr>
          <w:spacing w:val="-1"/>
          <w:w w:val="99"/>
          <w:sz w:val="39"/>
        </w:rPr>
        <w:t>（</w:t>
      </w:r>
      <w:r>
        <w:rPr>
          <w:w w:val="99"/>
          <w:sz w:val="39"/>
        </w:rPr>
        <w:t>1-销售税率</w:t>
      </w:r>
      <w:r>
        <w:rPr>
          <w:spacing w:val="-167"/>
          <w:w w:val="99"/>
          <w:sz w:val="39"/>
        </w:rPr>
        <w:t>）</w:t>
      </w:r>
      <w:r>
        <w:rPr>
          <w:spacing w:val="-17"/>
          <w:w w:val="99"/>
          <w:sz w:val="39"/>
        </w:rPr>
        <w:t>，销售税金按建安造价的</w:t>
      </w:r>
      <w:r>
        <w:rPr>
          <w:spacing w:val="-3"/>
          <w:w w:val="99"/>
          <w:sz w:val="39"/>
        </w:rPr>
        <w:t>5.7%</w:t>
      </w:r>
      <w:r>
        <w:rPr>
          <w:spacing w:val="-3"/>
          <w:w w:val="99"/>
          <w:sz w:val="39"/>
        </w:rPr>
        <w:t>，</w:t>
      </w:r>
      <w:r>
        <w:rPr>
          <w:sz w:val="39"/>
        </w:rPr>
        <w:t>为：1,525,747.50/（1-5.7%）</w:t>
      </w:r>
    </w:p>
    <w:p>
      <w:pPr>
        <w:pStyle w:val="BodyText"/>
        <w:spacing w:before="3"/>
        <w:ind w:left="3042"/>
      </w:pPr>
      <w:r>
        <w:t>＝1,617,971.90（元）</w:t>
      </w:r>
    </w:p>
    <w:p>
      <w:pPr>
        <w:pStyle w:val="BodyText"/>
        <w:spacing w:before="1"/>
        <w:rPr>
          <w:sz w:val="34"/>
        </w:rPr>
      </w:pPr>
    </w:p>
    <w:p>
      <w:pPr>
        <w:pStyle w:val="ListParagraph"/>
        <w:numPr>
          <w:ilvl w:val="0"/>
          <w:numId w:val="6"/>
        </w:numPr>
        <w:tabs>
          <w:tab w:val="left" w:pos="3685"/>
        </w:tabs>
        <w:spacing w:before="0" w:after="0" w:line="240" w:lineRule="auto"/>
        <w:ind w:left="3684" w:right="0" w:hanging="974"/>
        <w:jc w:val="left"/>
        <w:rPr>
          <w:sz w:val="39"/>
        </w:rPr>
      </w:pPr>
      <w:r>
        <w:rPr>
          <w:sz w:val="39"/>
        </w:rPr>
        <w:t>重置全价＝含税建安造价+管理费+利润</w:t>
      </w:r>
    </w:p>
    <w:p>
      <w:pPr>
        <w:spacing w:after="0" w:line="240" w:lineRule="auto"/>
        <w:jc w:val="left"/>
        <w:rPr>
          <w:sz w:val="39"/>
        </w:rPr>
      </w:pPr>
      <w:r>
        <w:rPr>
          <w:sz w:val="39"/>
        </w:rPr>
        <w:br/>
      </w:r>
      <w:r>
        <w:rPr>
          <w:sz w:val="39"/>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 w:history="1">
        <w:r>
          <w:rPr>
            <w:rFonts w:ascii="SimSun" w:eastAsia="SimSun" w:hAnsi="SimSun" w:cs="SimSun"/>
            <w:b/>
            <w:bCs/>
            <w:color w:val="0000EE"/>
            <w:sz w:val="30"/>
            <w:szCs w:val="30"/>
            <w:u w:val="single" w:color="0000EE"/>
          </w:rPr>
          <w:t>https://d.book118.com/947002165024006041</w:t>
        </w:r>
      </w:hyperlink>
    </w:p>
    <w:p>
      <w:pPr>
        <w:spacing w:after="0" w:line="240" w:lineRule="auto"/>
        <w:jc w:val="left"/>
        <w:rPr>
          <w:sz w:val="39"/>
        </w:rPr>
      </w:pPr>
    </w:p>
    <w:sectPr>
      <w:pgSz w:w="17860" w:h="25260"/>
      <w:pgMar w:top="1720" w:right="1380" w:bottom="280" w:left="0" w:header="708" w:footer="708"/>
      <w:pgNumType w:start="1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MingLiU-ExtB">
    <w:altName w:val="MingLiU-ExtB"/>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仿宋">
    <w:altName w:val="仿宋"/>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AE688"/>
    <w:multiLevelType w:val="hybridMultilevel"/>
    <w:tmpl w:val="00000000"/>
    <w:lvl w:ilvl="0">
      <w:start w:val="3"/>
      <w:numFmt w:val="decimal"/>
      <w:lvlText w:val="（%1）"/>
      <w:lvlJc w:val="left"/>
      <w:pPr>
        <w:ind w:left="1872" w:hanging="973"/>
        <w:jc w:val="left"/>
      </w:pPr>
      <w:rPr>
        <w:rFonts w:ascii="宋体" w:eastAsia="宋体" w:hAnsi="宋体" w:cs="宋体" w:hint="default"/>
        <w:spacing w:val="-1"/>
        <w:w w:val="99"/>
        <w:sz w:val="37"/>
        <w:szCs w:val="37"/>
      </w:rPr>
    </w:lvl>
    <w:lvl w:ilvl="1">
      <w:start w:val="0"/>
      <w:numFmt w:val="bullet"/>
      <w:lvlText w:val="•"/>
      <w:lvlJc w:val="left"/>
      <w:pPr>
        <w:ind w:left="3339" w:hanging="973"/>
      </w:pPr>
      <w:rPr>
        <w:rFonts w:hint="default"/>
      </w:rPr>
    </w:lvl>
    <w:lvl w:ilvl="2">
      <w:start w:val="0"/>
      <w:numFmt w:val="bullet"/>
      <w:lvlText w:val="•"/>
      <w:lvlJc w:val="left"/>
      <w:pPr>
        <w:ind w:left="4799" w:hanging="973"/>
      </w:pPr>
      <w:rPr>
        <w:rFonts w:hint="default"/>
      </w:rPr>
    </w:lvl>
    <w:lvl w:ilvl="3">
      <w:start w:val="0"/>
      <w:numFmt w:val="bullet"/>
      <w:lvlText w:val="•"/>
      <w:lvlJc w:val="left"/>
      <w:pPr>
        <w:ind w:left="6259" w:hanging="973"/>
      </w:pPr>
      <w:rPr>
        <w:rFonts w:hint="default"/>
      </w:rPr>
    </w:lvl>
    <w:lvl w:ilvl="4">
      <w:start w:val="0"/>
      <w:numFmt w:val="bullet"/>
      <w:lvlText w:val="•"/>
      <w:lvlJc w:val="left"/>
      <w:pPr>
        <w:ind w:left="7719" w:hanging="973"/>
      </w:pPr>
      <w:rPr>
        <w:rFonts w:hint="default"/>
      </w:rPr>
    </w:lvl>
    <w:lvl w:ilvl="5">
      <w:start w:val="0"/>
      <w:numFmt w:val="bullet"/>
      <w:lvlText w:val="•"/>
      <w:lvlJc w:val="left"/>
      <w:pPr>
        <w:ind w:left="9179" w:hanging="973"/>
      </w:pPr>
      <w:rPr>
        <w:rFonts w:hint="default"/>
      </w:rPr>
    </w:lvl>
    <w:lvl w:ilvl="6">
      <w:start w:val="0"/>
      <w:numFmt w:val="bullet"/>
      <w:lvlText w:val="•"/>
      <w:lvlJc w:val="left"/>
      <w:pPr>
        <w:ind w:left="10639" w:hanging="973"/>
      </w:pPr>
      <w:rPr>
        <w:rFonts w:hint="default"/>
      </w:rPr>
    </w:lvl>
    <w:lvl w:ilvl="7">
      <w:start w:val="0"/>
      <w:numFmt w:val="bullet"/>
      <w:lvlText w:val="•"/>
      <w:lvlJc w:val="left"/>
      <w:pPr>
        <w:ind w:left="12099" w:hanging="973"/>
      </w:pPr>
      <w:rPr>
        <w:rFonts w:hint="default"/>
      </w:rPr>
    </w:lvl>
    <w:lvl w:ilvl="8">
      <w:start w:val="0"/>
      <w:numFmt w:val="bullet"/>
      <w:lvlText w:val="•"/>
      <w:lvlJc w:val="left"/>
      <w:pPr>
        <w:ind w:left="13559" w:hanging="973"/>
      </w:pPr>
      <w:rPr>
        <w:rFonts w:hint="default"/>
      </w:rPr>
    </w:lvl>
  </w:abstractNum>
  <w:abstractNum w:abstractNumId="1">
    <w:nsid w:val="0C2E0DE6"/>
    <w:multiLevelType w:val="hybridMultilevel"/>
    <w:tmpl w:val="00000000"/>
    <w:lvl w:ilvl="0">
      <w:start w:val="1"/>
      <w:numFmt w:val="decimal"/>
      <w:lvlText w:val="（%1）"/>
      <w:lvlJc w:val="left"/>
      <w:pPr>
        <w:ind w:left="3626" w:hanging="973"/>
        <w:jc w:val="left"/>
      </w:pPr>
      <w:rPr>
        <w:rFonts w:ascii="宋体" w:eastAsia="宋体" w:hAnsi="宋体" w:cs="宋体" w:hint="default"/>
        <w:spacing w:val="-1"/>
        <w:w w:val="99"/>
        <w:sz w:val="37"/>
        <w:szCs w:val="37"/>
      </w:rPr>
    </w:lvl>
    <w:lvl w:ilvl="1">
      <w:start w:val="0"/>
      <w:numFmt w:val="bullet"/>
      <w:lvlText w:val="•"/>
      <w:lvlJc w:val="left"/>
      <w:pPr>
        <w:ind w:left="4905" w:hanging="973"/>
      </w:pPr>
      <w:rPr>
        <w:rFonts w:hint="default"/>
      </w:rPr>
    </w:lvl>
    <w:lvl w:ilvl="2">
      <w:start w:val="0"/>
      <w:numFmt w:val="bullet"/>
      <w:lvlText w:val="•"/>
      <w:lvlJc w:val="left"/>
      <w:pPr>
        <w:ind w:left="6191" w:hanging="973"/>
      </w:pPr>
      <w:rPr>
        <w:rFonts w:hint="default"/>
      </w:rPr>
    </w:lvl>
    <w:lvl w:ilvl="3">
      <w:start w:val="0"/>
      <w:numFmt w:val="bullet"/>
      <w:lvlText w:val="•"/>
      <w:lvlJc w:val="left"/>
      <w:pPr>
        <w:ind w:left="7477" w:hanging="973"/>
      </w:pPr>
      <w:rPr>
        <w:rFonts w:hint="default"/>
      </w:rPr>
    </w:lvl>
    <w:lvl w:ilvl="4">
      <w:start w:val="0"/>
      <w:numFmt w:val="bullet"/>
      <w:lvlText w:val="•"/>
      <w:lvlJc w:val="left"/>
      <w:pPr>
        <w:ind w:left="8763" w:hanging="973"/>
      </w:pPr>
      <w:rPr>
        <w:rFonts w:hint="default"/>
      </w:rPr>
    </w:lvl>
    <w:lvl w:ilvl="5">
      <w:start w:val="0"/>
      <w:numFmt w:val="bullet"/>
      <w:lvlText w:val="•"/>
      <w:lvlJc w:val="left"/>
      <w:pPr>
        <w:ind w:left="10049" w:hanging="973"/>
      </w:pPr>
      <w:rPr>
        <w:rFonts w:hint="default"/>
      </w:rPr>
    </w:lvl>
    <w:lvl w:ilvl="6">
      <w:start w:val="0"/>
      <w:numFmt w:val="bullet"/>
      <w:lvlText w:val="•"/>
      <w:lvlJc w:val="left"/>
      <w:pPr>
        <w:ind w:left="11335" w:hanging="973"/>
      </w:pPr>
      <w:rPr>
        <w:rFonts w:hint="default"/>
      </w:rPr>
    </w:lvl>
    <w:lvl w:ilvl="7">
      <w:start w:val="0"/>
      <w:numFmt w:val="bullet"/>
      <w:lvlText w:val="•"/>
      <w:lvlJc w:val="left"/>
      <w:pPr>
        <w:ind w:left="12621" w:hanging="973"/>
      </w:pPr>
      <w:rPr>
        <w:rFonts w:hint="default"/>
      </w:rPr>
    </w:lvl>
    <w:lvl w:ilvl="8">
      <w:start w:val="0"/>
      <w:numFmt w:val="bullet"/>
      <w:lvlText w:val="•"/>
      <w:lvlJc w:val="left"/>
      <w:pPr>
        <w:ind w:left="13907" w:hanging="973"/>
      </w:pPr>
      <w:rPr>
        <w:rFonts w:hint="default"/>
      </w:rPr>
    </w:lvl>
  </w:abstractNum>
  <w:abstractNum w:abstractNumId="2">
    <w:nsid w:val="105D92AC"/>
    <w:multiLevelType w:val="hybridMultilevel"/>
    <w:tmpl w:val="00000000"/>
    <w:lvl w:ilvl="0">
      <w:start w:val="1"/>
      <w:numFmt w:val="decimal"/>
      <w:lvlText w:val="（%1）"/>
      <w:lvlJc w:val="left"/>
      <w:pPr>
        <w:ind w:left="3626" w:hanging="973"/>
        <w:jc w:val="left"/>
      </w:pPr>
      <w:rPr>
        <w:rFonts w:ascii="宋体" w:eastAsia="宋体" w:hAnsi="宋体" w:cs="宋体" w:hint="default"/>
        <w:spacing w:val="-1"/>
        <w:w w:val="99"/>
        <w:sz w:val="37"/>
        <w:szCs w:val="37"/>
      </w:rPr>
    </w:lvl>
    <w:lvl w:ilvl="1">
      <w:start w:val="0"/>
      <w:numFmt w:val="bullet"/>
      <w:lvlText w:val="•"/>
      <w:lvlJc w:val="left"/>
      <w:pPr>
        <w:ind w:left="4905" w:hanging="973"/>
      </w:pPr>
      <w:rPr>
        <w:rFonts w:hint="default"/>
      </w:rPr>
    </w:lvl>
    <w:lvl w:ilvl="2">
      <w:start w:val="0"/>
      <w:numFmt w:val="bullet"/>
      <w:lvlText w:val="•"/>
      <w:lvlJc w:val="left"/>
      <w:pPr>
        <w:ind w:left="6191" w:hanging="973"/>
      </w:pPr>
      <w:rPr>
        <w:rFonts w:hint="default"/>
      </w:rPr>
    </w:lvl>
    <w:lvl w:ilvl="3">
      <w:start w:val="0"/>
      <w:numFmt w:val="bullet"/>
      <w:lvlText w:val="•"/>
      <w:lvlJc w:val="left"/>
      <w:pPr>
        <w:ind w:left="7477" w:hanging="973"/>
      </w:pPr>
      <w:rPr>
        <w:rFonts w:hint="default"/>
      </w:rPr>
    </w:lvl>
    <w:lvl w:ilvl="4">
      <w:start w:val="0"/>
      <w:numFmt w:val="bullet"/>
      <w:lvlText w:val="•"/>
      <w:lvlJc w:val="left"/>
      <w:pPr>
        <w:ind w:left="8763" w:hanging="973"/>
      </w:pPr>
      <w:rPr>
        <w:rFonts w:hint="default"/>
      </w:rPr>
    </w:lvl>
    <w:lvl w:ilvl="5">
      <w:start w:val="0"/>
      <w:numFmt w:val="bullet"/>
      <w:lvlText w:val="•"/>
      <w:lvlJc w:val="left"/>
      <w:pPr>
        <w:ind w:left="10049" w:hanging="973"/>
      </w:pPr>
      <w:rPr>
        <w:rFonts w:hint="default"/>
      </w:rPr>
    </w:lvl>
    <w:lvl w:ilvl="6">
      <w:start w:val="0"/>
      <w:numFmt w:val="bullet"/>
      <w:lvlText w:val="•"/>
      <w:lvlJc w:val="left"/>
      <w:pPr>
        <w:ind w:left="11335" w:hanging="973"/>
      </w:pPr>
      <w:rPr>
        <w:rFonts w:hint="default"/>
      </w:rPr>
    </w:lvl>
    <w:lvl w:ilvl="7">
      <w:start w:val="0"/>
      <w:numFmt w:val="bullet"/>
      <w:lvlText w:val="•"/>
      <w:lvlJc w:val="left"/>
      <w:pPr>
        <w:ind w:left="12621" w:hanging="973"/>
      </w:pPr>
      <w:rPr>
        <w:rFonts w:hint="default"/>
      </w:rPr>
    </w:lvl>
    <w:lvl w:ilvl="8">
      <w:start w:val="0"/>
      <w:numFmt w:val="bullet"/>
      <w:lvlText w:val="•"/>
      <w:lvlJc w:val="left"/>
      <w:pPr>
        <w:ind w:left="13907" w:hanging="973"/>
      </w:pPr>
      <w:rPr>
        <w:rFonts w:hint="default"/>
      </w:rPr>
    </w:lvl>
  </w:abstractNum>
  <w:abstractNum w:abstractNumId="3">
    <w:nsid w:val="175EA600"/>
    <w:multiLevelType w:val="hybridMultilevel"/>
    <w:tmpl w:val="00000000"/>
    <w:lvl w:ilvl="0">
      <w:start w:val="1"/>
      <w:numFmt w:val="decimal"/>
      <w:lvlText w:val="（%1）"/>
      <w:lvlJc w:val="left"/>
      <w:pPr>
        <w:ind w:left="2654" w:hanging="973"/>
        <w:jc w:val="left"/>
      </w:pPr>
      <w:rPr>
        <w:rFonts w:ascii="宋体" w:eastAsia="宋体" w:hAnsi="宋体" w:cs="宋体" w:hint="default"/>
        <w:spacing w:val="-1"/>
        <w:w w:val="99"/>
        <w:sz w:val="37"/>
        <w:szCs w:val="37"/>
      </w:rPr>
    </w:lvl>
    <w:lvl w:ilvl="1">
      <w:start w:val="0"/>
      <w:numFmt w:val="bullet"/>
      <w:lvlText w:val="•"/>
      <w:lvlJc w:val="left"/>
      <w:pPr>
        <w:ind w:left="4041" w:hanging="973"/>
      </w:pPr>
      <w:rPr>
        <w:rFonts w:hint="default"/>
      </w:rPr>
    </w:lvl>
    <w:lvl w:ilvl="2">
      <w:start w:val="0"/>
      <w:numFmt w:val="bullet"/>
      <w:lvlText w:val="•"/>
      <w:lvlJc w:val="left"/>
      <w:pPr>
        <w:ind w:left="5423" w:hanging="973"/>
      </w:pPr>
      <w:rPr>
        <w:rFonts w:hint="default"/>
      </w:rPr>
    </w:lvl>
    <w:lvl w:ilvl="3">
      <w:start w:val="0"/>
      <w:numFmt w:val="bullet"/>
      <w:lvlText w:val="•"/>
      <w:lvlJc w:val="left"/>
      <w:pPr>
        <w:ind w:left="6805" w:hanging="973"/>
      </w:pPr>
      <w:rPr>
        <w:rFonts w:hint="default"/>
      </w:rPr>
    </w:lvl>
    <w:lvl w:ilvl="4">
      <w:start w:val="0"/>
      <w:numFmt w:val="bullet"/>
      <w:lvlText w:val="•"/>
      <w:lvlJc w:val="left"/>
      <w:pPr>
        <w:ind w:left="8187" w:hanging="973"/>
      </w:pPr>
      <w:rPr>
        <w:rFonts w:hint="default"/>
      </w:rPr>
    </w:lvl>
    <w:lvl w:ilvl="5">
      <w:start w:val="0"/>
      <w:numFmt w:val="bullet"/>
      <w:lvlText w:val="•"/>
      <w:lvlJc w:val="left"/>
      <w:pPr>
        <w:ind w:left="9569" w:hanging="973"/>
      </w:pPr>
      <w:rPr>
        <w:rFonts w:hint="default"/>
      </w:rPr>
    </w:lvl>
    <w:lvl w:ilvl="6">
      <w:start w:val="0"/>
      <w:numFmt w:val="bullet"/>
      <w:lvlText w:val="•"/>
      <w:lvlJc w:val="left"/>
      <w:pPr>
        <w:ind w:left="10951" w:hanging="973"/>
      </w:pPr>
      <w:rPr>
        <w:rFonts w:hint="default"/>
      </w:rPr>
    </w:lvl>
    <w:lvl w:ilvl="7">
      <w:start w:val="0"/>
      <w:numFmt w:val="bullet"/>
      <w:lvlText w:val="•"/>
      <w:lvlJc w:val="left"/>
      <w:pPr>
        <w:ind w:left="12333" w:hanging="973"/>
      </w:pPr>
      <w:rPr>
        <w:rFonts w:hint="default"/>
      </w:rPr>
    </w:lvl>
    <w:lvl w:ilvl="8">
      <w:start w:val="0"/>
      <w:numFmt w:val="bullet"/>
      <w:lvlText w:val="•"/>
      <w:lvlJc w:val="left"/>
      <w:pPr>
        <w:ind w:left="13715" w:hanging="973"/>
      </w:pPr>
      <w:rPr>
        <w:rFonts w:hint="default"/>
      </w:rPr>
    </w:lvl>
  </w:abstractNum>
  <w:abstractNum w:abstractNumId="4">
    <w:nsid w:val="18DAAF58"/>
    <w:multiLevelType w:val="hybridMultilevel"/>
    <w:tmpl w:val="00000000"/>
    <w:lvl w:ilvl="0">
      <w:start w:val="1"/>
      <w:numFmt w:val="decimal"/>
      <w:lvlText w:val="%1）"/>
      <w:lvlJc w:val="left"/>
      <w:pPr>
        <w:ind w:left="3227" w:hanging="588"/>
        <w:jc w:val="right"/>
      </w:pPr>
      <w:rPr>
        <w:rFonts w:ascii="宋体" w:eastAsia="宋体" w:hAnsi="宋体" w:cs="宋体" w:hint="default"/>
        <w:b/>
        <w:bCs/>
        <w:spacing w:val="0"/>
        <w:w w:val="98"/>
        <w:sz w:val="37"/>
        <w:szCs w:val="37"/>
      </w:rPr>
    </w:lvl>
    <w:lvl w:ilvl="1">
      <w:start w:val="0"/>
      <w:numFmt w:val="bullet"/>
      <w:lvlText w:val="•"/>
      <w:lvlJc w:val="left"/>
      <w:pPr>
        <w:ind w:left="4545" w:hanging="588"/>
      </w:pPr>
      <w:rPr>
        <w:rFonts w:hint="default"/>
      </w:rPr>
    </w:lvl>
    <w:lvl w:ilvl="2">
      <w:start w:val="0"/>
      <w:numFmt w:val="bullet"/>
      <w:lvlText w:val="•"/>
      <w:lvlJc w:val="left"/>
      <w:pPr>
        <w:ind w:left="5871" w:hanging="588"/>
      </w:pPr>
      <w:rPr>
        <w:rFonts w:hint="default"/>
      </w:rPr>
    </w:lvl>
    <w:lvl w:ilvl="3">
      <w:start w:val="0"/>
      <w:numFmt w:val="bullet"/>
      <w:lvlText w:val="•"/>
      <w:lvlJc w:val="left"/>
      <w:pPr>
        <w:ind w:left="7197" w:hanging="588"/>
      </w:pPr>
      <w:rPr>
        <w:rFonts w:hint="default"/>
      </w:rPr>
    </w:lvl>
    <w:lvl w:ilvl="4">
      <w:start w:val="0"/>
      <w:numFmt w:val="bullet"/>
      <w:lvlText w:val="•"/>
      <w:lvlJc w:val="left"/>
      <w:pPr>
        <w:ind w:left="8523" w:hanging="588"/>
      </w:pPr>
      <w:rPr>
        <w:rFonts w:hint="default"/>
      </w:rPr>
    </w:lvl>
    <w:lvl w:ilvl="5">
      <w:start w:val="0"/>
      <w:numFmt w:val="bullet"/>
      <w:lvlText w:val="•"/>
      <w:lvlJc w:val="left"/>
      <w:pPr>
        <w:ind w:left="9849" w:hanging="588"/>
      </w:pPr>
      <w:rPr>
        <w:rFonts w:hint="default"/>
      </w:rPr>
    </w:lvl>
    <w:lvl w:ilvl="6">
      <w:start w:val="0"/>
      <w:numFmt w:val="bullet"/>
      <w:lvlText w:val="•"/>
      <w:lvlJc w:val="left"/>
      <w:pPr>
        <w:ind w:left="11175" w:hanging="588"/>
      </w:pPr>
      <w:rPr>
        <w:rFonts w:hint="default"/>
      </w:rPr>
    </w:lvl>
    <w:lvl w:ilvl="7">
      <w:start w:val="0"/>
      <w:numFmt w:val="bullet"/>
      <w:lvlText w:val="•"/>
      <w:lvlJc w:val="left"/>
      <w:pPr>
        <w:ind w:left="12501" w:hanging="588"/>
      </w:pPr>
      <w:rPr>
        <w:rFonts w:hint="default"/>
      </w:rPr>
    </w:lvl>
    <w:lvl w:ilvl="8">
      <w:start w:val="0"/>
      <w:numFmt w:val="bullet"/>
      <w:lvlText w:val="•"/>
      <w:lvlJc w:val="left"/>
      <w:pPr>
        <w:ind w:left="13827" w:hanging="588"/>
      </w:pPr>
      <w:rPr>
        <w:rFonts w:hint="default"/>
      </w:rPr>
    </w:lvl>
  </w:abstractNum>
  <w:abstractNum w:abstractNumId="5">
    <w:nsid w:val="34A602F2"/>
    <w:multiLevelType w:val="hybridMultilevel"/>
    <w:tmpl w:val="00000000"/>
    <w:lvl w:ilvl="0">
      <w:start w:val="2"/>
      <w:numFmt w:val="decimal"/>
      <w:lvlText w:val="%1."/>
      <w:lvlJc w:val="left"/>
      <w:pPr>
        <w:ind w:left="3237" w:hanging="583"/>
        <w:jc w:val="left"/>
      </w:pPr>
      <w:rPr>
        <w:rFonts w:ascii="宋体" w:eastAsia="宋体" w:hAnsi="宋体" w:cs="宋体" w:hint="default"/>
        <w:w w:val="99"/>
        <w:sz w:val="39"/>
        <w:szCs w:val="39"/>
      </w:rPr>
    </w:lvl>
    <w:lvl w:ilvl="1">
      <w:start w:val="0"/>
      <w:numFmt w:val="bullet"/>
      <w:lvlText w:val="•"/>
      <w:lvlJc w:val="left"/>
      <w:pPr>
        <w:ind w:left="4563" w:hanging="583"/>
      </w:pPr>
      <w:rPr>
        <w:rFonts w:hint="default"/>
      </w:rPr>
    </w:lvl>
    <w:lvl w:ilvl="2">
      <w:start w:val="0"/>
      <w:numFmt w:val="bullet"/>
      <w:lvlText w:val="•"/>
      <w:lvlJc w:val="left"/>
      <w:pPr>
        <w:ind w:left="5887" w:hanging="583"/>
      </w:pPr>
      <w:rPr>
        <w:rFonts w:hint="default"/>
      </w:rPr>
    </w:lvl>
    <w:lvl w:ilvl="3">
      <w:start w:val="0"/>
      <w:numFmt w:val="bullet"/>
      <w:lvlText w:val="•"/>
      <w:lvlJc w:val="left"/>
      <w:pPr>
        <w:ind w:left="7211" w:hanging="583"/>
      </w:pPr>
      <w:rPr>
        <w:rFonts w:hint="default"/>
      </w:rPr>
    </w:lvl>
    <w:lvl w:ilvl="4">
      <w:start w:val="0"/>
      <w:numFmt w:val="bullet"/>
      <w:lvlText w:val="•"/>
      <w:lvlJc w:val="left"/>
      <w:pPr>
        <w:ind w:left="8535" w:hanging="583"/>
      </w:pPr>
      <w:rPr>
        <w:rFonts w:hint="default"/>
      </w:rPr>
    </w:lvl>
    <w:lvl w:ilvl="5">
      <w:start w:val="0"/>
      <w:numFmt w:val="bullet"/>
      <w:lvlText w:val="•"/>
      <w:lvlJc w:val="left"/>
      <w:pPr>
        <w:ind w:left="9859" w:hanging="583"/>
      </w:pPr>
      <w:rPr>
        <w:rFonts w:hint="default"/>
      </w:rPr>
    </w:lvl>
    <w:lvl w:ilvl="6">
      <w:start w:val="0"/>
      <w:numFmt w:val="bullet"/>
      <w:lvlText w:val="•"/>
      <w:lvlJc w:val="left"/>
      <w:pPr>
        <w:ind w:left="11183" w:hanging="583"/>
      </w:pPr>
      <w:rPr>
        <w:rFonts w:hint="default"/>
      </w:rPr>
    </w:lvl>
    <w:lvl w:ilvl="7">
      <w:start w:val="0"/>
      <w:numFmt w:val="bullet"/>
      <w:lvlText w:val="•"/>
      <w:lvlJc w:val="left"/>
      <w:pPr>
        <w:ind w:left="12507" w:hanging="583"/>
      </w:pPr>
      <w:rPr>
        <w:rFonts w:hint="default"/>
      </w:rPr>
    </w:lvl>
    <w:lvl w:ilvl="8">
      <w:start w:val="0"/>
      <w:numFmt w:val="bullet"/>
      <w:lvlText w:val="•"/>
      <w:lvlJc w:val="left"/>
      <w:pPr>
        <w:ind w:left="13831" w:hanging="583"/>
      </w:pPr>
      <w:rPr>
        <w:rFonts w:hint="default"/>
      </w:rPr>
    </w:lvl>
  </w:abstractNum>
  <w:abstractNum w:abstractNumId="6">
    <w:nsid w:val="3BA2A897"/>
    <w:multiLevelType w:val="hybridMultilevel"/>
    <w:tmpl w:val="00000000"/>
    <w:lvl w:ilvl="0">
      <w:start w:val="1"/>
      <w:numFmt w:val="decimal"/>
      <w:lvlText w:val="（%1）"/>
      <w:lvlJc w:val="left"/>
      <w:pPr>
        <w:ind w:left="3637" w:hanging="980"/>
        <w:jc w:val="left"/>
      </w:pPr>
      <w:rPr>
        <w:rFonts w:hint="default"/>
        <w:b/>
        <w:bCs/>
        <w:spacing w:val="0"/>
        <w:w w:val="98"/>
      </w:rPr>
    </w:lvl>
    <w:lvl w:ilvl="1">
      <w:start w:val="0"/>
      <w:numFmt w:val="bullet"/>
      <w:lvlText w:val="•"/>
      <w:lvlJc w:val="left"/>
      <w:pPr>
        <w:ind w:left="4923" w:hanging="980"/>
      </w:pPr>
      <w:rPr>
        <w:rFonts w:hint="default"/>
      </w:rPr>
    </w:lvl>
    <w:lvl w:ilvl="2">
      <w:start w:val="0"/>
      <w:numFmt w:val="bullet"/>
      <w:lvlText w:val="•"/>
      <w:lvlJc w:val="left"/>
      <w:pPr>
        <w:ind w:left="6207" w:hanging="980"/>
      </w:pPr>
      <w:rPr>
        <w:rFonts w:hint="default"/>
      </w:rPr>
    </w:lvl>
    <w:lvl w:ilvl="3">
      <w:start w:val="0"/>
      <w:numFmt w:val="bullet"/>
      <w:lvlText w:val="•"/>
      <w:lvlJc w:val="left"/>
      <w:pPr>
        <w:ind w:left="7491" w:hanging="980"/>
      </w:pPr>
      <w:rPr>
        <w:rFonts w:hint="default"/>
      </w:rPr>
    </w:lvl>
    <w:lvl w:ilvl="4">
      <w:start w:val="0"/>
      <w:numFmt w:val="bullet"/>
      <w:lvlText w:val="•"/>
      <w:lvlJc w:val="left"/>
      <w:pPr>
        <w:ind w:left="8775" w:hanging="980"/>
      </w:pPr>
      <w:rPr>
        <w:rFonts w:hint="default"/>
      </w:rPr>
    </w:lvl>
    <w:lvl w:ilvl="5">
      <w:start w:val="0"/>
      <w:numFmt w:val="bullet"/>
      <w:lvlText w:val="•"/>
      <w:lvlJc w:val="left"/>
      <w:pPr>
        <w:ind w:left="10059" w:hanging="980"/>
      </w:pPr>
      <w:rPr>
        <w:rFonts w:hint="default"/>
      </w:rPr>
    </w:lvl>
    <w:lvl w:ilvl="6">
      <w:start w:val="0"/>
      <w:numFmt w:val="bullet"/>
      <w:lvlText w:val="•"/>
      <w:lvlJc w:val="left"/>
      <w:pPr>
        <w:ind w:left="11343" w:hanging="980"/>
      </w:pPr>
      <w:rPr>
        <w:rFonts w:hint="default"/>
      </w:rPr>
    </w:lvl>
    <w:lvl w:ilvl="7">
      <w:start w:val="0"/>
      <w:numFmt w:val="bullet"/>
      <w:lvlText w:val="•"/>
      <w:lvlJc w:val="left"/>
      <w:pPr>
        <w:ind w:left="12627" w:hanging="980"/>
      </w:pPr>
      <w:rPr>
        <w:rFonts w:hint="default"/>
      </w:rPr>
    </w:lvl>
    <w:lvl w:ilvl="8">
      <w:start w:val="0"/>
      <w:numFmt w:val="bullet"/>
      <w:lvlText w:val="•"/>
      <w:lvlJc w:val="left"/>
      <w:pPr>
        <w:ind w:left="13911" w:hanging="980"/>
      </w:pPr>
      <w:rPr>
        <w:rFonts w:hint="default"/>
      </w:rPr>
    </w:lvl>
  </w:abstractNum>
  <w:abstractNum w:abstractNumId="7">
    <w:nsid w:val="5BDFD205"/>
    <w:multiLevelType w:val="hybridMultilevel"/>
    <w:tmpl w:val="00000000"/>
    <w:lvl w:ilvl="0">
      <w:start w:val="1"/>
      <w:numFmt w:val="decimal"/>
      <w:lvlText w:val="（%1）"/>
      <w:lvlJc w:val="left"/>
      <w:pPr>
        <w:ind w:left="3626" w:hanging="973"/>
        <w:jc w:val="left"/>
      </w:pPr>
      <w:rPr>
        <w:rFonts w:ascii="宋体" w:eastAsia="宋体" w:hAnsi="宋体" w:cs="宋体" w:hint="default"/>
        <w:spacing w:val="-1"/>
        <w:w w:val="99"/>
        <w:sz w:val="37"/>
        <w:szCs w:val="37"/>
      </w:rPr>
    </w:lvl>
    <w:lvl w:ilvl="1">
      <w:start w:val="0"/>
      <w:numFmt w:val="bullet"/>
      <w:lvlText w:val="•"/>
      <w:lvlJc w:val="left"/>
      <w:pPr>
        <w:ind w:left="4905" w:hanging="973"/>
      </w:pPr>
      <w:rPr>
        <w:rFonts w:hint="default"/>
      </w:rPr>
    </w:lvl>
    <w:lvl w:ilvl="2">
      <w:start w:val="0"/>
      <w:numFmt w:val="bullet"/>
      <w:lvlText w:val="•"/>
      <w:lvlJc w:val="left"/>
      <w:pPr>
        <w:ind w:left="6191" w:hanging="973"/>
      </w:pPr>
      <w:rPr>
        <w:rFonts w:hint="default"/>
      </w:rPr>
    </w:lvl>
    <w:lvl w:ilvl="3">
      <w:start w:val="0"/>
      <w:numFmt w:val="bullet"/>
      <w:lvlText w:val="•"/>
      <w:lvlJc w:val="left"/>
      <w:pPr>
        <w:ind w:left="7477" w:hanging="973"/>
      </w:pPr>
      <w:rPr>
        <w:rFonts w:hint="default"/>
      </w:rPr>
    </w:lvl>
    <w:lvl w:ilvl="4">
      <w:start w:val="0"/>
      <w:numFmt w:val="bullet"/>
      <w:lvlText w:val="•"/>
      <w:lvlJc w:val="left"/>
      <w:pPr>
        <w:ind w:left="8763" w:hanging="973"/>
      </w:pPr>
      <w:rPr>
        <w:rFonts w:hint="default"/>
      </w:rPr>
    </w:lvl>
    <w:lvl w:ilvl="5">
      <w:start w:val="0"/>
      <w:numFmt w:val="bullet"/>
      <w:lvlText w:val="•"/>
      <w:lvlJc w:val="left"/>
      <w:pPr>
        <w:ind w:left="10049" w:hanging="973"/>
      </w:pPr>
      <w:rPr>
        <w:rFonts w:hint="default"/>
      </w:rPr>
    </w:lvl>
    <w:lvl w:ilvl="6">
      <w:start w:val="0"/>
      <w:numFmt w:val="bullet"/>
      <w:lvlText w:val="•"/>
      <w:lvlJc w:val="left"/>
      <w:pPr>
        <w:ind w:left="11335" w:hanging="973"/>
      </w:pPr>
      <w:rPr>
        <w:rFonts w:hint="default"/>
      </w:rPr>
    </w:lvl>
    <w:lvl w:ilvl="7">
      <w:start w:val="0"/>
      <w:numFmt w:val="bullet"/>
      <w:lvlText w:val="•"/>
      <w:lvlJc w:val="left"/>
      <w:pPr>
        <w:ind w:left="12621" w:hanging="973"/>
      </w:pPr>
      <w:rPr>
        <w:rFonts w:hint="default"/>
      </w:rPr>
    </w:lvl>
    <w:lvl w:ilvl="8">
      <w:start w:val="0"/>
      <w:numFmt w:val="bullet"/>
      <w:lvlText w:val="•"/>
      <w:lvlJc w:val="left"/>
      <w:pPr>
        <w:ind w:left="13907" w:hanging="973"/>
      </w:pPr>
      <w:rPr>
        <w:rFonts w:hint="default"/>
      </w:rPr>
    </w:lvl>
  </w:abstractNum>
  <w:abstractNum w:abstractNumId="8">
    <w:nsid w:val="64863D1A"/>
    <w:multiLevelType w:val="hybridMultilevel"/>
    <w:tmpl w:val="00000000"/>
    <w:lvl w:ilvl="0">
      <w:start w:val="1"/>
      <w:numFmt w:val="decimal"/>
      <w:lvlText w:val="（%1）"/>
      <w:lvlJc w:val="left"/>
      <w:pPr>
        <w:ind w:left="3626" w:hanging="973"/>
        <w:jc w:val="left"/>
      </w:pPr>
      <w:rPr>
        <w:rFonts w:ascii="宋体" w:eastAsia="宋体" w:hAnsi="宋体" w:cs="宋体" w:hint="default"/>
        <w:spacing w:val="-1"/>
        <w:w w:val="99"/>
        <w:sz w:val="37"/>
        <w:szCs w:val="37"/>
      </w:rPr>
    </w:lvl>
    <w:lvl w:ilvl="1">
      <w:start w:val="0"/>
      <w:numFmt w:val="bullet"/>
      <w:lvlText w:val="•"/>
      <w:lvlJc w:val="left"/>
      <w:pPr>
        <w:ind w:left="4905" w:hanging="973"/>
      </w:pPr>
      <w:rPr>
        <w:rFonts w:hint="default"/>
      </w:rPr>
    </w:lvl>
    <w:lvl w:ilvl="2">
      <w:start w:val="0"/>
      <w:numFmt w:val="bullet"/>
      <w:lvlText w:val="•"/>
      <w:lvlJc w:val="left"/>
      <w:pPr>
        <w:ind w:left="6191" w:hanging="973"/>
      </w:pPr>
      <w:rPr>
        <w:rFonts w:hint="default"/>
      </w:rPr>
    </w:lvl>
    <w:lvl w:ilvl="3">
      <w:start w:val="0"/>
      <w:numFmt w:val="bullet"/>
      <w:lvlText w:val="•"/>
      <w:lvlJc w:val="left"/>
      <w:pPr>
        <w:ind w:left="7477" w:hanging="973"/>
      </w:pPr>
      <w:rPr>
        <w:rFonts w:hint="default"/>
      </w:rPr>
    </w:lvl>
    <w:lvl w:ilvl="4">
      <w:start w:val="0"/>
      <w:numFmt w:val="bullet"/>
      <w:lvlText w:val="•"/>
      <w:lvlJc w:val="left"/>
      <w:pPr>
        <w:ind w:left="8763" w:hanging="973"/>
      </w:pPr>
      <w:rPr>
        <w:rFonts w:hint="default"/>
      </w:rPr>
    </w:lvl>
    <w:lvl w:ilvl="5">
      <w:start w:val="0"/>
      <w:numFmt w:val="bullet"/>
      <w:lvlText w:val="•"/>
      <w:lvlJc w:val="left"/>
      <w:pPr>
        <w:ind w:left="10049" w:hanging="973"/>
      </w:pPr>
      <w:rPr>
        <w:rFonts w:hint="default"/>
      </w:rPr>
    </w:lvl>
    <w:lvl w:ilvl="6">
      <w:start w:val="0"/>
      <w:numFmt w:val="bullet"/>
      <w:lvlText w:val="•"/>
      <w:lvlJc w:val="left"/>
      <w:pPr>
        <w:ind w:left="11335" w:hanging="973"/>
      </w:pPr>
      <w:rPr>
        <w:rFonts w:hint="default"/>
      </w:rPr>
    </w:lvl>
    <w:lvl w:ilvl="7">
      <w:start w:val="0"/>
      <w:numFmt w:val="bullet"/>
      <w:lvlText w:val="•"/>
      <w:lvlJc w:val="left"/>
      <w:pPr>
        <w:ind w:left="12621" w:hanging="973"/>
      </w:pPr>
      <w:rPr>
        <w:rFonts w:hint="default"/>
      </w:rPr>
    </w:lvl>
    <w:lvl w:ilvl="8">
      <w:start w:val="0"/>
      <w:numFmt w:val="bullet"/>
      <w:lvlText w:val="•"/>
      <w:lvlJc w:val="left"/>
      <w:pPr>
        <w:ind w:left="13907" w:hanging="973"/>
      </w:pPr>
      <w:rPr>
        <w:rFonts w:hint="default"/>
      </w:rPr>
    </w:lvl>
  </w:abstractNum>
  <w:abstractNum w:abstractNumId="9">
    <w:nsid w:val="6E679157"/>
    <w:multiLevelType w:val="hybridMultilevel"/>
    <w:tmpl w:val="00000000"/>
    <w:lvl w:ilvl="0">
      <w:start w:val="1"/>
      <w:numFmt w:val="decimal"/>
      <w:lvlText w:val="（%1）"/>
      <w:lvlJc w:val="left"/>
      <w:pPr>
        <w:ind w:left="3626" w:hanging="973"/>
        <w:jc w:val="left"/>
      </w:pPr>
      <w:rPr>
        <w:rFonts w:ascii="宋体" w:eastAsia="宋体" w:hAnsi="宋体" w:cs="宋体" w:hint="default"/>
        <w:spacing w:val="-1"/>
        <w:w w:val="99"/>
        <w:sz w:val="37"/>
        <w:szCs w:val="37"/>
      </w:rPr>
    </w:lvl>
    <w:lvl w:ilvl="1">
      <w:start w:val="0"/>
      <w:numFmt w:val="bullet"/>
      <w:lvlText w:val="•"/>
      <w:lvlJc w:val="left"/>
      <w:pPr>
        <w:ind w:left="4905" w:hanging="973"/>
      </w:pPr>
      <w:rPr>
        <w:rFonts w:hint="default"/>
      </w:rPr>
    </w:lvl>
    <w:lvl w:ilvl="2">
      <w:start w:val="0"/>
      <w:numFmt w:val="bullet"/>
      <w:lvlText w:val="•"/>
      <w:lvlJc w:val="left"/>
      <w:pPr>
        <w:ind w:left="6191" w:hanging="973"/>
      </w:pPr>
      <w:rPr>
        <w:rFonts w:hint="default"/>
      </w:rPr>
    </w:lvl>
    <w:lvl w:ilvl="3">
      <w:start w:val="0"/>
      <w:numFmt w:val="bullet"/>
      <w:lvlText w:val="•"/>
      <w:lvlJc w:val="left"/>
      <w:pPr>
        <w:ind w:left="7477" w:hanging="973"/>
      </w:pPr>
      <w:rPr>
        <w:rFonts w:hint="default"/>
      </w:rPr>
    </w:lvl>
    <w:lvl w:ilvl="4">
      <w:start w:val="0"/>
      <w:numFmt w:val="bullet"/>
      <w:lvlText w:val="•"/>
      <w:lvlJc w:val="left"/>
      <w:pPr>
        <w:ind w:left="8763" w:hanging="973"/>
      </w:pPr>
      <w:rPr>
        <w:rFonts w:hint="default"/>
      </w:rPr>
    </w:lvl>
    <w:lvl w:ilvl="5">
      <w:start w:val="0"/>
      <w:numFmt w:val="bullet"/>
      <w:lvlText w:val="•"/>
      <w:lvlJc w:val="left"/>
      <w:pPr>
        <w:ind w:left="10049" w:hanging="973"/>
      </w:pPr>
      <w:rPr>
        <w:rFonts w:hint="default"/>
      </w:rPr>
    </w:lvl>
    <w:lvl w:ilvl="6">
      <w:start w:val="0"/>
      <w:numFmt w:val="bullet"/>
      <w:lvlText w:val="•"/>
      <w:lvlJc w:val="left"/>
      <w:pPr>
        <w:ind w:left="11335" w:hanging="973"/>
      </w:pPr>
      <w:rPr>
        <w:rFonts w:hint="default"/>
      </w:rPr>
    </w:lvl>
    <w:lvl w:ilvl="7">
      <w:start w:val="0"/>
      <w:numFmt w:val="bullet"/>
      <w:lvlText w:val="•"/>
      <w:lvlJc w:val="left"/>
      <w:pPr>
        <w:ind w:left="12621" w:hanging="973"/>
      </w:pPr>
      <w:rPr>
        <w:rFonts w:hint="default"/>
      </w:rPr>
    </w:lvl>
    <w:lvl w:ilvl="8">
      <w:start w:val="0"/>
      <w:numFmt w:val="bullet"/>
      <w:lvlText w:val="•"/>
      <w:lvlJc w:val="left"/>
      <w:pPr>
        <w:ind w:left="13907" w:hanging="973"/>
      </w:pPr>
      <w:rPr>
        <w:rFonts w:hint="default"/>
      </w:rPr>
    </w:lvl>
  </w:abstractNum>
  <w:abstractNum w:abstractNumId="10">
    <w:nsid w:val="74766268"/>
    <w:multiLevelType w:val="hybridMultilevel"/>
    <w:tmpl w:val="00000000"/>
    <w:lvl w:ilvl="0">
      <w:start w:val="2"/>
      <w:numFmt w:val="decimal"/>
      <w:lvlText w:val="（%1）"/>
      <w:lvlJc w:val="left"/>
      <w:pPr>
        <w:ind w:left="3626" w:hanging="973"/>
        <w:jc w:val="left"/>
      </w:pPr>
      <w:rPr>
        <w:rFonts w:ascii="宋体" w:eastAsia="宋体" w:hAnsi="宋体" w:cs="宋体" w:hint="default"/>
        <w:spacing w:val="-1"/>
        <w:w w:val="99"/>
        <w:sz w:val="37"/>
        <w:szCs w:val="37"/>
      </w:rPr>
    </w:lvl>
    <w:lvl w:ilvl="1">
      <w:start w:val="0"/>
      <w:numFmt w:val="bullet"/>
      <w:lvlText w:val="•"/>
      <w:lvlJc w:val="left"/>
      <w:pPr>
        <w:ind w:left="4905" w:hanging="973"/>
      </w:pPr>
      <w:rPr>
        <w:rFonts w:hint="default"/>
      </w:rPr>
    </w:lvl>
    <w:lvl w:ilvl="2">
      <w:start w:val="0"/>
      <w:numFmt w:val="bullet"/>
      <w:lvlText w:val="•"/>
      <w:lvlJc w:val="left"/>
      <w:pPr>
        <w:ind w:left="6191" w:hanging="973"/>
      </w:pPr>
      <w:rPr>
        <w:rFonts w:hint="default"/>
      </w:rPr>
    </w:lvl>
    <w:lvl w:ilvl="3">
      <w:start w:val="0"/>
      <w:numFmt w:val="bullet"/>
      <w:lvlText w:val="•"/>
      <w:lvlJc w:val="left"/>
      <w:pPr>
        <w:ind w:left="7477" w:hanging="973"/>
      </w:pPr>
      <w:rPr>
        <w:rFonts w:hint="default"/>
      </w:rPr>
    </w:lvl>
    <w:lvl w:ilvl="4">
      <w:start w:val="0"/>
      <w:numFmt w:val="bullet"/>
      <w:lvlText w:val="•"/>
      <w:lvlJc w:val="left"/>
      <w:pPr>
        <w:ind w:left="8763" w:hanging="973"/>
      </w:pPr>
      <w:rPr>
        <w:rFonts w:hint="default"/>
      </w:rPr>
    </w:lvl>
    <w:lvl w:ilvl="5">
      <w:start w:val="0"/>
      <w:numFmt w:val="bullet"/>
      <w:lvlText w:val="•"/>
      <w:lvlJc w:val="left"/>
      <w:pPr>
        <w:ind w:left="10049" w:hanging="973"/>
      </w:pPr>
      <w:rPr>
        <w:rFonts w:hint="default"/>
      </w:rPr>
    </w:lvl>
    <w:lvl w:ilvl="6">
      <w:start w:val="0"/>
      <w:numFmt w:val="bullet"/>
      <w:lvlText w:val="•"/>
      <w:lvlJc w:val="left"/>
      <w:pPr>
        <w:ind w:left="11335" w:hanging="973"/>
      </w:pPr>
      <w:rPr>
        <w:rFonts w:hint="default"/>
      </w:rPr>
    </w:lvl>
    <w:lvl w:ilvl="7">
      <w:start w:val="0"/>
      <w:numFmt w:val="bullet"/>
      <w:lvlText w:val="•"/>
      <w:lvlJc w:val="left"/>
      <w:pPr>
        <w:ind w:left="12621" w:hanging="973"/>
      </w:pPr>
      <w:rPr>
        <w:rFonts w:hint="default"/>
      </w:rPr>
    </w:lvl>
    <w:lvl w:ilvl="8">
      <w:start w:val="0"/>
      <w:numFmt w:val="bullet"/>
      <w:lvlText w:val="•"/>
      <w:lvlJc w:val="left"/>
      <w:pPr>
        <w:ind w:left="13907" w:hanging="973"/>
      </w:pPr>
      <w:rPr>
        <w:rFonts w:hint="default"/>
      </w:rPr>
    </w:lvl>
  </w:abstractNum>
  <w:abstractNum w:abstractNumId="11">
    <w:nsid w:val="7ED7F197"/>
    <w:multiLevelType w:val="hybridMultilevel"/>
    <w:tmpl w:val="00000000"/>
    <w:lvl w:ilvl="0">
      <w:start w:val="2"/>
      <w:numFmt w:val="decimal"/>
      <w:lvlText w:val="%1."/>
      <w:lvlJc w:val="left"/>
      <w:pPr>
        <w:ind w:left="3237" w:hanging="583"/>
        <w:jc w:val="left"/>
      </w:pPr>
      <w:rPr>
        <w:rFonts w:ascii="宋体" w:eastAsia="宋体" w:hAnsi="宋体" w:cs="宋体" w:hint="default"/>
        <w:w w:val="99"/>
        <w:sz w:val="39"/>
        <w:szCs w:val="39"/>
      </w:rPr>
    </w:lvl>
    <w:lvl w:ilvl="1">
      <w:start w:val="0"/>
      <w:numFmt w:val="bullet"/>
      <w:lvlText w:val="•"/>
      <w:lvlJc w:val="left"/>
      <w:pPr>
        <w:ind w:left="4563" w:hanging="583"/>
      </w:pPr>
      <w:rPr>
        <w:rFonts w:hint="default"/>
      </w:rPr>
    </w:lvl>
    <w:lvl w:ilvl="2">
      <w:start w:val="0"/>
      <w:numFmt w:val="bullet"/>
      <w:lvlText w:val="•"/>
      <w:lvlJc w:val="left"/>
      <w:pPr>
        <w:ind w:left="5887" w:hanging="583"/>
      </w:pPr>
      <w:rPr>
        <w:rFonts w:hint="default"/>
      </w:rPr>
    </w:lvl>
    <w:lvl w:ilvl="3">
      <w:start w:val="0"/>
      <w:numFmt w:val="bullet"/>
      <w:lvlText w:val="•"/>
      <w:lvlJc w:val="left"/>
      <w:pPr>
        <w:ind w:left="7211" w:hanging="583"/>
      </w:pPr>
      <w:rPr>
        <w:rFonts w:hint="default"/>
      </w:rPr>
    </w:lvl>
    <w:lvl w:ilvl="4">
      <w:start w:val="0"/>
      <w:numFmt w:val="bullet"/>
      <w:lvlText w:val="•"/>
      <w:lvlJc w:val="left"/>
      <w:pPr>
        <w:ind w:left="8535" w:hanging="583"/>
      </w:pPr>
      <w:rPr>
        <w:rFonts w:hint="default"/>
      </w:rPr>
    </w:lvl>
    <w:lvl w:ilvl="5">
      <w:start w:val="0"/>
      <w:numFmt w:val="bullet"/>
      <w:lvlText w:val="•"/>
      <w:lvlJc w:val="left"/>
      <w:pPr>
        <w:ind w:left="9859" w:hanging="583"/>
      </w:pPr>
      <w:rPr>
        <w:rFonts w:hint="default"/>
      </w:rPr>
    </w:lvl>
    <w:lvl w:ilvl="6">
      <w:start w:val="0"/>
      <w:numFmt w:val="bullet"/>
      <w:lvlText w:val="•"/>
      <w:lvlJc w:val="left"/>
      <w:pPr>
        <w:ind w:left="11183" w:hanging="583"/>
      </w:pPr>
      <w:rPr>
        <w:rFonts w:hint="default"/>
      </w:rPr>
    </w:lvl>
    <w:lvl w:ilvl="7">
      <w:start w:val="0"/>
      <w:numFmt w:val="bullet"/>
      <w:lvlText w:val="•"/>
      <w:lvlJc w:val="left"/>
      <w:pPr>
        <w:ind w:left="12507" w:hanging="583"/>
      </w:pPr>
      <w:rPr>
        <w:rFonts w:hint="default"/>
      </w:rPr>
    </w:lvl>
    <w:lvl w:ilvl="8">
      <w:start w:val="0"/>
      <w:numFmt w:val="bullet"/>
      <w:lvlText w:val="•"/>
      <w:lvlJc w:val="left"/>
      <w:pPr>
        <w:ind w:left="13831" w:hanging="583"/>
      </w:pPr>
      <w:rPr>
        <w:rFonts w:hint="default"/>
      </w:rPr>
    </w:lvl>
  </w:abstractNum>
  <w:num w:numId="1">
    <w:abstractNumId w:val="5"/>
  </w:num>
  <w:num w:numId="2">
    <w:abstractNumId w:val="8"/>
  </w:num>
  <w:num w:numId="3">
    <w:abstractNumId w:val="4"/>
  </w:num>
  <w:num w:numId="4">
    <w:abstractNumId w:val="6"/>
  </w:num>
  <w:num w:numId="5">
    <w:abstractNumId w:val="11"/>
  </w:num>
  <w:num w:numId="6">
    <w:abstractNumId w:val="0"/>
  </w:num>
  <w:num w:numId="7">
    <w:abstractNumId w:val="9"/>
  </w:num>
  <w:num w:numId="8">
    <w:abstractNumId w:val="2"/>
  </w:num>
  <w:num w:numId="9">
    <w:abstractNumId w:val="7"/>
  </w:num>
  <w:num w:numId="10">
    <w:abstractNumId w:val="10"/>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line="470" w:lineRule="exact"/>
      <w:ind w:left="6154"/>
      <w:outlineLvl w:val="0"/>
    </w:pPr>
    <w:rPr>
      <w:rFonts w:ascii="宋体" w:eastAsia="宋体" w:hAnsi="宋体" w:cs="宋体"/>
      <w:sz w:val="42"/>
      <w:szCs w:val="42"/>
    </w:rPr>
  </w:style>
  <w:style w:type="paragraph" w:styleId="Heading2">
    <w:name w:val="heading 2"/>
    <w:basedOn w:val="Normal"/>
    <w:uiPriority w:val="1"/>
    <w:qFormat/>
    <w:pPr>
      <w:ind w:left="2657"/>
      <w:outlineLvl w:val="1"/>
    </w:pPr>
    <w:rPr>
      <w:rFonts w:ascii="宋体" w:eastAsia="宋体" w:hAnsi="宋体" w:cs="宋体"/>
      <w:b/>
      <w:bCs/>
      <w:sz w:val="39"/>
      <w:szCs w:val="39"/>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9"/>
      <w:szCs w:val="39"/>
    </w:rPr>
  </w:style>
  <w:style w:type="paragraph" w:styleId="Title">
    <w:name w:val="Title"/>
    <w:basedOn w:val="Normal"/>
    <w:uiPriority w:val="1"/>
    <w:qFormat/>
    <w:pPr>
      <w:spacing w:line="830" w:lineRule="exact"/>
      <w:ind w:left="3495" w:right="2487"/>
      <w:jc w:val="center"/>
    </w:pPr>
    <w:rPr>
      <w:rFonts w:ascii="宋体" w:eastAsia="宋体" w:hAnsi="宋体" w:cs="宋体"/>
      <w:b/>
      <w:bCs/>
      <w:sz w:val="66"/>
      <w:szCs w:val="66"/>
    </w:rPr>
  </w:style>
  <w:style w:type="paragraph" w:styleId="ListParagraph">
    <w:name w:val="List Paragraph"/>
    <w:basedOn w:val="Normal"/>
    <w:uiPriority w:val="1"/>
    <w:qFormat/>
    <w:pPr>
      <w:ind w:left="3626" w:hanging="973"/>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947002165024006041"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2024-01-29T10:17:50Z</dcterms:created>
  <dcterms:modified xsi:type="dcterms:W3CDTF">2024-01-29T10:17:50Z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LastSaved">
    <vt:filetime>2024-01-29T00:00:00Z</vt:filetime>
  </property>
</Properties>
</file>